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66" w:lineRule="exact"/>
        <w:rPr>
          <w:sz w:val="24"/>
          <w:szCs w:val="24"/>
          <w:color w:val="auto"/>
        </w:rPr>
      </w:pPr>
    </w:p>
    <w:p>
      <w:pPr>
        <w:jc w:val="center"/>
        <w:ind w:right="-259"/>
        <w:spacing w:after="0"/>
        <w:rPr>
          <w:sz w:val="20"/>
          <w:szCs w:val="20"/>
          <w:color w:val="auto"/>
        </w:rPr>
      </w:pPr>
      <w:r>
        <w:rPr>
          <w:rFonts w:ascii="Arial" w:cs="Arial" w:eastAsia="Arial" w:hAnsi="Arial"/>
          <w:sz w:val="36"/>
          <w:szCs w:val="36"/>
          <w:b w:val="1"/>
          <w:bCs w:val="1"/>
          <w:color w:val="auto"/>
        </w:rPr>
        <w:t>Avis Budget Group, Inc.</w:t>
      </w:r>
    </w:p>
    <w:p>
      <w:pPr>
        <w:spacing w:after="0" w:line="4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66"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98"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98"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4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98"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80" w:right="180" w:hanging="472"/>
        <w:spacing w:after="0" w:line="306"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98"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98"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98"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-2617470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-2360295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-1965325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-1708150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-1450975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-653415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-396240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118110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205740</wp:posOffset>
            </wp:positionV>
            <wp:extent cx="2658745" cy="694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16, 2018</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Fellow Shareholder:</w:t>
      </w:r>
    </w:p>
    <w:p>
      <w:pPr>
        <w:spacing w:after="0" w:line="104"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You are cordially invited to attend the Annual Meeting of Shareholders of Avis Budget Group, Inc., which will be held at the offices of Kirkland &amp; Ellis LLP, 601 Lexington Avenue, New York, New York, on May 23, 2018, at 9:00 a.m. Eastern Time. We look forward to greeting as many of our shareholders as possible.</w:t>
      </w:r>
    </w:p>
    <w:p>
      <w:pPr>
        <w:spacing w:after="0" w:line="9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This booklet includes the Notice of Annual Meeting and the Proxy Statement. The Proxy Statement describes the business to be conducted at the Annual Meeting and provides other information concerning our Company of which you should be aware when you vote your shares.</w:t>
      </w:r>
    </w:p>
    <w:p>
      <w:pPr>
        <w:spacing w:after="0" w:line="9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We look forward to greeting personally those shareholders who are able to be present at the Annual Meeting. However, regardless of whether you plan to be with us at the Annual Meeting, it is important that your shares be represented and voted at the meeting. Your vote is important to us.</w:t>
      </w:r>
    </w:p>
    <w:p>
      <w:pPr>
        <w:spacing w:after="0" w:line="95"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On behalf of the Board of Directors and the employees of Avis Budget Group, Inc., we would like to thank you for being a shareholder and express our appreciation for your ongoing support of our Company.</w:t>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74930</wp:posOffset>
            </wp:positionV>
            <wp:extent cx="1294765" cy="471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9476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Larry D. De Shon</w:t>
      </w:r>
    </w:p>
    <w:p>
      <w:pPr>
        <w:ind w:left="200"/>
        <w:spacing w:after="0" w:line="234" w:lineRule="auto"/>
        <w:rPr>
          <w:sz w:val="20"/>
          <w:szCs w:val="20"/>
          <w:color w:val="auto"/>
        </w:rPr>
      </w:pPr>
      <w:r>
        <w:rPr>
          <w:rFonts w:ascii="Arial" w:cs="Arial" w:eastAsia="Arial" w:hAnsi="Arial"/>
          <w:sz w:val="18"/>
          <w:szCs w:val="18"/>
          <w:color w:val="auto"/>
        </w:rPr>
        <w:t>Chief Executive Officer, President and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74930</wp:posOffset>
            </wp:positionV>
            <wp:extent cx="1569085" cy="368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908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Ronald L. Nelson</w:t>
      </w:r>
    </w:p>
    <w:p>
      <w:pPr>
        <w:ind w:left="200"/>
        <w:spacing w:after="0"/>
        <w:rPr>
          <w:sz w:val="20"/>
          <w:szCs w:val="20"/>
          <w:color w:val="auto"/>
        </w:rPr>
      </w:pPr>
      <w:r>
        <w:rPr>
          <w:rFonts w:ascii="Arial" w:cs="Arial" w:eastAsia="Arial" w:hAnsi="Arial"/>
          <w:sz w:val="18"/>
          <w:szCs w:val="18"/>
          <w:color w:val="auto"/>
        </w:rPr>
        <w:t>Executive Chairman of the Board</w:t>
      </w:r>
    </w:p>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00"/>
        <w:spacing w:after="0"/>
        <w:rPr>
          <w:sz w:val="20"/>
          <w:szCs w:val="20"/>
          <w:color w:val="auto"/>
        </w:rPr>
      </w:pPr>
      <w:r>
        <w:rPr>
          <w:rFonts w:ascii="Arial" w:cs="Arial" w:eastAsia="Arial" w:hAnsi="Arial"/>
          <w:sz w:val="45"/>
          <w:szCs w:val="45"/>
          <w:color w:val="auto"/>
        </w:rPr>
        <w:t>Notice of 2018 Annual Meeting of Shareholders</w:t>
      </w:r>
    </w:p>
    <w:p>
      <w:pPr>
        <w:spacing w:after="0" w:line="113" w:lineRule="exact"/>
        <w:rPr>
          <w:sz w:val="20"/>
          <w:szCs w:val="20"/>
          <w:color w:val="auto"/>
        </w:rPr>
      </w:pPr>
    </w:p>
    <w:p>
      <w:pPr>
        <w:ind w:left="200"/>
        <w:spacing w:after="0" w:line="258" w:lineRule="auto"/>
        <w:rPr>
          <w:sz w:val="20"/>
          <w:szCs w:val="20"/>
          <w:color w:val="auto"/>
        </w:rPr>
      </w:pPr>
      <w:r>
        <w:rPr>
          <w:rFonts w:ascii="Arial" w:cs="Arial" w:eastAsia="Arial" w:hAnsi="Arial"/>
          <w:sz w:val="14"/>
          <w:szCs w:val="14"/>
          <w:color w:val="auto"/>
        </w:rPr>
        <w:t>NOTICE IS HEREBY GIVEN that the Annual Meeting of Shareholders of Avis Budget Group, Inc. (the “Company”) will be held on May 23, 2018, at 9:00 a.m. Eastern Time, at the offices of Kirkland &amp; Ellis LLP, 601 Lexington Avenue, New York, New York (the “Meeting”), to consider and vote upon the following matters:</w:t>
      </w:r>
    </w:p>
    <w:p>
      <w:pPr>
        <w:spacing w:after="0" w:line="100" w:lineRule="exact"/>
        <w:rPr>
          <w:sz w:val="20"/>
          <w:szCs w:val="20"/>
          <w:color w:val="auto"/>
        </w:rPr>
      </w:pPr>
    </w:p>
    <w:p>
      <w:pPr>
        <w:ind w:left="520" w:hanging="316"/>
        <w:spacing w:after="0" w:line="258"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elect as directors thirteen nominees for a one-year term expiring in 2019 and until his or her successor is duly elected and qualified or until his or her earlier resignation or removal.</w:t>
      </w:r>
    </w:p>
    <w:p>
      <w:pPr>
        <w:spacing w:after="0" w:line="99" w:lineRule="exact"/>
        <w:rPr>
          <w:rFonts w:ascii="Arial" w:cs="Arial" w:eastAsia="Arial" w:hAnsi="Arial"/>
          <w:sz w:val="14"/>
          <w:szCs w:val="14"/>
          <w:color w:val="auto"/>
        </w:rPr>
      </w:pPr>
    </w:p>
    <w:p>
      <w:pPr>
        <w:ind w:left="520" w:hanging="316"/>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ratify the appointment of Deloitte &amp; Touche LLP as the independent registered public accounting firm for fiscal year 2018.</w:t>
      </w:r>
    </w:p>
    <w:p>
      <w:pPr>
        <w:spacing w:after="0" w:line="122" w:lineRule="exact"/>
        <w:rPr>
          <w:rFonts w:ascii="Arial" w:cs="Arial" w:eastAsia="Arial" w:hAnsi="Arial"/>
          <w:sz w:val="14"/>
          <w:szCs w:val="14"/>
          <w:color w:val="auto"/>
        </w:rPr>
      </w:pPr>
    </w:p>
    <w:p>
      <w:pPr>
        <w:ind w:left="520" w:hanging="316"/>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provide advisory approval of the compensation of our named executive officers.</w:t>
      </w:r>
    </w:p>
    <w:p>
      <w:pPr>
        <w:spacing w:after="0" w:line="122" w:lineRule="exact"/>
        <w:rPr>
          <w:rFonts w:ascii="Arial" w:cs="Arial" w:eastAsia="Arial" w:hAnsi="Arial"/>
          <w:sz w:val="14"/>
          <w:szCs w:val="14"/>
          <w:color w:val="auto"/>
        </w:rPr>
      </w:pPr>
    </w:p>
    <w:p>
      <w:pPr>
        <w:ind w:left="520" w:hanging="316"/>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transact such other business as may properly come before the Meeting or any adjournment or postponement thereof.</w:t>
      </w:r>
    </w:p>
    <w:p>
      <w:pPr>
        <w:spacing w:after="0" w:line="109" w:lineRule="exact"/>
        <w:rPr>
          <w:sz w:val="20"/>
          <w:szCs w:val="20"/>
          <w:color w:val="auto"/>
        </w:rPr>
      </w:pPr>
    </w:p>
    <w:p>
      <w:pPr>
        <w:jc w:val="both"/>
        <w:ind w:left="200"/>
        <w:spacing w:after="0" w:line="247" w:lineRule="auto"/>
        <w:rPr>
          <w:sz w:val="20"/>
          <w:szCs w:val="20"/>
          <w:color w:val="auto"/>
        </w:rPr>
      </w:pPr>
      <w:r>
        <w:rPr>
          <w:rFonts w:ascii="Arial" w:cs="Arial" w:eastAsia="Arial" w:hAnsi="Arial"/>
          <w:sz w:val="14"/>
          <w:szCs w:val="14"/>
          <w:color w:val="auto"/>
        </w:rPr>
        <w:t>The Board of Directors has fixed the close of business on March 26, 2018 as the record date for the Meeting. Only shareholders of record at that time are entitled to notice of, and to vote at, the Meeting and any adjournment or postponement thereof. A list of shareholders entitled to vote at the Meeting will be available for examination by any shareholder, for any purpose germane to the Meeting, at the Meeting and for ten days prior to the Meeting during ordinary business hours at 6 Sylvan Way, Parsippany, New Jersey 07054, the Company’s principal place of business.</w:t>
      </w:r>
    </w:p>
    <w:p>
      <w:pPr>
        <w:spacing w:after="0" w:line="94" w:lineRule="exact"/>
        <w:rPr>
          <w:sz w:val="20"/>
          <w:szCs w:val="20"/>
          <w:color w:val="auto"/>
        </w:rPr>
      </w:pPr>
    </w:p>
    <w:p>
      <w:pPr>
        <w:jc w:val="both"/>
        <w:ind w:left="200"/>
        <w:spacing w:after="0" w:line="245" w:lineRule="auto"/>
        <w:rPr>
          <w:sz w:val="20"/>
          <w:szCs w:val="20"/>
          <w:color w:val="auto"/>
        </w:rPr>
      </w:pPr>
      <w:r>
        <w:rPr>
          <w:rFonts w:ascii="Arial" w:cs="Arial" w:eastAsia="Arial" w:hAnsi="Arial"/>
          <w:sz w:val="14"/>
          <w:szCs w:val="14"/>
          <w:color w:val="auto"/>
        </w:rPr>
        <w:t>The accompanying Proxy Statement provides detailed information about the matters to be considered at the Meeting. It is important that your voice be heard and your shares be represented at the Meeting whether or not you are personally able to attend. Even if you plan to attend the Meeting, we hope that you will read the Proxy Statement and the voting instructions on the enclosed proxy card. If your shares are not registered in your own name and you would like to attend the Meeting, please ask the broker, bank or other nominee that holds the shares to provide you with evidence of your record date share ownership. If you intend to vote in person at the Meeting, you must provide a legal proxy from your broker, bank or other nominee.</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THE BOARD RECOMMENDS VOTING</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FOR ALL OF THE NOMINEES ON PROPOSAL 1 AND</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FOR PROPOSALS 2 AND 3 USING THE ENCLOSED PROXY CARD.</w:t>
      </w:r>
    </w:p>
    <w:p>
      <w:pPr>
        <w:spacing w:after="0" w:line="150" w:lineRule="exact"/>
        <w:rPr>
          <w:sz w:val="20"/>
          <w:szCs w:val="20"/>
          <w:color w:val="auto"/>
        </w:rPr>
      </w:pPr>
    </w:p>
    <w:p>
      <w:pPr>
        <w:jc w:val="both"/>
        <w:ind w:left="200"/>
        <w:spacing w:after="0" w:line="258" w:lineRule="auto"/>
        <w:rPr>
          <w:sz w:val="20"/>
          <w:szCs w:val="20"/>
          <w:color w:val="auto"/>
        </w:rPr>
      </w:pPr>
      <w:r>
        <w:rPr>
          <w:rFonts w:ascii="Arial" w:cs="Arial" w:eastAsia="Arial" w:hAnsi="Arial"/>
          <w:sz w:val="14"/>
          <w:szCs w:val="14"/>
          <w:color w:val="auto"/>
        </w:rPr>
        <w:t>Please note that, even if you plan to attend the Meeting, we recommend that you vote using the enclosed proxy card prior to the Meeting to ensure that your shares will be represented.</w:t>
      </w:r>
    </w:p>
    <w:p>
      <w:pPr>
        <w:spacing w:after="0" w:line="86" w:lineRule="exact"/>
        <w:rPr>
          <w:sz w:val="20"/>
          <w:szCs w:val="20"/>
          <w:color w:val="auto"/>
        </w:rPr>
      </w:pPr>
    </w:p>
    <w:p>
      <w:pPr>
        <w:jc w:val="both"/>
        <w:ind w:left="200"/>
        <w:spacing w:after="0" w:line="258" w:lineRule="auto"/>
        <w:rPr>
          <w:sz w:val="20"/>
          <w:szCs w:val="20"/>
          <w:color w:val="auto"/>
        </w:rPr>
      </w:pPr>
      <w:r>
        <w:rPr>
          <w:rFonts w:ascii="Arial" w:cs="Arial" w:eastAsia="Arial" w:hAnsi="Arial"/>
          <w:sz w:val="14"/>
          <w:szCs w:val="14"/>
          <w:color w:val="auto"/>
        </w:rPr>
        <w:t>Regardless of the number of shares of Common Stock of the Company that you own, your vote is important. Thank you for your continued support, interest and investment in Avis Budget Group.</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74930</wp:posOffset>
            </wp:positionV>
            <wp:extent cx="1389380" cy="462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8938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Jean M. Sera</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Senior Vice President &amp; Corporate Secretary</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Dated: April 16, 2018</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IMPORTANT</w:t>
      </w:r>
    </w:p>
    <w:p>
      <w:pPr>
        <w:spacing w:after="0" w:line="127" w:lineRule="exact"/>
        <w:rPr>
          <w:sz w:val="20"/>
          <w:szCs w:val="20"/>
          <w:color w:val="auto"/>
        </w:rPr>
      </w:pPr>
    </w:p>
    <w:p>
      <w:pPr>
        <w:jc w:val="both"/>
        <w:ind w:left="200"/>
        <w:spacing w:after="0" w:line="248" w:lineRule="auto"/>
        <w:rPr>
          <w:sz w:val="20"/>
          <w:szCs w:val="20"/>
          <w:color w:val="auto"/>
        </w:rPr>
      </w:pPr>
      <w:r>
        <w:rPr>
          <w:rFonts w:ascii="Arial" w:cs="Arial" w:eastAsia="Arial" w:hAnsi="Arial"/>
          <w:sz w:val="14"/>
          <w:szCs w:val="14"/>
          <w:color w:val="auto"/>
        </w:rPr>
        <w:t>TO ASSURE THAT YOUR SHARES ARE REPRESENTED AT THE MEETING, WE URGE YOU TO COMPLETE, DATE AND SIGN THE ENCLOSED PROXY CARD AND MAIL IT PROMPTLY IN THE POSTAGE-PAID ENVELOPE PROVIDED, OR VOTE BY TELEPHONE OR THE INTERNET AS INSTRUCTED ON THE PROXY CARD, WHETHER OR NOT YOU PLAN TO ATTEND THE MEETING. YOU CAN REVOKE YOUR PROXY AT ANY TIME BEFORE THE PROXIES YOU APPOINTED CAST YOUR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168910</wp:posOffset>
            </wp:positionV>
            <wp:extent cx="5325745" cy="643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25745" cy="643255"/>
                    </a:xfrm>
                    <a:prstGeom prst="rect">
                      <a:avLst/>
                    </a:prstGeom>
                    <a:noFill/>
                  </pic:spPr>
                </pic:pic>
              </a:graphicData>
            </a:graphic>
          </wp:anchor>
        </w:drawing>
      </w: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Important Notice Regarding the Availability of Proxy Materials</w:t>
      </w:r>
    </w:p>
    <w:p>
      <w:pPr>
        <w:spacing w:after="0" w:line="19"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for the Shareholder Meeting to Be Held on May 23, 2018:</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The Company’s Proxy Statement on Schedule 14A,</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form of proxy card and 2017 Annual Report on Form 10-K</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are available at</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u w:val="single" w:color="auto"/>
          <w:color w:val="auto"/>
        </w:rPr>
        <w:t>www.eproxyaccess.com/car2018</w:t>
      </w:r>
    </w:p>
    <w:p>
      <w:pPr>
        <w:spacing w:after="0" w:line="136" w:lineRule="exact"/>
        <w:rPr>
          <w:sz w:val="20"/>
          <w:szCs w:val="20"/>
          <w:color w:val="auto"/>
        </w:rPr>
      </w:pPr>
    </w:p>
    <w:p>
      <w:pPr>
        <w:jc w:val="both"/>
        <w:ind w:left="200"/>
        <w:spacing w:after="0" w:line="258" w:lineRule="auto"/>
        <w:rPr>
          <w:sz w:val="20"/>
          <w:szCs w:val="20"/>
          <w:color w:val="auto"/>
        </w:rPr>
      </w:pPr>
      <w:r>
        <w:rPr>
          <w:rFonts w:ascii="Arial" w:cs="Arial" w:eastAsia="Arial" w:hAnsi="Arial"/>
          <w:sz w:val="14"/>
          <w:szCs w:val="14"/>
          <w:color w:val="auto"/>
        </w:rPr>
        <w:t>The Notice of 2018 Annual Meeting of Shareholders and the attached Proxy Statement are first being made available to shareholders of record as of March 26, 2018 on or about April 16, 2018.</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tbl>
      <w:tblPr>
        <w:tblLayout w:type="fixed"/>
        <w:tblInd w:w="200" w:type="dxa"/>
        <w:tblCellMar>
          <w:top w:w="0" w:type="dxa"/>
          <w:left w:w="0" w:type="dxa"/>
          <w:bottom w:w="0" w:type="dxa"/>
          <w:right w:w="0" w:type="dxa"/>
        </w:tblCellMar>
      </w:tblPr>
      <w:tr>
        <w:trPr>
          <w:trHeight w:val="476"/>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60" w:type="dxa"/>
            <w:vAlign w:val="bottom"/>
            <w:gridSpan w:val="7"/>
          </w:tcPr>
          <w:p>
            <w:pPr>
              <w:ind w:left="140"/>
              <w:spacing w:after="0"/>
              <w:rPr>
                <w:sz w:val="20"/>
                <w:szCs w:val="20"/>
                <w:color w:val="auto"/>
              </w:rPr>
            </w:pPr>
            <w:r>
              <w:rPr>
                <w:rFonts w:ascii="Arial" w:cs="Arial" w:eastAsia="Arial" w:hAnsi="Arial"/>
                <w:sz w:val="40"/>
                <w:szCs w:val="40"/>
                <w:color w:val="auto"/>
              </w:rPr>
              <w:t>Proxy Statement</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280" w:type="dxa"/>
            <w:vAlign w:val="bottom"/>
          </w:tcPr>
          <w:p>
            <w:pPr>
              <w:spacing w:after="0"/>
              <w:rPr>
                <w:sz w:val="24"/>
                <w:szCs w:val="24"/>
                <w:color w:val="auto"/>
              </w:rPr>
            </w:pPr>
          </w:p>
        </w:tc>
        <w:tc>
          <w:tcPr>
            <w:tcW w:w="8600" w:type="dxa"/>
            <w:vAlign w:val="bottom"/>
            <w:gridSpan w:val="37"/>
          </w:tcPr>
          <w:p>
            <w:pPr>
              <w:ind w:left="120"/>
              <w:spacing w:after="0"/>
              <w:rPr>
                <w:sz w:val="20"/>
                <w:szCs w:val="20"/>
                <w:color w:val="auto"/>
              </w:rPr>
            </w:pPr>
            <w:r>
              <w:rPr>
                <w:rFonts w:ascii="Arial" w:cs="Arial" w:eastAsia="Arial" w:hAnsi="Arial"/>
                <w:sz w:val="36"/>
                <w:szCs w:val="36"/>
                <w:color w:val="auto"/>
              </w:rPr>
              <w:t>Table of Contents</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80" w:type="dxa"/>
            <w:vAlign w:val="bottom"/>
            <w:gridSpan w:val="38"/>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2018 Proxy Statement Summary</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2760" w:type="dxa"/>
            <w:vAlign w:val="bottom"/>
            <w:tcBorders>
              <w:top w:val="single" w:sz="8" w:color="0000EE"/>
            </w:tcBorders>
            <w:gridSpan w:val="20"/>
          </w:tcPr>
          <w:p>
            <w:pPr>
              <w:spacing w:after="0" w:line="182"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About the Annual Meeting</w:t>
              </w:r>
            </w:hyperlink>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240" w:type="dxa"/>
            <w:vAlign w:val="bottom"/>
            <w:tcBorders>
              <w:top w:val="single" w:sz="8" w:color="0000EE"/>
            </w:tcBorders>
            <w:gridSpan w:val="11"/>
          </w:tcPr>
          <w:p>
            <w:pPr>
              <w:spacing w:after="0" w:line="182" w:lineRule="exact"/>
              <w:rPr>
                <w:rFonts w:ascii="Arial" w:cs="Arial" w:eastAsia="Arial" w:hAnsi="Arial"/>
                <w:sz w:val="18"/>
                <w:szCs w:val="18"/>
                <w:b w:val="1"/>
                <w:bCs w:val="1"/>
                <w:color w:val="0000EE"/>
                <w:w w:val="99"/>
              </w:rPr>
            </w:pPr>
            <w:hyperlink w:anchor="page15">
              <w:r>
                <w:rPr>
                  <w:rFonts w:ascii="Arial" w:cs="Arial" w:eastAsia="Arial" w:hAnsi="Arial"/>
                  <w:sz w:val="18"/>
                  <w:szCs w:val="18"/>
                  <w:b w:val="1"/>
                  <w:bCs w:val="1"/>
                  <w:color w:val="0000EE"/>
                  <w:w w:val="99"/>
                </w:rPr>
                <w:t>Proposals to Be Voted On</w:t>
              </w:r>
            </w:hyperlink>
          </w:p>
        </w:tc>
        <w:tc>
          <w:tcPr>
            <w:tcW w:w="6640" w:type="dxa"/>
            <w:vAlign w:val="bottom"/>
            <w:gridSpan w:val="27"/>
          </w:tcPr>
          <w:p>
            <w:pPr>
              <w:ind w:left="20"/>
              <w:spacing w:after="0" w:line="182"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at Meeting</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80" w:type="dxa"/>
            <w:vAlign w:val="bottom"/>
            <w:gridSpan w:val="38"/>
          </w:tcPr>
          <w:p>
            <w:pPr>
              <w:spacing w:after="0" w:line="170"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Proposal No. 1 Election Of Directors</w:t>
              </w:r>
            </w:hyperlink>
          </w:p>
        </w:tc>
        <w:tc>
          <w:tcPr>
            <w:tcW w:w="2100" w:type="dxa"/>
            <w:vAlign w:val="bottom"/>
          </w:tcPr>
          <w:p>
            <w:pPr>
              <w:jc w:val="right"/>
              <w:spacing w:after="0" w:line="170"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306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15">
              <w:r>
                <w:rPr>
                  <w:rFonts w:ascii="Arial" w:cs="Arial" w:eastAsia="Arial" w:hAnsi="Arial"/>
                  <w:sz w:val="18"/>
                  <w:szCs w:val="18"/>
                  <w:color w:val="0000EE"/>
                  <w:w w:val="99"/>
                </w:rPr>
                <w:t>Biographical Information for Nominees</w:t>
              </w:r>
            </w:hyperlink>
          </w:p>
        </w:tc>
        <w:tc>
          <w:tcPr>
            <w:tcW w:w="5540" w:type="dxa"/>
            <w:vAlign w:val="bottom"/>
            <w:gridSpan w:val="12"/>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8600" w:type="dxa"/>
            <w:vAlign w:val="bottom"/>
            <w:gridSpan w:val="37"/>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Director Nomination Process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80" w:type="dxa"/>
            <w:vAlign w:val="bottom"/>
            <w:gridSpan w:val="3"/>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80" w:type="dxa"/>
            <w:vAlign w:val="bottom"/>
            <w:vMerge w:val="restart"/>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80" w:type="dxa"/>
            <w:vAlign w:val="bottom"/>
            <w:tcBorders>
              <w:bottom w:val="single" w:sz="8" w:color="0000EE"/>
            </w:tcBorders>
            <w:gridSpan w:val="8"/>
          </w:tcPr>
          <w:p>
            <w:pPr>
              <w:spacing w:after="0" w:line="182"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Corporate Governance</w:t>
              </w:r>
            </w:hyperlink>
          </w:p>
        </w:tc>
        <w:tc>
          <w:tcPr>
            <w:tcW w:w="580" w:type="dxa"/>
            <w:vAlign w:val="bottom"/>
            <w:gridSpan w:val="7"/>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3680" w:type="dxa"/>
            <w:vAlign w:val="bottom"/>
            <w:vMerge w:val="continue"/>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8600" w:type="dxa"/>
            <w:vAlign w:val="bottom"/>
            <w:gridSpan w:val="37"/>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Functions and Meetings of the Board of Directors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84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Director Independence</w:t>
              </w:r>
            </w:hyperlink>
          </w:p>
        </w:tc>
        <w:tc>
          <w:tcPr>
            <w:tcW w:w="1840" w:type="dxa"/>
            <w:vAlign w:val="bottom"/>
            <w:tcBorders>
              <w:top w:val="single" w:sz="8" w:color="0000EE"/>
            </w:tcBorders>
            <w:gridSpan w:val="19"/>
          </w:tcPr>
          <w:p>
            <w:pPr>
              <w:spacing w:after="0"/>
              <w:rPr>
                <w:sz w:val="15"/>
                <w:szCs w:val="15"/>
                <w:color w:val="auto"/>
              </w:rPr>
            </w:pPr>
          </w:p>
        </w:tc>
        <w:tc>
          <w:tcPr>
            <w:tcW w:w="4700" w:type="dxa"/>
            <w:vAlign w:val="bottom"/>
            <w:gridSpan w:val="6"/>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380" w:type="dxa"/>
            <w:vAlign w:val="bottom"/>
            <w:gridSpan w:val="36"/>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Board Leadership Structure</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40" w:type="dxa"/>
            <w:vAlign w:val="bottom"/>
            <w:tcBorders>
              <w:bottom w:val="single" w:sz="8" w:color="0000EE"/>
            </w:tcBorders>
            <w:gridSpan w:val="27"/>
          </w:tcPr>
          <w:p>
            <w:pPr>
              <w:spacing w:after="0" w:line="182"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Risk Management and Risk Assessment</w:t>
              </w:r>
            </w:hyperlink>
          </w:p>
        </w:tc>
        <w:tc>
          <w:tcPr>
            <w:tcW w:w="5140" w:type="dxa"/>
            <w:vAlign w:val="bottom"/>
            <w:gridSpan w:val="9"/>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380" w:type="dxa"/>
            <w:vAlign w:val="bottom"/>
            <w:gridSpan w:val="36"/>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Communicating with the Board of Directors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Codes of Conduct</w:t>
              </w:r>
            </w:hyperlink>
          </w:p>
        </w:tc>
        <w:tc>
          <w:tcPr>
            <w:tcW w:w="1960" w:type="dxa"/>
            <w:vAlign w:val="bottom"/>
            <w:tcBorders>
              <w:top w:val="single" w:sz="8" w:color="0000EE"/>
            </w:tcBorders>
            <w:gridSpan w:val="24"/>
          </w:tcPr>
          <w:p>
            <w:pPr>
              <w:spacing w:after="0"/>
              <w:rPr>
                <w:sz w:val="15"/>
                <w:szCs w:val="15"/>
                <w:color w:val="auto"/>
              </w:rPr>
            </w:pPr>
          </w:p>
        </w:tc>
        <w:tc>
          <w:tcPr>
            <w:tcW w:w="4960" w:type="dxa"/>
            <w:vAlign w:val="bottom"/>
            <w:gridSpan w:val="7"/>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8600" w:type="dxa"/>
            <w:vAlign w:val="bottom"/>
            <w:gridSpan w:val="37"/>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Board of Directors Meetings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296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Committees of the Board of Directors</w:t>
              </w:r>
            </w:hyperlink>
          </w:p>
        </w:tc>
        <w:tc>
          <w:tcPr>
            <w:tcW w:w="5640" w:type="dxa"/>
            <w:vAlign w:val="bottom"/>
            <w:gridSpan w:val="14"/>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Audit Committee</w:t>
              </w:r>
            </w:hyperlink>
          </w:p>
        </w:tc>
        <w:tc>
          <w:tcPr>
            <w:tcW w:w="7040" w:type="dxa"/>
            <w:vAlign w:val="bottom"/>
            <w:gridSpan w:val="33"/>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Compensation Committee</w:t>
              </w:r>
            </w:hyperlink>
          </w:p>
        </w:tc>
        <w:tc>
          <w:tcPr>
            <w:tcW w:w="6280" w:type="dxa"/>
            <w:vAlign w:val="bottom"/>
            <w:gridSpan w:val="21"/>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Corporate Governance Committee</w:t>
              </w:r>
            </w:hyperlink>
          </w:p>
        </w:tc>
        <w:tc>
          <w:tcPr>
            <w:tcW w:w="5620" w:type="dxa"/>
            <w:vAlign w:val="bottom"/>
            <w:gridSpan w:val="13"/>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380" w:type="dxa"/>
            <w:vAlign w:val="bottom"/>
            <w:gridSpan w:val="36"/>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Executive Committee</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8600" w:type="dxa"/>
            <w:vAlign w:val="bottom"/>
            <w:gridSpan w:val="37"/>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Succession Planning</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8600" w:type="dxa"/>
            <w:vAlign w:val="bottom"/>
            <w:gridSpan w:val="37"/>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Related Person Transactions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30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Shareholder Engagement</w:t>
              </w:r>
            </w:hyperlink>
          </w:p>
        </w:tc>
        <w:tc>
          <w:tcPr>
            <w:tcW w:w="6300" w:type="dxa"/>
            <w:vAlign w:val="bottom"/>
            <w:gridSpan w:val="22"/>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80" w:type="dxa"/>
            <w:vAlign w:val="bottom"/>
            <w:gridSpan w:val="38"/>
          </w:tcPr>
          <w:p>
            <w:pPr>
              <w:spacing w:after="0" w:line="182"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Security Ownership of Certain Beneficial Owners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4200" w:type="dxa"/>
            <w:vAlign w:val="bottom"/>
            <w:tcBorders>
              <w:top w:val="single" w:sz="8" w:color="0000EE"/>
            </w:tcBorders>
            <w:gridSpan w:val="33"/>
          </w:tcPr>
          <w:p>
            <w:pPr>
              <w:spacing w:after="0" w:line="182"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Section 16(a) Beneficial Ownership Reporting</w:t>
              </w:r>
            </w:hyperlink>
          </w:p>
        </w:tc>
        <w:tc>
          <w:tcPr>
            <w:tcW w:w="4680" w:type="dxa"/>
            <w:vAlign w:val="bottom"/>
            <w:gridSpan w:val="5"/>
          </w:tcPr>
          <w:p>
            <w:pPr>
              <w:spacing w:after="0" w:line="182"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Compliance</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15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b w:val="1"/>
                <w:bCs w:val="1"/>
                <w:color w:val="0000EE"/>
                <w:w w:val="99"/>
              </w:rPr>
            </w:pPr>
            <w:hyperlink w:anchor="page33">
              <w:r>
                <w:rPr>
                  <w:rFonts w:ascii="Arial" w:cs="Arial" w:eastAsia="Arial" w:hAnsi="Arial"/>
                  <w:sz w:val="18"/>
                  <w:szCs w:val="18"/>
                  <w:b w:val="1"/>
                  <w:bCs w:val="1"/>
                  <w:color w:val="0000EE"/>
                  <w:w w:val="99"/>
                </w:rPr>
                <w:t>Executive Officers</w:t>
              </w:r>
            </w:hyperlink>
          </w:p>
        </w:tc>
        <w:tc>
          <w:tcPr>
            <w:tcW w:w="3400" w:type="dxa"/>
            <w:vAlign w:val="bottom"/>
            <w:tcBorders>
              <w:top w:val="single" w:sz="8" w:color="0000EE"/>
            </w:tcBorders>
            <w:gridSpan w:val="33"/>
          </w:tcPr>
          <w:p>
            <w:pPr>
              <w:spacing w:after="0"/>
              <w:rPr>
                <w:sz w:val="15"/>
                <w:szCs w:val="15"/>
                <w:color w:val="auto"/>
              </w:rPr>
            </w:pPr>
          </w:p>
        </w:tc>
        <w:tc>
          <w:tcPr>
            <w:tcW w:w="2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8880" w:type="dxa"/>
            <w:vAlign w:val="bottom"/>
            <w:gridSpan w:val="38"/>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Executive Compensation</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600" w:type="dxa"/>
            <w:vAlign w:val="bottom"/>
            <w:tcBorders>
              <w:left w:val="single" w:sz="8" w:color="0000EE"/>
            </w:tcBorders>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8600" w:type="dxa"/>
            <w:vAlign w:val="bottom"/>
            <w:gridSpan w:val="37"/>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Compensation Discussion and Analysis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46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8"/>
              </w:rPr>
            </w:pPr>
            <w:hyperlink w:anchor="page49">
              <w:r>
                <w:rPr>
                  <w:rFonts w:ascii="Arial" w:cs="Arial" w:eastAsia="Arial" w:hAnsi="Arial"/>
                  <w:sz w:val="18"/>
                  <w:szCs w:val="18"/>
                  <w:color w:val="0000EE"/>
                  <w:w w:val="98"/>
                </w:rPr>
                <w:t>Summary Compensation Table</w:t>
              </w:r>
            </w:hyperlink>
          </w:p>
        </w:tc>
        <w:tc>
          <w:tcPr>
            <w:tcW w:w="680" w:type="dxa"/>
            <w:vAlign w:val="bottom"/>
            <w:tcBorders>
              <w:top w:val="single" w:sz="8" w:color="0000EE"/>
            </w:tcBorders>
            <w:gridSpan w:val="8"/>
          </w:tcPr>
          <w:p>
            <w:pPr>
              <w:spacing w:after="0"/>
              <w:rPr>
                <w:sz w:val="15"/>
                <w:szCs w:val="15"/>
                <w:color w:val="auto"/>
              </w:rPr>
            </w:pPr>
          </w:p>
        </w:tc>
        <w:tc>
          <w:tcPr>
            <w:tcW w:w="5460" w:type="dxa"/>
            <w:vAlign w:val="bottom"/>
            <w:gridSpan w:val="11"/>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8600" w:type="dxa"/>
            <w:vAlign w:val="bottom"/>
            <w:gridSpan w:val="37"/>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All Other Compensation Table</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42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Perquisites Table</w:t>
              </w:r>
            </w:hyperlink>
          </w:p>
        </w:tc>
        <w:tc>
          <w:tcPr>
            <w:tcW w:w="6180" w:type="dxa"/>
            <w:vAlign w:val="bottom"/>
            <w:gridSpan w:val="20"/>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20" w:type="dxa"/>
            <w:vAlign w:val="bottom"/>
            <w:gridSpan w:val="13"/>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8600" w:type="dxa"/>
            <w:vAlign w:val="bottom"/>
            <w:gridSpan w:val="37"/>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Grants of Plan-Based Awards Table</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20" w:type="dxa"/>
            <w:vAlign w:val="bottom"/>
            <w:gridSpan w:val="8"/>
            <w:shd w:val="clear" w:color="auto" w:fill="0000EE"/>
          </w:tcPr>
          <w:p>
            <w:pPr>
              <w:spacing w:after="0" w:line="20" w:lineRule="exact"/>
              <w:rPr>
                <w:sz w:val="1"/>
                <w:szCs w:val="1"/>
                <w:color w:val="auto"/>
              </w:rPr>
            </w:pPr>
          </w:p>
        </w:tc>
        <w:tc>
          <w:tcPr>
            <w:tcW w:w="1020" w:type="dxa"/>
            <w:vAlign w:val="bottom"/>
            <w:tcBorders>
              <w:left w:val="single" w:sz="8" w:color="0000EE"/>
            </w:tcBorders>
            <w:gridSpan w:val="13"/>
            <w:shd w:val="clear" w:color="auto" w:fill="0000EE"/>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4160" w:type="dxa"/>
            <w:vAlign w:val="bottom"/>
            <w:tcBorders>
              <w:bottom w:val="single" w:sz="8" w:color="0000EE"/>
            </w:tcBorders>
            <w:gridSpan w:val="34"/>
          </w:tcPr>
          <w:p>
            <w:pPr>
              <w:spacing w:after="0" w:line="182" w:lineRule="exact"/>
              <w:rPr>
                <w:rFonts w:ascii="Arial" w:cs="Arial" w:eastAsia="Arial" w:hAnsi="Arial"/>
                <w:sz w:val="18"/>
                <w:szCs w:val="18"/>
                <w:color w:val="0000EE"/>
                <w:w w:val="98"/>
              </w:rPr>
            </w:pPr>
            <w:hyperlink w:anchor="page53">
              <w:r>
                <w:rPr>
                  <w:rFonts w:ascii="Arial" w:cs="Arial" w:eastAsia="Arial" w:hAnsi="Arial"/>
                  <w:sz w:val="18"/>
                  <w:szCs w:val="18"/>
                  <w:color w:val="0000EE"/>
                  <w:w w:val="98"/>
                </w:rPr>
                <w:t>Outstanding Equity Awards at Fiscal Year-End Table</w:t>
              </w:r>
            </w:hyperlink>
          </w:p>
        </w:tc>
        <w:tc>
          <w:tcPr>
            <w:tcW w:w="4440" w:type="dxa"/>
            <w:vAlign w:val="bottom"/>
            <w:gridSpan w:val="3"/>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8600" w:type="dxa"/>
            <w:vAlign w:val="bottom"/>
            <w:gridSpan w:val="37"/>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Option Exercises and Stock Vested Table</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328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Pension Benefits Table</w:t>
              </w:r>
            </w:hyperlink>
          </w:p>
        </w:tc>
        <w:tc>
          <w:tcPr>
            <w:tcW w:w="5320" w:type="dxa"/>
            <w:vAlign w:val="bottom"/>
            <w:gridSpan w:val="10"/>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20" w:type="dxa"/>
            <w:vAlign w:val="bottom"/>
            <w:gridSpan w:val="8"/>
            <w:shd w:val="clear" w:color="auto" w:fill="0000EE"/>
          </w:tcPr>
          <w:p>
            <w:pPr>
              <w:spacing w:after="0" w:line="20" w:lineRule="exact"/>
              <w:rPr>
                <w:sz w:val="1"/>
                <w:szCs w:val="1"/>
                <w:color w:val="auto"/>
              </w:rPr>
            </w:pPr>
          </w:p>
        </w:tc>
        <w:tc>
          <w:tcPr>
            <w:tcW w:w="1680" w:type="dxa"/>
            <w:vAlign w:val="bottom"/>
            <w:gridSpan w:val="21"/>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3500" w:type="dxa"/>
            <w:vAlign w:val="bottom"/>
            <w:tcBorders>
              <w:bottom w:val="single" w:sz="8" w:color="0000EE"/>
            </w:tcBorders>
            <w:gridSpan w:val="29"/>
          </w:tcPr>
          <w:p>
            <w:pPr>
              <w:spacing w:after="0" w:line="182" w:lineRule="exact"/>
              <w:rPr>
                <w:rFonts w:ascii="Arial" w:cs="Arial" w:eastAsia="Arial" w:hAnsi="Arial"/>
                <w:sz w:val="18"/>
                <w:szCs w:val="18"/>
                <w:color w:val="0000EE"/>
                <w:w w:val="98"/>
              </w:rPr>
            </w:pPr>
            <w:hyperlink w:anchor="page55">
              <w:r>
                <w:rPr>
                  <w:rFonts w:ascii="Arial" w:cs="Arial" w:eastAsia="Arial" w:hAnsi="Arial"/>
                  <w:sz w:val="18"/>
                  <w:szCs w:val="18"/>
                  <w:color w:val="0000EE"/>
                  <w:w w:val="98"/>
                </w:rPr>
                <w:t>Non-qualified Deferred Compensation Table</w:t>
              </w:r>
            </w:hyperlink>
          </w:p>
        </w:tc>
        <w:tc>
          <w:tcPr>
            <w:tcW w:w="5100" w:type="dxa"/>
            <w:vAlign w:val="bottom"/>
            <w:gridSpan w:val="8"/>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8600" w:type="dxa"/>
            <w:vAlign w:val="bottom"/>
            <w:gridSpan w:val="37"/>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Employment Agreements and Other Arrangements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40" w:type="dxa"/>
            <w:vAlign w:val="bottom"/>
            <w:gridSpan w:val="33"/>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8600" w:type="dxa"/>
            <w:vAlign w:val="bottom"/>
            <w:gridSpan w:val="37"/>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Termination, Severance and Change of Control Arrangements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493"/>
        </w:trPr>
        <w:tc>
          <w:tcPr>
            <w:tcW w:w="200" w:type="dxa"/>
            <w:vAlign w:val="bottom"/>
          </w:tcPr>
          <w:p>
            <w:pPr>
              <w:spacing w:after="0"/>
              <w:rPr>
                <w:sz w:val="24"/>
                <w:szCs w:val="24"/>
                <w:color w:val="auto"/>
              </w:rPr>
            </w:pPr>
          </w:p>
        </w:tc>
        <w:tc>
          <w:tcPr>
            <w:tcW w:w="8060" w:type="dxa"/>
            <w:vAlign w:val="bottom"/>
            <w:gridSpan w:val="9"/>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2017 Director Compensation</w:t>
              </w:r>
            </w:hyperlink>
          </w:p>
        </w:tc>
        <w:tc>
          <w:tcPr>
            <w:tcW w:w="2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183"/>
        </w:trPr>
        <w:tc>
          <w:tcPr>
            <w:tcW w:w="200" w:type="dxa"/>
            <w:vAlign w:val="bottom"/>
          </w:tcPr>
          <w:p>
            <w:pPr>
              <w:spacing w:after="0"/>
              <w:rPr>
                <w:sz w:val="15"/>
                <w:szCs w:val="15"/>
                <w:color w:val="auto"/>
              </w:rPr>
            </w:pPr>
          </w:p>
        </w:tc>
        <w:tc>
          <w:tcPr>
            <w:tcW w:w="2440" w:type="dxa"/>
            <w:vAlign w:val="bottom"/>
            <w:tcBorders>
              <w:top w:val="single" w:sz="8" w:color="0000EE"/>
            </w:tcBorders>
            <w:gridSpan w:val="5"/>
          </w:tcPr>
          <w:p>
            <w:pPr>
              <w:spacing w:after="0" w:line="182"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Report of Audit Committee</w:t>
              </w:r>
            </w:hyperlink>
          </w:p>
        </w:tc>
        <w:tc>
          <w:tcPr>
            <w:tcW w:w="1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92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183"/>
        </w:trPr>
        <w:tc>
          <w:tcPr>
            <w:tcW w:w="200" w:type="dxa"/>
            <w:vAlign w:val="bottom"/>
          </w:tcPr>
          <w:p>
            <w:pPr>
              <w:spacing w:after="0"/>
              <w:rPr>
                <w:sz w:val="15"/>
                <w:szCs w:val="15"/>
                <w:color w:val="auto"/>
              </w:rPr>
            </w:pPr>
          </w:p>
        </w:tc>
        <w:tc>
          <w:tcPr>
            <w:tcW w:w="1280" w:type="dxa"/>
            <w:vAlign w:val="bottom"/>
            <w:tcBorders>
              <w:top w:val="single" w:sz="8" w:color="0000EE"/>
            </w:tcBorders>
            <w:gridSpan w:val="2"/>
          </w:tcPr>
          <w:p>
            <w:pPr>
              <w:spacing w:after="0" w:line="182" w:lineRule="exact"/>
              <w:rPr>
                <w:rFonts w:ascii="Arial" w:cs="Arial" w:eastAsia="Arial" w:hAnsi="Arial"/>
                <w:sz w:val="18"/>
                <w:szCs w:val="18"/>
                <w:b w:val="1"/>
                <w:bCs w:val="1"/>
                <w:color w:val="0000EE"/>
                <w:w w:val="99"/>
              </w:rPr>
            </w:pPr>
            <w:hyperlink w:anchor="page63">
              <w:r>
                <w:rPr>
                  <w:rFonts w:ascii="Arial" w:cs="Arial" w:eastAsia="Arial" w:hAnsi="Arial"/>
                  <w:sz w:val="18"/>
                  <w:szCs w:val="18"/>
                  <w:b w:val="1"/>
                  <w:bCs w:val="1"/>
                  <w:color w:val="0000EE"/>
                  <w:w w:val="99"/>
                </w:rPr>
                <w:t>Proposal No. 2</w:t>
              </w:r>
            </w:hyperlink>
          </w:p>
        </w:tc>
        <w:tc>
          <w:tcPr>
            <w:tcW w:w="1020" w:type="dxa"/>
            <w:vAlign w:val="bottom"/>
            <w:tcBorders>
              <w:top w:val="single" w:sz="8" w:color="0000EE"/>
            </w:tcBorders>
            <w:gridSpan w:val="2"/>
          </w:tcPr>
          <w:p>
            <w:pPr>
              <w:ind w:left="40"/>
              <w:spacing w:after="0" w:line="182" w:lineRule="exact"/>
              <w:rPr>
                <w:rFonts w:ascii="Arial" w:cs="Arial" w:eastAsia="Arial" w:hAnsi="Arial"/>
                <w:sz w:val="18"/>
                <w:szCs w:val="18"/>
                <w:b w:val="1"/>
                <w:bCs w:val="1"/>
                <w:color w:val="0000EE"/>
                <w:w w:val="97"/>
              </w:rPr>
            </w:pPr>
            <w:hyperlink w:anchor="page63">
              <w:r>
                <w:rPr>
                  <w:rFonts w:ascii="Arial" w:cs="Arial" w:eastAsia="Arial" w:hAnsi="Arial"/>
                  <w:sz w:val="18"/>
                  <w:szCs w:val="18"/>
                  <w:b w:val="1"/>
                  <w:bCs w:val="1"/>
                  <w:color w:val="0000EE"/>
                  <w:w w:val="97"/>
                </w:rPr>
                <w:t>Ratification</w:t>
              </w:r>
            </w:hyperlink>
          </w:p>
        </w:tc>
        <w:tc>
          <w:tcPr>
            <w:tcW w:w="5760" w:type="dxa"/>
            <w:vAlign w:val="bottom"/>
            <w:gridSpan w:val="5"/>
          </w:tcPr>
          <w:p>
            <w:pPr>
              <w:ind w:left="40"/>
              <w:spacing w:after="0" w:line="182"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Of Appointment Of Auditors</w:t>
              </w:r>
            </w:hyperlink>
          </w:p>
        </w:tc>
        <w:tc>
          <w:tcPr>
            <w:tcW w:w="292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20"/>
        </w:trPr>
        <w:tc>
          <w:tcPr>
            <w:tcW w:w="2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280" w:type="dxa"/>
            <w:vAlign w:val="bottom"/>
            <w:gridSpan w:val="2"/>
          </w:tcPr>
          <w:p>
            <w:pPr>
              <w:spacing w:after="0" w:line="182" w:lineRule="exact"/>
              <w:rPr>
                <w:rFonts w:ascii="Arial" w:cs="Arial" w:eastAsia="Arial" w:hAnsi="Arial"/>
                <w:sz w:val="18"/>
                <w:szCs w:val="18"/>
                <w:b w:val="1"/>
                <w:bCs w:val="1"/>
                <w:color w:val="0000EE"/>
                <w:w w:val="99"/>
              </w:rPr>
            </w:pPr>
            <w:hyperlink w:anchor="page65">
              <w:r>
                <w:rPr>
                  <w:rFonts w:ascii="Arial" w:cs="Arial" w:eastAsia="Arial" w:hAnsi="Arial"/>
                  <w:sz w:val="18"/>
                  <w:szCs w:val="18"/>
                  <w:b w:val="1"/>
                  <w:bCs w:val="1"/>
                  <w:color w:val="0000EE"/>
                  <w:w w:val="99"/>
                </w:rPr>
                <w:t>Proposal No. 3</w:t>
              </w:r>
            </w:hyperlink>
          </w:p>
        </w:tc>
        <w:tc>
          <w:tcPr>
            <w:tcW w:w="6780" w:type="dxa"/>
            <w:vAlign w:val="bottom"/>
            <w:gridSpan w:val="7"/>
          </w:tcPr>
          <w:p>
            <w:pPr>
              <w:ind w:left="40"/>
              <w:spacing w:after="0" w:line="182"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Advisory Approval Of Executive Compensation</w:t>
              </w:r>
            </w:hyperlink>
          </w:p>
        </w:tc>
        <w:tc>
          <w:tcPr>
            <w:tcW w:w="292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r>
      <w:tr>
        <w:trPr>
          <w:trHeight w:val="183"/>
        </w:trPr>
        <w:tc>
          <w:tcPr>
            <w:tcW w:w="200" w:type="dxa"/>
            <w:vAlign w:val="bottom"/>
          </w:tcPr>
          <w:p>
            <w:pPr>
              <w:spacing w:after="0"/>
              <w:rPr>
                <w:sz w:val="15"/>
                <w:szCs w:val="15"/>
                <w:color w:val="auto"/>
              </w:rPr>
            </w:pPr>
          </w:p>
        </w:tc>
        <w:tc>
          <w:tcPr>
            <w:tcW w:w="5360" w:type="dxa"/>
            <w:vAlign w:val="bottom"/>
            <w:tcBorders>
              <w:top w:val="single" w:sz="8" w:color="0000EE"/>
            </w:tcBorders>
            <w:gridSpan w:val="8"/>
          </w:tcPr>
          <w:p>
            <w:pPr>
              <w:spacing w:after="0" w:line="182"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Shareholder Proposals for 2019 Annual Meeting</w:t>
              </w:r>
            </w:hyperlink>
          </w:p>
        </w:tc>
        <w:tc>
          <w:tcPr>
            <w:tcW w:w="2700" w:type="dxa"/>
            <w:vAlign w:val="bottom"/>
          </w:tcPr>
          <w:p>
            <w:pPr>
              <w:spacing w:after="0"/>
              <w:rPr>
                <w:sz w:val="15"/>
                <w:szCs w:val="15"/>
                <w:color w:val="auto"/>
              </w:rPr>
            </w:pPr>
          </w:p>
        </w:tc>
        <w:tc>
          <w:tcPr>
            <w:tcW w:w="292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r>
      <w:tr>
        <w:trPr>
          <w:trHeight w:val="183"/>
        </w:trPr>
        <w:tc>
          <w:tcPr>
            <w:tcW w:w="200" w:type="dxa"/>
            <w:vAlign w:val="bottom"/>
          </w:tcPr>
          <w:p>
            <w:pPr>
              <w:spacing w:after="0"/>
              <w:rPr>
                <w:sz w:val="15"/>
                <w:szCs w:val="15"/>
                <w:color w:val="auto"/>
              </w:rPr>
            </w:pPr>
          </w:p>
        </w:tc>
        <w:tc>
          <w:tcPr>
            <w:tcW w:w="4100" w:type="dxa"/>
            <w:vAlign w:val="bottom"/>
            <w:tcBorders>
              <w:top w:val="single" w:sz="8" w:color="0000EE"/>
            </w:tcBorders>
            <w:gridSpan w:val="6"/>
          </w:tcPr>
          <w:p>
            <w:pPr>
              <w:spacing w:after="0" w:line="182"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Additional Information</w:t>
              </w:r>
            </w:hyperlink>
          </w:p>
        </w:tc>
        <w:tc>
          <w:tcPr>
            <w:tcW w:w="3960" w:type="dxa"/>
            <w:vAlign w:val="bottom"/>
            <w:gridSpan w:val="3"/>
          </w:tcPr>
          <w:p>
            <w:pPr>
              <w:spacing w:after="0"/>
              <w:rPr>
                <w:sz w:val="15"/>
                <w:szCs w:val="15"/>
                <w:color w:val="auto"/>
              </w:rPr>
            </w:pPr>
          </w:p>
        </w:tc>
        <w:tc>
          <w:tcPr>
            <w:tcW w:w="292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r>
      <w:tr>
        <w:trPr>
          <w:trHeight w:val="20"/>
        </w:trPr>
        <w:tc>
          <w:tcPr>
            <w:tcW w:w="2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ectPr>
          <w:pgSz w:w="11900" w:h="16838" w:orient="portrait"/>
          <w:cols w:equalWidth="0" w:num="1">
            <w:col w:w="11180"/>
          </w:cols>
          <w:pgMar w:left="240" w:top="446"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200"/>
        <w:spacing w:after="0"/>
        <w:rPr>
          <w:sz w:val="20"/>
          <w:szCs w:val="20"/>
          <w:color w:val="auto"/>
        </w:rPr>
      </w:pPr>
      <w:r>
        <w:rPr>
          <w:rFonts w:ascii="Arial" w:cs="Arial" w:eastAsia="Arial" w:hAnsi="Arial"/>
          <w:sz w:val="32"/>
          <w:szCs w:val="32"/>
          <w:color w:val="auto"/>
        </w:rPr>
        <w:t>2018 Proxy Statement Summary</w:t>
      </w:r>
    </w:p>
    <w:p>
      <w:pPr>
        <w:spacing w:after="0" w:line="96"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including under “Executive Compensation,” which includes a definition and reconciliation of Adjusted EBITDA. This summary does not contain all of the information that you should consider and you should read the entire Proxy Statement carefully before voting.</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Meeting of Shareholders</w:t>
      </w:r>
    </w:p>
    <w:p>
      <w:pPr>
        <w:sectPr>
          <w:pgSz w:w="11900" w:h="16838" w:orient="portrait"/>
          <w:cols w:equalWidth="0" w:num="1">
            <w:col w:w="11240"/>
          </w:cols>
          <w:pgMar w:left="240" w:top="459" w:right="419" w:bottom="1440" w:gutter="0" w:footer="0" w:header="0"/>
        </w:sectPr>
      </w:pPr>
    </w:p>
    <w:p>
      <w:pPr>
        <w:spacing w:after="0" w:line="117" w:lineRule="exact"/>
        <w:rPr>
          <w:sz w:val="20"/>
          <w:szCs w:val="20"/>
          <w:color w:val="auto"/>
        </w:rPr>
      </w:pPr>
    </w:p>
    <w:p>
      <w:pPr>
        <w:ind w:left="460" w:hanging="256"/>
        <w:spacing w:after="0"/>
        <w:tabs>
          <w:tab w:leader="none" w:pos="460" w:val="left"/>
        </w:tabs>
        <w:numPr>
          <w:ilvl w:val="0"/>
          <w:numId w:val="7"/>
        </w:numPr>
        <w:rPr>
          <w:rFonts w:ascii="Arial" w:cs="Arial" w:eastAsia="Arial" w:hAnsi="Arial"/>
          <w:sz w:val="29"/>
          <w:szCs w:val="29"/>
          <w:color w:val="auto"/>
        </w:rPr>
      </w:pPr>
      <w:r>
        <w:rPr>
          <w:rFonts w:ascii="Arial" w:cs="Arial" w:eastAsia="Arial" w:hAnsi="Arial"/>
          <w:sz w:val="18"/>
          <w:szCs w:val="18"/>
          <w:color w:val="auto"/>
        </w:rPr>
        <w:t>Date and Time</w:t>
      </w:r>
    </w:p>
    <w:p>
      <w:pPr>
        <w:spacing w:after="0" w:line="31" w:lineRule="exact"/>
        <w:rPr>
          <w:rFonts w:ascii="Arial" w:cs="Arial" w:eastAsia="Arial" w:hAnsi="Arial"/>
          <w:sz w:val="29"/>
          <w:szCs w:val="29"/>
          <w:color w:val="auto"/>
        </w:rPr>
      </w:pPr>
    </w:p>
    <w:p>
      <w:pPr>
        <w:ind w:left="460" w:hanging="256"/>
        <w:spacing w:after="0" w:line="219" w:lineRule="auto"/>
        <w:tabs>
          <w:tab w:leader="none" w:pos="460" w:val="left"/>
        </w:tabs>
        <w:numPr>
          <w:ilvl w:val="0"/>
          <w:numId w:val="7"/>
        </w:numPr>
        <w:rPr>
          <w:rFonts w:ascii="Arial" w:cs="Arial" w:eastAsia="Arial" w:hAnsi="Arial"/>
          <w:sz w:val="29"/>
          <w:szCs w:val="29"/>
          <w:color w:val="auto"/>
        </w:rPr>
      </w:pPr>
      <w:r>
        <w:rPr>
          <w:rFonts w:ascii="Arial" w:cs="Arial" w:eastAsia="Arial" w:hAnsi="Arial"/>
          <w:sz w:val="18"/>
          <w:szCs w:val="18"/>
          <w:color w:val="auto"/>
        </w:rPr>
        <w:t>Place</w:t>
      </w:r>
    </w:p>
    <w:p>
      <w:pPr>
        <w:spacing w:after="0" w:line="200" w:lineRule="exact"/>
        <w:rPr>
          <w:rFonts w:ascii="Arial" w:cs="Arial" w:eastAsia="Arial" w:hAnsi="Arial"/>
          <w:sz w:val="29"/>
          <w:szCs w:val="29"/>
          <w:color w:val="auto"/>
        </w:rPr>
      </w:pPr>
    </w:p>
    <w:p>
      <w:pPr>
        <w:spacing w:after="0" w:line="210" w:lineRule="exact"/>
        <w:rPr>
          <w:rFonts w:ascii="Arial" w:cs="Arial" w:eastAsia="Arial" w:hAnsi="Arial"/>
          <w:sz w:val="29"/>
          <w:szCs w:val="29"/>
          <w:color w:val="auto"/>
        </w:rPr>
      </w:pPr>
    </w:p>
    <w:p>
      <w:pPr>
        <w:ind w:left="460" w:hanging="256"/>
        <w:spacing w:after="0"/>
        <w:tabs>
          <w:tab w:leader="none" w:pos="460" w:val="left"/>
        </w:tabs>
        <w:numPr>
          <w:ilvl w:val="0"/>
          <w:numId w:val="7"/>
        </w:numPr>
        <w:rPr>
          <w:rFonts w:ascii="Arial" w:cs="Arial" w:eastAsia="Arial" w:hAnsi="Arial"/>
          <w:sz w:val="29"/>
          <w:szCs w:val="29"/>
          <w:color w:val="auto"/>
        </w:rPr>
      </w:pPr>
      <w:r>
        <w:rPr>
          <w:rFonts w:ascii="Arial" w:cs="Arial" w:eastAsia="Arial" w:hAnsi="Arial"/>
          <w:sz w:val="18"/>
          <w:szCs w:val="18"/>
          <w:color w:val="auto"/>
        </w:rPr>
        <w:t>Record Date</w:t>
      </w:r>
    </w:p>
    <w:p>
      <w:pPr>
        <w:spacing w:after="0" w:line="31" w:lineRule="exact"/>
        <w:rPr>
          <w:rFonts w:ascii="Arial" w:cs="Arial" w:eastAsia="Arial" w:hAnsi="Arial"/>
          <w:sz w:val="29"/>
          <w:szCs w:val="29"/>
          <w:color w:val="auto"/>
        </w:rPr>
      </w:pPr>
    </w:p>
    <w:p>
      <w:pPr>
        <w:ind w:left="460" w:hanging="256"/>
        <w:spacing w:after="0" w:line="227" w:lineRule="auto"/>
        <w:tabs>
          <w:tab w:leader="none" w:pos="460" w:val="left"/>
        </w:tabs>
        <w:numPr>
          <w:ilvl w:val="0"/>
          <w:numId w:val="7"/>
        </w:numPr>
        <w:rPr>
          <w:rFonts w:ascii="Arial" w:cs="Arial" w:eastAsia="Arial" w:hAnsi="Arial"/>
          <w:sz w:val="28"/>
          <w:szCs w:val="28"/>
          <w:color w:val="auto"/>
        </w:rPr>
      </w:pPr>
      <w:r>
        <w:rPr>
          <w:rFonts w:ascii="Arial" w:cs="Arial" w:eastAsia="Arial" w:hAnsi="Arial"/>
          <w:sz w:val="17"/>
          <w:szCs w:val="17"/>
          <w:color w:val="auto"/>
        </w:rPr>
        <w:t>Proxy Materials</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May 23, 2018 at 9:00 a.m. Eastern Time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Kirkland &amp; Ellis LLP</w:t>
      </w:r>
    </w:p>
    <w:p>
      <w:pPr>
        <w:spacing w:after="0" w:line="234" w:lineRule="auto"/>
        <w:rPr>
          <w:sz w:val="20"/>
          <w:szCs w:val="20"/>
          <w:color w:val="auto"/>
        </w:rPr>
      </w:pPr>
      <w:r>
        <w:rPr>
          <w:rFonts w:ascii="Arial" w:cs="Arial" w:eastAsia="Arial" w:hAnsi="Arial"/>
          <w:sz w:val="18"/>
          <w:szCs w:val="18"/>
          <w:color w:val="auto"/>
        </w:rPr>
        <w:t>601 Lexington Avenue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March 26, 2018</w:t>
      </w:r>
    </w:p>
    <w:p>
      <w:pPr>
        <w:ind w:right="20"/>
        <w:spacing w:after="0" w:line="246" w:lineRule="auto"/>
        <w:rPr>
          <w:sz w:val="20"/>
          <w:szCs w:val="20"/>
          <w:color w:val="auto"/>
        </w:rPr>
      </w:pPr>
      <w:r>
        <w:rPr>
          <w:rFonts w:ascii="Arial" w:cs="Arial" w:eastAsia="Arial" w:hAnsi="Arial"/>
          <w:sz w:val="18"/>
          <w:szCs w:val="18"/>
          <w:color w:val="auto"/>
        </w:rPr>
        <w:t>The Notice of 2018 Annual Meeting of Shareholders, this Proxy Statement and the accompanying proxy card are first being mailed to shareholders of record as of March 26, 2018 on or about April 16, 2018.</w:t>
      </w:r>
    </w:p>
    <w:p>
      <w:pPr>
        <w:spacing w:after="0" w:line="62" w:lineRule="exact"/>
        <w:rPr>
          <w:sz w:val="20"/>
          <w:szCs w:val="20"/>
          <w:color w:val="auto"/>
        </w:rPr>
      </w:pPr>
    </w:p>
    <w:p>
      <w:pPr>
        <w:sectPr>
          <w:pgSz w:w="11900" w:h="16838" w:orient="portrait"/>
          <w:cols w:equalWidth="0" w:num="2">
            <w:col w:w="2020" w:space="720"/>
            <w:col w:w="850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20"/>
          <w:szCs w:val="20"/>
          <w:b w:val="1"/>
          <w:bCs w:val="1"/>
          <w:color w:val="auto"/>
        </w:rPr>
        <w:t>Voting Matters and Voting Recommendations</w:t>
      </w: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6980" w:type="dxa"/>
            <w:vAlign w:val="bottom"/>
          </w:tcPr>
          <w:p>
            <w:pPr>
              <w:spacing w:after="0"/>
              <w:rPr>
                <w:sz w:val="17"/>
                <w:szCs w:val="17"/>
                <w:color w:val="auto"/>
              </w:rPr>
            </w:pPr>
          </w:p>
        </w:tc>
        <w:tc>
          <w:tcPr>
            <w:tcW w:w="1580" w:type="dxa"/>
            <w:vAlign w:val="bottom"/>
          </w:tcPr>
          <w:p>
            <w:pPr>
              <w:jc w:val="right"/>
              <w:ind w:right="390"/>
              <w:spacing w:after="0"/>
              <w:rPr>
                <w:sz w:val="20"/>
                <w:szCs w:val="20"/>
                <w:color w:val="auto"/>
              </w:rPr>
            </w:pPr>
            <w:r>
              <w:rPr>
                <w:rFonts w:ascii="Arial" w:cs="Arial" w:eastAsia="Arial" w:hAnsi="Arial"/>
                <w:sz w:val="18"/>
                <w:szCs w:val="18"/>
                <w:b w:val="1"/>
                <w:bCs w:val="1"/>
                <w:color w:val="auto"/>
              </w:rPr>
              <w:t>Proposal</w:t>
            </w:r>
          </w:p>
        </w:tc>
        <w:tc>
          <w:tcPr>
            <w:tcW w:w="2480" w:type="dxa"/>
            <w:vAlign w:val="bottom"/>
          </w:tcPr>
          <w:p>
            <w:pPr>
              <w:jc w:val="center"/>
              <w:ind w:left="90"/>
              <w:spacing w:after="0"/>
              <w:rPr>
                <w:sz w:val="20"/>
                <w:szCs w:val="20"/>
                <w:color w:val="auto"/>
              </w:rPr>
            </w:pPr>
            <w:r>
              <w:rPr>
                <w:rFonts w:ascii="Arial" w:cs="Arial" w:eastAsia="Arial" w:hAnsi="Arial"/>
                <w:sz w:val="18"/>
                <w:szCs w:val="18"/>
                <w:b w:val="1"/>
                <w:bCs w:val="1"/>
                <w:color w:val="auto"/>
                <w:w w:val="98"/>
              </w:rPr>
              <w:t>Our Board’s Voting</w:t>
            </w:r>
          </w:p>
        </w:tc>
      </w:tr>
      <w:tr>
        <w:trPr>
          <w:trHeight w:val="239"/>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Voting Matters</w:t>
            </w: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No.</w:t>
            </w:r>
          </w:p>
        </w:tc>
        <w:tc>
          <w:tcPr>
            <w:tcW w:w="24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9"/>
              </w:rPr>
              <w:t>Recommendation</w:t>
            </w:r>
          </w:p>
        </w:tc>
      </w:tr>
      <w:tr>
        <w:trPr>
          <w:trHeight w:val="196"/>
        </w:trPr>
        <w:tc>
          <w:tcPr>
            <w:tcW w:w="698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Election of Directors (page 10)</w:t>
            </w:r>
          </w:p>
        </w:tc>
        <w:tc>
          <w:tcPr>
            <w:tcW w:w="1580" w:type="dxa"/>
            <w:vAlign w:val="bottom"/>
            <w:tcBorders>
              <w:bottom w:val="single" w:sz="8" w:color="C1CECC"/>
            </w:tcBorders>
          </w:tcPr>
          <w:p>
            <w:pPr>
              <w:jc w:val="right"/>
              <w:ind w:right="370"/>
              <w:spacing w:after="0" w:line="196" w:lineRule="exact"/>
              <w:rPr>
                <w:sz w:val="20"/>
                <w:szCs w:val="20"/>
                <w:color w:val="auto"/>
              </w:rPr>
            </w:pPr>
            <w:r>
              <w:rPr>
                <w:rFonts w:ascii="Arial" w:cs="Arial" w:eastAsia="Arial" w:hAnsi="Arial"/>
                <w:sz w:val="18"/>
                <w:szCs w:val="18"/>
                <w:color w:val="auto"/>
              </w:rPr>
              <w:t>1</w:t>
            </w:r>
          </w:p>
        </w:tc>
        <w:tc>
          <w:tcPr>
            <w:tcW w:w="2480" w:type="dxa"/>
            <w:vAlign w:val="bottom"/>
            <w:tcBorders>
              <w:bottom w:val="single" w:sz="8" w:color="C1CECC"/>
            </w:tcBorders>
          </w:tcPr>
          <w:p>
            <w:pPr>
              <w:jc w:val="center"/>
              <w:ind w:left="90"/>
              <w:spacing w:after="0" w:line="196" w:lineRule="exact"/>
              <w:rPr>
                <w:sz w:val="20"/>
                <w:szCs w:val="20"/>
                <w:color w:val="auto"/>
              </w:rPr>
            </w:pPr>
            <w:r>
              <w:rPr>
                <w:rFonts w:ascii="Arial" w:cs="Arial" w:eastAsia="Arial" w:hAnsi="Arial"/>
                <w:sz w:val="18"/>
                <w:szCs w:val="18"/>
                <w:color w:val="auto"/>
                <w:w w:val="98"/>
              </w:rPr>
              <w:t>FOR ALL NOMINEES</w:t>
            </w:r>
          </w:p>
        </w:tc>
      </w:tr>
      <w:tr>
        <w:trPr>
          <w:trHeight w:val="196"/>
        </w:trPr>
        <w:tc>
          <w:tcPr>
            <w:tcW w:w="698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Ratification of Appointment of Auditors (page 58)</w:t>
            </w:r>
          </w:p>
        </w:tc>
        <w:tc>
          <w:tcPr>
            <w:tcW w:w="1580" w:type="dxa"/>
            <w:vAlign w:val="bottom"/>
            <w:tcBorders>
              <w:bottom w:val="single" w:sz="8" w:color="C1CECC"/>
            </w:tcBorders>
          </w:tcPr>
          <w:p>
            <w:pPr>
              <w:jc w:val="right"/>
              <w:ind w:right="370"/>
              <w:spacing w:after="0" w:line="196" w:lineRule="exact"/>
              <w:rPr>
                <w:sz w:val="20"/>
                <w:szCs w:val="20"/>
                <w:color w:val="auto"/>
              </w:rPr>
            </w:pPr>
            <w:r>
              <w:rPr>
                <w:rFonts w:ascii="Arial" w:cs="Arial" w:eastAsia="Arial" w:hAnsi="Arial"/>
                <w:sz w:val="18"/>
                <w:szCs w:val="18"/>
                <w:color w:val="auto"/>
              </w:rPr>
              <w:t>2</w:t>
            </w:r>
          </w:p>
        </w:tc>
        <w:tc>
          <w:tcPr>
            <w:tcW w:w="2480" w:type="dxa"/>
            <w:vAlign w:val="bottom"/>
            <w:tcBorders>
              <w:bottom w:val="single" w:sz="8" w:color="C1CECC"/>
            </w:tcBorders>
          </w:tcPr>
          <w:p>
            <w:pPr>
              <w:jc w:val="center"/>
              <w:ind w:left="90"/>
              <w:spacing w:after="0" w:line="196" w:lineRule="exact"/>
              <w:rPr>
                <w:sz w:val="20"/>
                <w:szCs w:val="20"/>
                <w:color w:val="auto"/>
              </w:rPr>
            </w:pPr>
            <w:r>
              <w:rPr>
                <w:rFonts w:ascii="Arial" w:cs="Arial" w:eastAsia="Arial" w:hAnsi="Arial"/>
                <w:sz w:val="18"/>
                <w:szCs w:val="18"/>
                <w:color w:val="auto"/>
                <w:w w:val="99"/>
              </w:rPr>
              <w:t>FOR</w:t>
            </w:r>
          </w:p>
        </w:tc>
      </w:tr>
      <w:tr>
        <w:trPr>
          <w:trHeight w:val="196"/>
        </w:trPr>
        <w:tc>
          <w:tcPr>
            <w:tcW w:w="698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Advisory Approval of the Compensation of our Named Executive Officers (page 60)</w:t>
            </w:r>
          </w:p>
        </w:tc>
        <w:tc>
          <w:tcPr>
            <w:tcW w:w="1580" w:type="dxa"/>
            <w:vAlign w:val="bottom"/>
            <w:tcBorders>
              <w:bottom w:val="single" w:sz="8" w:color="C1CECC"/>
            </w:tcBorders>
          </w:tcPr>
          <w:p>
            <w:pPr>
              <w:jc w:val="right"/>
              <w:ind w:right="370"/>
              <w:spacing w:after="0" w:line="196" w:lineRule="exact"/>
              <w:rPr>
                <w:sz w:val="20"/>
                <w:szCs w:val="20"/>
                <w:color w:val="auto"/>
              </w:rPr>
            </w:pPr>
            <w:r>
              <w:rPr>
                <w:rFonts w:ascii="Arial" w:cs="Arial" w:eastAsia="Arial" w:hAnsi="Arial"/>
                <w:sz w:val="18"/>
                <w:szCs w:val="18"/>
                <w:color w:val="auto"/>
              </w:rPr>
              <w:t>3</w:t>
            </w:r>
          </w:p>
        </w:tc>
        <w:tc>
          <w:tcPr>
            <w:tcW w:w="2480" w:type="dxa"/>
            <w:vAlign w:val="bottom"/>
            <w:tcBorders>
              <w:bottom w:val="single" w:sz="8" w:color="C1CECC"/>
            </w:tcBorders>
          </w:tcPr>
          <w:p>
            <w:pPr>
              <w:jc w:val="center"/>
              <w:ind w:left="90"/>
              <w:spacing w:after="0" w:line="196" w:lineRule="exact"/>
              <w:rPr>
                <w:sz w:val="20"/>
                <w:szCs w:val="20"/>
                <w:color w:val="auto"/>
              </w:rPr>
            </w:pPr>
            <w:r>
              <w:rPr>
                <w:rFonts w:ascii="Arial" w:cs="Arial" w:eastAsia="Arial" w:hAnsi="Arial"/>
                <w:sz w:val="18"/>
                <w:szCs w:val="18"/>
                <w:color w:val="auto"/>
                <w:w w:val="99"/>
              </w:rPr>
              <w:t>FOR</w:t>
            </w:r>
          </w:p>
        </w:tc>
      </w:tr>
    </w:tbl>
    <w:p>
      <w:pPr>
        <w:spacing w:after="0" w:line="18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Corporate Governance Highlights</w:t>
      </w:r>
    </w:p>
    <w:p>
      <w:pPr>
        <w:spacing w:after="0" w:line="134" w:lineRule="exact"/>
        <w:rPr>
          <w:sz w:val="20"/>
          <w:szCs w:val="20"/>
          <w:color w:val="auto"/>
        </w:rPr>
      </w:pPr>
    </w:p>
    <w:p>
      <w:pPr>
        <w:ind w:left="520" w:right="20" w:hanging="316"/>
        <w:spacing w:after="0" w:line="182" w:lineRule="auto"/>
        <w:tabs>
          <w:tab w:leader="none" w:pos="520" w:val="left"/>
        </w:tabs>
        <w:numPr>
          <w:ilvl w:val="0"/>
          <w:numId w:val="8"/>
        </w:numPr>
        <w:rPr>
          <w:rFonts w:ascii="Arial" w:cs="Arial" w:eastAsia="Arial" w:hAnsi="Arial"/>
          <w:sz w:val="33"/>
          <w:szCs w:val="33"/>
          <w:color w:val="auto"/>
          <w:vertAlign w:val="subscript"/>
        </w:rPr>
      </w:pPr>
      <w:r>
        <w:rPr>
          <w:rFonts w:ascii="Arial" w:cs="Arial" w:eastAsia="Arial" w:hAnsi="Arial"/>
          <w:sz w:val="15"/>
          <w:szCs w:val="15"/>
          <w:color w:val="auto"/>
        </w:rPr>
        <w:t>More than 80% of incumbent directors are independent, and 92% of directors will be independent if all of the director nominees are elected to serve as directors at the 2018 Annual Meeting of Shareholders</w:t>
      </w:r>
    </w:p>
    <w:p>
      <w:pPr>
        <w:sectPr>
          <w:pgSz w:w="11900" w:h="16838" w:orient="portrait"/>
          <w:cols w:equalWidth="0" w:num="1">
            <w:col w:w="11240"/>
          </w:cols>
          <w:pgMar w:left="240" w:top="459" w:right="419" w:bottom="1440" w:gutter="0" w:footer="0" w:header="0"/>
          <w:type w:val="continuous"/>
        </w:sectPr>
      </w:pPr>
    </w:p>
    <w:p>
      <w:pPr>
        <w:spacing w:after="0" w:line="105"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Independent Presiding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All members of Compensation, Corporate Governance and Audit Committees are independent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Annual election of all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Majority voting with a director resignation policy for directors in uncontested elections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Robust executive and director stock ownership guidelines</w:t>
      </w:r>
    </w:p>
    <w:p>
      <w:pPr>
        <w:spacing w:after="0" w:line="25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Each incumbent director nominee attended 100% of Board and Committee meetings held in 2017 during such director’s period of service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Policy requiring annual performance evaluation of the Board</w:t>
      </w:r>
    </w:p>
    <w:p>
      <w:pPr>
        <w:spacing w:after="0" w:line="311" w:lineRule="exact"/>
        <w:rPr>
          <w:sz w:val="20"/>
          <w:szCs w:val="20"/>
          <w:color w:val="auto"/>
        </w:rPr>
      </w:pPr>
    </w:p>
    <w:p>
      <w:pPr>
        <w:sectPr>
          <w:pgSz w:w="11900" w:h="16838" w:orient="portrait"/>
          <w:cols w:equalWidth="0" w:num="2">
            <w:col w:w="300" w:space="220"/>
            <w:col w:w="10720"/>
          </w:cols>
          <w:pgMar w:left="240" w:top="459" w:right="41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2017 Company Performance</w:t>
      </w:r>
    </w:p>
    <w:p>
      <w:pPr>
        <w:spacing w:after="0" w:line="121"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For 2017, our revenue increased by 2% compared to 2016 revenue, growing to $8.8 billion, our net income was $ 361 million, and our Adjusted EBITDA was $735 million. Our Adjusted EBITDA was below the 2017 business plan goal that we had set and was 12% lower than 2016 Adjusted EBITDA. This was primarily due to higher per-unit fleet costs and lower pricing, particularly in the first half of the year.</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Management partially offset these challenging industry headwinds through cost-reduction actions and strategic initiatives in the areas of profitable revenue growth, fleet optimization and operational efficiencies.</w:t>
      </w:r>
    </w:p>
    <w:p>
      <w:pPr>
        <w:spacing w:after="0" w:line="89"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In 2017, we made investments in our business designed to lower our cost structure, modernize our core infrastructure and further our position in the evolving mobility landscape. We also returned capital to our shareholders through the repurchase of $200 million of our Common Stock, resulting in the repurchase of 6.1 million shares. Our stock price increased by 19.6% from December 31, 2016 to December 31, 2017.</w:t>
      </w:r>
    </w:p>
    <w:p>
      <w:pPr>
        <w:spacing w:after="0" w:line="94"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In 2018, consistent with our strategy, we intend to continue to apply our brands, technology and people to drive profitable growth, while further building our position in the wide mobility services industry by continuing to: invest in connected car technology; roll-out our Demand-Fleet-Pricing system; enhance our mobile app, including targeting ease of use and speed; execute on our fleet optimization, workforce planning and shuttling initiatives; and explore new mobility partnerships and products.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2017 Compensation for our Named Executive Officers</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Alignment of 2017 Compensation with Performance</w:t>
      </w:r>
    </w:p>
    <w:p>
      <w:pPr>
        <w:spacing w:after="0" w:line="122"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Our history of pay for performance alignment was evident in the compensation paid to our named executive officers for 2017. While management’s leadership and actions partially offset industry headwinds, as described above, based on actual 2017 financial performance, performance-based long-term incentives, which were granted in 2015 and based primarily on three-year cumulative Adjusted EBITDA goals, did not vest in 2018 and were forfeited without any payout. Our named executive officers also received no payouts under the 2017 annual incentive program (based on Adjusted EBITDA goal attainment for both Global and the Americas region), and performance-based long-term incentive awards granted in 2016 and 2017 and scheduled to vest in 2019 and 2020, respectively, are currently not expected to vest.</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Setting 2017 Pay Levels</w:t>
      </w:r>
    </w:p>
    <w:p>
      <w:pPr>
        <w:spacing w:after="0" w:line="122"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In connection with the one-year anniversary of our CEO’s tenure, the Committee, with input from its compensation consultant, conducted a full review of our CEO’s compensation opportunity to determine the appropriate 2017 pay package. Based on the results of that review, and the Compensation Committee’s ongoing evaluation of appropriate compensation-setting practices, the Committee determined increases were appropriate. Driven in part by a full market review of pay opportunity, our Chief Executive Officer’s base salary was increased by 10% and his target long-term incentive opportunity, which is 60% performance-based, was increased by $2.5 million. As part of the regular annual review, in which both market and other factors are considered, the salaries of our President, Americas and President, International increased by approximately 4%, and the long-term incentive opportunities for these executive officers, which are 50% performance-based, increased by $200,000.</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Setting 2017 Performance Metrics</w:t>
      </w:r>
    </w:p>
    <w:p>
      <w:pPr>
        <w:spacing w:after="0" w:line="122"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The Committee conducted an in-depth review of the Company’s annual and long-term incentive programs to evaluate the efficacy of the existing performance metrics. Driven in large part by the Company’s recently updated strategic goals, which include a significant focus on margin improvement, the Committee determined to change the performance metric for the 2017 long term incentive program to strengthen the alignment of long-term incentives with the Company’s business objectives. As a result, the Committee set goals for the 2017 long term incentive program that were based strictly upon Adjusted EBITDA margin improvement instead of an absolute target. The Committee also determined that the modifier to potentially increase payouts was no longer warranted. Finally, the Committee did not believe any change was necessary for the 2017 annual incentive program, which was based on Adjusted EBITDA absolute targets, consistent with prior years.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CFO Compensation</w:t>
      </w:r>
    </w:p>
    <w:p>
      <w:pPr>
        <w:spacing w:after="0" w:line="122"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Our former Chief Financial Officer separated from the Company in 2017, and, as a result, he received severance payments consistent with his employment agreement plus an additional cash payment of $1.25 million. The additional cash payment was made in recognition of an amendment to our former Chief Financial Officer’s employment agreement in 2016, which significantly reduced the amount of severance payable in a separation. The additional cash payment was substantially less than the additional severance that would have been payable had the separation occurred prior to the employment agreement amendment. The compensation we paid in 2017 to our interim Chief Financial Officer reflects his assignment when he assumed the role, a pro-rated annual base salary of $575,000 and an annual incentive target, as a percentage of base salary, of 80%. However, as discussed above, no amounts were paid to our interim Chief Financial Officer under the annual incentive program.</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Incentives</w:t>
      </w:r>
    </w:p>
    <w:p>
      <w:pPr>
        <w:spacing w:after="0" w:line="122"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In September 2017, the Compensation Committee sought to recognize certain named executive officers for their leadership in addressing challenges the Company’s business faced from industry headwinds in both 2016 and 2017, which were out of management’s control and greatly contributed to below-target annual incentive payouts in 2015 and 2016, below-target or no payouts under the 2017 annual incentive program, and that performance-based long-term incentives were not expected to vest in 2018-2020. Accordingly, the Committee awarded special one-time long-term incentives to two key business leaders, our President, Americas and our President, International, with grant date values of $1.7 million, and $650,000, respectively. The values of these special awards were significantly less than the target amounts of the incentives that were not, or were not expected to be, paid to these executives. The awards were also intended to acknowledge the importance of retaining experienced management in a highly competitive, cyclical and fast evolving industry.</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auto"/>
        </w:rPr>
        <w:t>About the Annual Meeting</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Why am I receiving these proxy materials?</w:t>
      </w:r>
    </w:p>
    <w:p>
      <w:pPr>
        <w:spacing w:after="0" w:line="121" w:lineRule="exact"/>
        <w:rPr>
          <w:sz w:val="20"/>
          <w:szCs w:val="20"/>
          <w:color w:val="auto"/>
        </w:rPr>
      </w:pPr>
    </w:p>
    <w:p>
      <w:pPr>
        <w:jc w:val="both"/>
        <w:ind w:left="200" w:right="20"/>
        <w:spacing w:after="0" w:line="261" w:lineRule="auto"/>
        <w:rPr>
          <w:sz w:val="20"/>
          <w:szCs w:val="20"/>
          <w:color w:val="auto"/>
        </w:rPr>
      </w:pPr>
      <w:r>
        <w:rPr>
          <w:rFonts w:ascii="Arial" w:cs="Arial" w:eastAsia="Arial" w:hAnsi="Arial"/>
          <w:sz w:val="17"/>
          <w:szCs w:val="17"/>
          <w:color w:val="auto"/>
        </w:rPr>
        <w:t>The Board of Directors (the “Board”) of Avis Budget Group, Inc. (the “Company” or “Avis Budget”) is soliciting your vote at the 2018 Annual Meeting of Shareholders, and any adjournment or postponement thereof (the “Meeting”), to be held May 23, 2018 at 9:00 a.m. Eastern Time, at the offices of Kirkland &amp; Ellis LLP, 601 Lexington Avenue, New York, New York, for the purposes set forth in this Proxy Statement.</w:t>
      </w:r>
    </w:p>
    <w:p>
      <w:pPr>
        <w:spacing w:after="0" w:line="78"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These materials also include a proxy card for the Meeting. The proxy materials include detailed information about the matters that will be discussed and voted on at the Meeting and provide updated information about the Company that you should consider in order to make an informed decision when voting your shares.</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or about April 16, 2018, the Company will first mail to shareholders this Proxy Statement and the accompanying proxy card.</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When and where will the Meeting be held?</w:t>
      </w:r>
    </w:p>
    <w:p>
      <w:pPr>
        <w:spacing w:after="0" w:line="121"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The Meeting is scheduled to be held at 9:00 a.m. Eastern Time, on May 23, 2018, at the offices of Kirkland &amp; Ellis LLP, 601 Lexington Avenue, New York, New York.</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What items will I be voting on and what are the Board’s voting recommendations?</w:t>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8240" w:type="dxa"/>
            <w:vAlign w:val="bottom"/>
          </w:tcPr>
          <w:p>
            <w:pPr>
              <w:spacing w:after="0"/>
              <w:rPr>
                <w:sz w:val="17"/>
                <w:szCs w:val="17"/>
                <w:color w:val="auto"/>
              </w:rPr>
            </w:pPr>
          </w:p>
        </w:tc>
        <w:tc>
          <w:tcPr>
            <w:tcW w:w="2800" w:type="dxa"/>
            <w:vAlign w:val="bottom"/>
          </w:tcPr>
          <w:p>
            <w:pPr>
              <w:jc w:val="center"/>
              <w:ind w:left="290"/>
              <w:spacing w:after="0"/>
              <w:rPr>
                <w:sz w:val="20"/>
                <w:szCs w:val="20"/>
                <w:color w:val="auto"/>
              </w:rPr>
            </w:pPr>
            <w:r>
              <w:rPr>
                <w:rFonts w:ascii="Arial" w:cs="Arial" w:eastAsia="Arial" w:hAnsi="Arial"/>
                <w:sz w:val="18"/>
                <w:szCs w:val="18"/>
                <w:b w:val="1"/>
                <w:bCs w:val="1"/>
                <w:color w:val="auto"/>
                <w:w w:val="98"/>
              </w:rPr>
              <w:t>Board’s Voting</w:t>
            </w:r>
          </w:p>
        </w:tc>
      </w:tr>
      <w:tr>
        <w:trPr>
          <w:trHeight w:val="225"/>
        </w:trPr>
        <w:tc>
          <w:tcPr>
            <w:tcW w:w="8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w:t>
            </w:r>
          </w:p>
        </w:tc>
        <w:tc>
          <w:tcPr>
            <w:tcW w:w="2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rPr>
              <w:t>Recommendation</w:t>
            </w:r>
          </w:p>
        </w:tc>
      </w:tr>
      <w:tr>
        <w:trPr>
          <w:trHeight w:val="196"/>
        </w:trPr>
        <w:tc>
          <w:tcPr>
            <w:tcW w:w="824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No. 1: Election of Directors (see page 10)</w:t>
            </w:r>
          </w:p>
        </w:tc>
        <w:tc>
          <w:tcPr>
            <w:tcW w:w="2800" w:type="dxa"/>
            <w:vAlign w:val="bottom"/>
            <w:tcBorders>
              <w:bottom w:val="single" w:sz="8" w:color="C1CECC"/>
            </w:tcBorders>
          </w:tcPr>
          <w:p>
            <w:pPr>
              <w:jc w:val="center"/>
              <w:ind w:left="370"/>
              <w:spacing w:after="0" w:line="196" w:lineRule="exact"/>
              <w:rPr>
                <w:sz w:val="20"/>
                <w:szCs w:val="20"/>
                <w:color w:val="auto"/>
              </w:rPr>
            </w:pPr>
            <w:r>
              <w:rPr>
                <w:rFonts w:ascii="Arial" w:cs="Arial" w:eastAsia="Arial" w:hAnsi="Arial"/>
                <w:sz w:val="18"/>
                <w:szCs w:val="18"/>
                <w:color w:val="auto"/>
                <w:w w:val="98"/>
              </w:rPr>
              <w:t>FOR ALL NOMINEES</w:t>
            </w:r>
          </w:p>
        </w:tc>
      </w:tr>
      <w:tr>
        <w:trPr>
          <w:trHeight w:val="196"/>
        </w:trPr>
        <w:tc>
          <w:tcPr>
            <w:tcW w:w="824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No. 2: Ratification of Appointment of Auditors (see page 58)</w:t>
            </w:r>
          </w:p>
        </w:tc>
        <w:tc>
          <w:tcPr>
            <w:tcW w:w="2800" w:type="dxa"/>
            <w:vAlign w:val="bottom"/>
            <w:tcBorders>
              <w:bottom w:val="single" w:sz="8" w:color="C1CECC"/>
            </w:tcBorders>
          </w:tcPr>
          <w:p>
            <w:pPr>
              <w:jc w:val="center"/>
              <w:ind w:left="370"/>
              <w:spacing w:after="0" w:line="196" w:lineRule="exact"/>
              <w:rPr>
                <w:sz w:val="20"/>
                <w:szCs w:val="20"/>
                <w:color w:val="auto"/>
              </w:rPr>
            </w:pPr>
            <w:r>
              <w:rPr>
                <w:rFonts w:ascii="Arial" w:cs="Arial" w:eastAsia="Arial" w:hAnsi="Arial"/>
                <w:sz w:val="18"/>
                <w:szCs w:val="18"/>
                <w:color w:val="auto"/>
                <w:w w:val="99"/>
              </w:rPr>
              <w:t>FOR</w:t>
            </w:r>
          </w:p>
        </w:tc>
      </w:tr>
      <w:tr>
        <w:trPr>
          <w:trHeight w:val="196"/>
        </w:trPr>
        <w:tc>
          <w:tcPr>
            <w:tcW w:w="824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No. 3: Advisory Approval of the Compensation of our Named Executive Officers (see page 60)</w:t>
            </w:r>
          </w:p>
        </w:tc>
        <w:tc>
          <w:tcPr>
            <w:tcW w:w="2800" w:type="dxa"/>
            <w:vAlign w:val="bottom"/>
            <w:tcBorders>
              <w:bottom w:val="single" w:sz="8" w:color="C1CECC"/>
            </w:tcBorders>
          </w:tcPr>
          <w:p>
            <w:pPr>
              <w:jc w:val="center"/>
              <w:ind w:left="370"/>
              <w:spacing w:after="0" w:line="196" w:lineRule="exact"/>
              <w:rPr>
                <w:sz w:val="20"/>
                <w:szCs w:val="20"/>
                <w:color w:val="auto"/>
              </w:rPr>
            </w:pPr>
            <w:r>
              <w:rPr>
                <w:rFonts w:ascii="Arial" w:cs="Arial" w:eastAsia="Arial" w:hAnsi="Arial"/>
                <w:sz w:val="18"/>
                <w:szCs w:val="18"/>
                <w:color w:val="auto"/>
                <w:w w:val="99"/>
              </w:rPr>
              <w:t>FOR</w:t>
            </w:r>
          </w:p>
        </w:tc>
      </w:tr>
      <w:tr>
        <w:trPr>
          <w:trHeight w:val="335"/>
        </w:trPr>
        <w:tc>
          <w:tcPr>
            <w:tcW w:w="8240" w:type="dxa"/>
            <w:vAlign w:val="bottom"/>
          </w:tcPr>
          <w:p>
            <w:pPr>
              <w:spacing w:after="0"/>
              <w:rPr>
                <w:sz w:val="20"/>
                <w:szCs w:val="20"/>
                <w:color w:val="auto"/>
              </w:rPr>
            </w:pPr>
            <w:r>
              <w:rPr>
                <w:rFonts w:ascii="Arial" w:cs="Arial" w:eastAsia="Arial" w:hAnsi="Arial"/>
                <w:sz w:val="20"/>
                <w:szCs w:val="20"/>
                <w:b w:val="1"/>
                <w:bCs w:val="1"/>
                <w:color w:val="auto"/>
              </w:rPr>
              <w:t>Could other matters be decided at the Meeting?</w:t>
            </w:r>
          </w:p>
        </w:tc>
        <w:tc>
          <w:tcPr>
            <w:tcW w:w="2800" w:type="dxa"/>
            <w:vAlign w:val="bottom"/>
          </w:tcPr>
          <w:p>
            <w:pPr>
              <w:spacing w:after="0"/>
              <w:rPr>
                <w:sz w:val="24"/>
                <w:szCs w:val="24"/>
                <w:color w:val="auto"/>
              </w:rPr>
            </w:pPr>
          </w:p>
        </w:tc>
      </w:tr>
    </w:tbl>
    <w:p>
      <w:pPr>
        <w:spacing w:after="0" w:line="90"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The Board is not aware of any other matters to be brought before the Meeting. However, if any other matters properly come before the Meeting, the individuals named as proxies, or their duly constituted substitutes acting at the Meeting, will be authorized to vote or otherwise act thereon in accordance with their judgment on such matters.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How many votes do I have?</w:t>
      </w:r>
    </w:p>
    <w:p>
      <w:pPr>
        <w:spacing w:after="0" w:line="121"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You will have one vote for every share of the Company’s common stock, par value $0.01 per share (the “Common Stock”), you owned as of the close of business on March 26, 2018 (the “Record Date”).</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How many votes can be cast by all shareholders?</w:t>
      </w:r>
    </w:p>
    <w:p>
      <w:pPr>
        <w:spacing w:after="0" w:line="121"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81,239,166 votes, consisting of one vote for each share of Common Stock outstanding on the Record Date. There is no cumulative voting, and the holders of the Common Stock vote together as a single class.</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How many votes must be present to hold the Meeting?</w:t>
      </w:r>
    </w:p>
    <w:p>
      <w:pPr>
        <w:spacing w:after="0" w:line="121"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One-third of the outstanding shares of Common Stock entitled to vote at the Meeting, or 27,079,722 votes, must be present, in person or by proxy, to constitute a quorum at the Meeting. Abstentions and broker non-votes, if any, will be counted for the purpose of determining whether a quorum is present.</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How many votes are required to elect directors and adopt the other proposals?</w:t>
      </w:r>
    </w:p>
    <w:p>
      <w:pPr>
        <w:spacing w:after="0" w:line="126" w:lineRule="exact"/>
        <w:rPr>
          <w:sz w:val="20"/>
          <w:szCs w:val="20"/>
          <w:color w:val="auto"/>
        </w:rPr>
      </w:pPr>
    </w:p>
    <w:p>
      <w:pPr>
        <w:ind w:left="200"/>
        <w:spacing w:after="0"/>
        <w:tabs>
          <w:tab w:leader="none" w:pos="3940" w:val="left"/>
          <w:tab w:leader="none" w:pos="7680" w:val="left"/>
        </w:tabs>
        <w:rPr>
          <w:sz w:val="20"/>
          <w:szCs w:val="20"/>
          <w:color w:val="auto"/>
        </w:rPr>
      </w:pPr>
      <w:r>
        <w:rPr>
          <w:rFonts w:ascii="Arial" w:cs="Arial" w:eastAsia="Arial" w:hAnsi="Arial"/>
          <w:sz w:val="18"/>
          <w:szCs w:val="18"/>
          <w:b w:val="1"/>
          <w:bCs w:val="1"/>
          <w:color w:val="auto"/>
        </w:rPr>
        <w:t>Proposal</w:t>
      </w:r>
      <w:r>
        <w:rPr>
          <w:sz w:val="20"/>
          <w:szCs w:val="20"/>
          <w:color w:val="auto"/>
        </w:rPr>
        <w:tab/>
      </w:r>
      <w:r>
        <w:rPr>
          <w:rFonts w:ascii="Arial" w:cs="Arial" w:eastAsia="Arial" w:hAnsi="Arial"/>
          <w:sz w:val="18"/>
          <w:szCs w:val="18"/>
          <w:b w:val="1"/>
          <w:bCs w:val="1"/>
          <w:color w:val="auto"/>
        </w:rPr>
        <w:t>Vote Requirement</w:t>
      </w:r>
      <w:r>
        <w:rPr>
          <w:sz w:val="20"/>
          <w:szCs w:val="20"/>
          <w:color w:val="auto"/>
        </w:rPr>
        <w:tab/>
      </w:r>
      <w:r>
        <w:rPr>
          <w:rFonts w:ascii="Arial" w:cs="Arial" w:eastAsia="Arial" w:hAnsi="Arial"/>
          <w:sz w:val="17"/>
          <w:szCs w:val="17"/>
          <w:b w:val="1"/>
          <w:bCs w:val="1"/>
          <w:color w:val="auto"/>
        </w:rPr>
        <w:t>Impact of Abstentions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6997700" cy="1509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150939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3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No. 1: Election of Directors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28"/>
          <w:szCs w:val="2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3080" w:type="dxa"/>
            <w:vAlign w:val="bottom"/>
            <w:vMerge w:val="restart"/>
          </w:tcPr>
          <w:p>
            <w:pPr>
              <w:spacing w:after="0"/>
              <w:rPr>
                <w:sz w:val="20"/>
                <w:szCs w:val="20"/>
                <w:color w:val="auto"/>
              </w:rPr>
            </w:pPr>
            <w:r>
              <w:rPr>
                <w:rFonts w:ascii="Arial" w:cs="Arial" w:eastAsia="Arial" w:hAnsi="Arial"/>
                <w:sz w:val="18"/>
                <w:szCs w:val="18"/>
                <w:color w:val="auto"/>
              </w:rPr>
              <w:t>Contested Election (applies to the</w:t>
            </w:r>
          </w:p>
        </w:tc>
        <w:tc>
          <w:tcPr>
            <w:tcW w:w="3160" w:type="dxa"/>
            <w:vAlign w:val="bottom"/>
          </w:tcPr>
          <w:p>
            <w:pPr>
              <w:ind w:left="400"/>
              <w:spacing w:after="0"/>
              <w:rPr>
                <w:sz w:val="20"/>
                <w:szCs w:val="20"/>
                <w:color w:val="auto"/>
              </w:rPr>
            </w:pPr>
            <w:r>
              <w:rPr>
                <w:rFonts w:ascii="Arial" w:cs="Arial" w:eastAsia="Arial" w:hAnsi="Arial"/>
                <w:sz w:val="18"/>
                <w:szCs w:val="18"/>
                <w:color w:val="auto"/>
                <w:w w:val="99"/>
              </w:rPr>
              <w:t>Will have no effect on the outcome</w:t>
            </w:r>
          </w:p>
        </w:tc>
        <w:tc>
          <w:tcPr>
            <w:tcW w:w="0" w:type="dxa"/>
            <w:vAlign w:val="bottom"/>
          </w:tcPr>
          <w:p>
            <w:pPr>
              <w:spacing w:after="0"/>
              <w:rPr>
                <w:sz w:val="1"/>
                <w:szCs w:val="1"/>
                <w:color w:val="auto"/>
              </w:rPr>
            </w:pPr>
          </w:p>
        </w:tc>
      </w:tr>
      <w:tr>
        <w:trPr>
          <w:trHeight w:val="95"/>
        </w:trPr>
        <w:tc>
          <w:tcPr>
            <w:tcW w:w="3080" w:type="dxa"/>
            <w:vAlign w:val="bottom"/>
            <w:vMerge w:val="continue"/>
          </w:tcPr>
          <w:p>
            <w:pPr>
              <w:spacing w:after="0"/>
              <w:rPr>
                <w:sz w:val="8"/>
                <w:szCs w:val="8"/>
                <w:color w:val="auto"/>
              </w:rPr>
            </w:pPr>
          </w:p>
        </w:tc>
        <w:tc>
          <w:tcPr>
            <w:tcW w:w="3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Meeting): Directors are elected by a</w:t>
      </w:r>
    </w:p>
    <w:p>
      <w:pPr>
        <w:spacing w:after="0" w:line="234" w:lineRule="auto"/>
        <w:rPr>
          <w:sz w:val="20"/>
          <w:szCs w:val="20"/>
          <w:color w:val="auto"/>
        </w:rPr>
      </w:pPr>
      <w:r>
        <w:rPr>
          <w:rFonts w:ascii="Arial" w:cs="Arial" w:eastAsia="Arial" w:hAnsi="Arial"/>
          <w:sz w:val="18"/>
          <w:szCs w:val="18"/>
          <w:color w:val="auto"/>
        </w:rPr>
        <w:t>plurality of shares present, in person or by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proxy, and entitled to vote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Uncontested Election: Directors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elected by a majority of votes cast</w:t>
      </w:r>
    </w:p>
    <w:p>
      <w:pPr>
        <w:spacing w:after="0" w:line="234" w:lineRule="auto"/>
        <w:rPr>
          <w:sz w:val="20"/>
          <w:szCs w:val="20"/>
          <w:color w:val="auto"/>
        </w:rPr>
      </w:pPr>
      <w:r>
        <w:rPr>
          <w:rFonts w:ascii="Arial" w:cs="Arial" w:eastAsia="Arial" w:hAnsi="Arial"/>
          <w:sz w:val="18"/>
          <w:szCs w:val="18"/>
          <w:color w:val="auto"/>
        </w:rPr>
        <w:t>(number of votes cast “for” each nominee</w:t>
      </w:r>
    </w:p>
    <w:p>
      <w:pPr>
        <w:spacing w:after="0" w:line="235" w:lineRule="auto"/>
        <w:rPr>
          <w:sz w:val="20"/>
          <w:szCs w:val="20"/>
          <w:color w:val="auto"/>
        </w:rPr>
      </w:pPr>
      <w:r>
        <w:rPr>
          <w:rFonts w:ascii="Arial" w:cs="Arial" w:eastAsia="Arial" w:hAnsi="Arial"/>
          <w:sz w:val="18"/>
          <w:szCs w:val="18"/>
          <w:color w:val="auto"/>
        </w:rPr>
        <w:t>must exceed the number of votes cast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“against” that nominee)</w:t>
      </w:r>
    </w:p>
    <w:p>
      <w:pPr>
        <w:spacing w:after="0" w:line="10" w:lineRule="exact"/>
        <w:rPr>
          <w:sz w:val="20"/>
          <w:szCs w:val="20"/>
          <w:color w:val="auto"/>
        </w:rPr>
      </w:pPr>
    </w:p>
    <w:p>
      <w:pPr>
        <w:sectPr>
          <w:pgSz w:w="11900" w:h="16838" w:orient="portrait"/>
          <w:cols w:equalWidth="0" w:num="3">
            <w:col w:w="3240" w:space="720"/>
            <w:col w:w="100" w:space="160"/>
            <w:col w:w="702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195"/>
        </w:trPr>
        <w:tc>
          <w:tcPr>
            <w:tcW w:w="36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No. 2: Ratification of Appointment of Auditors</w:t>
            </w:r>
          </w:p>
        </w:tc>
        <w:tc>
          <w:tcPr>
            <w:tcW w:w="362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Majority of shares present, in person or by</w:t>
            </w:r>
          </w:p>
        </w:tc>
        <w:tc>
          <w:tcPr>
            <w:tcW w:w="374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Counted and will have the same effect as a</w:t>
            </w:r>
          </w:p>
        </w:tc>
      </w:tr>
      <w:tr>
        <w:trPr>
          <w:trHeight w:val="203"/>
        </w:trPr>
        <w:tc>
          <w:tcPr>
            <w:tcW w:w="20" w:type="dxa"/>
            <w:vAlign w:val="bottom"/>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proxy, and entitled to vote</w:t>
            </w:r>
          </w:p>
        </w:tc>
        <w:tc>
          <w:tcPr>
            <w:tcW w:w="374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vote against such proposal</w:t>
            </w:r>
          </w:p>
        </w:tc>
      </w:tr>
      <w:tr>
        <w:trPr>
          <w:trHeight w:val="195"/>
        </w:trPr>
        <w:tc>
          <w:tcPr>
            <w:tcW w:w="20" w:type="dxa"/>
            <w:vAlign w:val="bottom"/>
          </w:tcPr>
          <w:p>
            <w:pPr>
              <w:spacing w:after="0"/>
              <w:rPr>
                <w:sz w:val="16"/>
                <w:szCs w:val="16"/>
                <w:color w:val="auto"/>
              </w:rPr>
            </w:pPr>
          </w:p>
        </w:tc>
        <w:tc>
          <w:tcPr>
            <w:tcW w:w="3660" w:type="dxa"/>
            <w:vAlign w:val="bottom"/>
            <w:shd w:val="clear" w:color="auto" w:fill="F4F9F9"/>
          </w:tcPr>
          <w:p>
            <w:pPr>
              <w:spacing w:after="0" w:line="195" w:lineRule="exact"/>
              <w:rPr>
                <w:sz w:val="20"/>
                <w:szCs w:val="20"/>
                <w:color w:val="auto"/>
              </w:rPr>
            </w:pPr>
            <w:r>
              <w:rPr>
                <w:rFonts w:ascii="Arial" w:cs="Arial" w:eastAsia="Arial" w:hAnsi="Arial"/>
                <w:sz w:val="18"/>
                <w:szCs w:val="18"/>
                <w:color w:val="auto"/>
              </w:rPr>
              <w:t>No. 3: Advisory Approval of</w:t>
            </w:r>
          </w:p>
        </w:tc>
        <w:tc>
          <w:tcPr>
            <w:tcW w:w="3620" w:type="dxa"/>
            <w:vAlign w:val="bottom"/>
            <w:shd w:val="clear" w:color="auto" w:fill="F4F9F9"/>
          </w:tcPr>
          <w:p>
            <w:pPr>
              <w:spacing w:after="0"/>
              <w:rPr>
                <w:sz w:val="16"/>
                <w:szCs w:val="16"/>
                <w:color w:val="auto"/>
              </w:rPr>
            </w:pPr>
          </w:p>
        </w:tc>
        <w:tc>
          <w:tcPr>
            <w:tcW w:w="3740" w:type="dxa"/>
            <w:vAlign w:val="bottom"/>
            <w:shd w:val="clear" w:color="auto" w:fill="F4F9F9"/>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F4F9F9"/>
          </w:tcPr>
          <w:p>
            <w:pPr>
              <w:spacing w:after="0" w:line="202" w:lineRule="exact"/>
              <w:rPr>
                <w:sz w:val="20"/>
                <w:szCs w:val="20"/>
                <w:color w:val="auto"/>
              </w:rPr>
            </w:pPr>
            <w:r>
              <w:rPr>
                <w:rFonts w:ascii="Arial" w:cs="Arial" w:eastAsia="Arial" w:hAnsi="Arial"/>
                <w:sz w:val="18"/>
                <w:szCs w:val="18"/>
                <w:color w:val="auto"/>
              </w:rPr>
              <w:t>the Compensation of our Named Executive</w:t>
            </w:r>
          </w:p>
        </w:tc>
        <w:tc>
          <w:tcPr>
            <w:tcW w:w="3620" w:type="dxa"/>
            <w:vAlign w:val="bottom"/>
            <w:shd w:val="clear" w:color="auto" w:fill="F4F9F9"/>
          </w:tcPr>
          <w:p>
            <w:pPr>
              <w:ind w:left="80"/>
              <w:spacing w:after="0" w:line="202" w:lineRule="exact"/>
              <w:rPr>
                <w:sz w:val="20"/>
                <w:szCs w:val="20"/>
                <w:color w:val="auto"/>
              </w:rPr>
            </w:pPr>
            <w:r>
              <w:rPr>
                <w:rFonts w:ascii="Arial" w:cs="Arial" w:eastAsia="Arial" w:hAnsi="Arial"/>
                <w:sz w:val="18"/>
                <w:szCs w:val="18"/>
                <w:color w:val="auto"/>
              </w:rPr>
              <w:t>Majority of shares present, in person or by</w:t>
            </w:r>
          </w:p>
        </w:tc>
        <w:tc>
          <w:tcPr>
            <w:tcW w:w="3740" w:type="dxa"/>
            <w:vAlign w:val="bottom"/>
            <w:shd w:val="clear" w:color="auto" w:fill="F4F9F9"/>
          </w:tcPr>
          <w:p>
            <w:pPr>
              <w:ind w:left="200"/>
              <w:spacing w:after="0" w:line="202" w:lineRule="exact"/>
              <w:rPr>
                <w:sz w:val="20"/>
                <w:szCs w:val="20"/>
                <w:color w:val="auto"/>
              </w:rPr>
            </w:pPr>
            <w:r>
              <w:rPr>
                <w:rFonts w:ascii="Arial" w:cs="Arial" w:eastAsia="Arial" w:hAnsi="Arial"/>
                <w:sz w:val="18"/>
                <w:szCs w:val="18"/>
                <w:color w:val="auto"/>
              </w:rPr>
              <w:t>Counted and will have the same effect as a</w:t>
            </w:r>
          </w:p>
        </w:tc>
      </w:tr>
      <w:tr>
        <w:trPr>
          <w:trHeight w:val="203"/>
        </w:trPr>
        <w:tc>
          <w:tcPr>
            <w:tcW w:w="20" w:type="dxa"/>
            <w:vAlign w:val="bottom"/>
          </w:tcPr>
          <w:p>
            <w:pPr>
              <w:spacing w:after="0"/>
              <w:rPr>
                <w:sz w:val="17"/>
                <w:szCs w:val="17"/>
                <w:color w:val="auto"/>
              </w:rPr>
            </w:pPr>
          </w:p>
        </w:tc>
        <w:tc>
          <w:tcPr>
            <w:tcW w:w="3660" w:type="dxa"/>
            <w:vAlign w:val="bottom"/>
            <w:tcBorders>
              <w:bottom w:val="single" w:sz="8" w:color="auto"/>
            </w:tcBorders>
            <w:shd w:val="clear" w:color="auto" w:fill="F4F9F9"/>
          </w:tcPr>
          <w:p>
            <w:pPr>
              <w:spacing w:after="0" w:line="203" w:lineRule="exact"/>
              <w:rPr>
                <w:sz w:val="20"/>
                <w:szCs w:val="20"/>
                <w:color w:val="auto"/>
              </w:rPr>
            </w:pPr>
            <w:r>
              <w:rPr>
                <w:rFonts w:ascii="Arial" w:cs="Arial" w:eastAsia="Arial" w:hAnsi="Arial"/>
                <w:sz w:val="18"/>
                <w:szCs w:val="18"/>
                <w:color w:val="auto"/>
              </w:rPr>
              <w:t>Officers</w:t>
            </w:r>
          </w:p>
        </w:tc>
        <w:tc>
          <w:tcPr>
            <w:tcW w:w="3620" w:type="dxa"/>
            <w:vAlign w:val="bottom"/>
            <w:tcBorders>
              <w:bottom w:val="single" w:sz="8" w:color="auto"/>
            </w:tcBorders>
            <w:shd w:val="clear" w:color="auto" w:fill="F4F9F9"/>
          </w:tcPr>
          <w:p>
            <w:pPr>
              <w:ind w:left="80"/>
              <w:spacing w:after="0" w:line="203" w:lineRule="exact"/>
              <w:rPr>
                <w:sz w:val="20"/>
                <w:szCs w:val="20"/>
                <w:color w:val="auto"/>
              </w:rPr>
            </w:pPr>
            <w:r>
              <w:rPr>
                <w:rFonts w:ascii="Arial" w:cs="Arial" w:eastAsia="Arial" w:hAnsi="Arial"/>
                <w:sz w:val="18"/>
                <w:szCs w:val="18"/>
                <w:color w:val="auto"/>
              </w:rPr>
              <w:t>proxy, and entitled to vote</w:t>
            </w:r>
          </w:p>
        </w:tc>
        <w:tc>
          <w:tcPr>
            <w:tcW w:w="3740" w:type="dxa"/>
            <w:vAlign w:val="bottom"/>
            <w:tcBorders>
              <w:bottom w:val="single" w:sz="8" w:color="auto"/>
            </w:tcBorders>
            <w:shd w:val="clear" w:color="auto" w:fill="F4F9F9"/>
          </w:tcPr>
          <w:p>
            <w:pPr>
              <w:ind w:left="200"/>
              <w:spacing w:after="0" w:line="203" w:lineRule="exact"/>
              <w:rPr>
                <w:sz w:val="20"/>
                <w:szCs w:val="20"/>
                <w:color w:val="auto"/>
              </w:rPr>
            </w:pPr>
            <w:r>
              <w:rPr>
                <w:rFonts w:ascii="Arial" w:cs="Arial" w:eastAsia="Arial" w:hAnsi="Arial"/>
                <w:sz w:val="18"/>
                <w:szCs w:val="18"/>
                <w:color w:val="auto"/>
              </w:rPr>
              <w:t>vote against such proposal</w:t>
            </w:r>
          </w:p>
        </w:tc>
      </w:tr>
    </w:tbl>
    <w:p>
      <w:pPr>
        <w:spacing w:after="0" w:line="107"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The plurality voting provisions of our Amended and Restated By-laws (the “By-laws”) will apply at the Meeting with respect to the election of directors. Because the number of nominees for director exceeded the number of directors to be elected at the Meeting fourteen days in advance of the date that this definitive Proxy Statement was first filed with the U.S. Securities and Exchange Commission (the “SEC”), the election of directors will qualify as a “Contested Election” under the By-laws. Accordingly, directors will be elected by a vote of a plurality of the shares represented in person or by proxy at the Meeting and entitled to vote on the election of directors. The thirteen nominees for director who receive the most votes of all votes cast for directors will be elected. If you do not vote for a particular nominee, or if you indicate on your proxy card, via the Internet or by telephone that you want to withhold authority to vote for a particular nominee, then your shares will not be voted for that nominee.</w:t>
      </w:r>
    </w:p>
    <w:p>
      <w:pPr>
        <w:spacing w:after="0" w:line="100"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If for some reason any director nominee is unable to serve, or for good cause will not serve if elected, the persons named as proxies may vote for a substitute nominee recommended by the Board and, unless you indicate otherwise on the proxy card, your shares will be voted in favor of the remaining nominees. If any substitute nominees are designated prior to the Meeting, the Company will file an amended proxy statement that, as applicable, identifies the substitute nominees, discloses that such nominees have consented to being named in the revised proxy statement and to serve if elected, and includes certain biographical and other information about such nominees required by the rules of the SEC. Alternatively, the Board may reduce the number of directors in accordance with the Company’s Amended and Restated Certificate of Incorporation and the By-laws, subject to the rights of SRS Investment Management, LLC and certain of its affiliates (collectively, “SRS”) to recommend a replacement director under the Second Amended and Restated Cooperation Agreement, dated as of April 16, 2018, between the Company and SRS.</w:t>
      </w:r>
    </w:p>
    <w:p>
      <w:pPr>
        <w:spacing w:after="0" w:line="99"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Pursuant to the By-laws, written notice by shareholders of qualifying nominations for election to the Board must have been received by our Secretary by February 15, 2018.</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What is a broker non-vote?</w:t>
      </w:r>
    </w:p>
    <w:p>
      <w:pPr>
        <w:spacing w:after="0" w:line="121"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A broker non-vote occurs when a broker does not have discretion to vote on a particular proposal and the broker has not received instructions from the beneficial owner of the shares of common stock as to how to vote on such proposal. If you hold your shares of Common Stock in “street name” and do not provide voting instructions to your broker within the required time frame before the Meeting, your shares of Common Stock will not be voted by the broker for Proposal Nos. 1 or 3, but the broker will have the discretion to vote your shares of Common Stock on Proposal No. 2. As a result, broker non-votes will have no effect on the outcome of Proposal Nos. 1 or 3.</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How do I vote?</w:t>
      </w:r>
    </w:p>
    <w:p>
      <w:pPr>
        <w:spacing w:after="0" w:line="121"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Whether you are a registered shareholder or hold any of your shares in “street name,” such as in a stock brokerage account or through a bank or other nominee, you may vote in the following ways:</w:t>
      </w:r>
    </w:p>
    <w:p>
      <w:pPr>
        <w:spacing w:after="0" w:line="8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56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By Phone</w:t>
            </w:r>
          </w:p>
        </w:tc>
        <w:tc>
          <w:tcPr>
            <w:tcW w:w="5400" w:type="dxa"/>
            <w:vAlign w:val="bottom"/>
            <w:tcBorders>
              <w:top w:val="single" w:sz="8" w:color="auto"/>
            </w:tcBorders>
          </w:tcPr>
          <w:p>
            <w:pPr>
              <w:ind w:left="220"/>
              <w:spacing w:after="0"/>
              <w:rPr>
                <w:sz w:val="20"/>
                <w:szCs w:val="20"/>
                <w:color w:val="auto"/>
              </w:rPr>
            </w:pPr>
            <w:r>
              <w:rPr>
                <w:rFonts w:ascii="Arial" w:cs="Arial" w:eastAsia="Arial" w:hAnsi="Arial"/>
                <w:sz w:val="18"/>
                <w:szCs w:val="18"/>
                <w:b w:val="1"/>
                <w:bCs w:val="1"/>
                <w:color w:val="auto"/>
              </w:rPr>
              <w:t>By Internet</w:t>
            </w:r>
          </w:p>
        </w:tc>
      </w:tr>
      <w:tr>
        <w:trPr>
          <w:trHeight w:val="195"/>
        </w:trPr>
        <w:tc>
          <w:tcPr>
            <w:tcW w:w="20" w:type="dxa"/>
            <w:vAlign w:val="bottom"/>
          </w:tcPr>
          <w:p>
            <w:pPr>
              <w:spacing w:after="0"/>
              <w:rPr>
                <w:sz w:val="16"/>
                <w:szCs w:val="16"/>
                <w:color w:val="auto"/>
              </w:rPr>
            </w:pPr>
          </w:p>
        </w:tc>
        <w:tc>
          <w:tcPr>
            <w:tcW w:w="56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Vote by dialing the number on the proxy card/voting instruction form</w:t>
            </w:r>
          </w:p>
        </w:tc>
        <w:tc>
          <w:tcPr>
            <w:tcW w:w="5400" w:type="dxa"/>
            <w:vAlign w:val="bottom"/>
            <w:tcBorders>
              <w:top w:val="single" w:sz="8" w:color="auto"/>
            </w:tcBorders>
            <w:shd w:val="clear" w:color="auto" w:fill="CCEEFF"/>
          </w:tcPr>
          <w:p>
            <w:pPr>
              <w:ind w:left="220"/>
              <w:spacing w:after="0" w:line="195" w:lineRule="exact"/>
              <w:rPr>
                <w:sz w:val="20"/>
                <w:szCs w:val="20"/>
                <w:color w:val="auto"/>
              </w:rPr>
            </w:pPr>
            <w:r>
              <w:rPr>
                <w:rFonts w:ascii="Arial" w:cs="Arial" w:eastAsia="Arial" w:hAnsi="Arial"/>
                <w:sz w:val="18"/>
                <w:szCs w:val="18"/>
                <w:color w:val="auto"/>
              </w:rPr>
              <w:t>Follow the instructions included on the proxy card/voting</w:t>
            </w:r>
          </w:p>
        </w:tc>
      </w:tr>
      <w:tr>
        <w:trPr>
          <w:trHeight w:val="203"/>
        </w:trPr>
        <w:tc>
          <w:tcPr>
            <w:tcW w:w="20" w:type="dxa"/>
            <w:vAlign w:val="bottom"/>
          </w:tcPr>
          <w:p>
            <w:pPr>
              <w:spacing w:after="0"/>
              <w:rPr>
                <w:sz w:val="17"/>
                <w:szCs w:val="17"/>
                <w:color w:val="auto"/>
              </w:rPr>
            </w:pPr>
          </w:p>
        </w:tc>
        <w:tc>
          <w:tcPr>
            <w:tcW w:w="562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and following the easy voice prompts</w:t>
            </w:r>
          </w:p>
        </w:tc>
        <w:tc>
          <w:tcPr>
            <w:tcW w:w="5400" w:type="dxa"/>
            <w:vAlign w:val="bottom"/>
            <w:tcBorders>
              <w:bottom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instruction form</w:t>
            </w:r>
          </w:p>
        </w:tc>
      </w:tr>
      <w:tr>
        <w:trPr>
          <w:trHeight w:val="196"/>
        </w:trPr>
        <w:tc>
          <w:tcPr>
            <w:tcW w:w="20" w:type="dxa"/>
            <w:vAlign w:val="bottom"/>
          </w:tcPr>
          <w:p>
            <w:pPr>
              <w:spacing w:after="0"/>
              <w:rPr>
                <w:sz w:val="17"/>
                <w:szCs w:val="17"/>
                <w:color w:val="auto"/>
              </w:rPr>
            </w:pPr>
          </w:p>
        </w:tc>
        <w:tc>
          <w:tcPr>
            <w:tcW w:w="5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By Mail</w:t>
            </w:r>
          </w:p>
        </w:tc>
        <w:tc>
          <w:tcPr>
            <w:tcW w:w="540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b w:val="1"/>
                <w:bCs w:val="1"/>
                <w:color w:val="auto"/>
              </w:rPr>
              <w:t>In Person</w:t>
            </w:r>
          </w:p>
        </w:tc>
      </w:tr>
      <w:tr>
        <w:trPr>
          <w:trHeight w:val="195"/>
        </w:trPr>
        <w:tc>
          <w:tcPr>
            <w:tcW w:w="20" w:type="dxa"/>
            <w:vAlign w:val="bottom"/>
          </w:tcPr>
          <w:p>
            <w:pPr>
              <w:spacing w:after="0"/>
              <w:rPr>
                <w:sz w:val="16"/>
                <w:szCs w:val="16"/>
                <w:color w:val="auto"/>
              </w:rPr>
            </w:pPr>
          </w:p>
        </w:tc>
        <w:tc>
          <w:tcPr>
            <w:tcW w:w="56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Vote by marking, signing and dating the proxy card/voting instruction</w:t>
            </w:r>
          </w:p>
        </w:tc>
        <w:tc>
          <w:tcPr>
            <w:tcW w:w="5400" w:type="dxa"/>
            <w:vAlign w:val="bottom"/>
            <w:shd w:val="clear" w:color="auto" w:fill="CCEEFF"/>
          </w:tcPr>
          <w:p>
            <w:pPr>
              <w:ind w:left="220"/>
              <w:spacing w:after="0" w:line="195" w:lineRule="exact"/>
              <w:rPr>
                <w:sz w:val="20"/>
                <w:szCs w:val="20"/>
                <w:color w:val="auto"/>
              </w:rPr>
            </w:pPr>
            <w:r>
              <w:rPr>
                <w:rFonts w:ascii="Arial" w:cs="Arial" w:eastAsia="Arial" w:hAnsi="Arial"/>
                <w:sz w:val="18"/>
                <w:szCs w:val="18"/>
                <w:color w:val="auto"/>
              </w:rPr>
              <w:t>Attend the Meeting and vote in person. If you hold any shares in</w:t>
            </w: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form and returning it promptly in the envelope provided</w:t>
            </w:r>
          </w:p>
        </w:tc>
        <w:tc>
          <w:tcPr>
            <w:tcW w:w="5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“street name,” you may not vote in person unless you bring with</w:t>
            </w:r>
          </w:p>
        </w:tc>
      </w:tr>
      <w:tr>
        <w:trPr>
          <w:trHeight w:val="203"/>
        </w:trPr>
        <w:tc>
          <w:tcPr>
            <w:tcW w:w="20" w:type="dxa"/>
            <w:vAlign w:val="bottom"/>
          </w:tcPr>
          <w:p>
            <w:pPr>
              <w:spacing w:after="0"/>
              <w:rPr>
                <w:sz w:val="17"/>
                <w:szCs w:val="17"/>
                <w:color w:val="auto"/>
              </w:rPr>
            </w:pPr>
          </w:p>
        </w:tc>
        <w:tc>
          <w:tcPr>
            <w:tcW w:w="5620" w:type="dxa"/>
            <w:vAlign w:val="bottom"/>
            <w:tcBorders>
              <w:bottom w:val="single" w:sz="8" w:color="auto"/>
            </w:tcBorders>
            <w:shd w:val="clear" w:color="auto" w:fill="CCEEFF"/>
          </w:tcPr>
          <w:p>
            <w:pPr>
              <w:spacing w:after="0"/>
              <w:rPr>
                <w:sz w:val="17"/>
                <w:szCs w:val="17"/>
                <w:color w:val="auto"/>
              </w:rPr>
            </w:pPr>
          </w:p>
        </w:tc>
        <w:tc>
          <w:tcPr>
            <w:tcW w:w="5400" w:type="dxa"/>
            <w:vAlign w:val="bottom"/>
            <w:tcBorders>
              <w:bottom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you a legal proxy from the organization that holds your shares</w:t>
            </w:r>
          </w:p>
        </w:tc>
      </w:tr>
    </w:tbl>
    <w:p>
      <w:pPr>
        <w:spacing w:after="0" w:line="107"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The deadline for voting by telephone or by Internet will vary depending upon how you vote your shares—please follow the instructions shown on your proxy card or voting instruction form.</w:t>
      </w:r>
    </w:p>
    <w:p>
      <w:pPr>
        <w:spacing w:after="0" w:line="89"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You should submit your proxy card or voting instructions as soon as possible. Enclosed with this Proxy Statement is a proxy card for registered shareholders (that is, if you hold your stock directly in your name through our transfer agent) or a voting instruction form for beneficial owners (if your shares are held in “street name”).</w:t>
      </w:r>
    </w:p>
    <w:p>
      <w:pPr>
        <w:spacing w:after="0" w:line="95"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If you are not the shareholder of record, please refer to the voting instructions provided by your bank, broker or other nominee to direct it how to vote your shares. Your vote is important.</w:t>
      </w:r>
    </w:p>
    <w:p>
      <w:pPr>
        <w:spacing w:after="0" w:line="89"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Certain of our shareholders hold their shares in more than one account and may receive separate proxy cards or voting instruction forms for each of those accounts. To ensure that all of your shares are represented at the Meeting, we recommend that you vote every proxy card or voting instruction form you receive.</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Can I change my vote?</w:t>
      </w:r>
    </w:p>
    <w:p>
      <w:pPr>
        <w:spacing w:after="0" w:line="121"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Yes. You may revoke your proxy at any time prior to the voting at the Meeting if, in accordance with the voting procedures described above, you:</w:t>
      </w:r>
    </w:p>
    <w:p>
      <w:pPr>
        <w:sectPr>
          <w:pgSz w:w="11900" w:h="16838" w:orient="portrait"/>
          <w:cols w:equalWidth="0" w:num="1">
            <w:col w:w="11240"/>
          </w:cols>
          <w:pgMar w:left="240" w:top="459" w:right="419" w:bottom="1440" w:gutter="0" w:footer="0" w:header="0"/>
        </w:sectPr>
      </w:pPr>
    </w:p>
    <w:p>
      <w:pPr>
        <w:spacing w:after="0" w:line="99"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vote again (including by phone or Internet by the applicable deadline); 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complete, sign, date and return a new proxy card or voting instruction form with a later date; or</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give timely written notice of such revocation to our Corporate Secretary at 6 Sylvan Way, Parsippany, N.J. 07054; or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attend the Meeting and vote in person.</w:t>
      </w:r>
    </w:p>
    <w:p>
      <w:pPr>
        <w:spacing w:after="0" w:line="238" w:lineRule="exact"/>
        <w:rPr>
          <w:sz w:val="20"/>
          <w:szCs w:val="20"/>
          <w:color w:val="auto"/>
        </w:rPr>
      </w:pPr>
    </w:p>
    <w:p>
      <w:pPr>
        <w:sectPr>
          <w:pgSz w:w="11900" w:h="16838" w:orient="portrait"/>
          <w:cols w:equalWidth="0" w:num="2">
            <w:col w:w="300" w:space="220"/>
            <w:col w:w="10720"/>
          </w:cols>
          <w:pgMar w:left="240" w:top="459" w:right="419" w:bottom="1440" w:gutter="0" w:footer="0" w:header="0"/>
          <w:type w:val="continuous"/>
        </w:sectPr>
      </w:pPr>
    </w:p>
    <w:p>
      <w:pPr>
        <w:ind w:left="200" w:right="20"/>
        <w:spacing w:after="0" w:line="246" w:lineRule="auto"/>
        <w:rPr>
          <w:sz w:val="20"/>
          <w:szCs w:val="20"/>
          <w:color w:val="auto"/>
        </w:rPr>
      </w:pPr>
      <w:r>
        <w:rPr>
          <w:rFonts w:ascii="Arial" w:cs="Arial" w:eastAsia="Arial" w:hAnsi="Arial"/>
          <w:sz w:val="18"/>
          <w:szCs w:val="18"/>
          <w:color w:val="auto"/>
        </w:rPr>
        <w:t>If your shares are held in “street name” (i.e., the shares are held of record by a broker, bank or other nominee) and you wish to revoke a proxy, you should contact your bank, broker or nominee and follow</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its procedures for changing your voting instructions. You also may vote in person at the Meeting if you obtain a legal proxy from your bank, broker or other nominee.</w:t>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Only the latest validly executed proxy that you submit will be counted.</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What if I do not vote with respect to some of the proposals?</w:t>
      </w:r>
    </w:p>
    <w:p>
      <w:pPr>
        <w:spacing w:after="0" w:line="121"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Shares of Common Stock represented by proxies received by the Company (whether through the return of a proxy card or voting instruction form) that do not contain voting instructions (or if you vote by telephone or electronically via the Internet without indicating how you want to vote) will be voted in accordance with the recommendations of the Board, including:</w:t>
      </w:r>
    </w:p>
    <w:p>
      <w:pPr>
        <w:sectPr>
          <w:pgSz w:w="11900" w:h="16838" w:orient="portrait"/>
          <w:cols w:equalWidth="0" w:num="1">
            <w:col w:w="11220"/>
          </w:cols>
          <w:pgMar w:left="240" w:top="459" w:right="439" w:bottom="1440" w:gutter="0" w:footer="0" w:header="0"/>
        </w:sectPr>
      </w:pPr>
    </w:p>
    <w:p>
      <w:pPr>
        <w:spacing w:after="0" w:line="105"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“FOR ALL” of the nominees recommended by the Board (Proposal No. 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ratification of the appointment of auditors (Proposal No. 2); and</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“FOR” the proposal regarding advisory approval of the compensation of our named executive officers (Proposal No. 3).</w:t>
      </w:r>
    </w:p>
    <w:p>
      <w:pPr>
        <w:spacing w:after="0" w:line="223" w:lineRule="exact"/>
        <w:rPr>
          <w:sz w:val="20"/>
          <w:szCs w:val="20"/>
          <w:color w:val="auto"/>
        </w:rPr>
      </w:pPr>
    </w:p>
    <w:p>
      <w:pPr>
        <w:sectPr>
          <w:pgSz w:w="11900" w:h="16838" w:orient="portrait"/>
          <w:cols w:equalWidth="0" w:num="2">
            <w:col w:w="300" w:space="220"/>
            <w:col w:w="1070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20"/>
          <w:szCs w:val="20"/>
          <w:b w:val="1"/>
          <w:bCs w:val="1"/>
          <w:color w:val="auto"/>
        </w:rPr>
        <w:t>Will my shares be voted if I do nothing?</w:t>
      </w:r>
    </w:p>
    <w:p>
      <w:pPr>
        <w:spacing w:after="0" w:line="121"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If your shares of our Common Stock are registered in your name, you must sign and return a proxy card or submit a proxy by telephone or by Internet in order for your shares to be voted.</w:t>
      </w:r>
    </w:p>
    <w:p>
      <w:pPr>
        <w:spacing w:after="0" w:line="89"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If you hold your shares of Common Stock in “street name” and do not provide voting instructions to your broker within the required time frame before the Meeting, your shares of Common Stock will not be voted by the broker for Proposal Nos. 1 or 3, but the broker will have the discretion to vote your shares of Common Stock on Proposal No. 2. As a result, broker non-votes will have no effect on the outcome of Proposal Nos. 1 or 3. If your shares of our Common Stock are held in “street name,” your broker, bank or nominee has enclosed a voting instruction form with this Proxy Statement. We strongly encourage you to authorize your broker or other nominee to vote your shares by following the instructions provided on the voting instruction form.</w:t>
      </w:r>
    </w:p>
    <w:p>
      <w:pPr>
        <w:spacing w:after="0" w:line="97"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To return your voting instruction form to your broker or other nominee by proxy, simply sign, date and return the enclosed voting instruction form in the accompanying postage-paid envelope, or vote by proxy by telephone or via the Internet in accordance with the instructions in the voting instruction form. Please contact the person responsible for your account to ensure that a proxy card or voting instruction form is voted on your behalf.</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How do participants in savings plans vote?</w:t>
      </w:r>
    </w:p>
    <w:p>
      <w:pPr>
        <w:spacing w:after="0" w:line="121"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If you hold shares of Common Stock in the “Avis Budget Group, Inc. Employee Savings Plan” or the “AB Car Rental Services Retirement Savings Plan for Bargaining Hourly Employees” (collectively, the “Savings Plans”), you will receive a voting instruction form that covers shares of Common Stock held for you in the Savings Plans. In accordance with the provisions of the Savings Plans, the respective trustees will vote your shares of Common Stock as you have directed. If you timely submit your voting instructions to the trustees of the Savings Plans by following the instructions on the enclosed voting instruction form, your shares will be voted as you have directed. To the extent such instructions are not received by mail by May 21, 2018 or by Internet or telephone prior to 11:59 p.m. Eastern Time on May 20, 2018, the trustees of the Savings Plans will vote the shares of Common Stock with respect to which they have not received instructions proportionately in accordance with the shares of Common Stock for which they have received instructions. Instructions given with respect to shares of Common Stock in accounts of the Savings Plans may be changed or revoked only in writing, and no such instructions may be revoked after May 21, 2018. Participants in the Savings Plans are not entitled to vote in person at the Meeting.</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How do participants in the Avis Budget Group, Inc. Employee Stock Purchase Plan (“ESPP”) vote?</w:t>
      </w:r>
    </w:p>
    <w:p>
      <w:pPr>
        <w:spacing w:after="0" w:line="121"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If you hold shares of Common Stock in the ESPP, you will receive a voting instruction form that covers shares of Common Stock held for you in the ESPP. In accordance with the provisions of the ESPP, the plan administrator will vote your shares of Common Stock as you have directed. Voting instructions must be received by the plan administrator by mail by May 21, 2018 or by Internet or telephone prior to 11:59 p.m. Eastern Time on May 20, 2018 by following the instructions on the enclosed voting instruction form for your shares to be voted as you have directed. If you do not provide instructions to the plan administrator by the applicable deadline, the plan administrator will not vote your shares.</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Do I need a ticket to attend the Meeting?</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Yes. Admission will be by ticket only. Admission to the Meeting will be expedited if tickets are obtained in advance.</w:t>
      </w:r>
    </w:p>
    <w:p>
      <w:pPr>
        <w:ind w:left="520" w:hanging="316"/>
        <w:spacing w:after="0" w:line="183" w:lineRule="auto"/>
        <w:tabs>
          <w:tab w:leader="none" w:pos="520" w:val="left"/>
        </w:tabs>
        <w:numPr>
          <w:ilvl w:val="0"/>
          <w:numId w:val="9"/>
        </w:numPr>
        <w:rPr>
          <w:rFonts w:ascii="Arial" w:cs="Arial" w:eastAsia="Arial" w:hAnsi="Arial"/>
          <w:sz w:val="38"/>
          <w:szCs w:val="38"/>
          <w:color w:val="auto"/>
          <w:vertAlign w:val="subscript"/>
        </w:rPr>
      </w:pPr>
      <w:r>
        <w:rPr>
          <w:rFonts w:ascii="Arial" w:cs="Arial" w:eastAsia="Arial" w:hAnsi="Arial"/>
          <w:sz w:val="15"/>
          <w:szCs w:val="15"/>
          <w:i w:val="1"/>
          <w:iCs w:val="1"/>
          <w:color w:val="auto"/>
        </w:rPr>
        <w:t>Registered shareholders</w:t>
      </w:r>
      <w:r>
        <w:rPr>
          <w:rFonts w:ascii="Arial" w:cs="Arial" w:eastAsia="Arial" w:hAnsi="Arial"/>
          <w:sz w:val="15"/>
          <w:szCs w:val="15"/>
          <w:color w:val="auto"/>
        </w:rPr>
        <w:t>: Bring the top portion of the proxy card enclosed with this Proxy Statement as your Meeting ticket.</w:t>
      </w:r>
    </w:p>
    <w:p>
      <w:pPr>
        <w:spacing w:after="0" w:line="225" w:lineRule="exact"/>
        <w:rPr>
          <w:rFonts w:ascii="Arial" w:cs="Arial" w:eastAsia="Arial" w:hAnsi="Arial"/>
          <w:sz w:val="38"/>
          <w:szCs w:val="38"/>
          <w:color w:val="auto"/>
          <w:vertAlign w:val="subscript"/>
        </w:rPr>
      </w:pPr>
    </w:p>
    <w:p>
      <w:pPr>
        <w:jc w:val="both"/>
        <w:ind w:left="520" w:hanging="316"/>
        <w:spacing w:after="0" w:line="181" w:lineRule="auto"/>
        <w:tabs>
          <w:tab w:leader="none" w:pos="520" w:val="left"/>
        </w:tabs>
        <w:numPr>
          <w:ilvl w:val="0"/>
          <w:numId w:val="9"/>
        </w:numPr>
        <w:rPr>
          <w:rFonts w:ascii="Arial" w:cs="Arial" w:eastAsia="Arial" w:hAnsi="Arial"/>
          <w:sz w:val="46"/>
          <w:szCs w:val="46"/>
          <w:color w:val="auto"/>
          <w:vertAlign w:val="subscript"/>
        </w:rPr>
      </w:pPr>
      <w:r>
        <w:rPr>
          <w:rFonts w:ascii="Arial" w:cs="Arial" w:eastAsia="Arial" w:hAnsi="Arial"/>
          <w:sz w:val="17"/>
          <w:szCs w:val="17"/>
          <w:i w:val="1"/>
          <w:iCs w:val="1"/>
          <w:color w:val="auto"/>
        </w:rPr>
        <w:t>Beneficial owners</w:t>
      </w:r>
      <w:r>
        <w:rPr>
          <w:rFonts w:ascii="Arial" w:cs="Arial" w:eastAsia="Arial" w:hAnsi="Arial"/>
          <w:sz w:val="17"/>
          <w:szCs w:val="17"/>
          <w:color w:val="auto"/>
        </w:rPr>
        <w:t>: If you own shares of Common Stock through an intermediary, such as a bank or broker, request tickets in writing</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Corporate Secretary at Avis Budget Group, Inc., 6 Sylvan Way, Parsippany, N.J. 07054. Please include proof of ownership, such as a bank or brokerage firm account statement or letter from the broker, trustee, bank or nominee holding your stock, confirming beneficial ownership as of the Record Date.</w:t>
      </w:r>
    </w:p>
    <w:p>
      <w:pPr>
        <w:spacing w:after="0" w:line="90" w:lineRule="exact"/>
        <w:rPr>
          <w:rFonts w:ascii="Arial" w:cs="Arial" w:eastAsia="Arial" w:hAnsi="Arial"/>
          <w:sz w:val="46"/>
          <w:szCs w:val="46"/>
          <w:color w:val="auto"/>
          <w:vertAlign w:val="subscript"/>
        </w:rPr>
      </w:pPr>
    </w:p>
    <w:p>
      <w:pPr>
        <w:ind w:left="520" w:hanging="316"/>
        <w:spacing w:after="0" w:line="182" w:lineRule="auto"/>
        <w:tabs>
          <w:tab w:leader="none" w:pos="520" w:val="left"/>
        </w:tabs>
        <w:numPr>
          <w:ilvl w:val="0"/>
          <w:numId w:val="9"/>
        </w:numPr>
        <w:rPr>
          <w:rFonts w:ascii="Arial" w:cs="Arial" w:eastAsia="Arial" w:hAnsi="Arial"/>
          <w:sz w:val="35"/>
          <w:szCs w:val="35"/>
          <w:color w:val="auto"/>
          <w:vertAlign w:val="subscript"/>
        </w:rPr>
      </w:pPr>
      <w:r>
        <w:rPr>
          <w:rFonts w:ascii="Arial" w:cs="Arial" w:eastAsia="Arial" w:hAnsi="Arial"/>
          <w:sz w:val="15"/>
          <w:szCs w:val="15"/>
          <w:i w:val="1"/>
          <w:iCs w:val="1"/>
          <w:color w:val="auto"/>
        </w:rPr>
        <w:t>Shareholders without advance tickets</w:t>
      </w:r>
      <w:r>
        <w:rPr>
          <w:rFonts w:ascii="Arial" w:cs="Arial" w:eastAsia="Arial" w:hAnsi="Arial"/>
          <w:sz w:val="15"/>
          <w:szCs w:val="15"/>
          <w:color w:val="auto"/>
        </w:rPr>
        <w:t>: Shareholders who do not obtain tickets in advance may obtain tickets on the Meeting date at</w:t>
      </w:r>
      <w:r>
        <w:rPr>
          <w:rFonts w:ascii="Arial" w:cs="Arial" w:eastAsia="Arial" w:hAnsi="Arial"/>
          <w:sz w:val="15"/>
          <w:szCs w:val="15"/>
          <w:i w:val="1"/>
          <w:iCs w:val="1"/>
          <w:color w:val="auto"/>
        </w:rPr>
        <w:t xml:space="preserve"> </w:t>
      </w:r>
      <w:r>
        <w:rPr>
          <w:rFonts w:ascii="Arial" w:cs="Arial" w:eastAsia="Arial" w:hAnsi="Arial"/>
          <w:sz w:val="15"/>
          <w:szCs w:val="15"/>
          <w:color w:val="auto"/>
        </w:rPr>
        <w:t>the registration desk upon verifying their stock ownership as of the Record Date.</w:t>
      </w:r>
    </w:p>
    <w:p>
      <w:pPr>
        <w:spacing w:after="0" w:line="95"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Attendance at the Meeting will be limited to shareholders as of the Record Date, their authorized representatives and guests of the Company. Tickets may be issued to others at the discretion of the Company. In accordance with the Company’s security procedures, all persons attending the Meeting must present picture identification along with their admission ticket or proof of beneficial ownership in order to gain admission. Cameras and recording devices will not be permitted at the Meeting.</w:t>
      </w:r>
    </w:p>
    <w:p>
      <w:pPr>
        <w:spacing w:after="0" w:line="94"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Even if you plan to attend the Meeting, we strongly urge you to vote in advance by proxy by signing and dating the enclosed proxy card and returning it in the postage-paid envelope provided or by voting via the Internet or by telephone by following the instructions provided on the enclosed proxy card.</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How can I find the voting results of the Annual Meeting?</w:t>
      </w:r>
    </w:p>
    <w:p>
      <w:pPr>
        <w:spacing w:after="0" w:line="121"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Voting results will be tallied by the inspector of election. The Company will report the preliminary results in a Current Report on Form 8-K, to be filed with the SEC within four business days following the Meeting, and the final results as soon as practicable following certification by the inspector of election.</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How can I access the Company’s proxy materials and annual report electronically?</w:t>
      </w:r>
    </w:p>
    <w:p>
      <w:pPr>
        <w:spacing w:after="0" w:line="103" w:lineRule="exact"/>
        <w:rPr>
          <w:sz w:val="20"/>
          <w:szCs w:val="20"/>
          <w:color w:val="auto"/>
        </w:rPr>
      </w:pPr>
    </w:p>
    <w:p>
      <w:pPr>
        <w:jc w:val="both"/>
        <w:ind w:left="200"/>
        <w:spacing w:after="0" w:line="241" w:lineRule="auto"/>
        <w:rPr>
          <w:sz w:val="20"/>
          <w:szCs w:val="20"/>
          <w:color w:val="auto"/>
        </w:rPr>
      </w:pPr>
      <w:r>
        <w:rPr>
          <w:rFonts w:ascii="Arial" w:cs="Arial" w:eastAsia="Arial" w:hAnsi="Arial"/>
          <w:sz w:val="18"/>
          <w:szCs w:val="18"/>
          <w:color w:val="auto"/>
        </w:rPr>
        <w:t xml:space="preserve">This Proxy Statement and the Company’s 2017 Annual Report may be viewed online at </w:t>
      </w:r>
      <w:r>
        <w:rPr>
          <w:rFonts w:ascii="Arial" w:cs="Arial" w:eastAsia="Arial" w:hAnsi="Arial"/>
          <w:sz w:val="18"/>
          <w:szCs w:val="18"/>
          <w:i w:val="1"/>
          <w:iCs w:val="1"/>
          <w:color w:val="auto"/>
        </w:rPr>
        <w:t>www.eproxyaccess.com/car2018</w:t>
      </w:r>
      <w:r>
        <w:rPr>
          <w:rFonts w:ascii="Arial" w:cs="Arial" w:eastAsia="Arial" w:hAnsi="Arial"/>
          <w:sz w:val="18"/>
          <w:szCs w:val="18"/>
          <w:color w:val="auto"/>
        </w:rPr>
        <w:t xml:space="preserve">. If you are a shareholder of record, you can elect to receive future annual reports and proxy statements electronically by enrolling at </w:t>
      </w:r>
      <w:r>
        <w:rPr>
          <w:rFonts w:ascii="Arial" w:cs="Arial" w:eastAsia="Arial" w:hAnsi="Arial"/>
          <w:sz w:val="18"/>
          <w:szCs w:val="18"/>
          <w:i w:val="1"/>
          <w:iCs w:val="1"/>
          <w:color w:val="auto"/>
        </w:rPr>
        <w:t>www.eproxyaccess.com/car2018</w:t>
      </w:r>
      <w:r>
        <w:rPr>
          <w:rFonts w:ascii="Arial" w:cs="Arial" w:eastAsia="Arial" w:hAnsi="Arial"/>
          <w:sz w:val="18"/>
          <w:szCs w:val="18"/>
          <w:color w:val="auto"/>
        </w:rPr>
        <w:t>. If you choose this option, you will receive a proxy form in April 2019 listing the website locations where</w:t>
      </w:r>
      <w:r>
        <w:rPr>
          <w:rFonts w:ascii="Arial" w:cs="Arial" w:eastAsia="Arial" w:hAnsi="Arial"/>
          <w:sz w:val="18"/>
          <w:szCs w:val="18"/>
          <w:i w:val="1"/>
          <w:iCs w:val="1"/>
          <w:color w:val="auto"/>
        </w:rPr>
        <w:t xml:space="preserve"> </w:t>
      </w:r>
      <w:r>
        <w:rPr>
          <w:rFonts w:ascii="Arial" w:cs="Arial" w:eastAsia="Arial" w:hAnsi="Arial"/>
          <w:sz w:val="18"/>
          <w:szCs w:val="18"/>
          <w:color w:val="auto"/>
        </w:rPr>
        <w:t>proxy materials will be posted, and your choice will remain in effect until you notify us by mail that you wish to resume mail delivery of these documents. If you hold your shares of Common Stock through a bank, broker or another holder of record, refer to the information provided by that entity for instructions on how to elect this option.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How does a shareholder nominate someone to be a director?</w:t>
      </w:r>
    </w:p>
    <w:p>
      <w:pPr>
        <w:spacing w:after="0" w:line="121"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Director nominations may be made by a shareholder so long as the qualifying shareholder follows the procedures outlined in the By-laws. Pursuant to the By-laws, for a nomination to be made by a shareholder, such shareholder must have given the proper notice within the specific time limits set forth in the relevant provision therein. For the 2019 annual meeting, the Company must receive this notice on or before February 22, 2019. Such notice and nomination should be submitted in writing to the Corporate Secretary of the Company and should include the information required for shareholder nominations set forth in the By-laws.</w:t>
      </w:r>
    </w:p>
    <w:p>
      <w:pPr>
        <w:spacing w:after="0" w:line="9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 xml:space="preserve">A copy of the full text of the provision of the By-laws describing the procedure for shareholder nominations may be accessed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Nothing contained in any section of the Company’s website is incorporated by reference into this Proxy Statement.</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Who pays for the Company’s proxy solicitation?</w:t>
      </w:r>
    </w:p>
    <w:p>
      <w:pPr>
        <w:spacing w:after="0" w:line="121"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The Company will bear the cost of the solicitation of proxies by the Company. For additional information regarding the cost of this solicitation, please see the section titled “Additional Information—Costs of Solicitation” on pages 61-62 of this Proxy Statement.</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Who should I call if I have questions about the Meeting?</w:t>
      </w:r>
    </w:p>
    <w:p>
      <w:pPr>
        <w:spacing w:after="0" w:line="121"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If you have any questions or require any assistance with voting your shares, or if you need additional copies of the proxy materials, please contact our proxy solicitation firm, Innisfree M&amp;A Incorporated, at:</w:t>
      </w:r>
    </w:p>
    <w:p>
      <w:pPr>
        <w:spacing w:after="0" w:line="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Innisfree M&amp;A Incorporated</w:t>
      </w:r>
    </w:p>
    <w:p>
      <w:pPr>
        <w:jc w:val="center"/>
        <w:ind w:right="-199"/>
        <w:spacing w:after="0" w:line="234" w:lineRule="auto"/>
        <w:rPr>
          <w:sz w:val="20"/>
          <w:szCs w:val="20"/>
          <w:color w:val="auto"/>
        </w:rPr>
      </w:pPr>
      <w:r>
        <w:rPr>
          <w:rFonts w:ascii="Arial" w:cs="Arial" w:eastAsia="Arial" w:hAnsi="Arial"/>
          <w:sz w:val="18"/>
          <w:szCs w:val="18"/>
          <w:color w:val="auto"/>
        </w:rPr>
        <w:t>501 Madison Avenue, 20th Floor</w:t>
      </w:r>
    </w:p>
    <w:p>
      <w:pPr>
        <w:jc w:val="center"/>
        <w:ind w:right="-199"/>
        <w:spacing w:after="0" w:line="235" w:lineRule="auto"/>
        <w:rPr>
          <w:sz w:val="20"/>
          <w:szCs w:val="20"/>
          <w:color w:val="auto"/>
        </w:rPr>
      </w:pPr>
      <w:r>
        <w:rPr>
          <w:rFonts w:ascii="Arial" w:cs="Arial" w:eastAsia="Arial" w:hAnsi="Arial"/>
          <w:sz w:val="18"/>
          <w:szCs w:val="18"/>
          <w:color w:val="auto"/>
        </w:rPr>
        <w:t>New York, NY 10022</w:t>
      </w:r>
    </w:p>
    <w:p>
      <w:pPr>
        <w:jc w:val="center"/>
        <w:ind w:right="-199"/>
        <w:spacing w:after="0" w:line="235" w:lineRule="auto"/>
        <w:rPr>
          <w:sz w:val="20"/>
          <w:szCs w:val="20"/>
          <w:color w:val="auto"/>
        </w:rPr>
      </w:pPr>
      <w:r>
        <w:rPr>
          <w:rFonts w:ascii="Arial" w:cs="Arial" w:eastAsia="Arial" w:hAnsi="Arial"/>
          <w:sz w:val="18"/>
          <w:szCs w:val="18"/>
          <w:color w:val="auto"/>
        </w:rPr>
        <w:t>Shareholders may call toll-free at (877) 687-1866</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Banks and brokers may call collect at (212) 750-5833</w:t>
      </w: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-125095</wp:posOffset>
            </wp:positionV>
            <wp:extent cx="5325745" cy="797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25745" cy="79756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18"/>
          <w:szCs w:val="18"/>
          <w:b w:val="1"/>
          <w:bCs w:val="1"/>
          <w:color w:val="auto"/>
        </w:rPr>
        <w:t>for the Shareholder Meeting to Be Held on May 23, 2018:</w:t>
      </w:r>
    </w:p>
    <w:p>
      <w:pPr>
        <w:jc w:val="center"/>
        <w:ind w:right="-219"/>
        <w:spacing w:after="0" w:line="234" w:lineRule="auto"/>
        <w:rPr>
          <w:sz w:val="20"/>
          <w:szCs w:val="20"/>
          <w:color w:val="auto"/>
        </w:rPr>
      </w:pPr>
      <w:r>
        <w:rPr>
          <w:rFonts w:ascii="Arial" w:cs="Arial" w:eastAsia="Arial" w:hAnsi="Arial"/>
          <w:sz w:val="18"/>
          <w:szCs w:val="18"/>
          <w:b w:val="1"/>
          <w:bCs w:val="1"/>
          <w:color w:val="auto"/>
        </w:rPr>
        <w:t>The Company’s Proxy Statement on Schedule 14A,</w:t>
      </w:r>
    </w:p>
    <w:p>
      <w:pPr>
        <w:jc w:val="center"/>
        <w:ind w:right="-219"/>
        <w:spacing w:after="0" w:line="235" w:lineRule="auto"/>
        <w:rPr>
          <w:sz w:val="20"/>
          <w:szCs w:val="20"/>
          <w:color w:val="auto"/>
        </w:rPr>
      </w:pPr>
      <w:r>
        <w:rPr>
          <w:rFonts w:ascii="Arial" w:cs="Arial" w:eastAsia="Arial" w:hAnsi="Arial"/>
          <w:sz w:val="18"/>
          <w:szCs w:val="18"/>
          <w:b w:val="1"/>
          <w:bCs w:val="1"/>
          <w:color w:val="auto"/>
        </w:rPr>
        <w:t>form of proxy card and 2017 Annual Report on Form 10-K</w:t>
      </w:r>
    </w:p>
    <w:p>
      <w:pPr>
        <w:jc w:val="center"/>
        <w:ind w:right="-219"/>
        <w:spacing w:after="0" w:line="235" w:lineRule="auto"/>
        <w:rPr>
          <w:sz w:val="20"/>
          <w:szCs w:val="20"/>
          <w:color w:val="auto"/>
        </w:rPr>
      </w:pPr>
      <w:r>
        <w:rPr>
          <w:rFonts w:ascii="Arial" w:cs="Arial" w:eastAsia="Arial" w:hAnsi="Arial"/>
          <w:sz w:val="18"/>
          <w:szCs w:val="18"/>
          <w:b w:val="1"/>
          <w:bCs w:val="1"/>
          <w:color w:val="auto"/>
        </w:rPr>
        <w:t>are available at</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www.eproxyaccess.com/car2018</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right="5100"/>
        <w:spacing w:after="0" w:line="254" w:lineRule="auto"/>
        <w:rPr>
          <w:sz w:val="20"/>
          <w:szCs w:val="20"/>
          <w:color w:val="auto"/>
        </w:rPr>
      </w:pPr>
      <w:r>
        <w:rPr>
          <w:rFonts w:ascii="Arial" w:cs="Arial" w:eastAsia="Arial" w:hAnsi="Arial"/>
          <w:sz w:val="36"/>
          <w:szCs w:val="36"/>
          <w:color w:val="auto"/>
        </w:rPr>
        <w:t>Proposals to Be Voted On at Meeting Proposal No. 1</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Election Of Directors</w:t>
      </w:r>
    </w:p>
    <w:p>
      <w:pPr>
        <w:spacing w:after="0" w:line="147"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The Board of Directors (the “Board”) has nominated Larry D. De Shon, Brian J. Choi, Mary C. Choksi, Leonard S. Coleman, Jeffrey H. Fox, Lynn Krominga, Glenn Lurie, Eduardo G. Mestre, Jagdeep Pahwa, F. Robert Salerno, Francis J. Shammo, Carl Sparks and Sanoke Viswanathan to be elected at the 2018 Annual Meeting of Shareholders (the “Meeting”) to serve as directors for a one-year term ending at the 2019 annual meeting of shareholders and until his or her successor is duly elected and qualified or until his or her earlier resignation or removal. Messrs. De Shon, Choi, Coleman, Fox, Mestre, Salerno and Viswanathan and Mses. Choksi and Krominga were each elected for one-year terms at the 2017 annual meeting of shareholders. For certain information regarding each nominee, see “Board of Directors— Biographical Information for Nominees” below.</w:t>
      </w:r>
    </w:p>
    <w:p>
      <w:pPr>
        <w:spacing w:after="0" w:line="95"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Each nominee has provided a consent permitting the Company to name such nominee in this Proxy Statement and stating that such nominee consents to serve if elected as a director.</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Second Amended and Restated Cooperation Agreement and Appointment of Messrs. Pahwa and Sparks</w:t>
      </w:r>
    </w:p>
    <w:p>
      <w:pPr>
        <w:spacing w:after="0" w:line="121"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On April 16, 2018, the Company entered into a Second Amended and Restated Cooperation Agreement with SRS Investment Management, LLC and certain of its affiliates (collectively, “SRS”) regarding the membership and composition of the Board and related matters (the “Second Amended and Restated Cooperation Agreement”). Pursuant to the Second Amended and Restated Cooperation Agreement, the Company agreed to appoint Messrs. Pahwa and Sparks to the Board effective April 20, 2018 and agreed to nominate Messrs. Choi, Pahwa, Sparks and Viswanathan for election to the Board at the Meeting. In addition, under the terms of the Second Amended and Restated Cooperation Agreement, for so long as their respective service on the Board continues, Mr. Choi will be appointed to the Compensation Committee and Mr. Pahwa will be appointed to the Executive Committee and the Corporate Governance Committee.</w:t>
      </w:r>
    </w:p>
    <w:p>
      <w:pPr>
        <w:spacing w:after="0" w:line="9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For a further description of the terms of the Second Amended and Restated Cooperation Agreement, including a copy of the Second Amended and Restated Cooperation Agreement, please see our Current Report on Form 8-K filed by the Company with the U.S. Securities and Exchange Commission on April 16, 2018.</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Biographical Information for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8"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following material contains information concerning the Board’s nominees, including their period of service as a director (if any), their recent employment, other directorships, including those held during the past five years with a public company or registered investment company, and age as of the Meeting.</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 Executive</w:t>
      </w:r>
    </w:p>
    <w:p>
      <w:pPr>
        <w:spacing w:after="0" w:line="104" w:lineRule="exact"/>
        <w:rPr>
          <w:sz w:val="20"/>
          <w:szCs w:val="20"/>
          <w:color w:val="auto"/>
        </w:rPr>
      </w:pPr>
    </w:p>
    <w:p>
      <w:pPr>
        <w:jc w:val="both"/>
        <w:ind w:left="200"/>
        <w:spacing w:after="0" w:line="247" w:lineRule="auto"/>
        <w:rPr>
          <w:sz w:val="20"/>
          <w:szCs w:val="20"/>
          <w:color w:val="auto"/>
        </w:rPr>
      </w:pPr>
      <w:r>
        <w:rPr>
          <w:rFonts w:ascii="Arial" w:cs="Arial" w:eastAsia="Arial" w:hAnsi="Arial"/>
          <w:sz w:val="18"/>
          <w:szCs w:val="18"/>
          <w:b w:val="1"/>
          <w:bCs w:val="1"/>
          <w:color w:val="auto"/>
        </w:rPr>
        <w:t>Mr. De Shon</w:t>
      </w:r>
      <w:r>
        <w:rPr>
          <w:rFonts w:ascii="Arial" w:cs="Arial" w:eastAsia="Arial" w:hAnsi="Arial"/>
          <w:sz w:val="18"/>
          <w:szCs w:val="18"/>
          <w:color w:val="auto"/>
        </w:rPr>
        <w:t>, age 58, has been a director since October 2015. Mr. De Shon has served as Chief Executive Officer and Chief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Avis Budget Group, Inc. since January 2016, and assumed the title of President in June 2017. Previously, Mr. De Shon held the title of President and Chief Operating Officer from October 2015 through December 2015, President, International from January 2015 until October 2015, President, Europe, Middle East and Africa (“EMEA”) from</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October 2011 until January 2015, and Executive Vice President, Operations from October 2006 to October 2011. Prior to joining the Company, Mr. De Shon spent 28 years at United Airlines, starting as a customer service representative and advancing to hold a number of positions of increasing responsibility during his tenure, including Senior Vice President positions in marketing, on-board service and global airport operations.</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ectPr>
          <w:pgSz w:w="11900" w:h="16838" w:orient="portrait"/>
          <w:cols w:equalWidth="0" w:num="1">
            <w:col w:w="11220"/>
          </w:cols>
          <w:pgMar w:left="240" w:top="459" w:right="439" w:bottom="1440" w:gutter="0" w:footer="0" w:header="0"/>
        </w:sectPr>
      </w:pPr>
    </w:p>
    <w:p>
      <w:pPr>
        <w:spacing w:after="0" w:line="136"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experience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Extensive operating experience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International experience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Company and industry experience</w:t>
      </w:r>
    </w:p>
    <w:p>
      <w:pPr>
        <w:spacing w:after="0" w:line="311" w:lineRule="exact"/>
        <w:rPr>
          <w:sz w:val="20"/>
          <w:szCs w:val="20"/>
          <w:color w:val="auto"/>
        </w:rPr>
      </w:pPr>
    </w:p>
    <w:p>
      <w:pPr>
        <w:sectPr>
          <w:pgSz w:w="11900" w:h="16838" w:orient="portrait"/>
          <w:cols w:equalWidth="0" w:num="2">
            <w:col w:w="300" w:space="220"/>
            <w:col w:w="10700"/>
          </w:cols>
          <w:pgMar w:left="240" w:top="459" w:right="439" w:bottom="1440" w:gutter="0" w:footer="0" w:header="0"/>
          <w:type w:val="continuous"/>
        </w:sectPr>
      </w:pPr>
    </w:p>
    <w:p>
      <w:pPr>
        <w:spacing w:after="0" w:line="111"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BRIAN J.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 Compensation</w:t>
      </w:r>
    </w:p>
    <w:p>
      <w:pPr>
        <w:spacing w:after="0" w:line="104" w:lineRule="exact"/>
        <w:rPr>
          <w:sz w:val="20"/>
          <w:szCs w:val="20"/>
          <w:color w:val="auto"/>
        </w:rPr>
      </w:pPr>
    </w:p>
    <w:p>
      <w:pPr>
        <w:jc w:val="both"/>
        <w:ind w:left="200"/>
        <w:spacing w:after="0" w:line="244" w:lineRule="auto"/>
        <w:rPr>
          <w:sz w:val="20"/>
          <w:szCs w:val="20"/>
          <w:color w:val="auto"/>
        </w:rPr>
      </w:pPr>
      <w:r>
        <w:rPr>
          <w:rFonts w:ascii="Arial" w:cs="Arial" w:eastAsia="Arial" w:hAnsi="Arial"/>
          <w:sz w:val="18"/>
          <w:szCs w:val="18"/>
          <w:b w:val="1"/>
          <w:bCs w:val="1"/>
          <w:color w:val="auto"/>
        </w:rPr>
        <w:t>Mr. Choi</w:t>
      </w:r>
      <w:r>
        <w:rPr>
          <w:rFonts w:ascii="Arial" w:cs="Arial" w:eastAsia="Arial" w:hAnsi="Arial"/>
          <w:sz w:val="18"/>
          <w:szCs w:val="18"/>
          <w:color w:val="auto"/>
        </w:rPr>
        <w:t>, age 35, has been a director since January 2016. Mr. Choi is a partner at SRS Investment Management, LLC and certain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and has served in various roles at SRS since October 2008. Previously, Mr. Choi worked at Metalmark Capital from 2007 to 2008 and he also served as an analyst in the Leveraged Finance Group at Lehman Brothers from 2005 to 2007. Mr. Choi was initially appointed to the Board pursuant to the terms of a cooperation agreement between the Company and SRS Investment Management, LLC and certain of its affiliates.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ectPr>
          <w:pgSz w:w="11900" w:h="16838" w:orient="portrait"/>
          <w:cols w:equalWidth="0" w:num="1">
            <w:col w:w="11220"/>
          </w:cols>
          <w:pgMar w:left="240" w:top="459" w:right="439" w:bottom="1440" w:gutter="0" w:footer="0" w:header="0"/>
          <w:type w:val="continuous"/>
        </w:sectPr>
      </w:pPr>
    </w:p>
    <w:p>
      <w:pPr>
        <w:spacing w:after="0" w:line="136"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Financial expertise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Industry expertise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Diverse personal background</w:t>
      </w:r>
    </w:p>
    <w:p>
      <w:pPr>
        <w:spacing w:after="0" w:line="323" w:lineRule="exact"/>
        <w:rPr>
          <w:sz w:val="20"/>
          <w:szCs w:val="20"/>
          <w:color w:val="auto"/>
        </w:rPr>
      </w:pPr>
    </w:p>
    <w:p>
      <w:pPr>
        <w:sectPr>
          <w:pgSz w:w="11900" w:h="16838" w:orient="portrait"/>
          <w:cols w:equalWidth="0" w:num="2">
            <w:col w:w="300" w:space="220"/>
            <w:col w:w="10700"/>
          </w:cols>
          <w:pgMar w:left="240" w:top="459" w:right="439" w:bottom="1440" w:gutter="0" w:footer="0" w:header="0"/>
          <w:type w:val="continuous"/>
        </w:sectPr>
      </w:pPr>
    </w:p>
    <w:p>
      <w:pPr>
        <w:spacing w:after="0" w:line="3"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MARY C. CHOKSI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 Audit, Corporate Governance</w:t>
      </w:r>
    </w:p>
    <w:p>
      <w:pPr>
        <w:spacing w:after="0" w:line="104"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b w:val="1"/>
          <w:bCs w:val="1"/>
          <w:color w:val="auto"/>
        </w:rPr>
        <w:t>Ms. Choksi</w:t>
      </w:r>
      <w:r>
        <w:rPr>
          <w:rFonts w:ascii="Arial" w:cs="Arial" w:eastAsia="Arial" w:hAnsi="Arial"/>
          <w:sz w:val="18"/>
          <w:szCs w:val="18"/>
          <w:color w:val="auto"/>
        </w:rPr>
        <w:t>, age 67, has been a director since March 2007. From August 2015 to January 2017, Ms. Choksi was a Senior Advisor at</w:t>
      </w:r>
      <w:r>
        <w:rPr>
          <w:rFonts w:ascii="Arial" w:cs="Arial" w:eastAsia="Arial" w:hAnsi="Arial"/>
          <w:sz w:val="18"/>
          <w:szCs w:val="18"/>
          <w:b w:val="1"/>
          <w:bCs w:val="1"/>
          <w:color w:val="auto"/>
        </w:rPr>
        <w:t xml:space="preserve"> </w:t>
      </w:r>
      <w:r>
        <w:rPr>
          <w:rFonts w:ascii="Arial" w:cs="Arial" w:eastAsia="Arial" w:hAnsi="Arial"/>
          <w:sz w:val="18"/>
          <w:szCs w:val="18"/>
          <w:color w:val="auto"/>
        </w:rPr>
        <w:t>Strategic Investment Group (“Strategic”), an investment management group founded in 1987, which designs and implements global investment strategies for large institutional and individual investors. Previously, Ms. Choksi was Founding Partner and Senior Managing Director of Strategic. Within Strategic, Ms. Choksi was a member of the investment strategy group charged with overseeing the asset mix of globally diversified client portfolios, supervised reporting to all clients and had responsibilities in corporate planning. Ms. Choksi was also a Founding Partner and, until May 2011, a Managing Director at Emerging Markets Investors Corporation (“EMI”). EMI and its successor, Ashmore EMM, manage portfolios of marketable equities in the emerging markets of Asia, Europe, Latin America, Africa and the Middle East on behalf of institutional and private investors. Prior to the establishment of Strategic and EMI, Ms. Choksi worked in the Pension Investment Division of the World Bank, which was responsible for investing the institution’s pension plan. Before joining the Bank’s finance complex, she worked for nine years in the development arm of the Bank, working on South and Southeast Asia. Ms. Choksi is also a director of the following companies which file reports pursuant to the Exchange Act: White Mountains Insurance Group, Ltd. and Omnicom Group Inc. Ms. Choksi is a member of Omnicom’s Audit and Compensation Committees. Ms. Choksi also serves as a trustee of various mutual funds in the Franklin Templeton Funds family.</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ectPr>
          <w:pgSz w:w="11900" w:h="16838" w:orient="portrait"/>
          <w:cols w:equalWidth="0" w:num="1">
            <w:col w:w="11220"/>
          </w:cols>
          <w:pgMar w:left="240" w:top="459" w:right="439" w:bottom="1440" w:gutter="0" w:footer="0" w:header="0"/>
        </w:sectPr>
      </w:pPr>
    </w:p>
    <w:p>
      <w:pPr>
        <w:spacing w:after="0" w:line="136"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Financial and executive management expertise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Broad international experience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Diverse personal background</w:t>
      </w:r>
    </w:p>
    <w:p>
      <w:pPr>
        <w:spacing w:after="0" w:line="311" w:lineRule="exact"/>
        <w:rPr>
          <w:sz w:val="20"/>
          <w:szCs w:val="20"/>
          <w:color w:val="auto"/>
        </w:rPr>
      </w:pPr>
    </w:p>
    <w:p>
      <w:pPr>
        <w:sectPr>
          <w:pgSz w:w="11900" w:h="16838" w:orient="portrait"/>
          <w:cols w:equalWidth="0" w:num="2">
            <w:col w:w="300" w:space="220"/>
            <w:col w:w="10700"/>
          </w:cols>
          <w:pgMar w:left="240" w:top="459" w:right="439" w:bottom="1440" w:gutter="0" w:footer="0" w:header="0"/>
          <w:type w:val="continuous"/>
        </w:sectPr>
      </w:pPr>
    </w:p>
    <w:p>
      <w:pPr>
        <w:spacing w:after="0" w:line="111"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LEONARD S.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Presiding Director</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 Compensation, Corporate Governance (Chair)</w:t>
      </w:r>
    </w:p>
    <w:p>
      <w:pPr>
        <w:spacing w:after="0" w:line="82"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b w:val="1"/>
          <w:bCs w:val="1"/>
          <w:color w:val="auto"/>
        </w:rPr>
        <w:t>Mr. Coleman</w:t>
      </w:r>
      <w:r>
        <w:rPr>
          <w:rFonts w:ascii="Arial" w:cs="Arial" w:eastAsia="Arial" w:hAnsi="Arial"/>
          <w:sz w:val="18"/>
          <w:szCs w:val="18"/>
          <w:color w:val="auto"/>
        </w:rPr>
        <w:t>, age 69, has been a director of Avis Budget Group, Inc. since August 2006. Mr. Coleman was a Senior Advisor to Major</w:t>
      </w:r>
      <w:r>
        <w:rPr>
          <w:rFonts w:ascii="Arial" w:cs="Arial" w:eastAsia="Arial" w:hAnsi="Arial"/>
          <w:sz w:val="18"/>
          <w:szCs w:val="18"/>
          <w:b w:val="1"/>
          <w:bCs w:val="1"/>
          <w:color w:val="auto"/>
        </w:rPr>
        <w:t xml:space="preserve"> </w:t>
      </w:r>
      <w:r>
        <w:rPr>
          <w:rFonts w:ascii="Arial" w:cs="Arial" w:eastAsia="Arial" w:hAnsi="Arial"/>
          <w:sz w:val="18"/>
          <w:szCs w:val="18"/>
          <w:color w:val="auto"/>
        </w:rPr>
        <w:t>League Baseball from 1999 to December 2005. Mr. Coleman was a director of Cendant Corporation from 1997 to August 2006. Mr. Coleman was the President of The National League of Professional Baseball Clubs from 1994 to 1999, having served from 1992 to 1994 as Executive Director, Market Development of Major League Baseball. Previously, Mr. Coleman was a municipal finance banker for Kidder, Peabody &amp; Company. Prior to joining Kidder, Mr. Coleman served as commissioner of the New Jersey Department of Community Affairs and the Department of Energy, and chairman of the Hackensack Meadowlands Development Commission and the New Jersey Housing and Mortgage Finance Agency. He also served as the vice chairman of the State Commission on Ethical Standards, and a member of the Economic Development Authority, Urban Enterprise Zone Authority, Urban Development Authority, State Planning Commission and New Jersey Public Television Commission. Mr. Coleman is also a director of the following corporations which file reports pursuant to the Exchange Act: Electronic Arts Inc., Hess Corporation and Omnicom Group Inc. Mr. Coleman previously served on the board of the following companies: Aramark Holdings Corporation and Churchill Downs Incorporated.</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ectPr>
          <w:pgSz w:w="11900" w:h="16838" w:orient="portrait"/>
          <w:cols w:equalWidth="0" w:num="1">
            <w:col w:w="11220"/>
          </w:cols>
          <w:pgMar w:left="240" w:top="459" w:right="439" w:bottom="1440" w:gutter="0" w:footer="0" w:header="0"/>
          <w:type w:val="continuous"/>
        </w:sectPr>
      </w:pPr>
    </w:p>
    <w:p>
      <w:pPr>
        <w:spacing w:after="0" w:line="136"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History with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Public service background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Executive management experience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International experience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Diverse personal background</w:t>
      </w:r>
    </w:p>
    <w:p>
      <w:pPr>
        <w:spacing w:after="0" w:line="311" w:lineRule="exact"/>
        <w:rPr>
          <w:sz w:val="20"/>
          <w:szCs w:val="20"/>
          <w:color w:val="auto"/>
        </w:rPr>
      </w:pPr>
    </w:p>
    <w:p>
      <w:pPr>
        <w:sectPr>
          <w:pgSz w:w="11900" w:h="16838" w:orient="portrait"/>
          <w:cols w:equalWidth="0" w:num="2">
            <w:col w:w="300" w:space="220"/>
            <w:col w:w="10700"/>
          </w:cols>
          <w:pgMar w:left="240" w:top="459" w:right="439" w:bottom="1440" w:gutter="0" w:footer="0" w:header="0"/>
          <w:type w:val="continuous"/>
        </w:sectPr>
      </w:pPr>
    </w:p>
    <w:p>
      <w:pPr>
        <w:spacing w:after="0" w:line="111"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JEFFREY H.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 Compensation</w:t>
      </w:r>
    </w:p>
    <w:p>
      <w:pPr>
        <w:spacing w:after="0" w:line="104" w:lineRule="exact"/>
        <w:rPr>
          <w:sz w:val="20"/>
          <w:szCs w:val="20"/>
          <w:color w:val="auto"/>
        </w:rPr>
      </w:pPr>
    </w:p>
    <w:p>
      <w:pPr>
        <w:jc w:val="both"/>
        <w:ind w:left="200"/>
        <w:spacing w:after="0"/>
        <w:rPr>
          <w:sz w:val="20"/>
          <w:szCs w:val="20"/>
          <w:color w:val="auto"/>
        </w:rPr>
      </w:pPr>
      <w:r>
        <w:rPr>
          <w:rFonts w:ascii="Arial" w:cs="Arial" w:eastAsia="Arial" w:hAnsi="Arial"/>
          <w:sz w:val="18"/>
          <w:szCs w:val="18"/>
          <w:b w:val="1"/>
          <w:bCs w:val="1"/>
          <w:color w:val="auto"/>
        </w:rPr>
        <w:t>Mr. Fox</w:t>
      </w:r>
      <w:r>
        <w:rPr>
          <w:rFonts w:ascii="Arial" w:cs="Arial" w:eastAsia="Arial" w:hAnsi="Arial"/>
          <w:sz w:val="18"/>
          <w:szCs w:val="18"/>
          <w:color w:val="auto"/>
        </w:rPr>
        <w:t>, age 56, has been a director since July 2013. Mr. Fox has been President and Chief Executive Officer of Endurance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Group Holdings, Inc. since August 2017. Mr. Fox is also a principal of The Circumference Group LLC, an investment and advisory firm which he founded in 2009. Mr. Fox was President and Chief Executive Officer of Convergys Corporation from 2010 to November 2012, and then Executive Chairman until April 2013. Previously, Mr. Fox worked for Alltel Corporation as Chief Operating Officer from 2007 through 2008, and as a Group President from 1996 until 2007. Prior to joining Alltel, Mr. Fox worked in investment banking for ten years with Stephens Inc., preceded by two years with Merrill Lynch, specializing in mergers and acquisitions advisory services. Mr. Fox is also a director of Endurance and Convergys Corporation, which file reports pursuant to the Exchange Act. Mr. Fox previously served on the board of Blackhawk Network Holdings Inc.</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ectPr>
          <w:pgSz w:w="11900" w:h="16838" w:orient="portrait"/>
          <w:cols w:equalWidth="0" w:num="1">
            <w:col w:w="11220"/>
          </w:cols>
          <w:pgMar w:left="240" w:top="459" w:right="439" w:bottom="1440" w:gutter="0" w:footer="0" w:header="0"/>
        </w:sectPr>
      </w:pPr>
    </w:p>
    <w:p>
      <w:pPr>
        <w:spacing w:after="0" w:line="136"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Chief Operating Officer experience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Technology expertise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Significant operating experience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Financial expertise</w:t>
      </w:r>
    </w:p>
    <w:p>
      <w:pPr>
        <w:spacing w:after="0" w:line="311" w:lineRule="exact"/>
        <w:rPr>
          <w:sz w:val="20"/>
          <w:szCs w:val="20"/>
          <w:color w:val="auto"/>
        </w:rPr>
      </w:pPr>
    </w:p>
    <w:p>
      <w:pPr>
        <w:sectPr>
          <w:pgSz w:w="11900" w:h="16838" w:orient="portrait"/>
          <w:cols w:equalWidth="0" w:num="2">
            <w:col w:w="300" w:space="220"/>
            <w:col w:w="10700"/>
          </w:cols>
          <w:pgMar w:left="240" w:top="459" w:right="439" w:bottom="1440" w:gutter="0" w:footer="0" w:header="0"/>
          <w:type w:val="continuous"/>
        </w:sectPr>
      </w:pPr>
    </w:p>
    <w:p>
      <w:pPr>
        <w:spacing w:after="0" w:line="111"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 Audit, Compensation</w:t>
      </w:r>
    </w:p>
    <w:p>
      <w:pPr>
        <w:spacing w:after="0" w:line="104"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b w:val="1"/>
          <w:bCs w:val="1"/>
          <w:color w:val="auto"/>
        </w:rPr>
        <w:t>Ms. Krominga</w:t>
      </w:r>
      <w:r>
        <w:rPr>
          <w:rFonts w:ascii="Arial" w:cs="Arial" w:eastAsia="Arial" w:hAnsi="Arial"/>
          <w:sz w:val="18"/>
          <w:szCs w:val="18"/>
          <w:color w:val="auto"/>
        </w:rPr>
        <w:t>, age 67, has been a director since October 2006. Ms. Krominga is a management consultant and attorney. Since 1999,</w:t>
      </w:r>
      <w:r>
        <w:rPr>
          <w:rFonts w:ascii="Arial" w:cs="Arial" w:eastAsia="Arial" w:hAnsi="Arial"/>
          <w:sz w:val="18"/>
          <w:szCs w:val="18"/>
          <w:b w:val="1"/>
          <w:bCs w:val="1"/>
          <w:color w:val="auto"/>
        </w:rPr>
        <w:t xml:space="preserve"> </w:t>
      </w:r>
      <w:r>
        <w:rPr>
          <w:rFonts w:ascii="Arial" w:cs="Arial" w:eastAsia="Arial" w:hAnsi="Arial"/>
          <w:sz w:val="18"/>
          <w:szCs w:val="18"/>
          <w:color w:val="auto"/>
        </w:rPr>
        <w:t>Ms. Krominga has been a consultant to private equity and venture capital investors, in which capacity she served in a number of operating and board positions, including Chief Executive Officer of Fashion Wire Daily, Inc.; Director and member of the Audit Committee of AHAVA, a global cosmeceuticals company; and advisor to London-based Apax Partners for acquisitions in Israel and the United States. She is the former President (and founder) of the Revlon Worldwide Licensing Division, and previously served as General Counsel and as International Counsel for Revlon’s global operations. From November 2008 until January 2013 (when the company was sold), Ms. Krominga served as Lead Director of Sunrise Senior Living, Inc. From March through November 2008, she served as Chairman of the Board of Sunrise Senior Living; as Chairman of the Compensation Committee from 2008 to 2011; and as a member of the Audit, Compensation and Governance Committees from 2007 to 2013. Prior to joining Revlon, she was an attorney at American Express Company and an associate at Cleary, Gottlieb, Steen &amp; Hamilton.</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Specific Qualifications, Attributes, Skills and Experience:</w:t>
      </w:r>
    </w:p>
    <w:p>
      <w:pPr>
        <w:sectPr>
          <w:pgSz w:w="11900" w:h="16838" w:orient="portrait"/>
          <w:cols w:equalWidth="0" w:num="1">
            <w:col w:w="11220"/>
          </w:cols>
          <w:pgMar w:left="240" w:top="459" w:right="439" w:bottom="1440" w:gutter="0" w:footer="0" w:header="0"/>
          <w:type w:val="continuous"/>
        </w:sectPr>
      </w:pPr>
    </w:p>
    <w:p>
      <w:pPr>
        <w:spacing w:after="0" w:line="131"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Significant legal, governance, licensing and regulatory expertise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International experience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Executive management experience and financial expertise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Diverse personal background</w:t>
      </w:r>
    </w:p>
    <w:p>
      <w:pPr>
        <w:spacing w:after="0" w:line="311" w:lineRule="exact"/>
        <w:rPr>
          <w:sz w:val="20"/>
          <w:szCs w:val="20"/>
          <w:color w:val="auto"/>
        </w:rPr>
      </w:pPr>
    </w:p>
    <w:p>
      <w:pPr>
        <w:sectPr>
          <w:pgSz w:w="11900" w:h="16838" w:orient="portrait"/>
          <w:cols w:equalWidth="0" w:num="2">
            <w:col w:w="300" w:space="220"/>
            <w:col w:w="10700"/>
          </w:cols>
          <w:pgMar w:left="240" w:top="459" w:right="439" w:bottom="1440" w:gutter="0" w:footer="0" w:header="0"/>
          <w:type w:val="continuous"/>
        </w:sectPr>
      </w:pPr>
    </w:p>
    <w:p>
      <w:pPr>
        <w:spacing w:after="0" w:line="111"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8"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b w:val="1"/>
          <w:bCs w:val="1"/>
          <w:color w:val="auto"/>
        </w:rPr>
        <w:t>Mr. Lurie</w:t>
      </w:r>
      <w:r>
        <w:rPr>
          <w:rFonts w:ascii="Arial" w:cs="Arial" w:eastAsia="Arial" w:hAnsi="Arial"/>
          <w:sz w:val="18"/>
          <w:szCs w:val="18"/>
          <w:color w:val="auto"/>
        </w:rPr>
        <w:t>, age 52, was appointed in November 2017 as President, Chief Executive Officer and a director of Synchronoss Technologies,</w:t>
      </w:r>
      <w:r>
        <w:rPr>
          <w:rFonts w:ascii="Arial" w:cs="Arial" w:eastAsia="Arial" w:hAnsi="Arial"/>
          <w:sz w:val="18"/>
          <w:szCs w:val="18"/>
          <w:b w:val="1"/>
          <w:bCs w:val="1"/>
          <w:color w:val="auto"/>
        </w:rPr>
        <w:t xml:space="preserve"> </w:t>
      </w:r>
      <w:r>
        <w:rPr>
          <w:rFonts w:ascii="Arial" w:cs="Arial" w:eastAsia="Arial" w:hAnsi="Arial"/>
          <w:sz w:val="18"/>
          <w:szCs w:val="18"/>
          <w:color w:val="auto"/>
        </w:rPr>
        <w:t>Inc., which files reports pursuant to the Exchange Act. Prior to joining Synchronoss, Mr. Lurie was employed by AT&amp;T for 27 years and was President and Chief Executive Officer of AT&amp;T Mobility and Consumer Operations when he retired in September of 2017. Mr. Lurie helped usher in the smartphone era by leading negotiations for AT&amp;T with Apple for the first iPhone and then for the first iPad. He built three groundbreaking businesses at AT&amp;T: IoT (Internet of Things) business – bringing wireless connectivity to tablets, cars, connected cities and consumer electronics; Digital Life – AT&amp;T’s home automation and security business; and the launch of Aio Wireless – now Cricket Wireless, the company’s industry-leading prepaid flanker brand. At AT&amp;T, Mr. Lurie served in a variety of leadership roles, including as President and Chief Executive Officer of Mobility and Consumer Operations from 2016 to 2017, President and Chief Executive Officer of AT&amp;T Mobility from 2014 to 2016, President of Emerging Enterprises and Partnerships Organization from 2011 to 2014 and President of Emerging Devices Organization (now IoT Organization) from 2008 to 2011.</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ectPr>
          <w:pgSz w:w="11900" w:h="16838" w:orient="portrait"/>
          <w:cols w:equalWidth="0" w:num="1">
            <w:col w:w="11220"/>
          </w:cols>
          <w:pgMar w:left="240" w:top="459" w:right="439" w:bottom="1440" w:gutter="0" w:footer="0" w:header="0"/>
        </w:sectPr>
      </w:pPr>
    </w:p>
    <w:p>
      <w:pPr>
        <w:spacing w:after="0" w:line="136"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experience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Technology, operations, strategy, and business development experience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Public company board experience</w:t>
      </w:r>
    </w:p>
    <w:p>
      <w:pPr>
        <w:spacing w:after="0" w:line="311" w:lineRule="exact"/>
        <w:rPr>
          <w:sz w:val="20"/>
          <w:szCs w:val="20"/>
          <w:color w:val="auto"/>
        </w:rPr>
      </w:pPr>
    </w:p>
    <w:p>
      <w:pPr>
        <w:sectPr>
          <w:pgSz w:w="11900" w:h="16838" w:orient="portrait"/>
          <w:cols w:equalWidth="0" w:num="2">
            <w:col w:w="300" w:space="220"/>
            <w:col w:w="10700"/>
          </w:cols>
          <w:pgMar w:left="240" w:top="459" w:right="439" w:bottom="1440" w:gutter="0" w:footer="0" w:header="0"/>
          <w:type w:val="continuous"/>
        </w:sectPr>
      </w:pPr>
    </w:p>
    <w:p>
      <w:pPr>
        <w:spacing w:after="0" w:line="111"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EDUARDO G. MESTRE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 Executive</w:t>
      </w:r>
    </w:p>
    <w:p>
      <w:pPr>
        <w:spacing w:after="0" w:line="104" w:lineRule="exact"/>
        <w:rPr>
          <w:sz w:val="20"/>
          <w:szCs w:val="20"/>
          <w:color w:val="auto"/>
        </w:rPr>
      </w:pPr>
    </w:p>
    <w:p>
      <w:pPr>
        <w:jc w:val="both"/>
        <w:ind w:left="200"/>
        <w:spacing w:after="0" w:line="242" w:lineRule="auto"/>
        <w:rPr>
          <w:sz w:val="20"/>
          <w:szCs w:val="20"/>
          <w:color w:val="auto"/>
        </w:rPr>
      </w:pPr>
      <w:r>
        <w:rPr>
          <w:rFonts w:ascii="Arial" w:cs="Arial" w:eastAsia="Arial" w:hAnsi="Arial"/>
          <w:sz w:val="18"/>
          <w:szCs w:val="18"/>
          <w:b w:val="1"/>
          <w:bCs w:val="1"/>
          <w:color w:val="auto"/>
        </w:rPr>
        <w:t>Mr. Mestre</w:t>
      </w:r>
      <w:r>
        <w:rPr>
          <w:rFonts w:ascii="Arial" w:cs="Arial" w:eastAsia="Arial" w:hAnsi="Arial"/>
          <w:sz w:val="18"/>
          <w:szCs w:val="18"/>
          <w:color w:val="auto"/>
        </w:rPr>
        <w:t>, age 69, has been a director since July 2008. Mr. Mestre has been Senior Managing Director and Chairman of Global Advisory</w:t>
      </w:r>
      <w:r>
        <w:rPr>
          <w:rFonts w:ascii="Arial" w:cs="Arial" w:eastAsia="Arial" w:hAnsi="Arial"/>
          <w:sz w:val="18"/>
          <w:szCs w:val="18"/>
          <w:b w:val="1"/>
          <w:bCs w:val="1"/>
          <w:color w:val="auto"/>
        </w:rPr>
        <w:t xml:space="preserve"> </w:t>
      </w:r>
      <w:r>
        <w:rPr>
          <w:rFonts w:ascii="Arial" w:cs="Arial" w:eastAsia="Arial" w:hAnsi="Arial"/>
          <w:sz w:val="18"/>
          <w:szCs w:val="18"/>
          <w:color w:val="auto"/>
        </w:rPr>
        <w:t>at Evercore Partners Inc., an independent investment banking advisory firm, since March 2017. Mr. Mestre joined Evercore Partners in 2004 as Vice Chairman, and became Senior Managing Director and Chairman of Global Advisory in February 2012. From April 2014 until March 2017, he was Senior Advisor of Global Advisory of Evercore Partners. Prior to joining Evercore, Mr. Mestre served as Chairman of Investment Banking at Citigroup, among numerous leadership positions he held during a 27-year career there. Mr. Mestre previously served on the board of Comcast Corporation, a company that files reports pursuant to the Exchange Act.</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ectPr>
          <w:pgSz w:w="11900" w:h="16838" w:orient="portrait"/>
          <w:cols w:equalWidth="0" w:num="1">
            <w:col w:w="11220"/>
          </w:cols>
          <w:pgMar w:left="240" w:top="459" w:right="439" w:bottom="1440" w:gutter="0" w:footer="0" w:header="0"/>
          <w:type w:val="continuous"/>
        </w:sectPr>
      </w:pPr>
    </w:p>
    <w:p>
      <w:pPr>
        <w:spacing w:after="0" w:line="136"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Financial expertise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Extensive advisory experience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Diverse personal background</w:t>
      </w:r>
    </w:p>
    <w:p>
      <w:pPr>
        <w:spacing w:after="0" w:line="311" w:lineRule="exact"/>
        <w:rPr>
          <w:sz w:val="20"/>
          <w:szCs w:val="20"/>
          <w:color w:val="auto"/>
        </w:rPr>
      </w:pPr>
    </w:p>
    <w:p>
      <w:pPr>
        <w:sectPr>
          <w:pgSz w:w="11900" w:h="16838" w:orient="portrait"/>
          <w:cols w:equalWidth="0" w:num="2">
            <w:col w:w="300" w:space="220"/>
            <w:col w:w="10700"/>
          </w:cols>
          <w:pgMar w:left="240" w:top="459" w:right="439" w:bottom="1440" w:gutter="0" w:footer="0" w:header="0"/>
          <w:type w:val="continuous"/>
        </w:sectPr>
      </w:pPr>
    </w:p>
    <w:p>
      <w:pPr>
        <w:spacing w:after="0" w:line="111"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JAGDEEP PAHWA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8" w:lineRule="exact"/>
        <w:rPr>
          <w:sz w:val="20"/>
          <w:szCs w:val="20"/>
          <w:color w:val="auto"/>
        </w:rPr>
      </w:pPr>
    </w:p>
    <w:p>
      <w:pPr>
        <w:jc w:val="both"/>
        <w:ind w:left="200"/>
        <w:spacing w:after="0" w:line="247" w:lineRule="auto"/>
        <w:rPr>
          <w:sz w:val="20"/>
          <w:szCs w:val="20"/>
          <w:color w:val="auto"/>
        </w:rPr>
      </w:pPr>
      <w:r>
        <w:rPr>
          <w:rFonts w:ascii="Arial" w:cs="Arial" w:eastAsia="Arial" w:hAnsi="Arial"/>
          <w:sz w:val="18"/>
          <w:szCs w:val="18"/>
          <w:b w:val="1"/>
          <w:bCs w:val="1"/>
          <w:color w:val="auto"/>
        </w:rPr>
        <w:t xml:space="preserve">Mr. Pahwa, </w:t>
      </w:r>
      <w:r>
        <w:rPr>
          <w:rFonts w:ascii="Arial" w:cs="Arial" w:eastAsia="Arial" w:hAnsi="Arial"/>
          <w:sz w:val="18"/>
          <w:szCs w:val="18"/>
          <w:color w:val="auto"/>
        </w:rPr>
        <w:t>age 44, has been the President of SRS Investment Management, LLC since 2017 and has led SRS’s private equity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since 2006. Previously, Mr. Pahwa worked at McKinsey &amp; Company in the U.S. and India, where he led client engagements in the telecom, technology and real estate sectors. Prior thereto, Mr. Pahwa worked in the Mergers &amp; Acquisitions group of Lehman Brothers in New York.</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ectPr>
          <w:pgSz w:w="11900" w:h="16838" w:orient="portrait"/>
          <w:cols w:equalWidth="0" w:num="1">
            <w:col w:w="11220"/>
          </w:cols>
          <w:pgMar w:left="240" w:top="459" w:right="439" w:bottom="1440" w:gutter="0" w:footer="0" w:header="0"/>
          <w:type w:val="continuous"/>
        </w:sectPr>
      </w:pPr>
    </w:p>
    <w:p>
      <w:pPr>
        <w:spacing w:after="0" w:line="136"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Financial expertise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Advisory experience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Broad international experience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Diverse personal background</w:t>
      </w:r>
    </w:p>
    <w:p>
      <w:pPr>
        <w:spacing w:after="0" w:line="311" w:lineRule="exact"/>
        <w:rPr>
          <w:sz w:val="20"/>
          <w:szCs w:val="20"/>
          <w:color w:val="auto"/>
        </w:rPr>
      </w:pPr>
    </w:p>
    <w:p>
      <w:pPr>
        <w:sectPr>
          <w:pgSz w:w="11900" w:h="16838" w:orient="portrait"/>
          <w:cols w:equalWidth="0" w:num="2">
            <w:col w:w="300" w:space="220"/>
            <w:col w:w="10700"/>
          </w:cols>
          <w:pgMar w:left="240" w:top="459" w:right="439" w:bottom="1440" w:gutter="0" w:footer="0" w:header="0"/>
          <w:type w:val="continuous"/>
        </w:sectPr>
      </w:pPr>
    </w:p>
    <w:p>
      <w:pPr>
        <w:spacing w:after="0" w:line="111"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F. ROBERT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 Audit, Executive</w:t>
      </w:r>
    </w:p>
    <w:p>
      <w:pPr>
        <w:spacing w:after="0" w:line="104" w:lineRule="exact"/>
        <w:rPr>
          <w:sz w:val="20"/>
          <w:szCs w:val="20"/>
          <w:color w:val="auto"/>
        </w:rPr>
      </w:pPr>
    </w:p>
    <w:p>
      <w:pPr>
        <w:jc w:val="both"/>
        <w:ind w:left="200"/>
        <w:spacing w:after="0" w:line="244" w:lineRule="auto"/>
        <w:rPr>
          <w:sz w:val="20"/>
          <w:szCs w:val="20"/>
          <w:color w:val="auto"/>
        </w:rPr>
      </w:pPr>
      <w:r>
        <w:rPr>
          <w:rFonts w:ascii="Arial" w:cs="Arial" w:eastAsia="Arial" w:hAnsi="Arial"/>
          <w:sz w:val="18"/>
          <w:szCs w:val="18"/>
          <w:b w:val="1"/>
          <w:bCs w:val="1"/>
          <w:color w:val="auto"/>
        </w:rPr>
        <w:t>Mr. Salerno</w:t>
      </w:r>
      <w:r>
        <w:rPr>
          <w:rFonts w:ascii="Arial" w:cs="Arial" w:eastAsia="Arial" w:hAnsi="Arial"/>
          <w:sz w:val="18"/>
          <w:szCs w:val="18"/>
          <w:color w:val="auto"/>
        </w:rPr>
        <w:t>, age 66, has been a director since August 2006. Mr. Salerno was previously Vice Chairman of the Company from June 2010</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December 2011, and President and Chief Operating Officer of the Company from August 2006 to June 2010. For nearly 30 years, Mr. Salerno held numerous leadership positions with the Company, including as chief executive of Cendant’s vehicle rental business and as President and Chief Operating Officer of Avis from 1996 to November 2002. Mr. Salerno previously served on the board of Norwegian Cruise Line Holdings, Ltd., which files reports pursuant to the Exchange Act.</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ectPr>
          <w:pgSz w:w="11900" w:h="16838" w:orient="portrait"/>
          <w:cols w:equalWidth="0" w:num="1">
            <w:col w:w="11220"/>
          </w:cols>
          <w:pgMar w:left="240" w:top="459" w:right="439" w:bottom="1440" w:gutter="0" w:footer="0" w:header="0"/>
        </w:sectPr>
      </w:pPr>
    </w:p>
    <w:p>
      <w:pPr>
        <w:spacing w:after="0" w:line="136"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 experience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Extensive Company and industry experience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Significant operating experience</w:t>
      </w:r>
    </w:p>
    <w:p>
      <w:pPr>
        <w:spacing w:after="0" w:line="311" w:lineRule="exact"/>
        <w:rPr>
          <w:sz w:val="20"/>
          <w:szCs w:val="20"/>
          <w:color w:val="auto"/>
        </w:rPr>
      </w:pPr>
    </w:p>
    <w:p>
      <w:pPr>
        <w:sectPr>
          <w:pgSz w:w="11900" w:h="16838" w:orient="portrait"/>
          <w:cols w:equalWidth="0" w:num="2">
            <w:col w:w="300" w:space="220"/>
            <w:col w:w="10700"/>
          </w:cols>
          <w:pgMar w:left="240" w:top="459" w:right="439" w:bottom="1440" w:gutter="0" w:footer="0" w:header="0"/>
          <w:type w:val="continuous"/>
        </w:sectPr>
      </w:pPr>
    </w:p>
    <w:p>
      <w:pPr>
        <w:spacing w:after="0" w:line="111"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FRANCIS J. SHAMMO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8" w:lineRule="exact"/>
        <w:rPr>
          <w:sz w:val="20"/>
          <w:szCs w:val="20"/>
          <w:color w:val="auto"/>
        </w:rPr>
      </w:pPr>
    </w:p>
    <w:p>
      <w:pPr>
        <w:jc w:val="both"/>
        <w:ind w:left="200"/>
        <w:spacing w:after="0" w:line="241" w:lineRule="auto"/>
        <w:rPr>
          <w:sz w:val="20"/>
          <w:szCs w:val="20"/>
          <w:color w:val="auto"/>
        </w:rPr>
      </w:pPr>
      <w:r>
        <w:rPr>
          <w:rFonts w:ascii="Arial" w:cs="Arial" w:eastAsia="Arial" w:hAnsi="Arial"/>
          <w:sz w:val="18"/>
          <w:szCs w:val="18"/>
          <w:b w:val="1"/>
          <w:bCs w:val="1"/>
          <w:color w:val="auto"/>
        </w:rPr>
        <w:t>Mr. Shammo</w:t>
      </w:r>
      <w:r>
        <w:rPr>
          <w:rFonts w:ascii="Arial" w:cs="Arial" w:eastAsia="Arial" w:hAnsi="Arial"/>
          <w:sz w:val="18"/>
          <w:szCs w:val="18"/>
          <w:color w:val="auto"/>
        </w:rPr>
        <w:t>, age 57, was the Executive Vice President and Chief Financial Officer of Verizon Communications, Inc. from November 2010</w:t>
      </w:r>
      <w:r>
        <w:rPr>
          <w:rFonts w:ascii="Arial" w:cs="Arial" w:eastAsia="Arial" w:hAnsi="Arial"/>
          <w:sz w:val="18"/>
          <w:szCs w:val="18"/>
          <w:b w:val="1"/>
          <w:bCs w:val="1"/>
          <w:color w:val="auto"/>
        </w:rPr>
        <w:t xml:space="preserve"> </w:t>
      </w:r>
      <w:r>
        <w:rPr>
          <w:rFonts w:ascii="Arial" w:cs="Arial" w:eastAsia="Arial" w:hAnsi="Arial"/>
          <w:sz w:val="18"/>
          <w:szCs w:val="18"/>
          <w:color w:val="auto"/>
        </w:rPr>
        <w:t>until November 2016, and retired from Verizon at the end of 2016. After joining Bell Atlantic Corporation in 1989, which merged with GTE Corporation in 2000 to form Verizon, he held positions of increasing responsibility in finance, mergers and acquisitions, logistics, facilities, regional operations, and planning. His prior positions include President and Chief Executive Officer of Verizon Telecom and Business, Senior Vice President and Chief Financial Officer of Verizon Business, President—West Area of Verizon Wireless, and Vice President and Controller of Verizon Wireless. Since 2015, Mr. Shammo has been a director of Unum Group, which files reports pursuant to the Exchange Act.</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ectPr>
          <w:pgSz w:w="11900" w:h="16838" w:orient="portrait"/>
          <w:cols w:equalWidth="0" w:num="1">
            <w:col w:w="11220"/>
          </w:cols>
          <w:pgMar w:left="240" w:top="459" w:right="439" w:bottom="1440" w:gutter="0" w:footer="0" w:header="0"/>
          <w:type w:val="continuous"/>
        </w:sectPr>
      </w:pPr>
    </w:p>
    <w:p>
      <w:pPr>
        <w:spacing w:after="0" w:line="136"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Chief Financial Officer experience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Extensive operating experience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Executive management experience and financial expertise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Broad international experience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Public company board experience</w:t>
      </w:r>
    </w:p>
    <w:p>
      <w:pPr>
        <w:spacing w:after="0" w:line="311" w:lineRule="exact"/>
        <w:rPr>
          <w:sz w:val="20"/>
          <w:szCs w:val="20"/>
          <w:color w:val="auto"/>
        </w:rPr>
      </w:pPr>
    </w:p>
    <w:p>
      <w:pPr>
        <w:sectPr>
          <w:pgSz w:w="11900" w:h="16838" w:orient="portrait"/>
          <w:cols w:equalWidth="0" w:num="2">
            <w:col w:w="300" w:space="220"/>
            <w:col w:w="10700"/>
          </w:cols>
          <w:pgMar w:left="240" w:top="459" w:right="439" w:bottom="1440" w:gutter="0" w:footer="0" w:header="0"/>
          <w:type w:val="continuous"/>
        </w:sectPr>
      </w:pPr>
    </w:p>
    <w:p>
      <w:pPr>
        <w:spacing w:after="0" w:line="111"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CARL SPARKS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8"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b w:val="1"/>
          <w:bCs w:val="1"/>
          <w:color w:val="auto"/>
        </w:rPr>
        <w:t>Mr. Sparks</w:t>
      </w:r>
      <w:r>
        <w:rPr>
          <w:rFonts w:ascii="Arial" w:cs="Arial" w:eastAsia="Arial" w:hAnsi="Arial"/>
          <w:sz w:val="18"/>
          <w:szCs w:val="18"/>
          <w:color w:val="auto"/>
        </w:rPr>
        <w:t>, age 50, was the Chief Executive Officer and a director of Academic Partnerships, an online service provider for higher</w:t>
      </w:r>
      <w:r>
        <w:rPr>
          <w:rFonts w:ascii="Arial" w:cs="Arial" w:eastAsia="Arial" w:hAnsi="Arial"/>
          <w:sz w:val="18"/>
          <w:szCs w:val="18"/>
          <w:b w:val="1"/>
          <w:bCs w:val="1"/>
          <w:color w:val="auto"/>
        </w:rPr>
        <w:t xml:space="preserve"> </w:t>
      </w:r>
      <w:r>
        <w:rPr>
          <w:rFonts w:ascii="Arial" w:cs="Arial" w:eastAsia="Arial" w:hAnsi="Arial"/>
          <w:sz w:val="18"/>
          <w:szCs w:val="18"/>
          <w:color w:val="auto"/>
        </w:rPr>
        <w:t>education, from 2016 to 2017. From 2011 to 2014, Mr. Sparks was the Chief Executive Officer of Travelocity Global. Mr. Sparks was also employed by Gilt Groupe, serving as its Chief Marketing Officer in 2009 and its President from 2010 to 2011. Prior to joining Gilt Groupe, Mr. Sparks served in a variety of leadership roles at Expedia Inc. from 2004 to 2009, including as Senior Vice President, Marketing and Retail Operations at Hotels.com from 2004 to 2006, Chief Marketing Officer at Expedia.com from 2006 to 2007, and General Manager at Hotels.com USA, Latin America &amp; Canada from 2008 to 2009. Earlier, Mr. Sparks served as Vice President of Direct Business and Brand at Capital One Financial Corp., and also served in senior marketing and strategy roles at Guinness &amp; Co., PepsiCo Inc., and The Boston Consulting Group. Mr. Sparks has been a director of Dunkin’ Brands Group, Inc. since 2013, and was a director of Vonage Holdings Corp. from 2011 to 2018, both of which file reports pursuant to the Exchange Act. Mr. Sparks is also currently serving as a director of ActionIQ, Inc., an enterprise software company.</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ectPr>
          <w:pgSz w:w="11900" w:h="16838" w:orient="portrait"/>
          <w:cols w:equalWidth="0" w:num="1">
            <w:col w:w="11220"/>
          </w:cols>
          <w:pgMar w:left="240" w:top="459" w:right="439" w:bottom="1440" w:gutter="0" w:footer="0" w:header="0"/>
          <w:type w:val="continuous"/>
        </w:sectPr>
      </w:pPr>
    </w:p>
    <w:p>
      <w:pPr>
        <w:spacing w:after="0" w:line="136"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Chief Marketing Officer experience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Technology, operations, strategy, marketing and business development experience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Public company board experience</w:t>
      </w:r>
    </w:p>
    <w:p>
      <w:pPr>
        <w:spacing w:after="0" w:line="27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15</w:t>
      </w:r>
    </w:p>
    <w:p>
      <w:pPr>
        <w:sectPr>
          <w:pgSz w:w="11900" w:h="16838" w:orient="portrait"/>
          <w:cols w:equalWidth="0" w:num="2">
            <w:col w:w="300" w:space="220"/>
            <w:col w:w="10700"/>
          </w:cols>
          <w:pgMar w:left="240" w:top="459" w:right="4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SANOKE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 None</w:t>
      </w:r>
    </w:p>
    <w:p>
      <w:pPr>
        <w:spacing w:after="0" w:line="104" w:lineRule="exact"/>
        <w:rPr>
          <w:sz w:val="20"/>
          <w:szCs w:val="20"/>
          <w:color w:val="auto"/>
        </w:rPr>
      </w:pPr>
    </w:p>
    <w:p>
      <w:pPr>
        <w:jc w:val="both"/>
        <w:ind w:left="200"/>
        <w:spacing w:after="0"/>
        <w:rPr>
          <w:sz w:val="20"/>
          <w:szCs w:val="20"/>
          <w:color w:val="auto"/>
        </w:rPr>
      </w:pPr>
      <w:r>
        <w:rPr>
          <w:rFonts w:ascii="Arial" w:cs="Arial" w:eastAsia="Arial" w:hAnsi="Arial"/>
          <w:sz w:val="18"/>
          <w:szCs w:val="18"/>
          <w:b w:val="1"/>
          <w:bCs w:val="1"/>
          <w:color w:val="auto"/>
        </w:rPr>
        <w:t>Mr. Viswanathan</w:t>
      </w:r>
      <w:r>
        <w:rPr>
          <w:rFonts w:ascii="Arial" w:cs="Arial" w:eastAsia="Arial" w:hAnsi="Arial"/>
          <w:sz w:val="18"/>
          <w:szCs w:val="18"/>
          <w:color w:val="auto"/>
        </w:rPr>
        <w:t>, age 42, has been a director since March 2016. Mr. Viswanathan has been the Chief Administrative Officer of JPMorgan</w:t>
      </w:r>
      <w:r>
        <w:rPr>
          <w:rFonts w:ascii="Arial" w:cs="Arial" w:eastAsia="Arial" w:hAnsi="Arial"/>
          <w:sz w:val="18"/>
          <w:szCs w:val="18"/>
          <w:b w:val="1"/>
          <w:bCs w:val="1"/>
          <w:color w:val="auto"/>
        </w:rPr>
        <w:t xml:space="preserve"> </w:t>
      </w:r>
      <w:r>
        <w:rPr>
          <w:rFonts w:ascii="Arial" w:cs="Arial" w:eastAsia="Arial" w:hAnsi="Arial"/>
          <w:sz w:val="18"/>
          <w:szCs w:val="18"/>
          <w:color w:val="auto"/>
        </w:rPr>
        <w:t>Chase &amp; Co.’s Corporate &amp; Investment Bank, overseeing technology, operations and controls since 2014. Previously, Mr. Viswanathan was head of strategy, marketing and new business development for the Corporate &amp; Investment Bank from 2012 to 2013 and head of corporate strategy for JPMorgan Chase from 2010 to 2012. Prior to joining JPMorgan Chase, Mr. Viswanathan was a partner at McKinsey &amp; Co. and co-head of its global corporate and investment banking practice, serving financial institutions in Asia, Europe and North America on strategy, organization and risk management topics. Mr. Viswanathan has been on the Board of Sadler’s Wells Theatre in London since 2014. Mr. Viswanathan was initially appointed to the Board pursuant to the terms of a cooperation agreement between the Company and SRS Investment Management, LLC and certain of its affiliates.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Qualifications, Attributes, Skills and Experience:</w:t>
      </w:r>
    </w:p>
    <w:p>
      <w:pPr>
        <w:sectPr>
          <w:pgSz w:w="11900" w:h="16838" w:orient="portrait"/>
          <w:cols w:equalWidth="0" w:num="1">
            <w:col w:w="11220"/>
          </w:cols>
          <w:pgMar w:left="240" w:top="459" w:right="439" w:bottom="1440" w:gutter="0" w:footer="0" w:header="0"/>
        </w:sectPr>
      </w:pPr>
    </w:p>
    <w:p>
      <w:pPr>
        <w:spacing w:after="0" w:line="136"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Technology, operations, strategy, marketing and business development experience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Risk management and controls expertise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Advisory experience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International experience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Diverse personal background</w:t>
      </w:r>
    </w:p>
    <w:p>
      <w:pPr>
        <w:spacing w:after="0" w:line="311" w:lineRule="exact"/>
        <w:rPr>
          <w:sz w:val="20"/>
          <w:szCs w:val="20"/>
          <w:color w:val="auto"/>
        </w:rPr>
      </w:pPr>
    </w:p>
    <w:p>
      <w:pPr>
        <w:sectPr>
          <w:pgSz w:w="11900" w:h="16838" w:orient="portrait"/>
          <w:cols w:equalWidth="0" w:num="2">
            <w:col w:w="300" w:space="220"/>
            <w:col w:w="10700"/>
          </w:cols>
          <w:pgMar w:left="240" w:top="459" w:right="439" w:bottom="1440" w:gutter="0" w:footer="0" w:header="0"/>
          <w:type w:val="continuous"/>
        </w:sectPr>
      </w:pPr>
    </w:p>
    <w:p>
      <w:pPr>
        <w:spacing w:after="0" w:line="11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5"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For additional information regarding the director nomination process, please see the section titled “Director Nomination Procedures” on page 22 of this Proxy Statement.</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THE BOARD OF DIRECTORS RECOMMENDS A VOTE “FOR ALL” OF THE NOMINEES.</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auto"/>
        </w:rPr>
        <w:t>Corporate Governance</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Functions and Meetings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8"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 xml:space="preserve">The Company’s corporate governance guidelines, director independence criteria, committee charters, codes of conduct and other documents setting forth the Company’s corporate governance practices can be accessed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Director Independence</w:t>
      </w:r>
    </w:p>
    <w:p>
      <w:pPr>
        <w:spacing w:after="0" w:line="130"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 xml:space="preserve">To determine director independence, our Board of Directors reviews commercial and charitable relationships of each director to evaluate such director’s independence in accordance with the listing standards of the NASDAQ Stock Market LLC (“NASDAQ”) and pursuant to our own director independence criteria, which can be accessed on our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In conducting its review, the Board of Directors considers a number of factors, including the director’s and his or her family members’ relationships with the Company and its subsidiaries, affiliates, executive officers and auditors and his or her relationships with foundations, universities and other non-profit organizations to which the Company has made a certain level of contributions during the past three years. After evaluating the factors described above, the Board of Directors has affirmatively determined that ten of our current directors are independent in accordance with NASDAQ corporate governance listing standards and our own director independence criteria. The independent directors currently serving on our Board are Brian J. Choi, Mary C. Choksi, Leonard S. Coleman, Jeffrey H. Fox, John D. Hardy, Jr., Lynn Krominga, Eduardo G. Mestre, F. Robert Salerno, Stender E. Sweeney and Sanoke Viswanathan. In determining that Mr. Viswanathan is independent, the Board of Directors considered that he is employed by JPMorgan Chase &amp; Co. (“JPM”) and that JPM and its affiliates provide various financial services to the Company and its subsidiaries for which they have received customary fees. However, the Board did not believe that the Company’s relationship with JPM impacted the independence of Mr. Viswanathan for the following reasons:</w:t>
      </w:r>
    </w:p>
    <w:p>
      <w:pPr>
        <w:spacing w:after="0" w:line="109" w:lineRule="exact"/>
        <w:rPr>
          <w:sz w:val="20"/>
          <w:szCs w:val="20"/>
          <w:color w:val="auto"/>
        </w:rPr>
      </w:pPr>
    </w:p>
    <w:p>
      <w:pPr>
        <w:ind w:left="520" w:hanging="316"/>
        <w:spacing w:after="0" w:line="182" w:lineRule="auto"/>
        <w:tabs>
          <w:tab w:leader="none" w:pos="520" w:val="left"/>
        </w:tabs>
        <w:numPr>
          <w:ilvl w:val="0"/>
          <w:numId w:val="10"/>
        </w:numPr>
        <w:rPr>
          <w:rFonts w:ascii="Arial" w:cs="Arial" w:eastAsia="Arial" w:hAnsi="Arial"/>
          <w:sz w:val="33"/>
          <w:szCs w:val="33"/>
          <w:color w:val="auto"/>
          <w:vertAlign w:val="subscript"/>
        </w:rPr>
      </w:pPr>
      <w:r>
        <w:rPr>
          <w:rFonts w:ascii="Arial" w:cs="Arial" w:eastAsia="Arial" w:hAnsi="Arial"/>
          <w:sz w:val="15"/>
          <w:szCs w:val="15"/>
          <w:color w:val="auto"/>
        </w:rPr>
        <w:t>JPM is a large multi-national financial institution; and the Company has had a relationship with JPM for many years prior to Mr. Viswanathan’s appointment to the Board as well as Mr. Viswanathan’s employment with JPM;</w:t>
      </w:r>
    </w:p>
    <w:p>
      <w:pPr>
        <w:spacing w:after="0" w:line="108" w:lineRule="exact"/>
        <w:rPr>
          <w:rFonts w:ascii="Arial" w:cs="Arial" w:eastAsia="Arial" w:hAnsi="Arial"/>
          <w:sz w:val="33"/>
          <w:szCs w:val="33"/>
          <w:color w:val="auto"/>
          <w:vertAlign w:val="subscript"/>
        </w:rPr>
      </w:pPr>
    </w:p>
    <w:p>
      <w:pPr>
        <w:jc w:val="both"/>
        <w:ind w:left="520" w:hanging="316"/>
        <w:spacing w:after="0" w:line="212" w:lineRule="auto"/>
        <w:tabs>
          <w:tab w:leader="none" w:pos="520" w:val="left"/>
        </w:tabs>
        <w:numPr>
          <w:ilvl w:val="0"/>
          <w:numId w:val="10"/>
        </w:numPr>
        <w:rPr>
          <w:rFonts w:ascii="Arial" w:cs="Arial" w:eastAsia="Arial" w:hAnsi="Arial"/>
          <w:sz w:val="45"/>
          <w:szCs w:val="45"/>
          <w:color w:val="auto"/>
          <w:vertAlign w:val="subscript"/>
        </w:rPr>
      </w:pPr>
      <w:r>
        <w:rPr>
          <w:rFonts w:ascii="Arial" w:cs="Arial" w:eastAsia="Arial" w:hAnsi="Arial"/>
          <w:sz w:val="16"/>
          <w:szCs w:val="16"/>
          <w:color w:val="auto"/>
        </w:rPr>
        <w:t>Mr. Viswanathan has no involvement (either in his capacity as a director of the Company or as an employee of JPM) in the selection of JPM to provide the services described above or the terms or pricing of any such services, and is not directly involved in the provision of services to the Company; and</w:t>
      </w:r>
    </w:p>
    <w:p>
      <w:pPr>
        <w:spacing w:after="0" w:line="109" w:lineRule="exact"/>
        <w:rPr>
          <w:rFonts w:ascii="Arial" w:cs="Arial" w:eastAsia="Arial" w:hAnsi="Arial"/>
          <w:sz w:val="45"/>
          <w:szCs w:val="45"/>
          <w:color w:val="auto"/>
          <w:vertAlign w:val="subscript"/>
        </w:rPr>
      </w:pPr>
    </w:p>
    <w:p>
      <w:pPr>
        <w:ind w:left="520" w:hanging="316"/>
        <w:spacing w:after="0" w:line="182" w:lineRule="auto"/>
        <w:tabs>
          <w:tab w:leader="none" w:pos="520" w:val="left"/>
        </w:tabs>
        <w:numPr>
          <w:ilvl w:val="0"/>
          <w:numId w:val="10"/>
        </w:numPr>
        <w:rPr>
          <w:rFonts w:ascii="Arial" w:cs="Arial" w:eastAsia="Arial" w:hAnsi="Arial"/>
          <w:sz w:val="33"/>
          <w:szCs w:val="33"/>
          <w:color w:val="auto"/>
          <w:vertAlign w:val="subscript"/>
        </w:rPr>
      </w:pPr>
      <w:r>
        <w:rPr>
          <w:rFonts w:ascii="Arial" w:cs="Arial" w:eastAsia="Arial" w:hAnsi="Arial"/>
          <w:sz w:val="15"/>
          <w:szCs w:val="15"/>
          <w:color w:val="auto"/>
        </w:rPr>
        <w:t>the Company utilizes a variety of financial institutions to provide commercial banking, investment banking and other financial advisory services and JPM was not involved in the process of Mr. Viswanathan’s being selected to serve on the Board.</w:t>
      </w:r>
    </w:p>
    <w:p>
      <w:pPr>
        <w:spacing w:after="0" w:line="73" w:lineRule="exact"/>
        <w:rPr>
          <w:sz w:val="20"/>
          <w:szCs w:val="20"/>
          <w:color w:val="auto"/>
        </w:rPr>
      </w:pPr>
    </w:p>
    <w:tbl>
      <w:tblPr>
        <w:tblLayout w:type="fixed"/>
        <w:tblInd w:w="2200" w:type="dxa"/>
        <w:tblCellMar>
          <w:top w:w="0" w:type="dxa"/>
          <w:left w:w="0" w:type="dxa"/>
          <w:bottom w:w="0" w:type="dxa"/>
          <w:right w:w="0" w:type="dxa"/>
        </w:tblCellMar>
      </w:tblPr>
      <w:tr>
        <w:trPr>
          <w:trHeight w:val="239"/>
        </w:trPr>
        <w:tc>
          <w:tcPr>
            <w:tcW w:w="2080" w:type="dxa"/>
            <w:vAlign w:val="bottom"/>
          </w:tcPr>
          <w:p>
            <w:pPr>
              <w:spacing w:after="0"/>
              <w:rPr>
                <w:sz w:val="20"/>
                <w:szCs w:val="20"/>
                <w:color w:val="auto"/>
              </w:rPr>
            </w:pPr>
          </w:p>
        </w:tc>
        <w:tc>
          <w:tcPr>
            <w:tcW w:w="5320" w:type="dxa"/>
            <w:vAlign w:val="bottom"/>
          </w:tcPr>
          <w:p>
            <w:pPr>
              <w:ind w:left="440"/>
              <w:spacing w:after="0"/>
              <w:rPr>
                <w:sz w:val="20"/>
                <w:szCs w:val="20"/>
                <w:color w:val="auto"/>
              </w:rPr>
            </w:pPr>
            <w:r>
              <w:rPr>
                <w:rFonts w:ascii="Arial" w:cs="Arial" w:eastAsia="Arial" w:hAnsi="Arial"/>
                <w:sz w:val="18"/>
                <w:szCs w:val="18"/>
                <w:b w:val="1"/>
                <w:bCs w:val="1"/>
                <w:color w:val="auto"/>
              </w:rPr>
              <w:t>Independent Nominees</w:t>
            </w:r>
          </w:p>
        </w:tc>
      </w:tr>
      <w:tr>
        <w:trPr>
          <w:trHeight w:val="310"/>
        </w:trPr>
        <w:tc>
          <w:tcPr>
            <w:tcW w:w="2080" w:type="dxa"/>
            <w:vAlign w:val="bottom"/>
          </w:tcPr>
          <w:p>
            <w:pPr>
              <w:jc w:val="center"/>
              <w:ind w:right="350"/>
              <w:spacing w:after="0"/>
              <w:rPr>
                <w:sz w:val="20"/>
                <w:szCs w:val="20"/>
                <w:color w:val="auto"/>
              </w:rPr>
            </w:pPr>
            <w:r>
              <w:rPr>
                <w:rFonts w:ascii="Arial" w:cs="Arial" w:eastAsia="Arial" w:hAnsi="Arial"/>
                <w:sz w:val="18"/>
                <w:szCs w:val="18"/>
                <w:color w:val="auto"/>
              </w:rPr>
              <w:t>Brian J. Choi</w:t>
            </w:r>
          </w:p>
        </w:tc>
        <w:tc>
          <w:tcPr>
            <w:tcW w:w="5320" w:type="dxa"/>
            <w:vAlign w:val="bottom"/>
          </w:tcPr>
          <w:p>
            <w:pPr>
              <w:jc w:val="center"/>
              <w:ind w:left="3510"/>
              <w:spacing w:after="0"/>
              <w:rPr>
                <w:sz w:val="20"/>
                <w:szCs w:val="20"/>
                <w:color w:val="auto"/>
              </w:rPr>
            </w:pPr>
            <w:r>
              <w:rPr>
                <w:rFonts w:ascii="Arial" w:cs="Arial" w:eastAsia="Arial" w:hAnsi="Arial"/>
                <w:sz w:val="18"/>
                <w:szCs w:val="18"/>
                <w:color w:val="auto"/>
                <w:w w:val="99"/>
              </w:rPr>
              <w:t>Eduardo G. Mestre</w:t>
            </w:r>
          </w:p>
        </w:tc>
      </w:tr>
      <w:tr>
        <w:trPr>
          <w:trHeight w:val="203"/>
        </w:trPr>
        <w:tc>
          <w:tcPr>
            <w:tcW w:w="2080" w:type="dxa"/>
            <w:vAlign w:val="bottom"/>
          </w:tcPr>
          <w:p>
            <w:pPr>
              <w:jc w:val="center"/>
              <w:ind w:right="350"/>
              <w:spacing w:after="0" w:line="202" w:lineRule="exact"/>
              <w:rPr>
                <w:sz w:val="20"/>
                <w:szCs w:val="20"/>
                <w:color w:val="auto"/>
              </w:rPr>
            </w:pPr>
            <w:r>
              <w:rPr>
                <w:rFonts w:ascii="Arial" w:cs="Arial" w:eastAsia="Arial" w:hAnsi="Arial"/>
                <w:sz w:val="18"/>
                <w:szCs w:val="18"/>
                <w:color w:val="auto"/>
              </w:rPr>
              <w:t>Mary C. Choksi</w:t>
            </w:r>
          </w:p>
        </w:tc>
        <w:tc>
          <w:tcPr>
            <w:tcW w:w="5320" w:type="dxa"/>
            <w:vAlign w:val="bottom"/>
          </w:tcPr>
          <w:p>
            <w:pPr>
              <w:jc w:val="center"/>
              <w:ind w:left="3530"/>
              <w:spacing w:after="0" w:line="202" w:lineRule="exact"/>
              <w:rPr>
                <w:sz w:val="20"/>
                <w:szCs w:val="20"/>
                <w:color w:val="auto"/>
              </w:rPr>
            </w:pPr>
            <w:r>
              <w:rPr>
                <w:rFonts w:ascii="Arial" w:cs="Arial" w:eastAsia="Arial" w:hAnsi="Arial"/>
                <w:sz w:val="18"/>
                <w:szCs w:val="18"/>
                <w:color w:val="auto"/>
              </w:rPr>
              <w:t>Jagdeep Pahwa</w:t>
            </w:r>
          </w:p>
        </w:tc>
      </w:tr>
      <w:tr>
        <w:trPr>
          <w:trHeight w:val="203"/>
        </w:trPr>
        <w:tc>
          <w:tcPr>
            <w:tcW w:w="2080" w:type="dxa"/>
            <w:vAlign w:val="bottom"/>
          </w:tcPr>
          <w:p>
            <w:pPr>
              <w:jc w:val="center"/>
              <w:ind w:right="350"/>
              <w:spacing w:after="0" w:line="202" w:lineRule="exact"/>
              <w:rPr>
                <w:sz w:val="20"/>
                <w:szCs w:val="20"/>
                <w:color w:val="auto"/>
              </w:rPr>
            </w:pPr>
            <w:r>
              <w:rPr>
                <w:rFonts w:ascii="Arial" w:cs="Arial" w:eastAsia="Arial" w:hAnsi="Arial"/>
                <w:sz w:val="18"/>
                <w:szCs w:val="18"/>
                <w:color w:val="auto"/>
                <w:w w:val="99"/>
              </w:rPr>
              <w:t>Leonard S. Coleman</w:t>
            </w:r>
          </w:p>
        </w:tc>
        <w:tc>
          <w:tcPr>
            <w:tcW w:w="5320" w:type="dxa"/>
            <w:vAlign w:val="bottom"/>
          </w:tcPr>
          <w:p>
            <w:pPr>
              <w:jc w:val="center"/>
              <w:ind w:left="3510"/>
              <w:spacing w:after="0" w:line="202" w:lineRule="exact"/>
              <w:rPr>
                <w:sz w:val="20"/>
                <w:szCs w:val="20"/>
                <w:color w:val="auto"/>
              </w:rPr>
            </w:pPr>
            <w:r>
              <w:rPr>
                <w:rFonts w:ascii="Arial" w:cs="Arial" w:eastAsia="Arial" w:hAnsi="Arial"/>
                <w:sz w:val="18"/>
                <w:szCs w:val="18"/>
                <w:color w:val="auto"/>
                <w:w w:val="98"/>
              </w:rPr>
              <w:t>F. Robert Salerno</w:t>
            </w:r>
          </w:p>
        </w:tc>
      </w:tr>
      <w:tr>
        <w:trPr>
          <w:trHeight w:val="203"/>
        </w:trPr>
        <w:tc>
          <w:tcPr>
            <w:tcW w:w="2080" w:type="dxa"/>
            <w:vAlign w:val="bottom"/>
          </w:tcPr>
          <w:p>
            <w:pPr>
              <w:jc w:val="center"/>
              <w:ind w:right="350"/>
              <w:spacing w:after="0" w:line="202" w:lineRule="exact"/>
              <w:rPr>
                <w:sz w:val="20"/>
                <w:szCs w:val="20"/>
                <w:color w:val="auto"/>
              </w:rPr>
            </w:pPr>
            <w:r>
              <w:rPr>
                <w:rFonts w:ascii="Arial" w:cs="Arial" w:eastAsia="Arial" w:hAnsi="Arial"/>
                <w:sz w:val="18"/>
                <w:szCs w:val="18"/>
                <w:color w:val="auto"/>
                <w:w w:val="99"/>
              </w:rPr>
              <w:t>Jeffrey H. Fox</w:t>
            </w:r>
          </w:p>
        </w:tc>
        <w:tc>
          <w:tcPr>
            <w:tcW w:w="5320" w:type="dxa"/>
            <w:vAlign w:val="bottom"/>
          </w:tcPr>
          <w:p>
            <w:pPr>
              <w:jc w:val="center"/>
              <w:ind w:left="3530"/>
              <w:spacing w:after="0" w:line="202" w:lineRule="exact"/>
              <w:rPr>
                <w:sz w:val="20"/>
                <w:szCs w:val="20"/>
                <w:color w:val="auto"/>
              </w:rPr>
            </w:pPr>
            <w:r>
              <w:rPr>
                <w:rFonts w:ascii="Arial" w:cs="Arial" w:eastAsia="Arial" w:hAnsi="Arial"/>
                <w:sz w:val="18"/>
                <w:szCs w:val="18"/>
                <w:color w:val="auto"/>
                <w:w w:val="99"/>
              </w:rPr>
              <w:t>Francis J. Shammo</w:t>
            </w:r>
          </w:p>
        </w:tc>
      </w:tr>
      <w:tr>
        <w:trPr>
          <w:trHeight w:val="203"/>
        </w:trPr>
        <w:tc>
          <w:tcPr>
            <w:tcW w:w="2080" w:type="dxa"/>
            <w:vAlign w:val="bottom"/>
          </w:tcPr>
          <w:p>
            <w:pPr>
              <w:jc w:val="center"/>
              <w:ind w:right="350"/>
              <w:spacing w:after="0" w:line="202" w:lineRule="exact"/>
              <w:rPr>
                <w:sz w:val="20"/>
                <w:szCs w:val="20"/>
                <w:color w:val="auto"/>
              </w:rPr>
            </w:pPr>
            <w:r>
              <w:rPr>
                <w:rFonts w:ascii="Arial" w:cs="Arial" w:eastAsia="Arial" w:hAnsi="Arial"/>
                <w:sz w:val="18"/>
                <w:szCs w:val="18"/>
                <w:color w:val="auto"/>
                <w:w w:val="99"/>
              </w:rPr>
              <w:t>Lynn Krominga</w:t>
            </w:r>
          </w:p>
        </w:tc>
        <w:tc>
          <w:tcPr>
            <w:tcW w:w="5320" w:type="dxa"/>
            <w:vAlign w:val="bottom"/>
          </w:tcPr>
          <w:p>
            <w:pPr>
              <w:jc w:val="center"/>
              <w:ind w:left="3530"/>
              <w:spacing w:after="0" w:line="202" w:lineRule="exact"/>
              <w:rPr>
                <w:sz w:val="20"/>
                <w:szCs w:val="20"/>
                <w:color w:val="auto"/>
              </w:rPr>
            </w:pPr>
            <w:r>
              <w:rPr>
                <w:rFonts w:ascii="Arial" w:cs="Arial" w:eastAsia="Arial" w:hAnsi="Arial"/>
                <w:sz w:val="18"/>
                <w:szCs w:val="18"/>
                <w:color w:val="auto"/>
                <w:w w:val="99"/>
              </w:rPr>
              <w:t>Carl Sparks</w:t>
            </w:r>
          </w:p>
        </w:tc>
      </w:tr>
      <w:tr>
        <w:trPr>
          <w:trHeight w:val="217"/>
        </w:trPr>
        <w:tc>
          <w:tcPr>
            <w:tcW w:w="2080" w:type="dxa"/>
            <w:vAlign w:val="bottom"/>
          </w:tcPr>
          <w:p>
            <w:pPr>
              <w:jc w:val="center"/>
              <w:ind w:right="350"/>
              <w:spacing w:after="0"/>
              <w:rPr>
                <w:sz w:val="20"/>
                <w:szCs w:val="20"/>
                <w:color w:val="auto"/>
              </w:rPr>
            </w:pPr>
            <w:r>
              <w:rPr>
                <w:rFonts w:ascii="Arial" w:cs="Arial" w:eastAsia="Arial" w:hAnsi="Arial"/>
                <w:sz w:val="18"/>
                <w:szCs w:val="18"/>
                <w:color w:val="auto"/>
                <w:w w:val="98"/>
              </w:rPr>
              <w:t>Glenn Lurie</w:t>
            </w:r>
          </w:p>
        </w:tc>
        <w:tc>
          <w:tcPr>
            <w:tcW w:w="5320" w:type="dxa"/>
            <w:vAlign w:val="bottom"/>
          </w:tcPr>
          <w:p>
            <w:pPr>
              <w:jc w:val="center"/>
              <w:ind w:left="3530"/>
              <w:spacing w:after="0"/>
              <w:rPr>
                <w:sz w:val="20"/>
                <w:szCs w:val="20"/>
                <w:color w:val="auto"/>
              </w:rPr>
            </w:pPr>
            <w:r>
              <w:rPr>
                <w:rFonts w:ascii="Arial" w:cs="Arial" w:eastAsia="Arial" w:hAnsi="Arial"/>
                <w:sz w:val="18"/>
                <w:szCs w:val="18"/>
                <w:color w:val="auto"/>
              </w:rPr>
              <w:t>Sanoke Viswanathan</w:t>
            </w:r>
          </w:p>
        </w:tc>
      </w:tr>
    </w:tbl>
    <w:p>
      <w:pPr>
        <w:spacing w:after="0" w:line="202"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We also maintain a Corporate Governance Committee, a Compensation Committee and an Audit Committee, and all of the directors serving on these committees are independent based upon NASDAQ corporate governance listing standards and our own director independence criteria.</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Board Leadership Structure</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current Board leadership structure consists of:</w:t>
      </w:r>
    </w:p>
    <w:p>
      <w:pPr>
        <w:sectPr>
          <w:pgSz w:w="11900" w:h="16838" w:orient="portrait"/>
          <w:cols w:equalWidth="0" w:num="1">
            <w:col w:w="11220"/>
          </w:cols>
          <w:pgMar w:left="240" w:top="459" w:right="439" w:bottom="1440" w:gutter="0" w:footer="0" w:header="0"/>
        </w:sectPr>
      </w:pPr>
    </w:p>
    <w:p>
      <w:pPr>
        <w:spacing w:after="0" w:line="125"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of the Board: Ronald L. Nelson;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Larry D. De Shon;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Presiding Director (our independent lead director): Leonard S. Coleman; 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Fully independent Compensation, Corporate Governance and Audit Committees.</w:t>
      </w:r>
    </w:p>
    <w:p>
      <w:pPr>
        <w:spacing w:after="0" w:line="311" w:lineRule="exact"/>
        <w:rPr>
          <w:sz w:val="20"/>
          <w:szCs w:val="20"/>
          <w:color w:val="auto"/>
        </w:rPr>
      </w:pPr>
    </w:p>
    <w:p>
      <w:pPr>
        <w:sectPr>
          <w:pgSz w:w="11900" w:h="16838" w:orient="portrait"/>
          <w:cols w:equalWidth="0" w:num="2">
            <w:col w:w="300" w:space="220"/>
            <w:col w:w="10700"/>
          </w:cols>
          <w:pgMar w:left="240" w:top="459" w:right="439" w:bottom="1440" w:gutter="0" w:footer="0" w:header="0"/>
          <w:type w:val="continuous"/>
        </w:sectPr>
      </w:pPr>
    </w:p>
    <w:p>
      <w:pPr>
        <w:spacing w:after="0" w:line="35"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The Board of Directors, which is comprised of individuals who have extensive experience with board processes, has determined that the current leadership structure, as described above, best serves the Company and its shareholders.</w:t>
      </w:r>
    </w:p>
    <w:p>
      <w:pPr>
        <w:spacing w:after="0" w:line="197"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The Board split the roles of Chief Executive Officer and Chairman when Mr. Nelson stepped down from the role of Chief Executive Officer at the end of 2015. However, the Board does not currently have a requirement that the roles of Chief Executive Officer and Chairman of the Board be separated, because the Board believes it is in the best interests of our Company to make this determination based on the position and direction of our Company and the constitution of the Board and management team from time to time.</w:t>
      </w:r>
    </w:p>
    <w:p>
      <w:pPr>
        <w:spacing w:after="0" w:line="202"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The Board believes that the 2015 implementation of a carefully considered succession plan demonstrates that the Board takes seriously its responsibility to determine who should serve as Chairman at any point in time in light of the specific circumstances facing our Company. In September 2015, after careful consideration, the Board determined that having Mr. Nelson serve as Chairman was in the best interests of the Company and its shareholders and that Mr. Nelson’s knowledge of our Company’s operations and strategy provided a valuable resource to both the Board and Mr. De Shon, which has helped facilitate a smooth transition of the Chief Executive Officer role. Mr. Nelson has announced that he does not intend to stand for reelection at the Meeting, and is not a nominee for reelection at the Meeting.</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independent members of the Board have designated Mr. Coleman to serve in the position of Presiding Director. The position of</w:t>
      </w:r>
    </w:p>
    <w:p>
      <w:pPr>
        <w:ind w:left="200"/>
        <w:spacing w:after="0"/>
        <w:rPr>
          <w:sz w:val="20"/>
          <w:szCs w:val="20"/>
          <w:color w:val="auto"/>
        </w:rPr>
      </w:pPr>
      <w:r>
        <w:rPr>
          <w:rFonts w:ascii="Arial" w:cs="Arial" w:eastAsia="Arial" w:hAnsi="Arial"/>
          <w:sz w:val="18"/>
          <w:szCs w:val="18"/>
          <w:color w:val="auto"/>
        </w:rPr>
        <w:t>Presiding Director was established by the Board to designate an independent lead director whose primary responsibilities include:</w:t>
      </w:r>
    </w:p>
    <w:p>
      <w:pPr>
        <w:spacing w:after="0" w:line="117" w:lineRule="exact"/>
        <w:rPr>
          <w:sz w:val="20"/>
          <w:szCs w:val="20"/>
          <w:color w:val="auto"/>
        </w:rPr>
      </w:pPr>
    </w:p>
    <w:p>
      <w:pPr>
        <w:ind w:left="520" w:hanging="316"/>
        <w:spacing w:after="0" w:line="182" w:lineRule="auto"/>
        <w:tabs>
          <w:tab w:leader="none" w:pos="520" w:val="left"/>
        </w:tabs>
        <w:numPr>
          <w:ilvl w:val="0"/>
          <w:numId w:val="11"/>
        </w:numPr>
        <w:rPr>
          <w:rFonts w:ascii="Arial" w:cs="Arial" w:eastAsia="Arial" w:hAnsi="Arial"/>
          <w:sz w:val="33"/>
          <w:szCs w:val="33"/>
          <w:color w:val="auto"/>
          <w:vertAlign w:val="subscript"/>
        </w:rPr>
      </w:pPr>
      <w:r>
        <w:rPr>
          <w:rFonts w:ascii="Arial" w:cs="Arial" w:eastAsia="Arial" w:hAnsi="Arial"/>
          <w:sz w:val="15"/>
          <w:szCs w:val="15"/>
          <w:color w:val="auto"/>
        </w:rPr>
        <w:t>presiding at all meetings of the Board at which the Chairman of the Board is not present, including periodic executive sessions of the independent members of the Board of Directors;</w:t>
      </w:r>
    </w:p>
    <w:p>
      <w:pPr>
        <w:ind w:left="520" w:hanging="316"/>
        <w:spacing w:after="0" w:line="182" w:lineRule="auto"/>
        <w:tabs>
          <w:tab w:leader="none" w:pos="520" w:val="left"/>
        </w:tabs>
        <w:numPr>
          <w:ilvl w:val="0"/>
          <w:numId w:val="11"/>
        </w:numPr>
        <w:rPr>
          <w:rFonts w:ascii="Arial" w:cs="Arial" w:eastAsia="Arial" w:hAnsi="Arial"/>
          <w:sz w:val="37"/>
          <w:szCs w:val="37"/>
          <w:color w:val="auto"/>
          <w:vertAlign w:val="subscript"/>
        </w:rPr>
      </w:pPr>
      <w:r>
        <w:rPr>
          <w:rFonts w:ascii="Arial" w:cs="Arial" w:eastAsia="Arial" w:hAnsi="Arial"/>
          <w:sz w:val="15"/>
          <w:szCs w:val="15"/>
          <w:color w:val="auto"/>
        </w:rPr>
        <w:t>serving as liaison between the Chairman of the Board and the independent directors;</w:t>
      </w:r>
    </w:p>
    <w:p>
      <w:pPr>
        <w:spacing w:after="0" w:line="128" w:lineRule="exact"/>
        <w:rPr>
          <w:rFonts w:ascii="Arial" w:cs="Arial" w:eastAsia="Arial" w:hAnsi="Arial"/>
          <w:sz w:val="37"/>
          <w:szCs w:val="37"/>
          <w:color w:val="auto"/>
          <w:vertAlign w:val="subscript"/>
        </w:rPr>
      </w:pPr>
    </w:p>
    <w:p>
      <w:pPr>
        <w:ind w:left="520" w:hanging="316"/>
        <w:spacing w:after="0" w:line="182" w:lineRule="auto"/>
        <w:tabs>
          <w:tab w:leader="none" w:pos="520" w:val="left"/>
        </w:tabs>
        <w:numPr>
          <w:ilvl w:val="0"/>
          <w:numId w:val="11"/>
        </w:numPr>
        <w:rPr>
          <w:rFonts w:ascii="Arial" w:cs="Arial" w:eastAsia="Arial" w:hAnsi="Arial"/>
          <w:sz w:val="38"/>
          <w:szCs w:val="38"/>
          <w:color w:val="auto"/>
          <w:vertAlign w:val="subscript"/>
        </w:rPr>
      </w:pPr>
      <w:r>
        <w:rPr>
          <w:rFonts w:ascii="Arial" w:cs="Arial" w:eastAsia="Arial" w:hAnsi="Arial"/>
          <w:sz w:val="15"/>
          <w:szCs w:val="15"/>
          <w:color w:val="auto"/>
        </w:rPr>
        <w:t>advising the Chairman of the Board with respect to information, meeting schedules and agendas sent to the Board;</w:t>
      </w:r>
    </w:p>
    <w:p>
      <w:pPr>
        <w:spacing w:after="0" w:line="243" w:lineRule="exact"/>
        <w:rPr>
          <w:rFonts w:ascii="Arial" w:cs="Arial" w:eastAsia="Arial" w:hAnsi="Arial"/>
          <w:sz w:val="38"/>
          <w:szCs w:val="38"/>
          <w:color w:val="auto"/>
          <w:vertAlign w:val="subscript"/>
        </w:rPr>
      </w:pPr>
    </w:p>
    <w:p>
      <w:pPr>
        <w:jc w:val="both"/>
        <w:ind w:left="520" w:hanging="316"/>
        <w:spacing w:after="0" w:line="212" w:lineRule="auto"/>
        <w:tabs>
          <w:tab w:leader="none" w:pos="520" w:val="left"/>
        </w:tabs>
        <w:numPr>
          <w:ilvl w:val="0"/>
          <w:numId w:val="11"/>
        </w:numPr>
        <w:rPr>
          <w:rFonts w:ascii="Arial" w:cs="Arial" w:eastAsia="Arial" w:hAnsi="Arial"/>
          <w:sz w:val="45"/>
          <w:szCs w:val="45"/>
          <w:color w:val="auto"/>
          <w:vertAlign w:val="subscript"/>
        </w:rPr>
      </w:pPr>
      <w:r>
        <w:rPr>
          <w:rFonts w:ascii="Arial" w:cs="Arial" w:eastAsia="Arial" w:hAnsi="Arial"/>
          <w:sz w:val="16"/>
          <w:szCs w:val="16"/>
          <w:color w:val="auto"/>
        </w:rPr>
        <w:t>providing advice with respect to the selection of committee chairs and performing other duties that the Board of Directors may from time to time delegate to assist it in the fulfillment of its responsibilities, including the authority to call meetings of the independent directors of the Board;</w:t>
      </w:r>
    </w:p>
    <w:p>
      <w:pPr>
        <w:spacing w:after="0" w:line="2" w:lineRule="exact"/>
        <w:rPr>
          <w:rFonts w:ascii="Arial" w:cs="Arial" w:eastAsia="Arial" w:hAnsi="Arial"/>
          <w:sz w:val="45"/>
          <w:szCs w:val="45"/>
          <w:color w:val="auto"/>
          <w:vertAlign w:val="subscript"/>
        </w:rPr>
      </w:pPr>
    </w:p>
    <w:p>
      <w:pPr>
        <w:ind w:left="520" w:hanging="316"/>
        <w:spacing w:after="0" w:line="182" w:lineRule="auto"/>
        <w:tabs>
          <w:tab w:leader="none" w:pos="520" w:val="left"/>
        </w:tabs>
        <w:numPr>
          <w:ilvl w:val="0"/>
          <w:numId w:val="11"/>
        </w:numPr>
        <w:rPr>
          <w:rFonts w:ascii="Arial" w:cs="Arial" w:eastAsia="Arial" w:hAnsi="Arial"/>
          <w:sz w:val="37"/>
          <w:szCs w:val="37"/>
          <w:color w:val="auto"/>
          <w:vertAlign w:val="subscript"/>
        </w:rPr>
      </w:pPr>
      <w:r>
        <w:rPr>
          <w:rFonts w:ascii="Arial" w:cs="Arial" w:eastAsia="Arial" w:hAnsi="Arial"/>
          <w:sz w:val="15"/>
          <w:szCs w:val="15"/>
          <w:color w:val="auto"/>
        </w:rPr>
        <w:t>serving as the principal liaison for shareholder communications directed specifically to the Board;</w:t>
      </w:r>
    </w:p>
    <w:p>
      <w:pPr>
        <w:spacing w:after="0" w:line="128" w:lineRule="exact"/>
        <w:rPr>
          <w:rFonts w:ascii="Arial" w:cs="Arial" w:eastAsia="Arial" w:hAnsi="Arial"/>
          <w:sz w:val="37"/>
          <w:szCs w:val="37"/>
          <w:color w:val="auto"/>
          <w:vertAlign w:val="subscript"/>
        </w:rPr>
      </w:pPr>
    </w:p>
    <w:p>
      <w:pPr>
        <w:ind w:left="520" w:hanging="316"/>
        <w:spacing w:after="0" w:line="182" w:lineRule="auto"/>
        <w:tabs>
          <w:tab w:leader="none" w:pos="520" w:val="left"/>
        </w:tabs>
        <w:numPr>
          <w:ilvl w:val="0"/>
          <w:numId w:val="11"/>
        </w:numPr>
        <w:rPr>
          <w:rFonts w:ascii="Arial" w:cs="Arial" w:eastAsia="Arial" w:hAnsi="Arial"/>
          <w:sz w:val="38"/>
          <w:szCs w:val="38"/>
          <w:color w:val="auto"/>
          <w:vertAlign w:val="subscript"/>
        </w:rPr>
      </w:pPr>
      <w:r>
        <w:rPr>
          <w:rFonts w:ascii="Arial" w:cs="Arial" w:eastAsia="Arial" w:hAnsi="Arial"/>
          <w:sz w:val="15"/>
          <w:szCs w:val="15"/>
          <w:color w:val="auto"/>
        </w:rPr>
        <w:t>leading the Board’s annual self-evaluation;</w:t>
      </w:r>
    </w:p>
    <w:p>
      <w:pPr>
        <w:spacing w:after="0" w:line="127" w:lineRule="exact"/>
        <w:rPr>
          <w:rFonts w:ascii="Arial" w:cs="Arial" w:eastAsia="Arial" w:hAnsi="Arial"/>
          <w:sz w:val="38"/>
          <w:szCs w:val="38"/>
          <w:color w:val="auto"/>
          <w:vertAlign w:val="subscript"/>
        </w:rPr>
      </w:pPr>
    </w:p>
    <w:p>
      <w:pPr>
        <w:ind w:left="520" w:hanging="316"/>
        <w:spacing w:after="0" w:line="182" w:lineRule="auto"/>
        <w:tabs>
          <w:tab w:leader="none" w:pos="520" w:val="left"/>
        </w:tabs>
        <w:numPr>
          <w:ilvl w:val="0"/>
          <w:numId w:val="11"/>
        </w:numPr>
        <w:rPr>
          <w:rFonts w:ascii="Arial" w:cs="Arial" w:eastAsia="Arial" w:hAnsi="Arial"/>
          <w:sz w:val="38"/>
          <w:szCs w:val="38"/>
          <w:color w:val="auto"/>
          <w:vertAlign w:val="subscript"/>
        </w:rPr>
      </w:pPr>
      <w:r>
        <w:rPr>
          <w:rFonts w:ascii="Arial" w:cs="Arial" w:eastAsia="Arial" w:hAnsi="Arial"/>
          <w:sz w:val="15"/>
          <w:szCs w:val="15"/>
          <w:color w:val="auto"/>
        </w:rPr>
        <w:t>leading the Board’s involvement in succession planning; and</w:t>
      </w:r>
    </w:p>
    <w:p>
      <w:pPr>
        <w:spacing w:after="0" w:line="127" w:lineRule="exact"/>
        <w:rPr>
          <w:rFonts w:ascii="Arial" w:cs="Arial" w:eastAsia="Arial" w:hAnsi="Arial"/>
          <w:sz w:val="38"/>
          <w:szCs w:val="38"/>
          <w:color w:val="auto"/>
          <w:vertAlign w:val="subscript"/>
        </w:rPr>
      </w:pPr>
    </w:p>
    <w:p>
      <w:pPr>
        <w:ind w:left="520" w:hanging="316"/>
        <w:spacing w:after="0" w:line="182" w:lineRule="auto"/>
        <w:tabs>
          <w:tab w:leader="none" w:pos="520" w:val="left"/>
        </w:tabs>
        <w:numPr>
          <w:ilvl w:val="0"/>
          <w:numId w:val="11"/>
        </w:numPr>
        <w:rPr>
          <w:rFonts w:ascii="Arial" w:cs="Arial" w:eastAsia="Arial" w:hAnsi="Arial"/>
          <w:sz w:val="38"/>
          <w:szCs w:val="38"/>
          <w:color w:val="auto"/>
          <w:vertAlign w:val="subscript"/>
        </w:rPr>
      </w:pPr>
      <w:r>
        <w:rPr>
          <w:rFonts w:ascii="Arial" w:cs="Arial" w:eastAsia="Arial" w:hAnsi="Arial"/>
          <w:sz w:val="15"/>
          <w:szCs w:val="15"/>
          <w:color w:val="auto"/>
        </w:rPr>
        <w:t>assisting in assuring compliance with, and implementation of, the Corporate Governance Guidelines.</w:t>
      </w:r>
    </w:p>
    <w:p>
      <w:pPr>
        <w:spacing w:after="0" w:line="338"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Such delegation of well-defined responsibilities to a lead independent director helps ensure that an appropriate independent leadership structure is in place.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Mr. Coleman brings a history of leadership experience as a lead independent director. As our Presiding Director, Mr. Coleman provides the Board with independent leadership and facilitates the independence of the Board from management.</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 Management and Risk Assessment</w:t>
      </w:r>
    </w:p>
    <w:p>
      <w:pPr>
        <w:spacing w:after="0" w:line="130"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Management is responsible for assessing risk and for day-to-day risk management activities. The Board executes its oversight responsibility for risk assessment and risk management, acting directly and through its Committees, as follows: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Board/Committee</w:t>
            </w:r>
          </w:p>
        </w:tc>
        <w:tc>
          <w:tcPr>
            <w:tcW w:w="8160" w:type="dxa"/>
            <w:vAlign w:val="bottom"/>
            <w:gridSpan w:val="2"/>
          </w:tcPr>
          <w:p>
            <w:pPr>
              <w:ind w:left="220"/>
              <w:spacing w:after="0"/>
              <w:rPr>
                <w:sz w:val="20"/>
                <w:szCs w:val="20"/>
                <w:color w:val="auto"/>
              </w:rPr>
            </w:pPr>
            <w:r>
              <w:rPr>
                <w:rFonts w:ascii="Arial" w:cs="Arial" w:eastAsia="Arial" w:hAnsi="Arial"/>
                <w:sz w:val="18"/>
                <w:szCs w:val="18"/>
                <w:b w:val="1"/>
                <w:bCs w:val="1"/>
                <w:color w:val="auto"/>
              </w:rPr>
              <w:t>Responsibility/Role</w:t>
            </w:r>
          </w:p>
        </w:tc>
        <w:tc>
          <w:tcPr>
            <w:tcW w:w="0" w:type="dxa"/>
            <w:vAlign w:val="bottom"/>
          </w:tcPr>
          <w:p>
            <w:pPr>
              <w:spacing w:after="0"/>
              <w:rPr>
                <w:sz w:val="1"/>
                <w:szCs w:val="1"/>
                <w:color w:val="auto"/>
              </w:rPr>
            </w:pPr>
          </w:p>
        </w:tc>
      </w:tr>
      <w:tr>
        <w:trPr>
          <w:trHeight w:val="81"/>
        </w:trPr>
        <w:tc>
          <w:tcPr>
            <w:tcW w:w="2880" w:type="dxa"/>
            <w:vAlign w:val="bottom"/>
            <w:gridSpan w:val="2"/>
          </w:tcPr>
          <w:p>
            <w:pPr>
              <w:spacing w:after="0"/>
              <w:rPr>
                <w:sz w:val="7"/>
                <w:szCs w:val="7"/>
                <w:color w:val="auto"/>
              </w:rPr>
            </w:pPr>
          </w:p>
        </w:tc>
        <w:tc>
          <w:tcPr>
            <w:tcW w:w="600" w:type="dxa"/>
            <w:vAlign w:val="bottom"/>
          </w:tcPr>
          <w:p>
            <w:pPr>
              <w:spacing w:after="0"/>
              <w:rPr>
                <w:sz w:val="7"/>
                <w:szCs w:val="7"/>
                <w:color w:val="auto"/>
              </w:rPr>
            </w:pPr>
          </w:p>
        </w:tc>
        <w:tc>
          <w:tcPr>
            <w:tcW w:w="7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F4F9F9"/>
          </w:tcPr>
          <w:p>
            <w:pPr>
              <w:spacing w:after="0"/>
              <w:rPr>
                <w:sz w:val="20"/>
                <w:szCs w:val="20"/>
                <w:color w:val="auto"/>
              </w:rPr>
            </w:pPr>
            <w:r>
              <w:rPr>
                <w:rFonts w:ascii="Arial" w:cs="Arial" w:eastAsia="Arial" w:hAnsi="Arial"/>
                <w:sz w:val="18"/>
                <w:szCs w:val="18"/>
                <w:color w:val="auto"/>
              </w:rPr>
              <w:t>Audit Committee</w:t>
            </w:r>
          </w:p>
        </w:tc>
        <w:tc>
          <w:tcPr>
            <w:tcW w:w="8160" w:type="dxa"/>
            <w:vAlign w:val="bottom"/>
            <w:tcBorders>
              <w:top w:val="single" w:sz="8" w:color="auto"/>
            </w:tcBorders>
            <w:gridSpan w:val="2"/>
            <w:vMerge w:val="restart"/>
            <w:shd w:val="clear" w:color="auto" w:fill="F4F9F9"/>
          </w:tcPr>
          <w:p>
            <w:pPr>
              <w:ind w:left="220"/>
              <w:spacing w:after="0"/>
              <w:rPr>
                <w:sz w:val="20"/>
                <w:szCs w:val="20"/>
                <w:color w:val="auto"/>
              </w:rPr>
            </w:pPr>
            <w:r>
              <w:rPr>
                <w:rFonts w:ascii="Arial" w:cs="Arial" w:eastAsia="Arial" w:hAnsi="Arial"/>
                <w:sz w:val="29"/>
                <w:szCs w:val="29"/>
                <w:color w:val="auto"/>
              </w:rPr>
              <w:t xml:space="preserve">• </w:t>
            </w:r>
            <w:r>
              <w:rPr>
                <w:rFonts w:ascii="Arial" w:cs="Arial" w:eastAsia="Arial" w:hAnsi="Arial"/>
                <w:sz w:val="18"/>
                <w:szCs w:val="18"/>
                <w:color w:val="auto"/>
              </w:rPr>
              <w:t>Assists in the Board’s oversight of the Company’s: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shd w:val="clear" w:color="auto" w:fill="F4F9F9"/>
          </w:tcPr>
          <w:p>
            <w:pPr>
              <w:spacing w:after="0"/>
              <w:rPr>
                <w:sz w:val="11"/>
                <w:szCs w:val="11"/>
                <w:color w:val="auto"/>
              </w:rPr>
            </w:pPr>
          </w:p>
        </w:tc>
        <w:tc>
          <w:tcPr>
            <w:tcW w:w="8160" w:type="dxa"/>
            <w:vAlign w:val="bottom"/>
            <w:gridSpan w:val="2"/>
            <w:vMerge w:val="continue"/>
            <w:shd w:val="clear" w:color="auto" w:fill="F4F9F9"/>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60" w:type="dxa"/>
            <w:vAlign w:val="bottom"/>
            <w:shd w:val="clear" w:color="auto" w:fill="F4F9F9"/>
          </w:tcPr>
          <w:p>
            <w:pPr>
              <w:spacing w:after="0"/>
              <w:rPr>
                <w:sz w:val="21"/>
                <w:szCs w:val="21"/>
                <w:color w:val="auto"/>
              </w:rPr>
            </w:pPr>
          </w:p>
        </w:tc>
        <w:tc>
          <w:tcPr>
            <w:tcW w:w="600" w:type="dxa"/>
            <w:vAlign w:val="bottom"/>
            <w:shd w:val="clear" w:color="auto" w:fill="F4F9F9"/>
          </w:tcPr>
          <w:p>
            <w:pPr>
              <w:ind w:left="480"/>
              <w:spacing w:after="0"/>
              <w:rPr>
                <w:sz w:val="20"/>
                <w:szCs w:val="20"/>
                <w:color w:val="auto"/>
              </w:rPr>
            </w:pPr>
            <w:r>
              <w:rPr>
                <w:rFonts w:ascii="Arial" w:cs="Arial" w:eastAsia="Arial" w:hAnsi="Arial"/>
                <w:sz w:val="14"/>
                <w:szCs w:val="14"/>
                <w:color w:val="auto"/>
              </w:rPr>
              <w:t>u</w:t>
            </w:r>
          </w:p>
        </w:tc>
        <w:tc>
          <w:tcPr>
            <w:tcW w:w="7560" w:type="dxa"/>
            <w:vAlign w:val="bottom"/>
            <w:shd w:val="clear" w:color="auto" w:fill="F4F9F9"/>
          </w:tcPr>
          <w:p>
            <w:pPr>
              <w:ind w:left="60"/>
              <w:spacing w:after="0"/>
              <w:rPr>
                <w:sz w:val="20"/>
                <w:szCs w:val="20"/>
                <w:color w:val="auto"/>
              </w:rPr>
            </w:pPr>
            <w:r>
              <w:rPr>
                <w:rFonts w:ascii="Arial" w:cs="Arial" w:eastAsia="Arial" w:hAnsi="Arial"/>
                <w:sz w:val="18"/>
                <w:szCs w:val="18"/>
                <w:color w:val="auto"/>
              </w:rPr>
              <w:t>major financial risk exposures and the steps management has undertaken to control such</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60" w:type="dxa"/>
            <w:vAlign w:val="bottom"/>
            <w:shd w:val="clear" w:color="auto" w:fill="F4F9F9"/>
          </w:tcPr>
          <w:p>
            <w:pPr>
              <w:spacing w:after="0"/>
              <w:rPr>
                <w:sz w:val="18"/>
                <w:szCs w:val="18"/>
                <w:color w:val="auto"/>
              </w:rPr>
            </w:pPr>
          </w:p>
        </w:tc>
        <w:tc>
          <w:tcPr>
            <w:tcW w:w="600" w:type="dxa"/>
            <w:vAlign w:val="bottom"/>
            <w:shd w:val="clear" w:color="auto" w:fill="F4F9F9"/>
          </w:tcPr>
          <w:p>
            <w:pPr>
              <w:spacing w:after="0"/>
              <w:rPr>
                <w:sz w:val="18"/>
                <w:szCs w:val="18"/>
                <w:color w:val="auto"/>
              </w:rPr>
            </w:pPr>
          </w:p>
        </w:tc>
        <w:tc>
          <w:tcPr>
            <w:tcW w:w="7560" w:type="dxa"/>
            <w:vAlign w:val="bottom"/>
            <w:shd w:val="clear" w:color="auto" w:fill="F4F9F9"/>
          </w:tcPr>
          <w:p>
            <w:pPr>
              <w:ind w:left="160"/>
              <w:spacing w:after="0"/>
              <w:rPr>
                <w:sz w:val="20"/>
                <w:szCs w:val="20"/>
                <w:color w:val="auto"/>
              </w:rPr>
            </w:pPr>
            <w:r>
              <w:rPr>
                <w:rFonts w:ascii="Arial" w:cs="Arial" w:eastAsia="Arial" w:hAnsi="Arial"/>
                <w:sz w:val="18"/>
                <w:szCs w:val="18"/>
                <w:color w:val="auto"/>
              </w:rPr>
              <w:t>risks;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F4F9F9"/>
          </w:tcPr>
          <w:p>
            <w:pPr>
              <w:spacing w:after="0"/>
              <w:rPr>
                <w:sz w:val="21"/>
                <w:szCs w:val="21"/>
                <w:color w:val="auto"/>
              </w:rPr>
            </w:pPr>
          </w:p>
        </w:tc>
        <w:tc>
          <w:tcPr>
            <w:tcW w:w="600" w:type="dxa"/>
            <w:vAlign w:val="bottom"/>
            <w:shd w:val="clear" w:color="auto" w:fill="F4F9F9"/>
          </w:tcPr>
          <w:p>
            <w:pPr>
              <w:ind w:left="480"/>
              <w:spacing w:after="0"/>
              <w:rPr>
                <w:sz w:val="20"/>
                <w:szCs w:val="20"/>
                <w:color w:val="auto"/>
              </w:rPr>
            </w:pPr>
            <w:r>
              <w:rPr>
                <w:rFonts w:ascii="Arial" w:cs="Arial" w:eastAsia="Arial" w:hAnsi="Arial"/>
                <w:sz w:val="14"/>
                <w:szCs w:val="14"/>
                <w:color w:val="auto"/>
              </w:rPr>
              <w:t>u</w:t>
            </w:r>
          </w:p>
        </w:tc>
        <w:tc>
          <w:tcPr>
            <w:tcW w:w="7560" w:type="dxa"/>
            <w:vAlign w:val="bottom"/>
            <w:shd w:val="clear" w:color="auto" w:fill="F4F9F9"/>
          </w:tcPr>
          <w:p>
            <w:pPr>
              <w:ind w:left="60"/>
              <w:spacing w:after="0"/>
              <w:rPr>
                <w:sz w:val="20"/>
                <w:szCs w:val="20"/>
                <w:color w:val="auto"/>
              </w:rPr>
            </w:pPr>
            <w:r>
              <w:rPr>
                <w:rFonts w:ascii="Arial" w:cs="Arial" w:eastAsia="Arial" w:hAnsi="Arial"/>
                <w:sz w:val="18"/>
                <w:szCs w:val="18"/>
                <w:color w:val="auto"/>
              </w:rPr>
              <w:t>risks associated with information technology and cybersecurity; and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F4F9F9"/>
          </w:tcPr>
          <w:p>
            <w:pPr>
              <w:spacing w:after="0"/>
              <w:rPr>
                <w:sz w:val="21"/>
                <w:szCs w:val="21"/>
                <w:color w:val="auto"/>
              </w:rPr>
            </w:pPr>
          </w:p>
        </w:tc>
        <w:tc>
          <w:tcPr>
            <w:tcW w:w="600" w:type="dxa"/>
            <w:vAlign w:val="bottom"/>
            <w:shd w:val="clear" w:color="auto" w:fill="F4F9F9"/>
          </w:tcPr>
          <w:p>
            <w:pPr>
              <w:ind w:left="480"/>
              <w:spacing w:after="0"/>
              <w:rPr>
                <w:sz w:val="20"/>
                <w:szCs w:val="20"/>
                <w:color w:val="auto"/>
              </w:rPr>
            </w:pPr>
            <w:r>
              <w:rPr>
                <w:rFonts w:ascii="Arial" w:cs="Arial" w:eastAsia="Arial" w:hAnsi="Arial"/>
                <w:sz w:val="14"/>
                <w:szCs w:val="14"/>
                <w:color w:val="auto"/>
              </w:rPr>
              <w:t>u</w:t>
            </w:r>
          </w:p>
        </w:tc>
        <w:tc>
          <w:tcPr>
            <w:tcW w:w="7560" w:type="dxa"/>
            <w:vAlign w:val="bottom"/>
            <w:shd w:val="clear" w:color="auto" w:fill="F4F9F9"/>
          </w:tcPr>
          <w:p>
            <w:pPr>
              <w:ind w:left="60"/>
              <w:spacing w:after="0"/>
              <w:rPr>
                <w:sz w:val="20"/>
                <w:szCs w:val="20"/>
                <w:color w:val="auto"/>
              </w:rPr>
            </w:pPr>
            <w:r>
              <w:rPr>
                <w:rFonts w:ascii="Arial" w:cs="Arial" w:eastAsia="Arial" w:hAnsi="Arial"/>
                <w:sz w:val="18"/>
                <w:szCs w:val="18"/>
                <w:color w:val="auto"/>
              </w:rPr>
              <w:t>compliance with legal and regulatory requirements.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860" w:type="dxa"/>
            <w:vAlign w:val="bottom"/>
            <w:shd w:val="clear" w:color="auto" w:fill="F4F9F9"/>
          </w:tcPr>
          <w:p>
            <w:pPr>
              <w:spacing w:after="0"/>
              <w:rPr>
                <w:sz w:val="5"/>
                <w:szCs w:val="5"/>
                <w:color w:val="auto"/>
              </w:rPr>
            </w:pPr>
          </w:p>
        </w:tc>
        <w:tc>
          <w:tcPr>
            <w:tcW w:w="600" w:type="dxa"/>
            <w:vAlign w:val="bottom"/>
            <w:shd w:val="clear" w:color="auto" w:fill="F4F9F9"/>
          </w:tcPr>
          <w:p>
            <w:pPr>
              <w:spacing w:after="0"/>
              <w:rPr>
                <w:sz w:val="5"/>
                <w:szCs w:val="5"/>
                <w:color w:val="auto"/>
              </w:rPr>
            </w:pPr>
          </w:p>
        </w:tc>
        <w:tc>
          <w:tcPr>
            <w:tcW w:w="7560" w:type="dxa"/>
            <w:vAlign w:val="bottom"/>
            <w:shd w:val="clear" w:color="auto" w:fill="F4F9F9"/>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2920" w:type="dxa"/>
            <w:vAlign w:val="bottom"/>
            <w:tcBorders>
              <w:top w:val="single" w:sz="8" w:color="C1CECC"/>
            </w:tcBorders>
            <w:gridSpan w:val="2"/>
          </w:tcPr>
          <w:p>
            <w:pPr>
              <w:spacing w:after="0"/>
              <w:rPr>
                <w:sz w:val="20"/>
                <w:szCs w:val="20"/>
                <w:color w:val="auto"/>
              </w:rPr>
            </w:pPr>
            <w:r>
              <w:rPr>
                <w:rFonts w:ascii="Arial" w:cs="Arial" w:eastAsia="Arial" w:hAnsi="Arial"/>
                <w:sz w:val="18"/>
                <w:szCs w:val="18"/>
                <w:color w:val="auto"/>
              </w:rPr>
              <w:t>Compensation Committee</w:t>
            </w:r>
          </w:p>
        </w:tc>
        <w:tc>
          <w:tcPr>
            <w:tcW w:w="8120" w:type="dxa"/>
            <w:vAlign w:val="bottom"/>
            <w:tcBorders>
              <w:top w:val="single" w:sz="8" w:color="C1CECC"/>
            </w:tcBorders>
            <w:vMerge w:val="restart"/>
          </w:tcPr>
          <w:p>
            <w:pPr>
              <w:ind w:left="180"/>
              <w:spacing w:after="0" w:line="330" w:lineRule="exact"/>
              <w:rPr>
                <w:sz w:val="20"/>
                <w:szCs w:val="20"/>
                <w:color w:val="auto"/>
              </w:rPr>
            </w:pPr>
            <w:r>
              <w:rPr>
                <w:rFonts w:ascii="Arial" w:cs="Arial" w:eastAsia="Arial" w:hAnsi="Arial"/>
                <w:sz w:val="29"/>
                <w:szCs w:val="29"/>
                <w:color w:val="auto"/>
              </w:rPr>
              <w:t xml:space="preserve">• </w:t>
            </w:r>
            <w:r>
              <w:rPr>
                <w:rFonts w:ascii="Arial" w:cs="Arial" w:eastAsia="Arial" w:hAnsi="Arial"/>
                <w:sz w:val="18"/>
                <w:szCs w:val="18"/>
                <w:color w:val="auto"/>
              </w:rPr>
              <w:t>Oversees risks associated with our compensation policies and practices with respect to</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8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120" w:type="dxa"/>
            <w:vAlign w:val="bottom"/>
          </w:tcPr>
          <w:p>
            <w:pPr>
              <w:ind w:left="440"/>
              <w:spacing w:after="0"/>
              <w:rPr>
                <w:sz w:val="20"/>
                <w:szCs w:val="20"/>
                <w:color w:val="auto"/>
              </w:rPr>
            </w:pPr>
            <w:r>
              <w:rPr>
                <w:rFonts w:ascii="Arial" w:cs="Arial" w:eastAsia="Arial" w:hAnsi="Arial"/>
                <w:sz w:val="18"/>
                <w:szCs w:val="18"/>
                <w:color w:val="auto"/>
              </w:rPr>
              <w:t>executive compensation.</w:t>
            </w:r>
          </w:p>
        </w:tc>
        <w:tc>
          <w:tcPr>
            <w:tcW w:w="0" w:type="dxa"/>
            <w:vAlign w:val="bottom"/>
          </w:tcPr>
          <w:p>
            <w:pPr>
              <w:spacing w:after="0"/>
              <w:rPr>
                <w:sz w:val="1"/>
                <w:szCs w:val="1"/>
                <w:color w:val="auto"/>
              </w:rPr>
            </w:pPr>
          </w:p>
        </w:tc>
      </w:tr>
      <w:tr>
        <w:trPr>
          <w:trHeight w:val="68"/>
        </w:trPr>
        <w:tc>
          <w:tcPr>
            <w:tcW w:w="2920" w:type="dxa"/>
            <w:vAlign w:val="bottom"/>
            <w:gridSpan w:val="2"/>
          </w:tcPr>
          <w:p>
            <w:pPr>
              <w:spacing w:after="0"/>
              <w:rPr>
                <w:sz w:val="5"/>
                <w:szCs w:val="5"/>
                <w:color w:val="auto"/>
              </w:rPr>
            </w:pPr>
          </w:p>
        </w:tc>
        <w:tc>
          <w:tcPr>
            <w:tcW w:w="8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1CECC"/>
            </w:tcBorders>
            <w:shd w:val="clear" w:color="auto" w:fill="F4F9F9"/>
          </w:tcPr>
          <w:p>
            <w:pPr>
              <w:spacing w:after="0"/>
              <w:rPr>
                <w:sz w:val="20"/>
                <w:szCs w:val="20"/>
                <w:color w:val="auto"/>
              </w:rPr>
            </w:pPr>
            <w:r>
              <w:rPr>
                <w:rFonts w:ascii="Arial" w:cs="Arial" w:eastAsia="Arial" w:hAnsi="Arial"/>
                <w:sz w:val="18"/>
                <w:szCs w:val="18"/>
                <w:color w:val="auto"/>
              </w:rPr>
              <w:t>Corporate Governance Committee</w:t>
            </w:r>
          </w:p>
        </w:tc>
        <w:tc>
          <w:tcPr>
            <w:tcW w:w="8120" w:type="dxa"/>
            <w:vAlign w:val="bottom"/>
            <w:tcBorders>
              <w:top w:val="single" w:sz="8" w:color="C1CECC"/>
            </w:tcBorders>
            <w:vMerge w:val="restart"/>
            <w:shd w:val="clear" w:color="auto" w:fill="F4F9F9"/>
          </w:tcPr>
          <w:p>
            <w:pPr>
              <w:ind w:left="180"/>
              <w:spacing w:after="0" w:line="331" w:lineRule="exact"/>
              <w:rPr>
                <w:sz w:val="20"/>
                <w:szCs w:val="20"/>
                <w:color w:val="auto"/>
              </w:rPr>
            </w:pPr>
            <w:r>
              <w:rPr>
                <w:rFonts w:ascii="Arial" w:cs="Arial" w:eastAsia="Arial" w:hAnsi="Arial"/>
                <w:sz w:val="29"/>
                <w:szCs w:val="29"/>
                <w:color w:val="auto"/>
              </w:rPr>
              <w:t xml:space="preserve">• </w:t>
            </w:r>
            <w:r>
              <w:rPr>
                <w:rFonts w:ascii="Arial" w:cs="Arial" w:eastAsia="Arial" w:hAnsi="Arial"/>
                <w:sz w:val="18"/>
                <w:szCs w:val="18"/>
                <w:color w:val="auto"/>
              </w:rPr>
              <w:t>Oversees risks associated with corporate governance.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00" w:type="dxa"/>
            <w:vAlign w:val="bottom"/>
            <w:tcBorders>
              <w:bottom w:val="single" w:sz="8" w:color="C1CECC"/>
            </w:tcBorders>
            <w:shd w:val="clear" w:color="auto" w:fill="F4F9F9"/>
          </w:tcPr>
          <w:p>
            <w:pPr>
              <w:spacing w:after="0"/>
              <w:rPr>
                <w:sz w:val="10"/>
                <w:szCs w:val="10"/>
                <w:color w:val="auto"/>
              </w:rPr>
            </w:pPr>
          </w:p>
        </w:tc>
        <w:tc>
          <w:tcPr>
            <w:tcW w:w="8120" w:type="dxa"/>
            <w:vAlign w:val="bottom"/>
            <w:tcBorders>
              <w:bottom w:val="single" w:sz="8" w:color="C1CECC"/>
            </w:tcBorders>
            <w:vMerge w:val="continue"/>
            <w:shd w:val="clear" w:color="auto" w:fill="F4F9F9"/>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Full Board</w:t>
            </w:r>
          </w:p>
        </w:tc>
        <w:tc>
          <w:tcPr>
            <w:tcW w:w="8120" w:type="dxa"/>
            <w:vAlign w:val="bottom"/>
            <w:vMerge w:val="restart"/>
          </w:tcPr>
          <w:p>
            <w:pPr>
              <w:ind w:left="180"/>
              <w:spacing w:after="0"/>
              <w:rPr>
                <w:sz w:val="20"/>
                <w:szCs w:val="20"/>
                <w:color w:val="auto"/>
              </w:rPr>
            </w:pPr>
            <w:r>
              <w:rPr>
                <w:rFonts w:ascii="Arial" w:cs="Arial" w:eastAsia="Arial" w:hAnsi="Arial"/>
                <w:sz w:val="29"/>
                <w:szCs w:val="29"/>
                <w:color w:val="auto"/>
              </w:rPr>
              <w:t xml:space="preserve">• </w:t>
            </w:r>
            <w:r>
              <w:rPr>
                <w:rFonts w:ascii="Arial" w:cs="Arial" w:eastAsia="Arial" w:hAnsi="Arial"/>
                <w:sz w:val="18"/>
                <w:szCs w:val="18"/>
                <w:color w:val="auto"/>
              </w:rPr>
              <w:t>Receives reports from the Committees at every regular Board meeting.</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120" w:type="dxa"/>
            <w:vAlign w:val="bottom"/>
          </w:tcPr>
          <w:p>
            <w:pPr>
              <w:ind w:left="180"/>
              <w:spacing w:after="0"/>
              <w:rPr>
                <w:sz w:val="20"/>
                <w:szCs w:val="20"/>
                <w:color w:val="auto"/>
              </w:rPr>
            </w:pPr>
            <w:r>
              <w:rPr>
                <w:rFonts w:ascii="Arial" w:cs="Arial" w:eastAsia="Arial" w:hAnsi="Arial"/>
                <w:sz w:val="29"/>
                <w:szCs w:val="29"/>
                <w:color w:val="auto"/>
              </w:rPr>
              <w:t xml:space="preserve">• </w:t>
            </w:r>
            <w:r>
              <w:rPr>
                <w:rFonts w:ascii="Arial" w:cs="Arial" w:eastAsia="Arial" w:hAnsi="Arial"/>
                <w:sz w:val="18"/>
                <w:szCs w:val="18"/>
                <w:color w:val="auto"/>
              </w:rPr>
              <w:t>Considers specific risk topics.</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120" w:type="dxa"/>
            <w:vAlign w:val="bottom"/>
          </w:tcPr>
          <w:p>
            <w:pPr>
              <w:ind w:left="180"/>
              <w:spacing w:after="0"/>
              <w:rPr>
                <w:sz w:val="20"/>
                <w:szCs w:val="20"/>
                <w:color w:val="auto"/>
              </w:rPr>
            </w:pPr>
            <w:r>
              <w:rPr>
                <w:rFonts w:ascii="Arial" w:cs="Arial" w:eastAsia="Arial" w:hAnsi="Arial"/>
                <w:sz w:val="29"/>
                <w:szCs w:val="29"/>
                <w:color w:val="auto"/>
              </w:rPr>
              <w:t xml:space="preserve">• </w:t>
            </w:r>
            <w:r>
              <w:rPr>
                <w:rFonts w:ascii="Arial" w:cs="Arial" w:eastAsia="Arial" w:hAnsi="Arial"/>
                <w:sz w:val="18"/>
                <w:szCs w:val="18"/>
                <w:color w:val="auto"/>
              </w:rPr>
              <w:t>Receives regular reports from members of senior management that include discussion of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risks and exposures involved in their respective areas of responsibility. Such reports are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120" w:type="dxa"/>
            <w:vAlign w:val="bottom"/>
          </w:tcPr>
          <w:p>
            <w:pPr>
              <w:ind w:left="440"/>
              <w:spacing w:after="0"/>
              <w:rPr>
                <w:sz w:val="20"/>
                <w:szCs w:val="20"/>
                <w:color w:val="auto"/>
              </w:rPr>
            </w:pPr>
            <w:r>
              <w:rPr>
                <w:rFonts w:ascii="Arial" w:cs="Arial" w:eastAsia="Arial" w:hAnsi="Arial"/>
                <w:sz w:val="18"/>
                <w:szCs w:val="18"/>
                <w:color w:val="auto"/>
              </w:rPr>
              <w:t>provided in connection with and discussed at Board meetings.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900" w:type="dxa"/>
            <w:vAlign w:val="bottom"/>
            <w:tcBorders>
              <w:bottom w:val="single" w:sz="8" w:color="auto"/>
            </w:tcBorders>
          </w:tcPr>
          <w:p>
            <w:pPr>
              <w:spacing w:after="0"/>
              <w:rPr>
                <w:sz w:val="5"/>
                <w:szCs w:val="5"/>
                <w:color w:val="auto"/>
              </w:rPr>
            </w:pPr>
          </w:p>
        </w:tc>
        <w:tc>
          <w:tcPr>
            <w:tcW w:w="8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In 2018, consistent with past practice, management reviewed the Company’s compensation policies and practices for employees generally as they relate to risk management. As part of this process, management reviewed the Company’s incentive compensation programs applicable to all employees with the chairmen of the Audit and Compensation Committees and the compensation consultant engaged by the Compensation Committee to determine whether such programs create incentives that might motivate inappropriate or excessive risk-taking. In the course of such review, mitigating features of the Company’s incentive compensation programs were considered, including: (1) the Company’s recoupment policies; (2) that virtually all of the Company’s annual incentive programs allow for “downward discretion,” which permits the Company to reduce incentive compensation payouts; and (3) that executive officers are subject to share ownership and retention guidelines. As a result of this process, there were no recommended changes to the Company’s incentive compensation programs.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Communicating with the Board of Directors</w:t>
      </w:r>
    </w:p>
    <w:p>
      <w:pPr>
        <w:spacing w:after="0" w:line="130"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Shareholders and other interested parties may send communications directly to the Board of Directors by writing to the Board of Directors, c/o the Corporate Secretary, Avis Budget Group, Inc., 6 Sylvan Way, Parsippany, N.J. 07054.</w:t>
      </w:r>
    </w:p>
    <w:p>
      <w:pPr>
        <w:spacing w:after="0" w:line="89"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 xml:space="preserve">In addition, all parties interested in communicating directly with the Presiding Director or with any other independent director may do so by writing to Avis Budget Group, Inc. at the same address, Attention: Presiding Director, c/o the Corporate Secretary or via e-mail at </w:t>
      </w:r>
      <w:r>
        <w:rPr>
          <w:rFonts w:ascii="Arial" w:cs="Arial" w:eastAsia="Arial" w:hAnsi="Arial"/>
          <w:sz w:val="18"/>
          <w:szCs w:val="18"/>
          <w:i w:val="1"/>
          <w:iCs w:val="1"/>
          <w:color w:val="auto"/>
        </w:rPr>
        <w:t>presiding.director@avisbudget.com</w:t>
      </w:r>
      <w:r>
        <w:rPr>
          <w:rFonts w:ascii="Arial" w:cs="Arial" w:eastAsia="Arial" w:hAnsi="Arial"/>
          <w:sz w:val="18"/>
          <w:szCs w:val="18"/>
          <w:color w:val="auto"/>
        </w:rPr>
        <w:t>. The Presiding Director is responsible for reviewing and distributing all interested parties’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communications received to the intended recipients and/or to the full Board of Directors, as appropriate.</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Codes of Conduct</w:t>
      </w:r>
    </w:p>
    <w:p>
      <w:pPr>
        <w:spacing w:after="0" w:line="130"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 xml:space="preserve">The Board of Directors has adopted a code of conduct that applies to all officers and employees, including the Company’s principal executive officer, principal financial officer and principal accounting officer. The Board of Directors has also adopted a code of business conduct and ethics for directors. Both codes of conduct are available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The purpose of these codes of conduct is to promote honest and ethical conduct, including the ethical handling of actual or apparent conflicts of interest between personal and professional relationships; to promote full, fair, accurate, timely and understandable disclosure in periodic reports required to be filed by the Company; and to promote compliance with all applicable rules and regulations that apply to the Company and its officers and directors.</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Board of Directors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8"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The Board of Directors held six meetings during 2017. In 2017, all incumbent director nominees attended 100% of the meetings of the Board of Directors and committees of the Board of Directors on which they served during such director’s period of service. We expect all directors to attend each regularly scheduled Board of Directors meeting. All directors are welcome to attend the Company’s annual meeting of shareholders, and our goal is for a representative of each of the Audit Committee, Compensation Committee and Corporate Governance Committee to be present at each annual meeting. The 2017 annual meeting of shareholders was attended by five directors, including a representative of each of the Audit, Compensation and Corporate Governance Committees.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5"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The standing committees of the Board include: the Audit Committee, the Compensation Committee, the Corporate Governance Committee and the Executive Committee.</w:t>
      </w:r>
    </w:p>
    <w:p>
      <w:pPr>
        <w:spacing w:after="0" w:line="7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Corporate</w:t>
            </w:r>
          </w:p>
        </w:tc>
        <w:tc>
          <w:tcPr>
            <w:tcW w:w="1240" w:type="dxa"/>
            <w:vAlign w:val="bottom"/>
          </w:tcPr>
          <w:p>
            <w:pPr>
              <w:spacing w:after="0"/>
              <w:rPr>
                <w:sz w:val="17"/>
                <w:szCs w:val="17"/>
                <w:color w:val="auto"/>
              </w:rPr>
            </w:pPr>
          </w:p>
        </w:tc>
      </w:tr>
      <w:tr>
        <w:trPr>
          <w:trHeight w:val="225"/>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120" w:type="dxa"/>
            <w:vAlign w:val="bottom"/>
          </w:tcPr>
          <w:p>
            <w:pPr>
              <w:ind w:left="1420"/>
              <w:spacing w:after="0"/>
              <w:rPr>
                <w:sz w:val="20"/>
                <w:szCs w:val="20"/>
                <w:color w:val="auto"/>
              </w:rPr>
            </w:pPr>
            <w:r>
              <w:rPr>
                <w:rFonts w:ascii="Arial" w:cs="Arial" w:eastAsia="Arial" w:hAnsi="Arial"/>
                <w:sz w:val="18"/>
                <w:szCs w:val="18"/>
                <w:b w:val="1"/>
                <w:bCs w:val="1"/>
                <w:color w:val="auto"/>
              </w:rPr>
              <w:t>Audit</w:t>
            </w:r>
          </w:p>
        </w:tc>
        <w:tc>
          <w:tcPr>
            <w:tcW w:w="1800" w:type="dxa"/>
            <w:vAlign w:val="bottom"/>
          </w:tcPr>
          <w:p>
            <w:pPr>
              <w:jc w:val="center"/>
              <w:ind w:right="10"/>
              <w:spacing w:after="0"/>
              <w:rPr>
                <w:sz w:val="20"/>
                <w:szCs w:val="20"/>
                <w:color w:val="auto"/>
              </w:rPr>
            </w:pPr>
            <w:r>
              <w:rPr>
                <w:rFonts w:ascii="Arial" w:cs="Arial" w:eastAsia="Arial" w:hAnsi="Arial"/>
                <w:sz w:val="18"/>
                <w:szCs w:val="18"/>
                <w:b w:val="1"/>
                <w:bCs w:val="1"/>
                <w:color w:val="auto"/>
              </w:rPr>
              <w:t>Compensation</w:t>
            </w:r>
          </w:p>
        </w:tc>
        <w:tc>
          <w:tcPr>
            <w:tcW w:w="158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Governance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Executive</w:t>
            </w:r>
          </w:p>
        </w:tc>
      </w:tr>
      <w:tr>
        <w:trPr>
          <w:trHeight w:val="210"/>
        </w:trPr>
        <w:tc>
          <w:tcPr>
            <w:tcW w:w="20" w:type="dxa"/>
            <w:vAlign w:val="bottom"/>
          </w:tcPr>
          <w:p>
            <w:pPr>
              <w:spacing w:after="0"/>
              <w:rPr>
                <w:sz w:val="18"/>
                <w:szCs w:val="18"/>
                <w:color w:val="auto"/>
              </w:rPr>
            </w:pPr>
          </w:p>
        </w:tc>
        <w:tc>
          <w:tcPr>
            <w:tcW w:w="4280" w:type="dxa"/>
            <w:vAlign w:val="bottom"/>
            <w:tcBorders>
              <w:top w:val="single" w:sz="8" w:color="auto"/>
              <w:bottom w:val="single" w:sz="8" w:color="C1CECC"/>
            </w:tcBorders>
            <w:shd w:val="clear" w:color="auto" w:fill="F4F9F9"/>
          </w:tcPr>
          <w:p>
            <w:pPr>
              <w:spacing w:after="0"/>
              <w:rPr>
                <w:sz w:val="20"/>
                <w:szCs w:val="20"/>
                <w:color w:val="auto"/>
              </w:rPr>
            </w:pPr>
            <w:r>
              <w:rPr>
                <w:rFonts w:ascii="Arial" w:cs="Arial" w:eastAsia="Arial" w:hAnsi="Arial"/>
                <w:sz w:val="18"/>
                <w:szCs w:val="18"/>
                <w:color w:val="auto"/>
              </w:rPr>
              <w:t>Brian J. Choi</w:t>
            </w:r>
          </w:p>
        </w:tc>
        <w:tc>
          <w:tcPr>
            <w:tcW w:w="2120" w:type="dxa"/>
            <w:vAlign w:val="bottom"/>
            <w:tcBorders>
              <w:top w:val="single" w:sz="8" w:color="auto"/>
              <w:bottom w:val="single" w:sz="8" w:color="C1CECC"/>
            </w:tcBorders>
            <w:shd w:val="clear" w:color="auto" w:fill="F4F9F9"/>
          </w:tcPr>
          <w:p>
            <w:pPr>
              <w:spacing w:after="0"/>
              <w:rPr>
                <w:sz w:val="18"/>
                <w:szCs w:val="18"/>
                <w:color w:val="auto"/>
              </w:rPr>
            </w:pPr>
          </w:p>
        </w:tc>
        <w:tc>
          <w:tcPr>
            <w:tcW w:w="1800" w:type="dxa"/>
            <w:vAlign w:val="bottom"/>
            <w:tcBorders>
              <w:top w:val="single" w:sz="8" w:color="auto"/>
              <w:bottom w:val="single" w:sz="8" w:color="C1CECC"/>
            </w:tcBorders>
            <w:shd w:val="clear" w:color="auto" w:fill="F4F9F9"/>
          </w:tcPr>
          <w:p>
            <w:pPr>
              <w:jc w:val="center"/>
              <w:ind w:right="10"/>
              <w:spacing w:after="0" w:line="181" w:lineRule="exact"/>
              <w:rPr>
                <w:sz w:val="20"/>
                <w:szCs w:val="20"/>
                <w:color w:val="auto"/>
              </w:rPr>
            </w:pPr>
            <w:r>
              <w:rPr>
                <w:rFonts w:ascii="MS PGothic" w:cs="MS PGothic" w:eastAsia="MS PGothic" w:hAnsi="MS PGothic"/>
                <w:sz w:val="18"/>
                <w:szCs w:val="18"/>
                <w:color w:val="auto"/>
                <w:w w:val="77"/>
              </w:rPr>
              <w:t>✔</w:t>
            </w:r>
          </w:p>
        </w:tc>
        <w:tc>
          <w:tcPr>
            <w:tcW w:w="1580" w:type="dxa"/>
            <w:vAlign w:val="bottom"/>
            <w:tcBorders>
              <w:top w:val="single" w:sz="8" w:color="auto"/>
              <w:bottom w:val="single" w:sz="8" w:color="C1CECC"/>
            </w:tcBorders>
            <w:shd w:val="clear" w:color="auto" w:fill="F4F9F9"/>
          </w:tcPr>
          <w:p>
            <w:pPr>
              <w:spacing w:after="0"/>
              <w:rPr>
                <w:sz w:val="18"/>
                <w:szCs w:val="18"/>
                <w:color w:val="auto"/>
              </w:rPr>
            </w:pPr>
          </w:p>
        </w:tc>
        <w:tc>
          <w:tcPr>
            <w:tcW w:w="1240" w:type="dxa"/>
            <w:vAlign w:val="bottom"/>
            <w:tcBorders>
              <w:top w:val="single" w:sz="8" w:color="auto"/>
              <w:bottom w:val="single" w:sz="8" w:color="C1CECC"/>
            </w:tcBorders>
            <w:shd w:val="clear" w:color="auto" w:fill="F4F9F9"/>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1CECC"/>
            </w:tcBorders>
          </w:tcPr>
          <w:p>
            <w:pPr>
              <w:spacing w:after="0"/>
              <w:rPr>
                <w:sz w:val="20"/>
                <w:szCs w:val="20"/>
                <w:color w:val="auto"/>
              </w:rPr>
            </w:pPr>
            <w:r>
              <w:rPr>
                <w:rFonts w:ascii="Arial" w:cs="Arial" w:eastAsia="Arial" w:hAnsi="Arial"/>
                <w:sz w:val="18"/>
                <w:szCs w:val="18"/>
                <w:color w:val="auto"/>
              </w:rPr>
              <w:t>Mary C. Choksi</w:t>
            </w:r>
          </w:p>
        </w:tc>
        <w:tc>
          <w:tcPr>
            <w:tcW w:w="2120" w:type="dxa"/>
            <w:vAlign w:val="bottom"/>
            <w:tcBorders>
              <w:bottom w:val="single" w:sz="8" w:color="C1CECC"/>
            </w:tcBorders>
          </w:tcPr>
          <w:p>
            <w:pPr>
              <w:jc w:val="center"/>
              <w:ind w:left="1090"/>
              <w:spacing w:after="0" w:line="181" w:lineRule="exact"/>
              <w:rPr>
                <w:sz w:val="20"/>
                <w:szCs w:val="20"/>
                <w:color w:val="auto"/>
              </w:rPr>
            </w:pPr>
            <w:r>
              <w:rPr>
                <w:rFonts w:ascii="MS PGothic" w:cs="MS PGothic" w:eastAsia="MS PGothic" w:hAnsi="MS PGothic"/>
                <w:sz w:val="18"/>
                <w:szCs w:val="18"/>
                <w:color w:val="auto"/>
                <w:w w:val="77"/>
              </w:rPr>
              <w:t>✔</w:t>
            </w:r>
          </w:p>
        </w:tc>
        <w:tc>
          <w:tcPr>
            <w:tcW w:w="1800" w:type="dxa"/>
            <w:vAlign w:val="bottom"/>
            <w:tcBorders>
              <w:bottom w:val="single" w:sz="8" w:color="C1CECC"/>
            </w:tcBorders>
          </w:tcPr>
          <w:p>
            <w:pPr>
              <w:spacing w:after="0"/>
              <w:rPr>
                <w:sz w:val="18"/>
                <w:szCs w:val="18"/>
                <w:color w:val="auto"/>
              </w:rPr>
            </w:pPr>
          </w:p>
        </w:tc>
        <w:tc>
          <w:tcPr>
            <w:tcW w:w="1580" w:type="dxa"/>
            <w:vAlign w:val="bottom"/>
            <w:tcBorders>
              <w:bottom w:val="single" w:sz="8" w:color="C1CECC"/>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240" w:type="dxa"/>
            <w:vAlign w:val="bottom"/>
            <w:tcBorders>
              <w:bottom w:val="single" w:sz="8" w:color="C1CEC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1CECC"/>
            </w:tcBorders>
            <w:shd w:val="clear" w:color="auto" w:fill="F4F9F9"/>
          </w:tcPr>
          <w:p>
            <w:pPr>
              <w:spacing w:after="0"/>
              <w:rPr>
                <w:sz w:val="20"/>
                <w:szCs w:val="20"/>
                <w:color w:val="auto"/>
              </w:rPr>
            </w:pPr>
            <w:r>
              <w:rPr>
                <w:rFonts w:ascii="Arial" w:cs="Arial" w:eastAsia="Arial" w:hAnsi="Arial"/>
                <w:sz w:val="18"/>
                <w:szCs w:val="18"/>
                <w:color w:val="auto"/>
              </w:rPr>
              <w:t>Leonard S. Coleman</w:t>
            </w:r>
          </w:p>
        </w:tc>
        <w:tc>
          <w:tcPr>
            <w:tcW w:w="2120" w:type="dxa"/>
            <w:vAlign w:val="bottom"/>
            <w:tcBorders>
              <w:bottom w:val="single" w:sz="8" w:color="C1CECC"/>
            </w:tcBorders>
            <w:shd w:val="clear" w:color="auto" w:fill="F4F9F9"/>
          </w:tcPr>
          <w:p>
            <w:pPr>
              <w:spacing w:after="0"/>
              <w:rPr>
                <w:sz w:val="18"/>
                <w:szCs w:val="18"/>
                <w:color w:val="auto"/>
              </w:rPr>
            </w:pPr>
          </w:p>
        </w:tc>
        <w:tc>
          <w:tcPr>
            <w:tcW w:w="1800" w:type="dxa"/>
            <w:vAlign w:val="bottom"/>
            <w:tcBorders>
              <w:bottom w:val="single" w:sz="8" w:color="C1CECC"/>
            </w:tcBorders>
            <w:shd w:val="clear" w:color="auto" w:fill="F4F9F9"/>
          </w:tcPr>
          <w:p>
            <w:pPr>
              <w:jc w:val="center"/>
              <w:ind w:right="10"/>
              <w:spacing w:after="0" w:line="181" w:lineRule="exact"/>
              <w:rPr>
                <w:sz w:val="20"/>
                <w:szCs w:val="20"/>
                <w:color w:val="auto"/>
              </w:rPr>
            </w:pPr>
            <w:r>
              <w:rPr>
                <w:rFonts w:ascii="MS PGothic" w:cs="MS PGothic" w:eastAsia="MS PGothic" w:hAnsi="MS PGothic"/>
                <w:sz w:val="18"/>
                <w:szCs w:val="18"/>
                <w:color w:val="auto"/>
                <w:w w:val="77"/>
              </w:rPr>
              <w:t>✔</w:t>
            </w:r>
          </w:p>
        </w:tc>
        <w:tc>
          <w:tcPr>
            <w:tcW w:w="158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8"/>
                <w:szCs w:val="18"/>
                <w:color w:val="auto"/>
                <w:w w:val="97"/>
              </w:rPr>
              <w:t>Chair</w:t>
            </w:r>
          </w:p>
        </w:tc>
        <w:tc>
          <w:tcPr>
            <w:tcW w:w="1240" w:type="dxa"/>
            <w:vAlign w:val="bottom"/>
            <w:tcBorders>
              <w:bottom w:val="single" w:sz="8" w:color="C1CECC"/>
            </w:tcBorders>
            <w:shd w:val="clear" w:color="auto" w:fill="F4F9F9"/>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1CECC"/>
            </w:tcBorders>
          </w:tcPr>
          <w:p>
            <w:pPr>
              <w:spacing w:after="0"/>
              <w:rPr>
                <w:sz w:val="20"/>
                <w:szCs w:val="20"/>
                <w:color w:val="auto"/>
              </w:rPr>
            </w:pPr>
            <w:r>
              <w:rPr>
                <w:rFonts w:ascii="Arial" w:cs="Arial" w:eastAsia="Arial" w:hAnsi="Arial"/>
                <w:sz w:val="18"/>
                <w:szCs w:val="18"/>
                <w:color w:val="auto"/>
              </w:rPr>
              <w:t>Larry D. De Shon</w:t>
            </w:r>
          </w:p>
        </w:tc>
        <w:tc>
          <w:tcPr>
            <w:tcW w:w="2120" w:type="dxa"/>
            <w:vAlign w:val="bottom"/>
            <w:tcBorders>
              <w:bottom w:val="single" w:sz="8" w:color="C1CECC"/>
            </w:tcBorders>
          </w:tcPr>
          <w:p>
            <w:pPr>
              <w:spacing w:after="0"/>
              <w:rPr>
                <w:sz w:val="18"/>
                <w:szCs w:val="18"/>
                <w:color w:val="auto"/>
              </w:rPr>
            </w:pPr>
          </w:p>
        </w:tc>
        <w:tc>
          <w:tcPr>
            <w:tcW w:w="1800" w:type="dxa"/>
            <w:vAlign w:val="bottom"/>
            <w:tcBorders>
              <w:bottom w:val="single" w:sz="8" w:color="C1CECC"/>
            </w:tcBorders>
          </w:tcPr>
          <w:p>
            <w:pPr>
              <w:spacing w:after="0"/>
              <w:rPr>
                <w:sz w:val="18"/>
                <w:szCs w:val="18"/>
                <w:color w:val="auto"/>
              </w:rPr>
            </w:pPr>
          </w:p>
        </w:tc>
        <w:tc>
          <w:tcPr>
            <w:tcW w:w="1580" w:type="dxa"/>
            <w:vAlign w:val="bottom"/>
            <w:tcBorders>
              <w:bottom w:val="single" w:sz="8" w:color="C1CECC"/>
            </w:tcBorders>
          </w:tcPr>
          <w:p>
            <w:pPr>
              <w:spacing w:after="0"/>
              <w:rPr>
                <w:sz w:val="18"/>
                <w:szCs w:val="18"/>
                <w:color w:val="auto"/>
              </w:rPr>
            </w:pPr>
          </w:p>
        </w:tc>
        <w:tc>
          <w:tcPr>
            <w:tcW w:w="1240" w:type="dxa"/>
            <w:vAlign w:val="bottom"/>
            <w:tcBorders>
              <w:bottom w:val="single" w:sz="8" w:color="C1CECC"/>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1CECC"/>
            </w:tcBorders>
            <w:shd w:val="clear" w:color="auto" w:fill="F4F9F9"/>
          </w:tcPr>
          <w:p>
            <w:pPr>
              <w:spacing w:after="0"/>
              <w:rPr>
                <w:sz w:val="20"/>
                <w:szCs w:val="20"/>
                <w:color w:val="auto"/>
              </w:rPr>
            </w:pPr>
            <w:r>
              <w:rPr>
                <w:rFonts w:ascii="Arial" w:cs="Arial" w:eastAsia="Arial" w:hAnsi="Arial"/>
                <w:sz w:val="18"/>
                <w:szCs w:val="18"/>
                <w:color w:val="auto"/>
              </w:rPr>
              <w:t>Jeffrey H. Fox</w:t>
            </w:r>
          </w:p>
        </w:tc>
        <w:tc>
          <w:tcPr>
            <w:tcW w:w="2120" w:type="dxa"/>
            <w:vAlign w:val="bottom"/>
            <w:tcBorders>
              <w:bottom w:val="single" w:sz="8" w:color="C1CECC"/>
            </w:tcBorders>
            <w:shd w:val="clear" w:color="auto" w:fill="F4F9F9"/>
          </w:tcPr>
          <w:p>
            <w:pPr>
              <w:spacing w:after="0"/>
              <w:rPr>
                <w:sz w:val="18"/>
                <w:szCs w:val="18"/>
                <w:color w:val="auto"/>
              </w:rPr>
            </w:pPr>
          </w:p>
        </w:tc>
        <w:tc>
          <w:tcPr>
            <w:tcW w:w="1800" w:type="dxa"/>
            <w:vAlign w:val="bottom"/>
            <w:tcBorders>
              <w:bottom w:val="single" w:sz="8" w:color="C1CECC"/>
            </w:tcBorders>
            <w:shd w:val="clear" w:color="auto" w:fill="F4F9F9"/>
          </w:tcPr>
          <w:p>
            <w:pPr>
              <w:jc w:val="center"/>
              <w:ind w:right="10"/>
              <w:spacing w:after="0" w:line="181" w:lineRule="exact"/>
              <w:rPr>
                <w:sz w:val="20"/>
                <w:szCs w:val="20"/>
                <w:color w:val="auto"/>
              </w:rPr>
            </w:pPr>
            <w:r>
              <w:rPr>
                <w:rFonts w:ascii="MS PGothic" w:cs="MS PGothic" w:eastAsia="MS PGothic" w:hAnsi="MS PGothic"/>
                <w:sz w:val="18"/>
                <w:szCs w:val="18"/>
                <w:color w:val="auto"/>
                <w:w w:val="77"/>
              </w:rPr>
              <w:t>✔</w:t>
            </w:r>
          </w:p>
        </w:tc>
        <w:tc>
          <w:tcPr>
            <w:tcW w:w="1580" w:type="dxa"/>
            <w:vAlign w:val="bottom"/>
            <w:tcBorders>
              <w:bottom w:val="single" w:sz="8" w:color="C1CECC"/>
            </w:tcBorders>
            <w:shd w:val="clear" w:color="auto" w:fill="F4F9F9"/>
          </w:tcPr>
          <w:p>
            <w:pPr>
              <w:spacing w:after="0"/>
              <w:rPr>
                <w:sz w:val="18"/>
                <w:szCs w:val="18"/>
                <w:color w:val="auto"/>
              </w:rPr>
            </w:pPr>
          </w:p>
        </w:tc>
        <w:tc>
          <w:tcPr>
            <w:tcW w:w="1240" w:type="dxa"/>
            <w:vAlign w:val="bottom"/>
            <w:tcBorders>
              <w:bottom w:val="single" w:sz="8" w:color="C1CECC"/>
            </w:tcBorders>
            <w:shd w:val="clear" w:color="auto" w:fill="F4F9F9"/>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28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John D. Hardy, Jr.</w:t>
            </w:r>
          </w:p>
        </w:tc>
        <w:tc>
          <w:tcPr>
            <w:tcW w:w="2120" w:type="dxa"/>
            <w:vAlign w:val="bottom"/>
            <w:tcBorders>
              <w:bottom w:val="single" w:sz="8" w:color="C1CECC"/>
            </w:tcBorders>
          </w:tcPr>
          <w:p>
            <w:pPr>
              <w:spacing w:after="0"/>
              <w:rPr>
                <w:sz w:val="17"/>
                <w:szCs w:val="17"/>
                <w:color w:val="auto"/>
              </w:rPr>
            </w:pPr>
          </w:p>
        </w:tc>
        <w:tc>
          <w:tcPr>
            <w:tcW w:w="1800" w:type="dxa"/>
            <w:vAlign w:val="bottom"/>
            <w:tcBorders>
              <w:bottom w:val="single" w:sz="8" w:color="C1CECC"/>
            </w:tcBorders>
          </w:tcPr>
          <w:p>
            <w:pPr>
              <w:jc w:val="center"/>
              <w:ind w:right="10"/>
              <w:spacing w:after="0" w:line="196" w:lineRule="exact"/>
              <w:rPr>
                <w:sz w:val="20"/>
                <w:szCs w:val="20"/>
                <w:color w:val="auto"/>
              </w:rPr>
            </w:pPr>
            <w:r>
              <w:rPr>
                <w:rFonts w:ascii="Arial" w:cs="Arial" w:eastAsia="Arial" w:hAnsi="Arial"/>
                <w:sz w:val="18"/>
                <w:szCs w:val="18"/>
                <w:color w:val="auto"/>
                <w:w w:val="97"/>
              </w:rPr>
              <w:t>Chair</w:t>
            </w:r>
          </w:p>
        </w:tc>
        <w:tc>
          <w:tcPr>
            <w:tcW w:w="1580" w:type="dxa"/>
            <w:vAlign w:val="bottom"/>
            <w:tcBorders>
              <w:bottom w:val="single" w:sz="8" w:color="C1CECC"/>
            </w:tcBorders>
          </w:tcPr>
          <w:p>
            <w:pPr>
              <w:spacing w:after="0"/>
              <w:rPr>
                <w:sz w:val="17"/>
                <w:szCs w:val="17"/>
                <w:color w:val="auto"/>
              </w:rPr>
            </w:pPr>
          </w:p>
        </w:tc>
        <w:tc>
          <w:tcPr>
            <w:tcW w:w="1240" w:type="dxa"/>
            <w:vAlign w:val="bottom"/>
            <w:tcBorders>
              <w:bottom w:val="single" w:sz="8" w:color="C1CECC"/>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1CECC"/>
            </w:tcBorders>
            <w:shd w:val="clear" w:color="auto" w:fill="F4F9F9"/>
          </w:tcPr>
          <w:p>
            <w:pPr>
              <w:spacing w:after="0"/>
              <w:rPr>
                <w:sz w:val="20"/>
                <w:szCs w:val="20"/>
                <w:color w:val="auto"/>
              </w:rPr>
            </w:pPr>
            <w:r>
              <w:rPr>
                <w:rFonts w:ascii="Arial" w:cs="Arial" w:eastAsia="Arial" w:hAnsi="Arial"/>
                <w:sz w:val="18"/>
                <w:szCs w:val="18"/>
                <w:color w:val="auto"/>
              </w:rPr>
              <w:t>Lynn Krominga</w:t>
            </w:r>
          </w:p>
        </w:tc>
        <w:tc>
          <w:tcPr>
            <w:tcW w:w="2120" w:type="dxa"/>
            <w:vAlign w:val="bottom"/>
            <w:tcBorders>
              <w:bottom w:val="single" w:sz="8" w:color="C1CECC"/>
            </w:tcBorders>
            <w:shd w:val="clear" w:color="auto" w:fill="F4F9F9"/>
          </w:tcPr>
          <w:p>
            <w:pPr>
              <w:jc w:val="center"/>
              <w:ind w:left="1090"/>
              <w:spacing w:after="0" w:line="181" w:lineRule="exact"/>
              <w:rPr>
                <w:sz w:val="20"/>
                <w:szCs w:val="20"/>
                <w:color w:val="auto"/>
              </w:rPr>
            </w:pPr>
            <w:r>
              <w:rPr>
                <w:rFonts w:ascii="MS PGothic" w:cs="MS PGothic" w:eastAsia="MS PGothic" w:hAnsi="MS PGothic"/>
                <w:sz w:val="18"/>
                <w:szCs w:val="18"/>
                <w:color w:val="auto"/>
                <w:w w:val="77"/>
              </w:rPr>
              <w:t>✔</w:t>
            </w:r>
          </w:p>
        </w:tc>
        <w:tc>
          <w:tcPr>
            <w:tcW w:w="1800" w:type="dxa"/>
            <w:vAlign w:val="bottom"/>
            <w:tcBorders>
              <w:bottom w:val="single" w:sz="8" w:color="C1CECC"/>
            </w:tcBorders>
            <w:shd w:val="clear" w:color="auto" w:fill="F4F9F9"/>
          </w:tcPr>
          <w:p>
            <w:pPr>
              <w:jc w:val="center"/>
              <w:ind w:right="10"/>
              <w:spacing w:after="0" w:line="181" w:lineRule="exact"/>
              <w:rPr>
                <w:sz w:val="20"/>
                <w:szCs w:val="20"/>
                <w:color w:val="auto"/>
              </w:rPr>
            </w:pPr>
            <w:r>
              <w:rPr>
                <w:rFonts w:ascii="MS PGothic" w:cs="MS PGothic" w:eastAsia="MS PGothic" w:hAnsi="MS PGothic"/>
                <w:sz w:val="18"/>
                <w:szCs w:val="18"/>
                <w:color w:val="auto"/>
                <w:w w:val="77"/>
              </w:rPr>
              <w:t>✔</w:t>
            </w:r>
          </w:p>
        </w:tc>
        <w:tc>
          <w:tcPr>
            <w:tcW w:w="1580" w:type="dxa"/>
            <w:vAlign w:val="bottom"/>
            <w:tcBorders>
              <w:bottom w:val="single" w:sz="8" w:color="C1CECC"/>
            </w:tcBorders>
            <w:shd w:val="clear" w:color="auto" w:fill="F4F9F9"/>
          </w:tcPr>
          <w:p>
            <w:pPr>
              <w:spacing w:after="0"/>
              <w:rPr>
                <w:sz w:val="18"/>
                <w:szCs w:val="18"/>
                <w:color w:val="auto"/>
              </w:rPr>
            </w:pPr>
          </w:p>
        </w:tc>
        <w:tc>
          <w:tcPr>
            <w:tcW w:w="1240" w:type="dxa"/>
            <w:vAlign w:val="bottom"/>
            <w:tcBorders>
              <w:bottom w:val="single" w:sz="8" w:color="C1CECC"/>
            </w:tcBorders>
            <w:shd w:val="clear" w:color="auto" w:fill="F4F9F9"/>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1CECC"/>
            </w:tcBorders>
          </w:tcPr>
          <w:p>
            <w:pPr>
              <w:spacing w:after="0"/>
              <w:rPr>
                <w:sz w:val="20"/>
                <w:szCs w:val="20"/>
                <w:color w:val="auto"/>
              </w:rPr>
            </w:pPr>
            <w:r>
              <w:rPr>
                <w:rFonts w:ascii="Arial" w:cs="Arial" w:eastAsia="Arial" w:hAnsi="Arial"/>
                <w:sz w:val="18"/>
                <w:szCs w:val="18"/>
                <w:color w:val="auto"/>
              </w:rPr>
              <w:t>Eduardo G. Mestre</w:t>
            </w:r>
          </w:p>
        </w:tc>
        <w:tc>
          <w:tcPr>
            <w:tcW w:w="2120" w:type="dxa"/>
            <w:vAlign w:val="bottom"/>
            <w:tcBorders>
              <w:bottom w:val="single" w:sz="8" w:color="C1CECC"/>
            </w:tcBorders>
          </w:tcPr>
          <w:p>
            <w:pPr>
              <w:spacing w:after="0"/>
              <w:rPr>
                <w:sz w:val="18"/>
                <w:szCs w:val="18"/>
                <w:color w:val="auto"/>
              </w:rPr>
            </w:pPr>
          </w:p>
        </w:tc>
        <w:tc>
          <w:tcPr>
            <w:tcW w:w="1800" w:type="dxa"/>
            <w:vAlign w:val="bottom"/>
            <w:tcBorders>
              <w:bottom w:val="single" w:sz="8" w:color="C1CECC"/>
            </w:tcBorders>
          </w:tcPr>
          <w:p>
            <w:pPr>
              <w:spacing w:after="0"/>
              <w:rPr>
                <w:sz w:val="18"/>
                <w:szCs w:val="18"/>
                <w:color w:val="auto"/>
              </w:rPr>
            </w:pPr>
          </w:p>
        </w:tc>
        <w:tc>
          <w:tcPr>
            <w:tcW w:w="1580" w:type="dxa"/>
            <w:vAlign w:val="bottom"/>
            <w:tcBorders>
              <w:bottom w:val="single" w:sz="8" w:color="C1CECC"/>
            </w:tcBorders>
          </w:tcPr>
          <w:p>
            <w:pPr>
              <w:spacing w:after="0"/>
              <w:rPr>
                <w:sz w:val="18"/>
                <w:szCs w:val="18"/>
                <w:color w:val="auto"/>
              </w:rPr>
            </w:pPr>
          </w:p>
        </w:tc>
        <w:tc>
          <w:tcPr>
            <w:tcW w:w="1240" w:type="dxa"/>
            <w:vAlign w:val="bottom"/>
            <w:tcBorders>
              <w:bottom w:val="single" w:sz="8" w:color="C1CECC"/>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96"/>
        </w:trPr>
        <w:tc>
          <w:tcPr>
            <w:tcW w:w="20" w:type="dxa"/>
            <w:vAlign w:val="bottom"/>
          </w:tcPr>
          <w:p>
            <w:pPr>
              <w:spacing w:after="0"/>
              <w:rPr>
                <w:sz w:val="17"/>
                <w:szCs w:val="17"/>
                <w:color w:val="auto"/>
              </w:rPr>
            </w:pPr>
          </w:p>
        </w:tc>
        <w:tc>
          <w:tcPr>
            <w:tcW w:w="4280" w:type="dxa"/>
            <w:vAlign w:val="bottom"/>
            <w:tcBorders>
              <w:bottom w:val="single" w:sz="8" w:color="C1CECC"/>
            </w:tcBorders>
            <w:shd w:val="clear" w:color="auto" w:fill="F4F9F9"/>
          </w:tcPr>
          <w:p>
            <w:pPr>
              <w:spacing w:after="0" w:line="196" w:lineRule="exact"/>
              <w:rPr>
                <w:sz w:val="20"/>
                <w:szCs w:val="20"/>
                <w:color w:val="auto"/>
              </w:rPr>
            </w:pPr>
            <w:r>
              <w:rPr>
                <w:rFonts w:ascii="Arial" w:cs="Arial" w:eastAsia="Arial" w:hAnsi="Arial"/>
                <w:sz w:val="18"/>
                <w:szCs w:val="18"/>
                <w:color w:val="auto"/>
              </w:rPr>
              <w:t>Ronald L. Nelson</w:t>
            </w:r>
          </w:p>
        </w:tc>
        <w:tc>
          <w:tcPr>
            <w:tcW w:w="2120" w:type="dxa"/>
            <w:vAlign w:val="bottom"/>
            <w:tcBorders>
              <w:bottom w:val="single" w:sz="8" w:color="C1CECC"/>
            </w:tcBorders>
            <w:shd w:val="clear" w:color="auto" w:fill="F4F9F9"/>
          </w:tcPr>
          <w:p>
            <w:pPr>
              <w:spacing w:after="0"/>
              <w:rPr>
                <w:sz w:val="17"/>
                <w:szCs w:val="17"/>
                <w:color w:val="auto"/>
              </w:rPr>
            </w:pPr>
          </w:p>
        </w:tc>
        <w:tc>
          <w:tcPr>
            <w:tcW w:w="1800" w:type="dxa"/>
            <w:vAlign w:val="bottom"/>
            <w:tcBorders>
              <w:bottom w:val="single" w:sz="8" w:color="C1CECC"/>
            </w:tcBorders>
            <w:shd w:val="clear" w:color="auto" w:fill="F4F9F9"/>
          </w:tcPr>
          <w:p>
            <w:pPr>
              <w:spacing w:after="0"/>
              <w:rPr>
                <w:sz w:val="17"/>
                <w:szCs w:val="17"/>
                <w:color w:val="auto"/>
              </w:rPr>
            </w:pPr>
          </w:p>
        </w:tc>
        <w:tc>
          <w:tcPr>
            <w:tcW w:w="1580" w:type="dxa"/>
            <w:vAlign w:val="bottom"/>
            <w:tcBorders>
              <w:bottom w:val="single" w:sz="8" w:color="C1CECC"/>
            </w:tcBorders>
            <w:shd w:val="clear" w:color="auto" w:fill="F4F9F9"/>
          </w:tcPr>
          <w:p>
            <w:pPr>
              <w:spacing w:after="0"/>
              <w:rPr>
                <w:sz w:val="17"/>
                <w:szCs w:val="17"/>
                <w:color w:val="auto"/>
              </w:rPr>
            </w:pPr>
          </w:p>
        </w:tc>
        <w:tc>
          <w:tcPr>
            <w:tcW w:w="1240" w:type="dxa"/>
            <w:vAlign w:val="bottom"/>
            <w:tcBorders>
              <w:bottom w:val="single" w:sz="8" w:color="C1CECC"/>
            </w:tcBorders>
            <w:shd w:val="clear" w:color="auto" w:fill="F4F9F9"/>
          </w:tcPr>
          <w:p>
            <w:pPr>
              <w:jc w:val="center"/>
              <w:spacing w:after="0" w:line="196" w:lineRule="exact"/>
              <w:rPr>
                <w:sz w:val="20"/>
                <w:szCs w:val="20"/>
                <w:color w:val="auto"/>
              </w:rPr>
            </w:pPr>
            <w:r>
              <w:rPr>
                <w:rFonts w:ascii="Arial" w:cs="Arial" w:eastAsia="Arial" w:hAnsi="Arial"/>
                <w:sz w:val="18"/>
                <w:szCs w:val="18"/>
                <w:color w:val="auto"/>
              </w:rPr>
              <w:t>Chair</w:t>
            </w: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1CECC"/>
            </w:tcBorders>
          </w:tcPr>
          <w:p>
            <w:pPr>
              <w:spacing w:after="0"/>
              <w:rPr>
                <w:sz w:val="20"/>
                <w:szCs w:val="20"/>
                <w:color w:val="auto"/>
              </w:rPr>
            </w:pPr>
            <w:r>
              <w:rPr>
                <w:rFonts w:ascii="Arial" w:cs="Arial" w:eastAsia="Arial" w:hAnsi="Arial"/>
                <w:sz w:val="18"/>
                <w:szCs w:val="18"/>
                <w:color w:val="auto"/>
              </w:rPr>
              <w:t>F. Robert Salerno</w:t>
            </w:r>
          </w:p>
        </w:tc>
        <w:tc>
          <w:tcPr>
            <w:tcW w:w="2120" w:type="dxa"/>
            <w:vAlign w:val="bottom"/>
            <w:tcBorders>
              <w:bottom w:val="single" w:sz="8" w:color="C1CECC"/>
            </w:tcBorders>
          </w:tcPr>
          <w:p>
            <w:pPr>
              <w:jc w:val="center"/>
              <w:ind w:left="1090"/>
              <w:spacing w:after="0" w:line="181" w:lineRule="exact"/>
              <w:rPr>
                <w:sz w:val="20"/>
                <w:szCs w:val="20"/>
                <w:color w:val="auto"/>
              </w:rPr>
            </w:pPr>
            <w:r>
              <w:rPr>
                <w:rFonts w:ascii="MS PGothic" w:cs="MS PGothic" w:eastAsia="MS PGothic" w:hAnsi="MS PGothic"/>
                <w:sz w:val="18"/>
                <w:szCs w:val="18"/>
                <w:color w:val="auto"/>
                <w:w w:val="77"/>
              </w:rPr>
              <w:t>✔</w:t>
            </w:r>
          </w:p>
        </w:tc>
        <w:tc>
          <w:tcPr>
            <w:tcW w:w="1800" w:type="dxa"/>
            <w:vAlign w:val="bottom"/>
            <w:tcBorders>
              <w:bottom w:val="single" w:sz="8" w:color="C1CECC"/>
            </w:tcBorders>
          </w:tcPr>
          <w:p>
            <w:pPr>
              <w:spacing w:after="0"/>
              <w:rPr>
                <w:sz w:val="18"/>
                <w:szCs w:val="18"/>
                <w:color w:val="auto"/>
              </w:rPr>
            </w:pPr>
          </w:p>
        </w:tc>
        <w:tc>
          <w:tcPr>
            <w:tcW w:w="1580" w:type="dxa"/>
            <w:vAlign w:val="bottom"/>
            <w:tcBorders>
              <w:bottom w:val="single" w:sz="8" w:color="C1CECC"/>
            </w:tcBorders>
          </w:tcPr>
          <w:p>
            <w:pPr>
              <w:spacing w:after="0"/>
              <w:rPr>
                <w:sz w:val="18"/>
                <w:szCs w:val="18"/>
                <w:color w:val="auto"/>
              </w:rPr>
            </w:pPr>
          </w:p>
        </w:tc>
        <w:tc>
          <w:tcPr>
            <w:tcW w:w="1240" w:type="dxa"/>
            <w:vAlign w:val="bottom"/>
            <w:tcBorders>
              <w:bottom w:val="single" w:sz="8" w:color="C1CECC"/>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1CECC"/>
            </w:tcBorders>
            <w:shd w:val="clear" w:color="auto" w:fill="F4F9F9"/>
          </w:tcPr>
          <w:p>
            <w:pPr>
              <w:spacing w:after="0"/>
              <w:rPr>
                <w:sz w:val="20"/>
                <w:szCs w:val="20"/>
                <w:color w:val="auto"/>
              </w:rPr>
            </w:pPr>
            <w:r>
              <w:rPr>
                <w:rFonts w:ascii="Arial" w:cs="Arial" w:eastAsia="Arial" w:hAnsi="Arial"/>
                <w:sz w:val="18"/>
                <w:szCs w:val="18"/>
                <w:color w:val="auto"/>
              </w:rPr>
              <w:t>Stender E. Sweeney</w:t>
            </w:r>
          </w:p>
        </w:tc>
        <w:tc>
          <w:tcPr>
            <w:tcW w:w="2120" w:type="dxa"/>
            <w:vAlign w:val="bottom"/>
            <w:tcBorders>
              <w:bottom w:val="single" w:sz="8" w:color="C1CECC"/>
            </w:tcBorders>
            <w:shd w:val="clear" w:color="auto" w:fill="F4F9F9"/>
          </w:tcPr>
          <w:p>
            <w:pPr>
              <w:ind w:left="1440"/>
              <w:spacing w:after="0"/>
              <w:rPr>
                <w:sz w:val="20"/>
                <w:szCs w:val="20"/>
                <w:color w:val="auto"/>
              </w:rPr>
            </w:pPr>
            <w:r>
              <w:rPr>
                <w:rFonts w:ascii="Arial" w:cs="Arial" w:eastAsia="Arial" w:hAnsi="Arial"/>
                <w:sz w:val="18"/>
                <w:szCs w:val="18"/>
                <w:color w:val="auto"/>
              </w:rPr>
              <w:t>Chair</w:t>
            </w:r>
          </w:p>
        </w:tc>
        <w:tc>
          <w:tcPr>
            <w:tcW w:w="1800" w:type="dxa"/>
            <w:vAlign w:val="bottom"/>
            <w:tcBorders>
              <w:bottom w:val="single" w:sz="8" w:color="C1CECC"/>
            </w:tcBorders>
            <w:shd w:val="clear" w:color="auto" w:fill="F4F9F9"/>
          </w:tcPr>
          <w:p>
            <w:pPr>
              <w:spacing w:after="0"/>
              <w:rPr>
                <w:sz w:val="18"/>
                <w:szCs w:val="18"/>
                <w:color w:val="auto"/>
              </w:rPr>
            </w:pPr>
          </w:p>
        </w:tc>
        <w:tc>
          <w:tcPr>
            <w:tcW w:w="1580" w:type="dxa"/>
            <w:vAlign w:val="bottom"/>
            <w:tcBorders>
              <w:bottom w:val="single" w:sz="8" w:color="C1CECC"/>
            </w:tcBorders>
            <w:shd w:val="clear" w:color="auto" w:fill="F4F9F9"/>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240" w:type="dxa"/>
            <w:vAlign w:val="bottom"/>
            <w:tcBorders>
              <w:bottom w:val="single" w:sz="8" w:color="C1CECC"/>
            </w:tcBorders>
            <w:shd w:val="clear" w:color="auto" w:fill="F4F9F9"/>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28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Sanoke Viswanathan</w:t>
            </w:r>
          </w:p>
        </w:tc>
        <w:tc>
          <w:tcPr>
            <w:tcW w:w="2120" w:type="dxa"/>
            <w:vAlign w:val="bottom"/>
            <w:tcBorders>
              <w:bottom w:val="single" w:sz="8" w:color="C1CECC"/>
            </w:tcBorders>
          </w:tcPr>
          <w:p>
            <w:pPr>
              <w:spacing w:after="0"/>
              <w:rPr>
                <w:sz w:val="17"/>
                <w:szCs w:val="17"/>
                <w:color w:val="auto"/>
              </w:rPr>
            </w:pPr>
          </w:p>
        </w:tc>
        <w:tc>
          <w:tcPr>
            <w:tcW w:w="1800" w:type="dxa"/>
            <w:vAlign w:val="bottom"/>
            <w:tcBorders>
              <w:bottom w:val="single" w:sz="8" w:color="C1CECC"/>
            </w:tcBorders>
          </w:tcPr>
          <w:p>
            <w:pPr>
              <w:spacing w:after="0"/>
              <w:rPr>
                <w:sz w:val="17"/>
                <w:szCs w:val="17"/>
                <w:color w:val="auto"/>
              </w:rPr>
            </w:pPr>
          </w:p>
        </w:tc>
        <w:tc>
          <w:tcPr>
            <w:tcW w:w="1580" w:type="dxa"/>
            <w:vAlign w:val="bottom"/>
            <w:tcBorders>
              <w:bottom w:val="single" w:sz="8" w:color="C1CECC"/>
            </w:tcBorders>
          </w:tcPr>
          <w:p>
            <w:pPr>
              <w:spacing w:after="0"/>
              <w:rPr>
                <w:sz w:val="17"/>
                <w:szCs w:val="17"/>
                <w:color w:val="auto"/>
              </w:rPr>
            </w:pPr>
          </w:p>
        </w:tc>
        <w:tc>
          <w:tcPr>
            <w:tcW w:w="1240" w:type="dxa"/>
            <w:vAlign w:val="bottom"/>
            <w:tcBorders>
              <w:bottom w:val="single" w:sz="8" w:color="C1CECC"/>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280" w:type="dxa"/>
            <w:vAlign w:val="bottom"/>
            <w:tcBorders>
              <w:bottom w:val="single" w:sz="8" w:color="auto"/>
            </w:tcBorders>
            <w:shd w:val="clear" w:color="auto" w:fill="F4F9F9"/>
          </w:tcPr>
          <w:p>
            <w:pPr>
              <w:spacing w:after="0" w:line="196" w:lineRule="exact"/>
              <w:rPr>
                <w:sz w:val="20"/>
                <w:szCs w:val="20"/>
                <w:color w:val="auto"/>
              </w:rPr>
            </w:pPr>
            <w:r>
              <w:rPr>
                <w:rFonts w:ascii="Arial" w:cs="Arial" w:eastAsia="Arial" w:hAnsi="Arial"/>
                <w:sz w:val="18"/>
                <w:szCs w:val="18"/>
                <w:b w:val="1"/>
                <w:bCs w:val="1"/>
                <w:color w:val="auto"/>
              </w:rPr>
              <w:t>Committee Meetings Held in 2017</w:t>
            </w:r>
          </w:p>
        </w:tc>
        <w:tc>
          <w:tcPr>
            <w:tcW w:w="2120" w:type="dxa"/>
            <w:vAlign w:val="bottom"/>
            <w:tcBorders>
              <w:bottom w:val="single" w:sz="8" w:color="auto"/>
            </w:tcBorders>
            <w:shd w:val="clear" w:color="auto" w:fill="F4F9F9"/>
          </w:tcPr>
          <w:p>
            <w:pPr>
              <w:jc w:val="center"/>
              <w:ind w:left="1090"/>
              <w:spacing w:after="0" w:line="196" w:lineRule="exact"/>
              <w:rPr>
                <w:sz w:val="20"/>
                <w:szCs w:val="20"/>
                <w:color w:val="auto"/>
              </w:rPr>
            </w:pPr>
            <w:r>
              <w:rPr>
                <w:rFonts w:ascii="Arial" w:cs="Arial" w:eastAsia="Arial" w:hAnsi="Arial"/>
                <w:sz w:val="18"/>
                <w:szCs w:val="18"/>
                <w:color w:val="auto"/>
                <w:w w:val="99"/>
              </w:rPr>
              <w:t>8</w:t>
            </w:r>
          </w:p>
        </w:tc>
        <w:tc>
          <w:tcPr>
            <w:tcW w:w="1800" w:type="dxa"/>
            <w:vAlign w:val="bottom"/>
            <w:tcBorders>
              <w:bottom w:val="single" w:sz="8" w:color="auto"/>
            </w:tcBorders>
            <w:shd w:val="clear" w:color="auto" w:fill="F4F9F9"/>
          </w:tcPr>
          <w:p>
            <w:pPr>
              <w:jc w:val="center"/>
              <w:ind w:right="10"/>
              <w:spacing w:after="0" w:line="196" w:lineRule="exact"/>
              <w:rPr>
                <w:sz w:val="20"/>
                <w:szCs w:val="20"/>
                <w:color w:val="auto"/>
              </w:rPr>
            </w:pPr>
            <w:r>
              <w:rPr>
                <w:rFonts w:ascii="Arial" w:cs="Arial" w:eastAsia="Arial" w:hAnsi="Arial"/>
                <w:sz w:val="18"/>
                <w:szCs w:val="18"/>
                <w:color w:val="auto"/>
                <w:w w:val="99"/>
              </w:rPr>
              <w:t>7</w:t>
            </w:r>
          </w:p>
        </w:tc>
        <w:tc>
          <w:tcPr>
            <w:tcW w:w="1580" w:type="dxa"/>
            <w:vAlign w:val="bottom"/>
            <w:tcBorders>
              <w:bottom w:val="single" w:sz="8" w:color="auto"/>
            </w:tcBorders>
            <w:shd w:val="clear" w:color="auto" w:fill="F4F9F9"/>
          </w:tcPr>
          <w:p>
            <w:pPr>
              <w:jc w:val="center"/>
              <w:spacing w:after="0" w:line="196" w:lineRule="exact"/>
              <w:rPr>
                <w:sz w:val="20"/>
                <w:szCs w:val="20"/>
                <w:color w:val="auto"/>
              </w:rPr>
            </w:pPr>
            <w:r>
              <w:rPr>
                <w:rFonts w:ascii="Arial" w:cs="Arial" w:eastAsia="Arial" w:hAnsi="Arial"/>
                <w:sz w:val="18"/>
                <w:szCs w:val="18"/>
                <w:color w:val="auto"/>
                <w:w w:val="99"/>
              </w:rPr>
              <w:t>4</w:t>
            </w:r>
          </w:p>
        </w:tc>
        <w:tc>
          <w:tcPr>
            <w:tcW w:w="1240" w:type="dxa"/>
            <w:vAlign w:val="bottom"/>
            <w:tcBorders>
              <w:bottom w:val="single" w:sz="8" w:color="auto"/>
            </w:tcBorders>
            <w:shd w:val="clear" w:color="auto" w:fill="F4F9F9"/>
          </w:tcPr>
          <w:p>
            <w:pPr>
              <w:jc w:val="center"/>
              <w:spacing w:after="0" w:line="196" w:lineRule="exact"/>
              <w:rPr>
                <w:sz w:val="20"/>
                <w:szCs w:val="20"/>
                <w:color w:val="auto"/>
              </w:rPr>
            </w:pPr>
            <w:r>
              <w:rPr>
                <w:rFonts w:ascii="Arial" w:cs="Arial" w:eastAsia="Arial" w:hAnsi="Arial"/>
                <w:sz w:val="18"/>
                <w:szCs w:val="18"/>
                <w:color w:val="auto"/>
                <w:w w:val="93"/>
              </w:rPr>
              <w:t>0*</w:t>
            </w:r>
          </w:p>
        </w:tc>
      </w:tr>
    </w:tbl>
    <w:p>
      <w:pPr>
        <w:spacing w:after="0" w:line="126" w:lineRule="exact"/>
        <w:rPr>
          <w:sz w:val="20"/>
          <w:szCs w:val="20"/>
          <w:color w:val="auto"/>
        </w:rPr>
      </w:pPr>
    </w:p>
    <w:p>
      <w:pPr>
        <w:ind w:left="520" w:hanging="316"/>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Executive Committee acted solely by unanimous consent in 2017.</w:t>
      </w:r>
    </w:p>
    <w:p>
      <w:pPr>
        <w:spacing w:after="0" w:line="103"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 xml:space="preserve">The charters of each of the Audit, Compensation and Corporate Governance Committees, respectively, can be found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Audit Committee</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Audit Committee assists in the Board’s oversight of:</w:t>
      </w:r>
    </w:p>
    <w:p>
      <w:pPr>
        <w:sectPr>
          <w:pgSz w:w="11900" w:h="16838" w:orient="portrait"/>
          <w:cols w:equalWidth="0" w:num="1">
            <w:col w:w="11220"/>
          </w:cols>
          <w:pgMar w:left="240" w:top="459" w:right="439" w:bottom="1440" w:gutter="0" w:footer="0" w:header="0"/>
        </w:sectPr>
      </w:pPr>
    </w:p>
    <w:p>
      <w:pPr>
        <w:spacing w:after="0" w:line="114"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integrity of the Company’s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independent auditors’ qualifications and independence;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of the Company’s independent auditors and the Company’s internal audit function;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compliance with legal and regulatory requirements;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Company’s systems of disclosure controls and procedures, and internal controls over financial reporting; and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major financial risk exposures and the steps management has undertaken to control such risks.</w:t>
      </w:r>
    </w:p>
    <w:p>
      <w:pPr>
        <w:spacing w:after="0" w:line="238" w:lineRule="exact"/>
        <w:rPr>
          <w:sz w:val="20"/>
          <w:szCs w:val="20"/>
          <w:color w:val="auto"/>
        </w:rPr>
      </w:pPr>
    </w:p>
    <w:p>
      <w:pPr>
        <w:sectPr>
          <w:pgSz w:w="11900" w:h="16838" w:orient="portrait"/>
          <w:cols w:equalWidth="0" w:num="2">
            <w:col w:w="300" w:space="220"/>
            <w:col w:w="10700"/>
          </w:cols>
          <w:pgMar w:left="240" w:top="459" w:right="439" w:bottom="1440" w:gutter="0" w:footer="0" w:header="0"/>
          <w:type w:val="continuous"/>
        </w:sectPr>
      </w:pPr>
    </w:p>
    <w:p>
      <w:pPr>
        <w:jc w:val="both"/>
        <w:ind w:left="200"/>
        <w:spacing w:after="0" w:line="238" w:lineRule="auto"/>
        <w:rPr>
          <w:sz w:val="20"/>
          <w:szCs w:val="20"/>
          <w:color w:val="auto"/>
        </w:rPr>
      </w:pPr>
      <w:r>
        <w:rPr>
          <w:rFonts w:ascii="Arial" w:cs="Arial" w:eastAsia="Arial" w:hAnsi="Arial"/>
          <w:sz w:val="18"/>
          <w:szCs w:val="18"/>
          <w:color w:val="auto"/>
        </w:rPr>
        <w:t>The Board of Directors has determined that all members of the Audit Committee are independent directors under the Company’s Director Independence Criteria and within the meaning of applicable NASDAQ rules, and that each member of the Audit Committee has the ability to read and understand fundamental financial statements. The Board of Directors has determined that each member of the Audit Committee qualifies as an “audit committee financial expert” as defined by the rules of the SEC, thereby satisfying NASDAQ’s “financial sophistication” requirement.</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Compensation Committee</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primary responsibilities of the Compensation Committee include to:</w:t>
      </w:r>
    </w:p>
    <w:p>
      <w:pPr>
        <w:spacing w:after="0" w:line="117" w:lineRule="exact"/>
        <w:rPr>
          <w:sz w:val="20"/>
          <w:szCs w:val="20"/>
          <w:color w:val="auto"/>
        </w:rPr>
      </w:pPr>
    </w:p>
    <w:p>
      <w:pPr>
        <w:ind w:left="520" w:hanging="316"/>
        <w:spacing w:after="0" w:line="182" w:lineRule="auto"/>
        <w:tabs>
          <w:tab w:leader="none" w:pos="520" w:val="left"/>
        </w:tabs>
        <w:numPr>
          <w:ilvl w:val="0"/>
          <w:numId w:val="13"/>
        </w:numPr>
        <w:rPr>
          <w:rFonts w:ascii="Arial" w:cs="Arial" w:eastAsia="Arial" w:hAnsi="Arial"/>
          <w:sz w:val="33"/>
          <w:szCs w:val="33"/>
          <w:color w:val="auto"/>
          <w:vertAlign w:val="subscript"/>
        </w:rPr>
      </w:pPr>
      <w:r>
        <w:rPr>
          <w:rFonts w:ascii="Arial" w:cs="Arial" w:eastAsia="Arial" w:hAnsi="Arial"/>
          <w:sz w:val="15"/>
          <w:szCs w:val="15"/>
          <w:color w:val="auto"/>
        </w:rPr>
        <w:t>review and approve corporate goals and objectives relevant to the compensation of the Chief Executive Officer and determine and approve the Chief Executive Officer’s compensation;</w:t>
      </w:r>
    </w:p>
    <w:p>
      <w:pPr>
        <w:ind w:left="520" w:hanging="316"/>
        <w:spacing w:after="0" w:line="182" w:lineRule="auto"/>
        <w:tabs>
          <w:tab w:leader="none" w:pos="520" w:val="left"/>
        </w:tabs>
        <w:numPr>
          <w:ilvl w:val="0"/>
          <w:numId w:val="13"/>
        </w:numPr>
        <w:rPr>
          <w:rFonts w:ascii="Arial" w:cs="Arial" w:eastAsia="Arial" w:hAnsi="Arial"/>
          <w:sz w:val="37"/>
          <w:szCs w:val="37"/>
          <w:color w:val="auto"/>
          <w:vertAlign w:val="subscript"/>
        </w:rPr>
      </w:pPr>
      <w:r>
        <w:rPr>
          <w:rFonts w:ascii="Arial" w:cs="Arial" w:eastAsia="Arial" w:hAnsi="Arial"/>
          <w:sz w:val="15"/>
          <w:szCs w:val="15"/>
          <w:color w:val="auto"/>
        </w:rPr>
        <w:t>review and approve individual elements of total compensation for our other executive officers;</w:t>
      </w:r>
    </w:p>
    <w:p>
      <w:pPr>
        <w:spacing w:after="0" w:line="128" w:lineRule="exact"/>
        <w:rPr>
          <w:rFonts w:ascii="Arial" w:cs="Arial" w:eastAsia="Arial" w:hAnsi="Arial"/>
          <w:sz w:val="37"/>
          <w:szCs w:val="37"/>
          <w:color w:val="auto"/>
          <w:vertAlign w:val="subscript"/>
        </w:rPr>
      </w:pPr>
    </w:p>
    <w:p>
      <w:pPr>
        <w:ind w:left="520" w:hanging="316"/>
        <w:spacing w:after="0" w:line="182" w:lineRule="auto"/>
        <w:tabs>
          <w:tab w:leader="none" w:pos="520" w:val="left"/>
        </w:tabs>
        <w:numPr>
          <w:ilvl w:val="0"/>
          <w:numId w:val="13"/>
        </w:numPr>
        <w:rPr>
          <w:rFonts w:ascii="Arial" w:cs="Arial" w:eastAsia="Arial" w:hAnsi="Arial"/>
          <w:sz w:val="38"/>
          <w:szCs w:val="38"/>
          <w:color w:val="auto"/>
          <w:vertAlign w:val="subscript"/>
        </w:rPr>
      </w:pPr>
      <w:r>
        <w:rPr>
          <w:rFonts w:ascii="Arial" w:cs="Arial" w:eastAsia="Arial" w:hAnsi="Arial"/>
          <w:sz w:val="15"/>
          <w:szCs w:val="15"/>
          <w:color w:val="auto"/>
        </w:rPr>
        <w:t>review and approve our annual and long-term incentive compensation programs and plans;</w:t>
      </w:r>
    </w:p>
    <w:p>
      <w:pPr>
        <w:spacing w:after="0" w:line="127" w:lineRule="exact"/>
        <w:rPr>
          <w:rFonts w:ascii="Arial" w:cs="Arial" w:eastAsia="Arial" w:hAnsi="Arial"/>
          <w:sz w:val="38"/>
          <w:szCs w:val="38"/>
          <w:color w:val="auto"/>
          <w:vertAlign w:val="subscript"/>
        </w:rPr>
      </w:pPr>
    </w:p>
    <w:p>
      <w:pPr>
        <w:ind w:left="520" w:hanging="316"/>
        <w:spacing w:after="0" w:line="182" w:lineRule="auto"/>
        <w:tabs>
          <w:tab w:leader="none" w:pos="520" w:val="left"/>
        </w:tabs>
        <w:numPr>
          <w:ilvl w:val="0"/>
          <w:numId w:val="13"/>
        </w:numPr>
        <w:rPr>
          <w:rFonts w:ascii="Arial" w:cs="Arial" w:eastAsia="Arial" w:hAnsi="Arial"/>
          <w:sz w:val="38"/>
          <w:szCs w:val="38"/>
          <w:color w:val="auto"/>
          <w:vertAlign w:val="subscript"/>
        </w:rPr>
      </w:pPr>
      <w:r>
        <w:rPr>
          <w:rFonts w:ascii="Arial" w:cs="Arial" w:eastAsia="Arial" w:hAnsi="Arial"/>
          <w:sz w:val="15"/>
          <w:szCs w:val="15"/>
          <w:color w:val="auto"/>
        </w:rPr>
        <w:t>review and approve all stock option and other equity awards;</w:t>
      </w:r>
    </w:p>
    <w:p>
      <w:pPr>
        <w:spacing w:after="0" w:line="127" w:lineRule="exact"/>
        <w:rPr>
          <w:rFonts w:ascii="Arial" w:cs="Arial" w:eastAsia="Arial" w:hAnsi="Arial"/>
          <w:sz w:val="38"/>
          <w:szCs w:val="38"/>
          <w:color w:val="auto"/>
          <w:vertAlign w:val="subscript"/>
        </w:rPr>
      </w:pPr>
    </w:p>
    <w:p>
      <w:pPr>
        <w:ind w:left="520" w:hanging="316"/>
        <w:spacing w:after="0" w:line="182" w:lineRule="auto"/>
        <w:tabs>
          <w:tab w:leader="none" w:pos="520" w:val="left"/>
        </w:tabs>
        <w:numPr>
          <w:ilvl w:val="0"/>
          <w:numId w:val="13"/>
        </w:numPr>
        <w:rPr>
          <w:rFonts w:ascii="Arial" w:cs="Arial" w:eastAsia="Arial" w:hAnsi="Arial"/>
          <w:sz w:val="38"/>
          <w:szCs w:val="38"/>
          <w:color w:val="auto"/>
          <w:vertAlign w:val="subscript"/>
        </w:rPr>
      </w:pPr>
      <w:r>
        <w:rPr>
          <w:rFonts w:ascii="Arial" w:cs="Arial" w:eastAsia="Arial" w:hAnsi="Arial"/>
          <w:sz w:val="15"/>
          <w:szCs w:val="15"/>
          <w:color w:val="auto"/>
        </w:rPr>
        <w:t>assess the results of the Company’s most recent advisory vote on executive compensation; and</w:t>
      </w:r>
    </w:p>
    <w:p>
      <w:pPr>
        <w:spacing w:after="0" w:line="127" w:lineRule="exact"/>
        <w:rPr>
          <w:rFonts w:ascii="Arial" w:cs="Arial" w:eastAsia="Arial" w:hAnsi="Arial"/>
          <w:sz w:val="38"/>
          <w:szCs w:val="38"/>
          <w:color w:val="auto"/>
          <w:vertAlign w:val="subscript"/>
        </w:rPr>
      </w:pPr>
    </w:p>
    <w:p>
      <w:pPr>
        <w:ind w:left="520" w:hanging="316"/>
        <w:spacing w:after="0" w:line="182" w:lineRule="auto"/>
        <w:tabs>
          <w:tab w:leader="none" w:pos="520" w:val="left"/>
        </w:tabs>
        <w:numPr>
          <w:ilvl w:val="0"/>
          <w:numId w:val="13"/>
        </w:numPr>
        <w:rPr>
          <w:rFonts w:ascii="Arial" w:cs="Arial" w:eastAsia="Arial" w:hAnsi="Arial"/>
          <w:sz w:val="38"/>
          <w:szCs w:val="38"/>
          <w:color w:val="auto"/>
          <w:vertAlign w:val="subscript"/>
        </w:rPr>
      </w:pPr>
      <w:r>
        <w:rPr>
          <w:rFonts w:ascii="Arial" w:cs="Arial" w:eastAsia="Arial" w:hAnsi="Arial"/>
          <w:sz w:val="15"/>
          <w:szCs w:val="15"/>
          <w:color w:val="auto"/>
        </w:rPr>
        <w:t>evaluate whether compensation arrangements for executive officers incentivize unnecessary risk-taking.</w:t>
      </w:r>
    </w:p>
    <w:p>
      <w:pPr>
        <w:spacing w:after="0" w:line="230"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We refer you to “Executive Compensation” below for additional information regarding the Compensation Committee’s processes and procedures.</w:t>
      </w:r>
    </w:p>
    <w:p>
      <w:pPr>
        <w:spacing w:after="0" w:line="89"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Board of Directors has determined that each member of the Compensation Committee is an independent director in accordance with NASDAQ listing standards and the Company’s Director Independence Criteria, an outside director for purposes of Section 162(m) of the Internal Revenue Code (the “Code”), and a non-employee director for purposes of Section 16 of the Exchange Act.</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Corporate Governance Committee</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General</w:t>
      </w:r>
    </w:p>
    <w:p>
      <w:pPr>
        <w:spacing w:after="0" w:line="121"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The responsibilities of the Corporate Governance Committee include identifying and recommending to the Board of Directors appropriate director nominee candidates and providing oversight with respect to corporate governance matters. The Board of Directors has determined that each of the current members of the Corporate Governance Committee qualifies as an independent director under applicable NASDAQ rules and the Company’s Director Independence Criteria.</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Director Nomination Procedures</w:t>
      </w:r>
    </w:p>
    <w:p>
      <w:pPr>
        <w:spacing w:after="0" w:line="121"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The Corporate Governance Committee considers the appropriate balance of experience, skills and characteristics required of members of the Board of Directors. Nominees for director positions are selected on the basis of their depth and breadth of experience, wisdom, integrity, ability to make independent analytical inquiries, understanding of the Company’s business environment, and willingness to devote adequate time to the duties associated with being a member of the Board of Directors.</w:t>
      </w:r>
    </w:p>
    <w:p>
      <w:pPr>
        <w:spacing w:after="0" w:line="94"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The Corporate Governance Committee will consider written proposals from shareholders for candidates to be nominees for director positions. In considering candidates submitted by shareholders, the Corporate Governance Committee will take into consideration the needs of the Board of Directors and the qualifications of the candidate. Any such proposal should be submitted to the Corporate Governance Committee, c/o the Corporate Secretary of the Company, at Avis Budget Group, Inc., 6 Sylvan Way, Parsippany, N.J. 07054, and should include the following: (a) the name of the shareholder and evidence of such shareholder’s beneficial ownership of the shares of Common Stock, including the number of shares of Common Stock beneficially owned and the length of time of such beneficial ownership; and (b) the name of the candidate, such candidate’s resume or a listing of his or her qualifications to be a director of the Company and such candidate’s consent to be named as a director, if selected by the Corporate Governance Committee, nominated by the Board of Directors and elected. The written proposal should be submitted in the time frame and consistent with the requirements described in the by-laws of the Company and under the caption “Shareholder Proposals for 2019 Annual Meeting” below.</w:t>
      </w:r>
    </w:p>
    <w:p>
      <w:pPr>
        <w:spacing w:after="0" w:line="98"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The Corporate Governance Committee’s process for identifying and evaluating candidates to be nominees to the Board of Directors is typically initiated by identifying a candidate who meets the criteria for selection as a nominee and has the specific qualities or skills being sought based on input from members of the Board of Directors and, if the Corporate Governance Committee deems appropriate, a third-party search firm which would help the Board to identify candidates. These candidates are evaluated by the Corporate Governance Committee by reviewing such candidates’ biographical information and qualifications and checking the candidates’ references. Certain qualified candidates are interviewed by at least one member of the Corporate Governance Committee. Using the input from this interview and other information, the Corporate Governance Committee evaluates whether the candidate is qualified to serve as a director and whether the Corporate Governance Committee should recommend to the Board of Directors that the Board nominate the candidate or elect the candidate to fill a vacancy on the Board of Directors. Candidates recommended by the Corporate Governance Committee are presented to the Board of Directors for selection as nominees to be presented for the approval of the shareholders or for election to fill a vacancy.</w:t>
      </w:r>
    </w:p>
    <w:p>
      <w:pPr>
        <w:spacing w:after="0" w:line="98"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In general, the Corporate Governance Committee expects that a similar evaluation process would be used to evaluate candidates to be nominees for director positions recommended by shareholders.</w:t>
      </w:r>
    </w:p>
    <w:p>
      <w:pPr>
        <w:spacing w:after="0" w:line="89"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In January 2018, the Company announced that, consistent with the Board’s commitment to maintaining a highly qualified, independent Board, a leading search firm was recently retained to assist in its ongoing process of identifying new director candidates with specific skill sets to replace directors who may retire in the near future. In March 2018, the Corporate Governance Committee recommended that four new directors be added to the Board: Messrs. Glenn Lurie, Jagdeep Pahwa, Francis J. Shammo and Carl Sparks.</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Diversity</w:t>
      </w:r>
    </w:p>
    <w:p>
      <w:pPr>
        <w:spacing w:after="0" w:line="121"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While the Board has not adopted a formal policy with respect to diversity, the Corporate Governance Committee believes it is important that nominees for the Board represent diverse viewpoints and backgrounds. The Corporate Governance Committee is committed to advancing Board diversity, defined to include differences of viewpoint, professional experience, education, skill, race, gender and</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national origin, and as specified in its charter, considers diversity in the mix of qualifications, experience, attributes or skills included in its process of identifying and evaluating candidates to be nominees to the Board. The Company believes that its nominees further its commitment to enhancing gender diversity at the Board level.</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Executive Committee</w:t>
      </w:r>
    </w:p>
    <w:p>
      <w:pPr>
        <w:spacing w:after="0" w:line="130"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The Executive Committee has and may exercise all of the powers of the Board of Directors when the Board of Directors is not in session, including the power to authorize the issuance of stock, except that the Executive Committee has no power to (a) alter, amend or repeal the by-laws or any resolution or resolutions of the Board of Directors, (b) declare any dividend or make any other distribution to the shareholders of the Company, (c) appoint any member of the Executive Committee, or (d) take any other action which legally may be taken only by the full Board of Directors.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8"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The Board of Directors is responsible for the development, implementation and periodic review of a succession plan for our Chief Executive Officer and each senior executive, all of whom have been designated as members of our Senior Leadership Team (“SLT”).</w:t>
      </w:r>
    </w:p>
    <w:p>
      <w:pPr>
        <w:spacing w:after="0" w:line="89"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In September 2015, the Company announced the implementation of a succession plan (the “2015 Succession Plan”) and announced the Board’s selection of Mr. De Shon, the Company’s then-President International, to become the Company’s next Chief Executive officer, effective January 1, 2016.</w:t>
      </w:r>
    </w:p>
    <w:p>
      <w:pPr>
        <w:spacing w:after="0" w:line="95"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In developing the 2015 Succession Plan, the Board of Directors established a list of critical attributes and implemented a formal assessment process employing an external advisor to assess and develop successor candidates. The Board of Directors also oversaw the development of internal candidates, talent development plans, and engaged in mentoring to strengthen the skills and qualifications of such candidates.</w:t>
      </w:r>
    </w:p>
    <w:p>
      <w:pPr>
        <w:spacing w:after="0" w:line="94"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Our Board of Directors believes that effective succession planning and talent management and development play a critical role in safeguarding business capabilities, developing strong leadership quality and executive bench strength, and optimizing overall business development, operating performance, profitability and shareholder value.</w:t>
      </w:r>
    </w:p>
    <w:p>
      <w:pPr>
        <w:spacing w:after="0" w:line="95"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The Board of Directors views succession planning as a continual process and intends to continue to engage in succession planning consistent with the process described above. In order to ensure that qualified candidates are available for the position of Chief Executive Officer and also for each senior executive position held by a SLT member, the Board of Directors oversees the development of internal candidates, maintains talent development plans to strengthen the skills and qualifications of such candidates and would be responsible, if necessary, for the identification of suitable external successor candidates.</w:t>
      </w:r>
    </w:p>
    <w:p>
      <w:pPr>
        <w:spacing w:after="0" w:line="95"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The Board of Directors has also developed an “emergency” succession plan in the event of an unexpected disability or inability of our Chief Executive Officer or other senior executive to perform his or her duties.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5" w:lineRule="exact"/>
        <w:rPr>
          <w:sz w:val="20"/>
          <w:szCs w:val="20"/>
          <w:color w:val="auto"/>
        </w:rPr>
      </w:pPr>
    </w:p>
    <w:p>
      <w:pPr>
        <w:jc w:val="both"/>
        <w:ind w:left="200"/>
        <w:spacing w:after="0" w:line="243" w:lineRule="auto"/>
        <w:rPr>
          <w:sz w:val="20"/>
          <w:szCs w:val="20"/>
          <w:color w:val="auto"/>
        </w:rPr>
      </w:pPr>
      <w:r>
        <w:rPr>
          <w:rFonts w:ascii="Arial" w:cs="Arial" w:eastAsia="Arial" w:hAnsi="Arial"/>
          <w:sz w:val="18"/>
          <w:szCs w:val="18"/>
          <w:color w:val="auto"/>
        </w:rPr>
        <w:t>There are no related person transactions that require reporting under SEC rules. The Company has adopted written procedures for the review, approval or ratification of transactions with related persons that apply to any transaction, arrangement or relationship in which:</w:t>
      </w:r>
    </w:p>
    <w:p>
      <w:pPr>
        <w:spacing w:after="0" w:line="108" w:lineRule="exact"/>
        <w:rPr>
          <w:sz w:val="20"/>
          <w:szCs w:val="20"/>
          <w:color w:val="auto"/>
        </w:rPr>
      </w:pPr>
    </w:p>
    <w:p>
      <w:pPr>
        <w:ind w:left="5620" w:right="4180" w:hanging="5416"/>
        <w:spacing w:after="0" w:line="193" w:lineRule="auto"/>
        <w:tabs>
          <w:tab w:leader="none" w:pos="534" w:val="left"/>
        </w:tabs>
        <w:numPr>
          <w:ilvl w:val="0"/>
          <w:numId w:val="14"/>
        </w:numPr>
        <w:rPr>
          <w:rFonts w:ascii="Arial" w:cs="Arial" w:eastAsia="Arial" w:hAnsi="Arial"/>
          <w:sz w:val="58"/>
          <w:szCs w:val="58"/>
          <w:color w:val="auto"/>
          <w:vertAlign w:val="subscript"/>
        </w:rPr>
      </w:pPr>
      <w:r>
        <w:rPr>
          <w:rFonts w:ascii="Arial" w:cs="Arial" w:eastAsia="Arial" w:hAnsi="Arial"/>
          <w:sz w:val="18"/>
          <w:szCs w:val="18"/>
          <w:color w:val="auto"/>
        </w:rPr>
        <w:t>the Company (including any of its subsidiaries) was, is or will be a participant; and 23</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520" w:hanging="316"/>
        <w:spacing w:after="0" w:line="180" w:lineRule="auto"/>
        <w:tabs>
          <w:tab w:leader="none" w:pos="520" w:val="left"/>
        </w:tabs>
        <w:numPr>
          <w:ilvl w:val="0"/>
          <w:numId w:val="15"/>
        </w:numPr>
        <w:rPr>
          <w:rFonts w:ascii="Arial" w:cs="Arial" w:eastAsia="Arial" w:hAnsi="Arial"/>
          <w:sz w:val="40"/>
          <w:szCs w:val="40"/>
          <w:color w:val="auto"/>
          <w:vertAlign w:val="subscript"/>
        </w:rPr>
      </w:pPr>
      <w:r>
        <w:rPr>
          <w:rFonts w:ascii="Arial" w:cs="Arial" w:eastAsia="Arial" w:hAnsi="Arial"/>
          <w:sz w:val="16"/>
          <w:szCs w:val="16"/>
          <w:color w:val="auto"/>
        </w:rPr>
        <w:t>any related person (i.e., a director, executive officer, director nominee, or any greater than 5% beneficial owner, or any immediate family member of the foregoing, or any entity in which any of the foregoing persons is employed, or is a partner, principal or in a similar position, or has any greater than 5% beneficial interest) had, has or will have a direct or indirect interest.</w:t>
      </w:r>
    </w:p>
    <w:p>
      <w:pPr>
        <w:spacing w:after="0" w:line="9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Under the Company’s related persons policy, transactions with related persons are reviewed in advance by the General Counsel and Chief Compliance Officer and the Corporate Secretary of the Company, or in certain circumstances, as soon as possible thereafter. If it is determined by such officers that the transaction is a related person transaction and the amount involved exceeds $120,000:</w:t>
      </w:r>
    </w:p>
    <w:p>
      <w:pPr>
        <w:spacing w:after="0" w:line="108" w:lineRule="exact"/>
        <w:rPr>
          <w:sz w:val="20"/>
          <w:szCs w:val="20"/>
          <w:color w:val="auto"/>
        </w:rPr>
      </w:pPr>
    </w:p>
    <w:p>
      <w:pPr>
        <w:ind w:left="520" w:hanging="316"/>
        <w:spacing w:after="0" w:line="182" w:lineRule="auto"/>
        <w:tabs>
          <w:tab w:leader="none" w:pos="520" w:val="left"/>
        </w:tabs>
        <w:numPr>
          <w:ilvl w:val="0"/>
          <w:numId w:val="16"/>
        </w:numPr>
        <w:rPr>
          <w:rFonts w:ascii="Arial" w:cs="Arial" w:eastAsia="Arial" w:hAnsi="Arial"/>
          <w:sz w:val="48"/>
          <w:szCs w:val="48"/>
          <w:color w:val="auto"/>
          <w:vertAlign w:val="subscript"/>
        </w:rPr>
      </w:pPr>
      <w:r>
        <w:rPr>
          <w:rFonts w:ascii="Arial" w:cs="Arial" w:eastAsia="Arial" w:hAnsi="Arial"/>
          <w:sz w:val="17"/>
          <w:szCs w:val="17"/>
          <w:color w:val="auto"/>
        </w:rPr>
        <w:t>The transaction will be submitted for review to the Audit Committee, or, under certain circumstances, to the Chairman of the Audit Committee.</w:t>
      </w:r>
    </w:p>
    <w:p>
      <w:pPr>
        <w:ind w:left="520" w:hanging="316"/>
        <w:spacing w:after="0" w:line="182" w:lineRule="auto"/>
        <w:tabs>
          <w:tab w:leader="none" w:pos="520" w:val="left"/>
        </w:tabs>
        <w:numPr>
          <w:ilvl w:val="0"/>
          <w:numId w:val="16"/>
        </w:numPr>
        <w:rPr>
          <w:rFonts w:ascii="Arial" w:cs="Arial" w:eastAsia="Arial" w:hAnsi="Arial"/>
          <w:sz w:val="37"/>
          <w:szCs w:val="37"/>
          <w:color w:val="auto"/>
          <w:vertAlign w:val="subscript"/>
        </w:rPr>
      </w:pPr>
      <w:r>
        <w:rPr>
          <w:rFonts w:ascii="Arial" w:cs="Arial" w:eastAsia="Arial" w:hAnsi="Arial"/>
          <w:sz w:val="15"/>
          <w:szCs w:val="15"/>
          <w:color w:val="auto"/>
        </w:rPr>
        <w:t>The Audit Committee or its Chairman will then consider all relevant facts and circumstances available.</w:t>
      </w:r>
    </w:p>
    <w:p>
      <w:pPr>
        <w:spacing w:after="0" w:line="243" w:lineRule="exact"/>
        <w:rPr>
          <w:rFonts w:ascii="Arial" w:cs="Arial" w:eastAsia="Arial" w:hAnsi="Arial"/>
          <w:sz w:val="37"/>
          <w:szCs w:val="37"/>
          <w:color w:val="auto"/>
          <w:vertAlign w:val="subscript"/>
        </w:rPr>
      </w:pPr>
    </w:p>
    <w:p>
      <w:pPr>
        <w:ind w:left="520" w:hanging="316"/>
        <w:spacing w:after="0" w:line="182" w:lineRule="auto"/>
        <w:tabs>
          <w:tab w:leader="none" w:pos="520" w:val="left"/>
        </w:tabs>
        <w:numPr>
          <w:ilvl w:val="0"/>
          <w:numId w:val="16"/>
        </w:numPr>
        <w:rPr>
          <w:rFonts w:ascii="Arial" w:cs="Arial" w:eastAsia="Arial" w:hAnsi="Arial"/>
          <w:sz w:val="33"/>
          <w:szCs w:val="33"/>
          <w:color w:val="auto"/>
          <w:vertAlign w:val="subscript"/>
        </w:rPr>
      </w:pPr>
      <w:r>
        <w:rPr>
          <w:rFonts w:ascii="Arial" w:cs="Arial" w:eastAsia="Arial" w:hAnsi="Arial"/>
          <w:sz w:val="15"/>
          <w:szCs w:val="15"/>
          <w:color w:val="auto"/>
        </w:rPr>
        <w:t>The Audit Committee or its Chairman will approve only those transactions, determined in good faith to be in, or not inconsistent with, the best interests of the Company and its shareholders.</w:t>
      </w:r>
    </w:p>
    <w:p>
      <w:pPr>
        <w:spacing w:after="0" w:line="9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Audit Committee reviews on an annual basis contributions by the Company in excess of $1,000, in the aggregate (other than contributions made pursuant to the Company’s matching contribution program for employees and directors), to a charitable organization at which a related person is actively involved with fund-raising or serves as a director, trustee or in a similar capacity.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8"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We regularly conduct engagement and outreach efforts in order to communicate with existing and prospective shareholders, lenders, research analysts, rating agencies, governance firms and others. In 2017, our key engagement activities included numerous group and one-on-one investor meetings, conference calls accessible to all shareholders following each of our quarterly earnings releases, presentations at various investor conferences, and our 2017 Annual Meeting of Shareholders. Numerous members of management, in addition to our Chief Executive Officer and Chief Financial Officer, participated in these activities, each of which contained opportunities for shareholders and other constituents to provide feedback to management.</w:t>
      </w:r>
    </w:p>
    <w:p>
      <w:pPr>
        <w:spacing w:after="0" w:line="97"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From time to time, certain of our independent Board members attend investor meetings, in addition to attending the Annual Meeting of Shareholders. For example, in 2016 and in prior years, certain of our independent Board members attended our investor day, which is typically held bi-annually, as well as one-on-one investor meetings.</w:t>
      </w:r>
    </w:p>
    <w:p>
      <w:pPr>
        <w:spacing w:after="0" w:line="95"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 xml:space="preserve">Our investor relations department is the key point of contact for shareholder interaction with the Company. Shareholders and other interested parties may access investor information about our Company through our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The investor relations department coordinates institutional investor meetings with management, appearances at investor conferences and our quarterly earnings calls. We consider shareholder requests to meet with members of our Board of Directors on a case-by-case basis.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auto"/>
        </w:rPr>
        <w:t>Security Ownership of Certain Beneficial Owners</w:t>
      </w:r>
    </w:p>
    <w:p>
      <w:pPr>
        <w:spacing w:after="0" w:line="114"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The following table sets forth information regarding beneficial ownership of shares of Common Stock as of March 14, 2018, by (i) each person who is known by us to beneficially own more than 5% of the outstanding shares of Common Stock, (ii) each of the Company’s directors and each of its named executive officers (“NEOs”), and (iii) all of the Company’s directors, nominees and current executive officers, as a group.</w:t>
      </w:r>
    </w:p>
    <w:p>
      <w:pPr>
        <w:spacing w:after="0" w:line="95"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540" w:type="dxa"/>
            <w:vAlign w:val="bottom"/>
          </w:tcPr>
          <w:p>
            <w:pPr>
              <w:jc w:val="center"/>
              <w:ind w:left="268"/>
              <w:spacing w:after="0"/>
              <w:rPr>
                <w:sz w:val="20"/>
                <w:szCs w:val="20"/>
                <w:color w:val="auto"/>
              </w:rPr>
            </w:pPr>
            <w:r>
              <w:rPr>
                <w:rFonts w:ascii="Arial" w:cs="Arial" w:eastAsia="Arial" w:hAnsi="Arial"/>
                <w:sz w:val="14"/>
                <w:szCs w:val="14"/>
                <w:b w:val="1"/>
                <w:bCs w:val="1"/>
                <w:color w:val="auto"/>
              </w:rPr>
              <w:t>Of the Total Number of Shares</w:t>
            </w: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Percent of</w:t>
            </w:r>
          </w:p>
        </w:tc>
        <w:tc>
          <w:tcPr>
            <w:tcW w:w="2540" w:type="dxa"/>
            <w:vAlign w:val="bottom"/>
          </w:tcPr>
          <w:p>
            <w:pPr>
              <w:jc w:val="center"/>
              <w:ind w:left="268"/>
              <w:spacing w:after="0"/>
              <w:rPr>
                <w:sz w:val="20"/>
                <w:szCs w:val="20"/>
                <w:color w:val="auto"/>
              </w:rPr>
            </w:pPr>
            <w:r>
              <w:rPr>
                <w:rFonts w:ascii="Arial" w:cs="Arial" w:eastAsia="Arial" w:hAnsi="Arial"/>
                <w:sz w:val="14"/>
                <w:szCs w:val="14"/>
                <w:b w:val="1"/>
                <w:bCs w:val="1"/>
                <w:color w:val="auto"/>
              </w:rPr>
              <w:t>Beneficially Owned, Shares</w:t>
            </w: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320" w:type="dxa"/>
            <w:vAlign w:val="bottom"/>
          </w:tcPr>
          <w:p>
            <w:pPr>
              <w:jc w:val="right"/>
              <w:ind w:right="408"/>
              <w:spacing w:after="0"/>
              <w:rPr>
                <w:sz w:val="20"/>
                <w:szCs w:val="20"/>
                <w:color w:val="auto"/>
              </w:rPr>
            </w:pPr>
            <w:r>
              <w:rPr>
                <w:rFonts w:ascii="Arial" w:cs="Arial" w:eastAsia="Arial" w:hAnsi="Arial"/>
                <w:sz w:val="14"/>
                <w:szCs w:val="14"/>
                <w:b w:val="1"/>
                <w:bCs w:val="1"/>
                <w:color w:val="auto"/>
              </w:rPr>
              <w:t>Total Amount of Shares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Common Stock</w:t>
            </w:r>
          </w:p>
        </w:tc>
        <w:tc>
          <w:tcPr>
            <w:tcW w:w="2540" w:type="dxa"/>
            <w:vAlign w:val="bottom"/>
          </w:tcPr>
          <w:p>
            <w:pPr>
              <w:jc w:val="center"/>
              <w:ind w:left="268"/>
              <w:spacing w:after="0"/>
              <w:rPr>
                <w:sz w:val="20"/>
                <w:szCs w:val="20"/>
                <w:color w:val="auto"/>
              </w:rPr>
            </w:pPr>
            <w:r>
              <w:rPr>
                <w:rFonts w:ascii="Arial" w:cs="Arial" w:eastAsia="Arial" w:hAnsi="Arial"/>
                <w:sz w:val="14"/>
                <w:szCs w:val="14"/>
                <w:b w:val="1"/>
                <w:bCs w:val="1"/>
                <w:color w:val="auto"/>
              </w:rPr>
              <w:t>which May be Acquired within</w:t>
            </w:r>
          </w:p>
        </w:tc>
      </w:tr>
      <w:tr>
        <w:trPr>
          <w:trHeight w:val="189"/>
        </w:trPr>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of Beneficial Owner</w:t>
            </w:r>
          </w:p>
        </w:tc>
        <w:tc>
          <w:tcPr>
            <w:tcW w:w="2320" w:type="dxa"/>
            <w:vAlign w:val="bottom"/>
            <w:tcBorders>
              <w:bottom w:val="single" w:sz="8" w:color="auto"/>
            </w:tcBorders>
          </w:tcPr>
          <w:p>
            <w:pPr>
              <w:jc w:val="right"/>
              <w:ind w:right="468"/>
              <w:spacing w:after="0" w:line="189" w:lineRule="exact"/>
              <w:rPr>
                <w:sz w:val="20"/>
                <w:szCs w:val="20"/>
                <w:color w:val="auto"/>
              </w:rPr>
            </w:pPr>
            <w:r>
              <w:rPr>
                <w:rFonts w:ascii="Arial" w:cs="Arial" w:eastAsia="Arial" w:hAnsi="Arial"/>
                <w:sz w:val="13"/>
                <w:szCs w:val="13"/>
                <w:b w:val="1"/>
                <w:bCs w:val="1"/>
                <w:color w:val="auto"/>
              </w:rPr>
              <w:t>Beneficially Owned</w:t>
            </w:r>
            <w:r>
              <w:rPr>
                <w:rFonts w:ascii="Arial" w:cs="Arial" w:eastAsia="Arial" w:hAnsi="Arial"/>
                <w:sz w:val="21"/>
                <w:szCs w:val="21"/>
                <w:b w:val="1"/>
                <w:bCs w:val="1"/>
                <w:color w:val="auto"/>
                <w:vertAlign w:val="superscript"/>
              </w:rPr>
              <w:t>(1)</w:t>
            </w:r>
          </w:p>
        </w:tc>
        <w:tc>
          <w:tcPr>
            <w:tcW w:w="20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rPr>
              <w:t>Owned</w:t>
            </w:r>
            <w:r>
              <w:rPr>
                <w:rFonts w:ascii="Arial" w:cs="Arial" w:eastAsia="Arial" w:hAnsi="Arial"/>
                <w:sz w:val="21"/>
                <w:szCs w:val="21"/>
                <w:b w:val="1"/>
                <w:bCs w:val="1"/>
                <w:color w:val="auto"/>
                <w:vertAlign w:val="superscript"/>
              </w:rPr>
              <w:t>(2)</w:t>
            </w:r>
          </w:p>
        </w:tc>
        <w:tc>
          <w:tcPr>
            <w:tcW w:w="2540" w:type="dxa"/>
            <w:vAlign w:val="bottom"/>
            <w:tcBorders>
              <w:bottom w:val="single" w:sz="8" w:color="auto"/>
            </w:tcBorders>
          </w:tcPr>
          <w:p>
            <w:pPr>
              <w:jc w:val="center"/>
              <w:ind w:left="288"/>
              <w:spacing w:after="0" w:line="189" w:lineRule="exact"/>
              <w:rPr>
                <w:sz w:val="20"/>
                <w:szCs w:val="20"/>
                <w:color w:val="auto"/>
              </w:rPr>
            </w:pPr>
            <w:r>
              <w:rPr>
                <w:rFonts w:ascii="Arial" w:cs="Arial" w:eastAsia="Arial" w:hAnsi="Arial"/>
                <w:sz w:val="13"/>
                <w:szCs w:val="13"/>
                <w:b w:val="1"/>
                <w:bCs w:val="1"/>
                <w:color w:val="auto"/>
              </w:rPr>
              <w:t>60 Days</w:t>
            </w:r>
            <w:r>
              <w:rPr>
                <w:rFonts w:ascii="Arial" w:cs="Arial" w:eastAsia="Arial" w:hAnsi="Arial"/>
                <w:sz w:val="21"/>
                <w:szCs w:val="21"/>
                <w:b w:val="1"/>
                <w:bCs w:val="1"/>
                <w:color w:val="auto"/>
                <w:vertAlign w:val="superscript"/>
              </w:rPr>
              <w:t>(3)</w:t>
            </w:r>
          </w:p>
        </w:tc>
      </w:tr>
      <w:tr>
        <w:trPr>
          <w:trHeight w:val="225"/>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Principal Shareholders:**</w:t>
            </w:r>
          </w:p>
        </w:tc>
        <w:tc>
          <w:tcPr>
            <w:tcW w:w="2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39"/>
        </w:trPr>
        <w:tc>
          <w:tcPr>
            <w:tcW w:w="4120" w:type="dxa"/>
            <w:vAlign w:val="bottom"/>
            <w:gridSpan w:val="2"/>
          </w:tcPr>
          <w:p>
            <w:pPr>
              <w:spacing w:after="0"/>
              <w:rPr>
                <w:sz w:val="3"/>
                <w:szCs w:val="3"/>
                <w:color w:val="auto"/>
              </w:rPr>
            </w:pPr>
          </w:p>
        </w:tc>
        <w:tc>
          <w:tcPr>
            <w:tcW w:w="23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153"/>
        </w:trPr>
        <w:tc>
          <w:tcPr>
            <w:tcW w:w="20" w:type="dxa"/>
            <w:vAlign w:val="bottom"/>
          </w:tcPr>
          <w:p>
            <w:pPr>
              <w:spacing w:after="0"/>
              <w:rPr>
                <w:sz w:val="13"/>
                <w:szCs w:val="13"/>
                <w:color w:val="auto"/>
              </w:rPr>
            </w:pPr>
          </w:p>
        </w:tc>
        <w:tc>
          <w:tcPr>
            <w:tcW w:w="4100" w:type="dxa"/>
            <w:vAlign w:val="bottom"/>
            <w:tcBorders>
              <w:top w:val="single" w:sz="8" w:color="C1CECC"/>
            </w:tcBorders>
            <w:shd w:val="clear" w:color="auto" w:fill="DDE5E2"/>
          </w:tcPr>
          <w:p>
            <w:pPr>
              <w:spacing w:after="0" w:line="153" w:lineRule="exact"/>
              <w:rPr>
                <w:sz w:val="20"/>
                <w:szCs w:val="20"/>
                <w:color w:val="auto"/>
              </w:rPr>
            </w:pPr>
            <w:r>
              <w:rPr>
                <w:rFonts w:ascii="Arial" w:cs="Arial" w:eastAsia="Arial" w:hAnsi="Arial"/>
                <w:sz w:val="11"/>
                <w:szCs w:val="11"/>
                <w:color w:val="auto"/>
              </w:rPr>
              <w:t>SRS Investment Management, LLC</w:t>
            </w:r>
            <w:r>
              <w:rPr>
                <w:rFonts w:ascii="Arial" w:cs="Arial" w:eastAsia="Arial" w:hAnsi="Arial"/>
                <w:sz w:val="17"/>
                <w:szCs w:val="17"/>
                <w:color w:val="auto"/>
                <w:vertAlign w:val="superscript"/>
              </w:rPr>
              <w:t>(4)</w:t>
            </w:r>
          </w:p>
        </w:tc>
        <w:tc>
          <w:tcPr>
            <w:tcW w:w="2320" w:type="dxa"/>
            <w:vAlign w:val="bottom"/>
            <w:tcBorders>
              <w:top w:val="single" w:sz="8" w:color="C1CECC"/>
            </w:tcBorders>
            <w:shd w:val="clear" w:color="auto" w:fill="DDE5E2"/>
          </w:tcPr>
          <w:p>
            <w:pPr>
              <w:jc w:val="right"/>
              <w:ind w:right="408"/>
              <w:spacing w:after="0" w:line="153" w:lineRule="exact"/>
              <w:rPr>
                <w:sz w:val="20"/>
                <w:szCs w:val="20"/>
                <w:color w:val="auto"/>
              </w:rPr>
            </w:pPr>
            <w:r>
              <w:rPr>
                <w:rFonts w:ascii="Arial" w:cs="Arial" w:eastAsia="Arial" w:hAnsi="Arial"/>
                <w:sz w:val="14"/>
                <w:szCs w:val="14"/>
                <w:color w:val="auto"/>
              </w:rPr>
              <w:t>12,005,554</w:t>
            </w:r>
          </w:p>
        </w:tc>
        <w:tc>
          <w:tcPr>
            <w:tcW w:w="2060" w:type="dxa"/>
            <w:vAlign w:val="bottom"/>
            <w:tcBorders>
              <w:top w:val="single" w:sz="8" w:color="C1CECC"/>
            </w:tcBorders>
            <w:shd w:val="clear" w:color="auto" w:fill="DDE5E2"/>
          </w:tcPr>
          <w:p>
            <w:pPr>
              <w:jc w:val="right"/>
              <w:ind w:right="328"/>
              <w:spacing w:after="0" w:line="153" w:lineRule="exact"/>
              <w:rPr>
                <w:sz w:val="20"/>
                <w:szCs w:val="20"/>
                <w:color w:val="auto"/>
              </w:rPr>
            </w:pPr>
            <w:r>
              <w:rPr>
                <w:rFonts w:ascii="Arial" w:cs="Arial" w:eastAsia="Arial" w:hAnsi="Arial"/>
                <w:sz w:val="14"/>
                <w:szCs w:val="14"/>
                <w:color w:val="auto"/>
              </w:rPr>
              <w:t>14.8%</w:t>
            </w:r>
          </w:p>
        </w:tc>
        <w:tc>
          <w:tcPr>
            <w:tcW w:w="2540" w:type="dxa"/>
            <w:vAlign w:val="bottom"/>
            <w:tcBorders>
              <w:top w:val="single" w:sz="8" w:color="C1CECC"/>
            </w:tcBorders>
            <w:shd w:val="clear" w:color="auto" w:fill="DDE5E2"/>
          </w:tcPr>
          <w:p>
            <w:pPr>
              <w:jc w:val="right"/>
              <w:spacing w:after="0" w:line="153" w:lineRule="exact"/>
              <w:rPr>
                <w:sz w:val="20"/>
                <w:szCs w:val="20"/>
                <w:color w:val="auto"/>
              </w:rPr>
            </w:pPr>
            <w:r>
              <w:rPr>
                <w:rFonts w:ascii="Arial" w:cs="Arial" w:eastAsia="Arial" w:hAnsi="Arial"/>
                <w:sz w:val="14"/>
                <w:szCs w:val="14"/>
                <w:color w:val="auto"/>
              </w:rPr>
              <w:t>—</w:t>
            </w:r>
          </w:p>
        </w:tc>
      </w:tr>
      <w:tr>
        <w:trPr>
          <w:trHeight w:val="170"/>
        </w:trPr>
        <w:tc>
          <w:tcPr>
            <w:tcW w:w="20" w:type="dxa"/>
            <w:vAlign w:val="bottom"/>
          </w:tcPr>
          <w:p>
            <w:pPr>
              <w:spacing w:after="0"/>
              <w:rPr>
                <w:sz w:val="14"/>
                <w:szCs w:val="14"/>
                <w:color w:val="auto"/>
              </w:rPr>
            </w:pPr>
          </w:p>
        </w:tc>
        <w:tc>
          <w:tcPr>
            <w:tcW w:w="4100" w:type="dxa"/>
            <w:vAlign w:val="bottom"/>
            <w:shd w:val="clear" w:color="auto" w:fill="DDE5E2"/>
          </w:tcPr>
          <w:p>
            <w:pPr>
              <w:spacing w:after="0" w:line="170" w:lineRule="exact"/>
              <w:rPr>
                <w:sz w:val="20"/>
                <w:szCs w:val="20"/>
                <w:color w:val="auto"/>
              </w:rPr>
            </w:pPr>
            <w:r>
              <w:rPr>
                <w:rFonts w:ascii="Arial" w:cs="Arial" w:eastAsia="Arial" w:hAnsi="Arial"/>
                <w:sz w:val="12"/>
                <w:szCs w:val="12"/>
                <w:color w:val="auto"/>
              </w:rPr>
              <w:t>1 Bryant Park, 39</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2320" w:type="dxa"/>
            <w:vAlign w:val="bottom"/>
            <w:shd w:val="clear" w:color="auto" w:fill="DDE5E2"/>
          </w:tcPr>
          <w:p>
            <w:pPr>
              <w:spacing w:after="0"/>
              <w:rPr>
                <w:sz w:val="14"/>
                <w:szCs w:val="14"/>
                <w:color w:val="auto"/>
              </w:rPr>
            </w:pPr>
          </w:p>
        </w:tc>
        <w:tc>
          <w:tcPr>
            <w:tcW w:w="2060" w:type="dxa"/>
            <w:vAlign w:val="bottom"/>
            <w:shd w:val="clear" w:color="auto" w:fill="DDE5E2"/>
          </w:tcPr>
          <w:p>
            <w:pPr>
              <w:spacing w:after="0"/>
              <w:rPr>
                <w:sz w:val="14"/>
                <w:szCs w:val="14"/>
                <w:color w:val="auto"/>
              </w:rPr>
            </w:pPr>
          </w:p>
        </w:tc>
        <w:tc>
          <w:tcPr>
            <w:tcW w:w="2540" w:type="dxa"/>
            <w:vAlign w:val="bottom"/>
            <w:shd w:val="clear" w:color="auto" w:fill="DDE5E2"/>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100" w:type="dxa"/>
            <w:vAlign w:val="bottom"/>
            <w:tcBorders>
              <w:bottom w:val="single" w:sz="8" w:color="C1CECC"/>
            </w:tcBorders>
            <w:shd w:val="clear" w:color="auto" w:fill="DDE5E2"/>
          </w:tcPr>
          <w:p>
            <w:pPr>
              <w:spacing w:after="0"/>
              <w:rPr>
                <w:sz w:val="20"/>
                <w:szCs w:val="20"/>
                <w:color w:val="auto"/>
              </w:rPr>
            </w:pPr>
            <w:r>
              <w:rPr>
                <w:rFonts w:ascii="Arial" w:cs="Arial" w:eastAsia="Arial" w:hAnsi="Arial"/>
                <w:sz w:val="14"/>
                <w:szCs w:val="14"/>
                <w:color w:val="auto"/>
              </w:rPr>
              <w:t>New York, NY 10036</w:t>
            </w:r>
          </w:p>
        </w:tc>
        <w:tc>
          <w:tcPr>
            <w:tcW w:w="2320" w:type="dxa"/>
            <w:vAlign w:val="bottom"/>
            <w:tcBorders>
              <w:bottom w:val="single" w:sz="8" w:color="C1CECC"/>
            </w:tcBorders>
            <w:shd w:val="clear" w:color="auto" w:fill="DDE5E2"/>
          </w:tcPr>
          <w:p>
            <w:pPr>
              <w:spacing w:after="0"/>
              <w:rPr>
                <w:sz w:val="14"/>
                <w:szCs w:val="14"/>
                <w:color w:val="auto"/>
              </w:rPr>
            </w:pPr>
          </w:p>
        </w:tc>
        <w:tc>
          <w:tcPr>
            <w:tcW w:w="2060" w:type="dxa"/>
            <w:vAlign w:val="bottom"/>
            <w:tcBorders>
              <w:bottom w:val="single" w:sz="8" w:color="C1CECC"/>
            </w:tcBorders>
            <w:shd w:val="clear" w:color="auto" w:fill="DDE5E2"/>
          </w:tcPr>
          <w:p>
            <w:pPr>
              <w:spacing w:after="0"/>
              <w:rPr>
                <w:sz w:val="14"/>
                <w:szCs w:val="14"/>
                <w:color w:val="auto"/>
              </w:rPr>
            </w:pPr>
          </w:p>
        </w:tc>
        <w:tc>
          <w:tcPr>
            <w:tcW w:w="2540" w:type="dxa"/>
            <w:vAlign w:val="bottom"/>
            <w:tcBorders>
              <w:bottom w:val="single" w:sz="8" w:color="C1CECC"/>
            </w:tcBorders>
            <w:shd w:val="clear" w:color="auto" w:fill="DDE5E2"/>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100" w:type="dxa"/>
            <w:vAlign w:val="bottom"/>
            <w:tcBorders>
              <w:bottom w:val="single" w:sz="8" w:color="C1CECC"/>
            </w:tcBorders>
          </w:tcPr>
          <w:p>
            <w:pPr>
              <w:spacing w:after="0"/>
              <w:rPr>
                <w:sz w:val="13"/>
                <w:szCs w:val="13"/>
                <w:color w:val="auto"/>
              </w:rPr>
            </w:pPr>
          </w:p>
        </w:tc>
        <w:tc>
          <w:tcPr>
            <w:tcW w:w="2320" w:type="dxa"/>
            <w:vAlign w:val="bottom"/>
            <w:tcBorders>
              <w:bottom w:val="single" w:sz="8" w:color="C1CECC"/>
            </w:tcBorders>
          </w:tcPr>
          <w:p>
            <w:pPr>
              <w:spacing w:after="0"/>
              <w:rPr>
                <w:sz w:val="13"/>
                <w:szCs w:val="13"/>
                <w:color w:val="auto"/>
              </w:rPr>
            </w:pPr>
          </w:p>
        </w:tc>
        <w:tc>
          <w:tcPr>
            <w:tcW w:w="2060" w:type="dxa"/>
            <w:vAlign w:val="bottom"/>
            <w:tcBorders>
              <w:bottom w:val="single" w:sz="8" w:color="C1CECC"/>
            </w:tcBorders>
          </w:tcPr>
          <w:p>
            <w:pPr>
              <w:spacing w:after="0"/>
              <w:rPr>
                <w:sz w:val="13"/>
                <w:szCs w:val="13"/>
                <w:color w:val="auto"/>
              </w:rPr>
            </w:pPr>
          </w:p>
        </w:tc>
        <w:tc>
          <w:tcPr>
            <w:tcW w:w="2540" w:type="dxa"/>
            <w:vAlign w:val="bottom"/>
            <w:tcBorders>
              <w:bottom w:val="single" w:sz="8" w:color="C1CECC"/>
            </w:tcBorders>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4100" w:type="dxa"/>
            <w:vAlign w:val="bottom"/>
          </w:tcPr>
          <w:p>
            <w:pPr>
              <w:spacing w:after="0" w:line="160" w:lineRule="exact"/>
              <w:rPr>
                <w:sz w:val="20"/>
                <w:szCs w:val="20"/>
                <w:color w:val="auto"/>
              </w:rPr>
            </w:pPr>
            <w:r>
              <w:rPr>
                <w:rFonts w:ascii="Arial" w:cs="Arial" w:eastAsia="Arial" w:hAnsi="Arial"/>
                <w:sz w:val="11"/>
                <w:szCs w:val="11"/>
                <w:color w:val="auto"/>
              </w:rPr>
              <w:t>FMR, LLC</w:t>
            </w:r>
            <w:r>
              <w:rPr>
                <w:rFonts w:ascii="Arial" w:cs="Arial" w:eastAsia="Arial" w:hAnsi="Arial"/>
                <w:sz w:val="18"/>
                <w:szCs w:val="18"/>
                <w:color w:val="auto"/>
                <w:vertAlign w:val="superscript"/>
              </w:rPr>
              <w:t>(5)</w:t>
            </w:r>
          </w:p>
        </w:tc>
        <w:tc>
          <w:tcPr>
            <w:tcW w:w="2320" w:type="dxa"/>
            <w:vAlign w:val="bottom"/>
          </w:tcPr>
          <w:p>
            <w:pPr>
              <w:jc w:val="right"/>
              <w:ind w:right="408"/>
              <w:spacing w:after="0"/>
              <w:rPr>
                <w:sz w:val="20"/>
                <w:szCs w:val="20"/>
                <w:color w:val="auto"/>
              </w:rPr>
            </w:pPr>
            <w:r>
              <w:rPr>
                <w:rFonts w:ascii="Arial" w:cs="Arial" w:eastAsia="Arial" w:hAnsi="Arial"/>
                <w:sz w:val="14"/>
                <w:szCs w:val="14"/>
                <w:color w:val="auto"/>
              </w:rPr>
              <w:t>8,810,620</w:t>
            </w:r>
          </w:p>
        </w:tc>
        <w:tc>
          <w:tcPr>
            <w:tcW w:w="2060" w:type="dxa"/>
            <w:vAlign w:val="bottom"/>
          </w:tcPr>
          <w:p>
            <w:pPr>
              <w:jc w:val="right"/>
              <w:ind w:right="328"/>
              <w:spacing w:after="0"/>
              <w:rPr>
                <w:sz w:val="20"/>
                <w:szCs w:val="20"/>
                <w:color w:val="auto"/>
              </w:rPr>
            </w:pPr>
            <w:r>
              <w:rPr>
                <w:rFonts w:ascii="Arial" w:cs="Arial" w:eastAsia="Arial" w:hAnsi="Arial"/>
                <w:sz w:val="14"/>
                <w:szCs w:val="14"/>
                <w:color w:val="auto"/>
              </w:rPr>
              <w:t>10.9%</w:t>
            </w:r>
          </w:p>
        </w:tc>
        <w:tc>
          <w:tcPr>
            <w:tcW w:w="2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120" w:type="dxa"/>
            <w:vAlign w:val="bottom"/>
            <w:gridSpan w:val="2"/>
          </w:tcPr>
          <w:p>
            <w:pPr>
              <w:spacing w:after="0"/>
              <w:rPr>
                <w:sz w:val="20"/>
                <w:szCs w:val="20"/>
                <w:color w:val="auto"/>
              </w:rPr>
            </w:pPr>
            <w:r>
              <w:rPr>
                <w:rFonts w:ascii="Arial" w:cs="Arial" w:eastAsia="Arial" w:hAnsi="Arial"/>
                <w:sz w:val="14"/>
                <w:szCs w:val="14"/>
                <w:color w:val="auto"/>
              </w:rPr>
              <w:t>245 Summer Street</w:t>
            </w:r>
          </w:p>
        </w:tc>
        <w:tc>
          <w:tcPr>
            <w:tcW w:w="2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71"/>
        </w:trPr>
        <w:tc>
          <w:tcPr>
            <w:tcW w:w="4120" w:type="dxa"/>
            <w:vAlign w:val="bottom"/>
            <w:gridSpan w:val="2"/>
          </w:tcPr>
          <w:p>
            <w:pPr>
              <w:spacing w:after="0"/>
              <w:rPr>
                <w:sz w:val="20"/>
                <w:szCs w:val="20"/>
                <w:color w:val="auto"/>
              </w:rPr>
            </w:pPr>
            <w:r>
              <w:rPr>
                <w:rFonts w:ascii="Arial" w:cs="Arial" w:eastAsia="Arial" w:hAnsi="Arial"/>
                <w:sz w:val="14"/>
                <w:szCs w:val="14"/>
                <w:color w:val="auto"/>
              </w:rPr>
              <w:t>Boston, MA 02210</w:t>
            </w:r>
          </w:p>
        </w:tc>
        <w:tc>
          <w:tcPr>
            <w:tcW w:w="2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100" w:type="dxa"/>
            <w:vAlign w:val="bottom"/>
            <w:tcBorders>
              <w:top w:val="single" w:sz="8" w:color="C1CECC"/>
              <w:bottom w:val="single" w:sz="8" w:color="C1CECC"/>
            </w:tcBorders>
          </w:tcPr>
          <w:p>
            <w:pPr>
              <w:spacing w:after="0"/>
              <w:rPr>
                <w:sz w:val="13"/>
                <w:szCs w:val="13"/>
                <w:color w:val="auto"/>
              </w:rPr>
            </w:pPr>
          </w:p>
        </w:tc>
        <w:tc>
          <w:tcPr>
            <w:tcW w:w="2320" w:type="dxa"/>
            <w:vAlign w:val="bottom"/>
            <w:tcBorders>
              <w:top w:val="single" w:sz="8" w:color="C1CECC"/>
              <w:bottom w:val="single" w:sz="8" w:color="C1CECC"/>
            </w:tcBorders>
          </w:tcPr>
          <w:p>
            <w:pPr>
              <w:spacing w:after="0"/>
              <w:rPr>
                <w:sz w:val="13"/>
                <w:szCs w:val="13"/>
                <w:color w:val="auto"/>
              </w:rPr>
            </w:pPr>
          </w:p>
        </w:tc>
        <w:tc>
          <w:tcPr>
            <w:tcW w:w="2060" w:type="dxa"/>
            <w:vAlign w:val="bottom"/>
            <w:tcBorders>
              <w:top w:val="single" w:sz="8" w:color="C1CECC"/>
              <w:bottom w:val="single" w:sz="8" w:color="C1CECC"/>
            </w:tcBorders>
          </w:tcPr>
          <w:p>
            <w:pPr>
              <w:spacing w:after="0"/>
              <w:rPr>
                <w:sz w:val="13"/>
                <w:szCs w:val="13"/>
                <w:color w:val="auto"/>
              </w:rPr>
            </w:pPr>
          </w:p>
        </w:tc>
        <w:tc>
          <w:tcPr>
            <w:tcW w:w="2540" w:type="dxa"/>
            <w:vAlign w:val="bottom"/>
            <w:tcBorders>
              <w:top w:val="single" w:sz="8" w:color="C1CECC"/>
              <w:bottom w:val="single" w:sz="8" w:color="C1CECC"/>
            </w:tcBorders>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4100" w:type="dxa"/>
            <w:vAlign w:val="bottom"/>
            <w:shd w:val="clear" w:color="auto" w:fill="DDE5E2"/>
          </w:tcPr>
          <w:p>
            <w:pPr>
              <w:spacing w:after="0" w:line="153" w:lineRule="exact"/>
              <w:rPr>
                <w:sz w:val="20"/>
                <w:szCs w:val="20"/>
                <w:color w:val="auto"/>
              </w:rPr>
            </w:pPr>
            <w:r>
              <w:rPr>
                <w:rFonts w:ascii="Arial" w:cs="Arial" w:eastAsia="Arial" w:hAnsi="Arial"/>
                <w:sz w:val="11"/>
                <w:szCs w:val="11"/>
                <w:color w:val="auto"/>
              </w:rPr>
              <w:t>BlackRock, Inc.</w:t>
            </w:r>
            <w:r>
              <w:rPr>
                <w:rFonts w:ascii="Arial" w:cs="Arial" w:eastAsia="Arial" w:hAnsi="Arial"/>
                <w:sz w:val="17"/>
                <w:szCs w:val="17"/>
                <w:color w:val="auto"/>
                <w:vertAlign w:val="superscript"/>
              </w:rPr>
              <w:t>(6)</w:t>
            </w:r>
          </w:p>
        </w:tc>
        <w:tc>
          <w:tcPr>
            <w:tcW w:w="2320" w:type="dxa"/>
            <w:vAlign w:val="bottom"/>
            <w:shd w:val="clear" w:color="auto" w:fill="DDE5E2"/>
          </w:tcPr>
          <w:p>
            <w:pPr>
              <w:jc w:val="right"/>
              <w:ind w:right="408"/>
              <w:spacing w:after="0" w:line="153" w:lineRule="exact"/>
              <w:rPr>
                <w:sz w:val="20"/>
                <w:szCs w:val="20"/>
                <w:color w:val="auto"/>
              </w:rPr>
            </w:pPr>
            <w:r>
              <w:rPr>
                <w:rFonts w:ascii="Arial" w:cs="Arial" w:eastAsia="Arial" w:hAnsi="Arial"/>
                <w:sz w:val="14"/>
                <w:szCs w:val="14"/>
                <w:color w:val="auto"/>
              </w:rPr>
              <w:t>8,072,653</w:t>
            </w:r>
          </w:p>
        </w:tc>
        <w:tc>
          <w:tcPr>
            <w:tcW w:w="2060" w:type="dxa"/>
            <w:vAlign w:val="bottom"/>
            <w:shd w:val="clear" w:color="auto" w:fill="DDE5E2"/>
          </w:tcPr>
          <w:p>
            <w:pPr>
              <w:jc w:val="right"/>
              <w:ind w:right="328"/>
              <w:spacing w:after="0" w:line="153" w:lineRule="exact"/>
              <w:rPr>
                <w:sz w:val="20"/>
                <w:szCs w:val="20"/>
                <w:color w:val="auto"/>
              </w:rPr>
            </w:pPr>
            <w:r>
              <w:rPr>
                <w:rFonts w:ascii="Arial" w:cs="Arial" w:eastAsia="Arial" w:hAnsi="Arial"/>
                <w:sz w:val="14"/>
                <w:szCs w:val="14"/>
                <w:color w:val="auto"/>
              </w:rPr>
              <w:t>10.0%</w:t>
            </w:r>
          </w:p>
        </w:tc>
        <w:tc>
          <w:tcPr>
            <w:tcW w:w="2540" w:type="dxa"/>
            <w:vAlign w:val="bottom"/>
            <w:shd w:val="clear" w:color="auto" w:fill="DDE5E2"/>
          </w:tcPr>
          <w:p>
            <w:pPr>
              <w:jc w:val="right"/>
              <w:spacing w:after="0" w:line="153" w:lineRule="exact"/>
              <w:rPr>
                <w:sz w:val="20"/>
                <w:szCs w:val="20"/>
                <w:color w:val="auto"/>
              </w:rPr>
            </w:pPr>
            <w:r>
              <w:rPr>
                <w:rFonts w:ascii="Arial" w:cs="Arial" w:eastAsia="Arial" w:hAnsi="Arial"/>
                <w:sz w:val="14"/>
                <w:szCs w:val="14"/>
                <w:color w:val="auto"/>
              </w:rPr>
              <w:t>—</w:t>
            </w:r>
          </w:p>
        </w:tc>
      </w:tr>
      <w:tr>
        <w:trPr>
          <w:trHeight w:val="170"/>
        </w:trPr>
        <w:tc>
          <w:tcPr>
            <w:tcW w:w="20" w:type="dxa"/>
            <w:vAlign w:val="bottom"/>
          </w:tcPr>
          <w:p>
            <w:pPr>
              <w:spacing w:after="0"/>
              <w:rPr>
                <w:sz w:val="14"/>
                <w:szCs w:val="14"/>
                <w:color w:val="auto"/>
              </w:rPr>
            </w:pPr>
          </w:p>
        </w:tc>
        <w:tc>
          <w:tcPr>
            <w:tcW w:w="4100" w:type="dxa"/>
            <w:vAlign w:val="bottom"/>
            <w:shd w:val="clear" w:color="auto" w:fill="DDE5E2"/>
          </w:tcPr>
          <w:p>
            <w:pPr>
              <w:spacing w:after="0" w:line="170" w:lineRule="exact"/>
              <w:rPr>
                <w:sz w:val="20"/>
                <w:szCs w:val="20"/>
                <w:color w:val="auto"/>
              </w:rPr>
            </w:pPr>
            <w:r>
              <w:rPr>
                <w:rFonts w:ascii="Arial" w:cs="Arial" w:eastAsia="Arial" w:hAnsi="Arial"/>
                <w:sz w:val="12"/>
                <w:szCs w:val="12"/>
                <w:color w:val="auto"/>
              </w:rPr>
              <w:t>55 East 52</w:t>
            </w:r>
            <w:r>
              <w:rPr>
                <w:rFonts w:ascii="Arial" w:cs="Arial" w:eastAsia="Arial" w:hAnsi="Arial"/>
                <w:sz w:val="19"/>
                <w:szCs w:val="19"/>
                <w:color w:val="auto"/>
                <w:vertAlign w:val="superscript"/>
              </w:rPr>
              <w:t>nd</w:t>
            </w:r>
            <w:r>
              <w:rPr>
                <w:rFonts w:ascii="Arial" w:cs="Arial" w:eastAsia="Arial" w:hAnsi="Arial"/>
                <w:sz w:val="12"/>
                <w:szCs w:val="12"/>
                <w:color w:val="auto"/>
              </w:rPr>
              <w:t xml:space="preserve"> Street</w:t>
            </w:r>
          </w:p>
        </w:tc>
        <w:tc>
          <w:tcPr>
            <w:tcW w:w="2320" w:type="dxa"/>
            <w:vAlign w:val="bottom"/>
            <w:shd w:val="clear" w:color="auto" w:fill="DDE5E2"/>
          </w:tcPr>
          <w:p>
            <w:pPr>
              <w:spacing w:after="0"/>
              <w:rPr>
                <w:sz w:val="14"/>
                <w:szCs w:val="14"/>
                <w:color w:val="auto"/>
              </w:rPr>
            </w:pPr>
          </w:p>
        </w:tc>
        <w:tc>
          <w:tcPr>
            <w:tcW w:w="2060" w:type="dxa"/>
            <w:vAlign w:val="bottom"/>
            <w:shd w:val="clear" w:color="auto" w:fill="DDE5E2"/>
          </w:tcPr>
          <w:p>
            <w:pPr>
              <w:spacing w:after="0"/>
              <w:rPr>
                <w:sz w:val="14"/>
                <w:szCs w:val="14"/>
                <w:color w:val="auto"/>
              </w:rPr>
            </w:pPr>
          </w:p>
        </w:tc>
        <w:tc>
          <w:tcPr>
            <w:tcW w:w="2540" w:type="dxa"/>
            <w:vAlign w:val="bottom"/>
            <w:shd w:val="clear" w:color="auto" w:fill="DDE5E2"/>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100" w:type="dxa"/>
            <w:vAlign w:val="bottom"/>
            <w:tcBorders>
              <w:bottom w:val="single" w:sz="8" w:color="C1CECC"/>
            </w:tcBorders>
            <w:shd w:val="clear" w:color="auto" w:fill="DDE5E2"/>
          </w:tcPr>
          <w:p>
            <w:pPr>
              <w:spacing w:after="0"/>
              <w:rPr>
                <w:sz w:val="20"/>
                <w:szCs w:val="20"/>
                <w:color w:val="auto"/>
              </w:rPr>
            </w:pPr>
            <w:r>
              <w:rPr>
                <w:rFonts w:ascii="Arial" w:cs="Arial" w:eastAsia="Arial" w:hAnsi="Arial"/>
                <w:sz w:val="14"/>
                <w:szCs w:val="14"/>
                <w:color w:val="auto"/>
              </w:rPr>
              <w:t>New York, NY 10055</w:t>
            </w:r>
          </w:p>
        </w:tc>
        <w:tc>
          <w:tcPr>
            <w:tcW w:w="2320" w:type="dxa"/>
            <w:vAlign w:val="bottom"/>
            <w:tcBorders>
              <w:bottom w:val="single" w:sz="8" w:color="C1CECC"/>
            </w:tcBorders>
            <w:shd w:val="clear" w:color="auto" w:fill="DDE5E2"/>
          </w:tcPr>
          <w:p>
            <w:pPr>
              <w:spacing w:after="0"/>
              <w:rPr>
                <w:sz w:val="14"/>
                <w:szCs w:val="14"/>
                <w:color w:val="auto"/>
              </w:rPr>
            </w:pPr>
          </w:p>
        </w:tc>
        <w:tc>
          <w:tcPr>
            <w:tcW w:w="2060" w:type="dxa"/>
            <w:vAlign w:val="bottom"/>
            <w:tcBorders>
              <w:bottom w:val="single" w:sz="8" w:color="C1CECC"/>
            </w:tcBorders>
            <w:shd w:val="clear" w:color="auto" w:fill="DDE5E2"/>
          </w:tcPr>
          <w:p>
            <w:pPr>
              <w:spacing w:after="0"/>
              <w:rPr>
                <w:sz w:val="14"/>
                <w:szCs w:val="14"/>
                <w:color w:val="auto"/>
              </w:rPr>
            </w:pPr>
          </w:p>
        </w:tc>
        <w:tc>
          <w:tcPr>
            <w:tcW w:w="2540" w:type="dxa"/>
            <w:vAlign w:val="bottom"/>
            <w:tcBorders>
              <w:bottom w:val="single" w:sz="8" w:color="C1CECC"/>
            </w:tcBorders>
            <w:shd w:val="clear" w:color="auto" w:fill="DDE5E2"/>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100" w:type="dxa"/>
            <w:vAlign w:val="bottom"/>
            <w:tcBorders>
              <w:bottom w:val="single" w:sz="8" w:color="C1CECC"/>
            </w:tcBorders>
          </w:tcPr>
          <w:p>
            <w:pPr>
              <w:spacing w:after="0"/>
              <w:rPr>
                <w:sz w:val="13"/>
                <w:szCs w:val="13"/>
                <w:color w:val="auto"/>
              </w:rPr>
            </w:pPr>
          </w:p>
        </w:tc>
        <w:tc>
          <w:tcPr>
            <w:tcW w:w="2320" w:type="dxa"/>
            <w:vAlign w:val="bottom"/>
            <w:tcBorders>
              <w:bottom w:val="single" w:sz="8" w:color="C1CECC"/>
            </w:tcBorders>
          </w:tcPr>
          <w:p>
            <w:pPr>
              <w:spacing w:after="0"/>
              <w:rPr>
                <w:sz w:val="13"/>
                <w:szCs w:val="13"/>
                <w:color w:val="auto"/>
              </w:rPr>
            </w:pPr>
          </w:p>
        </w:tc>
        <w:tc>
          <w:tcPr>
            <w:tcW w:w="2060" w:type="dxa"/>
            <w:vAlign w:val="bottom"/>
            <w:tcBorders>
              <w:bottom w:val="single" w:sz="8" w:color="C1CECC"/>
            </w:tcBorders>
          </w:tcPr>
          <w:p>
            <w:pPr>
              <w:spacing w:after="0"/>
              <w:rPr>
                <w:sz w:val="13"/>
                <w:szCs w:val="13"/>
                <w:color w:val="auto"/>
              </w:rPr>
            </w:pPr>
          </w:p>
        </w:tc>
        <w:tc>
          <w:tcPr>
            <w:tcW w:w="2540" w:type="dxa"/>
            <w:vAlign w:val="bottom"/>
            <w:tcBorders>
              <w:bottom w:val="single" w:sz="8" w:color="C1CECC"/>
            </w:tcBorders>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4100" w:type="dxa"/>
            <w:vAlign w:val="bottom"/>
          </w:tcPr>
          <w:p>
            <w:pPr>
              <w:spacing w:after="0" w:line="153" w:lineRule="exact"/>
              <w:rPr>
                <w:sz w:val="20"/>
                <w:szCs w:val="20"/>
                <w:color w:val="auto"/>
              </w:rPr>
            </w:pPr>
            <w:r>
              <w:rPr>
                <w:rFonts w:ascii="Arial" w:cs="Arial" w:eastAsia="Arial" w:hAnsi="Arial"/>
                <w:sz w:val="11"/>
                <w:szCs w:val="11"/>
                <w:color w:val="auto"/>
              </w:rPr>
              <w:t>Glenview Capital Management, LLC</w:t>
            </w:r>
            <w:r>
              <w:rPr>
                <w:rFonts w:ascii="Arial" w:cs="Arial" w:eastAsia="Arial" w:hAnsi="Arial"/>
                <w:sz w:val="17"/>
                <w:szCs w:val="17"/>
                <w:color w:val="auto"/>
                <w:vertAlign w:val="superscript"/>
              </w:rPr>
              <w:t>(7)</w:t>
            </w:r>
          </w:p>
        </w:tc>
        <w:tc>
          <w:tcPr>
            <w:tcW w:w="2320" w:type="dxa"/>
            <w:vAlign w:val="bottom"/>
          </w:tcPr>
          <w:p>
            <w:pPr>
              <w:jc w:val="right"/>
              <w:ind w:right="408"/>
              <w:spacing w:after="0" w:line="153" w:lineRule="exact"/>
              <w:rPr>
                <w:sz w:val="20"/>
                <w:szCs w:val="20"/>
                <w:color w:val="auto"/>
              </w:rPr>
            </w:pPr>
            <w:r>
              <w:rPr>
                <w:rFonts w:ascii="Arial" w:cs="Arial" w:eastAsia="Arial" w:hAnsi="Arial"/>
                <w:sz w:val="14"/>
                <w:szCs w:val="14"/>
                <w:color w:val="auto"/>
              </w:rPr>
              <w:t>7,598,004</w:t>
            </w:r>
          </w:p>
        </w:tc>
        <w:tc>
          <w:tcPr>
            <w:tcW w:w="2060" w:type="dxa"/>
            <w:vAlign w:val="bottom"/>
          </w:tcPr>
          <w:p>
            <w:pPr>
              <w:jc w:val="right"/>
              <w:ind w:right="328"/>
              <w:spacing w:after="0" w:line="153" w:lineRule="exact"/>
              <w:rPr>
                <w:sz w:val="20"/>
                <w:szCs w:val="20"/>
                <w:color w:val="auto"/>
              </w:rPr>
            </w:pPr>
            <w:r>
              <w:rPr>
                <w:rFonts w:ascii="Arial" w:cs="Arial" w:eastAsia="Arial" w:hAnsi="Arial"/>
                <w:sz w:val="14"/>
                <w:szCs w:val="14"/>
                <w:color w:val="auto"/>
              </w:rPr>
              <w:t>9.4%</w:t>
            </w:r>
          </w:p>
        </w:tc>
        <w:tc>
          <w:tcPr>
            <w:tcW w:w="254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r>
      <w:tr>
        <w:trPr>
          <w:trHeight w:val="170"/>
        </w:trPr>
        <w:tc>
          <w:tcPr>
            <w:tcW w:w="4120" w:type="dxa"/>
            <w:vAlign w:val="bottom"/>
            <w:gridSpan w:val="2"/>
          </w:tcPr>
          <w:p>
            <w:pPr>
              <w:spacing w:after="0" w:line="170" w:lineRule="exact"/>
              <w:rPr>
                <w:sz w:val="20"/>
                <w:szCs w:val="20"/>
                <w:color w:val="auto"/>
              </w:rPr>
            </w:pPr>
            <w:r>
              <w:rPr>
                <w:rFonts w:ascii="Arial" w:cs="Arial" w:eastAsia="Arial" w:hAnsi="Arial"/>
                <w:sz w:val="12"/>
                <w:szCs w:val="12"/>
                <w:color w:val="auto"/>
              </w:rPr>
              <w:t>767 Fifth Avenue, 44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2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71"/>
        </w:trPr>
        <w:tc>
          <w:tcPr>
            <w:tcW w:w="4120" w:type="dxa"/>
            <w:vAlign w:val="bottom"/>
            <w:gridSpan w:val="2"/>
          </w:tcPr>
          <w:p>
            <w:pPr>
              <w:spacing w:after="0"/>
              <w:rPr>
                <w:sz w:val="20"/>
                <w:szCs w:val="20"/>
                <w:color w:val="auto"/>
              </w:rPr>
            </w:pPr>
            <w:r>
              <w:rPr>
                <w:rFonts w:ascii="Arial" w:cs="Arial" w:eastAsia="Arial" w:hAnsi="Arial"/>
                <w:sz w:val="14"/>
                <w:szCs w:val="14"/>
                <w:color w:val="auto"/>
              </w:rPr>
              <w:t>New York, NY 10153</w:t>
            </w:r>
          </w:p>
        </w:tc>
        <w:tc>
          <w:tcPr>
            <w:tcW w:w="2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100" w:type="dxa"/>
            <w:vAlign w:val="bottom"/>
            <w:tcBorders>
              <w:top w:val="single" w:sz="8" w:color="C1CECC"/>
              <w:bottom w:val="single" w:sz="8" w:color="C1CECC"/>
            </w:tcBorders>
          </w:tcPr>
          <w:p>
            <w:pPr>
              <w:spacing w:after="0"/>
              <w:rPr>
                <w:sz w:val="13"/>
                <w:szCs w:val="13"/>
                <w:color w:val="auto"/>
              </w:rPr>
            </w:pPr>
          </w:p>
        </w:tc>
        <w:tc>
          <w:tcPr>
            <w:tcW w:w="2320" w:type="dxa"/>
            <w:vAlign w:val="bottom"/>
            <w:tcBorders>
              <w:top w:val="single" w:sz="8" w:color="C1CECC"/>
              <w:bottom w:val="single" w:sz="8" w:color="C1CECC"/>
            </w:tcBorders>
          </w:tcPr>
          <w:p>
            <w:pPr>
              <w:spacing w:after="0"/>
              <w:rPr>
                <w:sz w:val="13"/>
                <w:szCs w:val="13"/>
                <w:color w:val="auto"/>
              </w:rPr>
            </w:pPr>
          </w:p>
        </w:tc>
        <w:tc>
          <w:tcPr>
            <w:tcW w:w="2060" w:type="dxa"/>
            <w:vAlign w:val="bottom"/>
            <w:tcBorders>
              <w:top w:val="single" w:sz="8" w:color="C1CECC"/>
              <w:bottom w:val="single" w:sz="8" w:color="C1CECC"/>
            </w:tcBorders>
          </w:tcPr>
          <w:p>
            <w:pPr>
              <w:spacing w:after="0"/>
              <w:rPr>
                <w:sz w:val="13"/>
                <w:szCs w:val="13"/>
                <w:color w:val="auto"/>
              </w:rPr>
            </w:pPr>
          </w:p>
        </w:tc>
        <w:tc>
          <w:tcPr>
            <w:tcW w:w="2540" w:type="dxa"/>
            <w:vAlign w:val="bottom"/>
            <w:tcBorders>
              <w:top w:val="single" w:sz="8" w:color="C1CECC"/>
              <w:bottom w:val="single" w:sz="8" w:color="C1CECC"/>
            </w:tcBorders>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4100" w:type="dxa"/>
            <w:vAlign w:val="bottom"/>
            <w:shd w:val="clear" w:color="auto" w:fill="DDE5E2"/>
          </w:tcPr>
          <w:p>
            <w:pPr>
              <w:spacing w:after="0" w:line="160" w:lineRule="exact"/>
              <w:rPr>
                <w:sz w:val="20"/>
                <w:szCs w:val="20"/>
                <w:color w:val="auto"/>
              </w:rPr>
            </w:pPr>
            <w:r>
              <w:rPr>
                <w:rFonts w:ascii="Arial" w:cs="Arial" w:eastAsia="Arial" w:hAnsi="Arial"/>
                <w:sz w:val="11"/>
                <w:szCs w:val="11"/>
                <w:color w:val="auto"/>
              </w:rPr>
              <w:t>Jefferies Financial Products, LLC</w:t>
            </w:r>
            <w:r>
              <w:rPr>
                <w:rFonts w:ascii="Arial" w:cs="Arial" w:eastAsia="Arial" w:hAnsi="Arial"/>
                <w:sz w:val="18"/>
                <w:szCs w:val="18"/>
                <w:color w:val="auto"/>
                <w:vertAlign w:val="superscript"/>
              </w:rPr>
              <w:t>(8)</w:t>
            </w:r>
          </w:p>
        </w:tc>
        <w:tc>
          <w:tcPr>
            <w:tcW w:w="2320" w:type="dxa"/>
            <w:vAlign w:val="bottom"/>
            <w:shd w:val="clear" w:color="auto" w:fill="DDE5E2"/>
          </w:tcPr>
          <w:p>
            <w:pPr>
              <w:jc w:val="right"/>
              <w:ind w:right="408"/>
              <w:spacing w:after="0"/>
              <w:rPr>
                <w:sz w:val="20"/>
                <w:szCs w:val="20"/>
                <w:color w:val="auto"/>
              </w:rPr>
            </w:pPr>
            <w:r>
              <w:rPr>
                <w:rFonts w:ascii="Arial" w:cs="Arial" w:eastAsia="Arial" w:hAnsi="Arial"/>
                <w:sz w:val="14"/>
                <w:szCs w:val="14"/>
                <w:color w:val="auto"/>
              </w:rPr>
              <w:t>7,155,783</w:t>
            </w:r>
          </w:p>
        </w:tc>
        <w:tc>
          <w:tcPr>
            <w:tcW w:w="2060" w:type="dxa"/>
            <w:vAlign w:val="bottom"/>
            <w:shd w:val="clear" w:color="auto" w:fill="DDE5E2"/>
          </w:tcPr>
          <w:p>
            <w:pPr>
              <w:jc w:val="right"/>
              <w:ind w:right="328"/>
              <w:spacing w:after="0"/>
              <w:rPr>
                <w:sz w:val="20"/>
                <w:szCs w:val="20"/>
                <w:color w:val="auto"/>
              </w:rPr>
            </w:pPr>
            <w:r>
              <w:rPr>
                <w:rFonts w:ascii="Arial" w:cs="Arial" w:eastAsia="Arial" w:hAnsi="Arial"/>
                <w:sz w:val="14"/>
                <w:szCs w:val="14"/>
                <w:color w:val="auto"/>
              </w:rPr>
              <w:t>8.8%</w:t>
            </w:r>
          </w:p>
        </w:tc>
        <w:tc>
          <w:tcPr>
            <w:tcW w:w="2540" w:type="dxa"/>
            <w:vAlign w:val="bottom"/>
            <w:shd w:val="clear" w:color="auto" w:fill="DDE5E2"/>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100" w:type="dxa"/>
            <w:vAlign w:val="bottom"/>
            <w:shd w:val="clear" w:color="auto" w:fill="DDE5E2"/>
          </w:tcPr>
          <w:p>
            <w:pPr>
              <w:spacing w:after="0"/>
              <w:rPr>
                <w:sz w:val="20"/>
                <w:szCs w:val="20"/>
                <w:color w:val="auto"/>
              </w:rPr>
            </w:pPr>
            <w:r>
              <w:rPr>
                <w:rFonts w:ascii="Arial" w:cs="Arial" w:eastAsia="Arial" w:hAnsi="Arial"/>
                <w:sz w:val="14"/>
                <w:szCs w:val="14"/>
                <w:color w:val="auto"/>
              </w:rPr>
              <w:t>520 Madison Avenue</w:t>
            </w:r>
          </w:p>
        </w:tc>
        <w:tc>
          <w:tcPr>
            <w:tcW w:w="2320" w:type="dxa"/>
            <w:vAlign w:val="bottom"/>
            <w:shd w:val="clear" w:color="auto" w:fill="DDE5E2"/>
          </w:tcPr>
          <w:p>
            <w:pPr>
              <w:spacing w:after="0"/>
              <w:rPr>
                <w:sz w:val="14"/>
                <w:szCs w:val="14"/>
                <w:color w:val="auto"/>
              </w:rPr>
            </w:pPr>
          </w:p>
        </w:tc>
        <w:tc>
          <w:tcPr>
            <w:tcW w:w="2060" w:type="dxa"/>
            <w:vAlign w:val="bottom"/>
            <w:shd w:val="clear" w:color="auto" w:fill="DDE5E2"/>
          </w:tcPr>
          <w:p>
            <w:pPr>
              <w:spacing w:after="0"/>
              <w:rPr>
                <w:sz w:val="14"/>
                <w:szCs w:val="14"/>
                <w:color w:val="auto"/>
              </w:rPr>
            </w:pPr>
          </w:p>
        </w:tc>
        <w:tc>
          <w:tcPr>
            <w:tcW w:w="2540" w:type="dxa"/>
            <w:vAlign w:val="bottom"/>
            <w:shd w:val="clear" w:color="auto" w:fill="DDE5E2"/>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100" w:type="dxa"/>
            <w:vAlign w:val="bottom"/>
            <w:tcBorders>
              <w:bottom w:val="single" w:sz="8" w:color="C1CECC"/>
            </w:tcBorders>
            <w:shd w:val="clear" w:color="auto" w:fill="DDE5E2"/>
          </w:tcPr>
          <w:p>
            <w:pPr>
              <w:spacing w:after="0"/>
              <w:rPr>
                <w:sz w:val="20"/>
                <w:szCs w:val="20"/>
                <w:color w:val="auto"/>
              </w:rPr>
            </w:pPr>
            <w:r>
              <w:rPr>
                <w:rFonts w:ascii="Arial" w:cs="Arial" w:eastAsia="Arial" w:hAnsi="Arial"/>
                <w:sz w:val="14"/>
                <w:szCs w:val="14"/>
                <w:color w:val="auto"/>
              </w:rPr>
              <w:t>New York, NY 10022</w:t>
            </w:r>
          </w:p>
        </w:tc>
        <w:tc>
          <w:tcPr>
            <w:tcW w:w="2320" w:type="dxa"/>
            <w:vAlign w:val="bottom"/>
            <w:tcBorders>
              <w:bottom w:val="single" w:sz="8" w:color="C1CECC"/>
            </w:tcBorders>
            <w:shd w:val="clear" w:color="auto" w:fill="DDE5E2"/>
          </w:tcPr>
          <w:p>
            <w:pPr>
              <w:spacing w:after="0"/>
              <w:rPr>
                <w:sz w:val="14"/>
                <w:szCs w:val="14"/>
                <w:color w:val="auto"/>
              </w:rPr>
            </w:pPr>
          </w:p>
        </w:tc>
        <w:tc>
          <w:tcPr>
            <w:tcW w:w="2060" w:type="dxa"/>
            <w:vAlign w:val="bottom"/>
            <w:tcBorders>
              <w:bottom w:val="single" w:sz="8" w:color="C1CECC"/>
            </w:tcBorders>
            <w:shd w:val="clear" w:color="auto" w:fill="DDE5E2"/>
          </w:tcPr>
          <w:p>
            <w:pPr>
              <w:spacing w:after="0"/>
              <w:rPr>
                <w:sz w:val="14"/>
                <w:szCs w:val="14"/>
                <w:color w:val="auto"/>
              </w:rPr>
            </w:pPr>
          </w:p>
        </w:tc>
        <w:tc>
          <w:tcPr>
            <w:tcW w:w="2540" w:type="dxa"/>
            <w:vAlign w:val="bottom"/>
            <w:tcBorders>
              <w:bottom w:val="single" w:sz="8" w:color="C1CECC"/>
            </w:tcBorders>
            <w:shd w:val="clear" w:color="auto" w:fill="DDE5E2"/>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100" w:type="dxa"/>
            <w:vAlign w:val="bottom"/>
            <w:tcBorders>
              <w:bottom w:val="single" w:sz="8" w:color="C1CECC"/>
            </w:tcBorders>
          </w:tcPr>
          <w:p>
            <w:pPr>
              <w:spacing w:after="0"/>
              <w:rPr>
                <w:sz w:val="13"/>
                <w:szCs w:val="13"/>
                <w:color w:val="auto"/>
              </w:rPr>
            </w:pPr>
          </w:p>
        </w:tc>
        <w:tc>
          <w:tcPr>
            <w:tcW w:w="2320" w:type="dxa"/>
            <w:vAlign w:val="bottom"/>
            <w:tcBorders>
              <w:bottom w:val="single" w:sz="8" w:color="C1CECC"/>
            </w:tcBorders>
          </w:tcPr>
          <w:p>
            <w:pPr>
              <w:spacing w:after="0"/>
              <w:rPr>
                <w:sz w:val="13"/>
                <w:szCs w:val="13"/>
                <w:color w:val="auto"/>
              </w:rPr>
            </w:pPr>
          </w:p>
        </w:tc>
        <w:tc>
          <w:tcPr>
            <w:tcW w:w="2060" w:type="dxa"/>
            <w:vAlign w:val="bottom"/>
            <w:tcBorders>
              <w:bottom w:val="single" w:sz="8" w:color="C1CECC"/>
            </w:tcBorders>
          </w:tcPr>
          <w:p>
            <w:pPr>
              <w:spacing w:after="0"/>
              <w:rPr>
                <w:sz w:val="13"/>
                <w:szCs w:val="13"/>
                <w:color w:val="auto"/>
              </w:rPr>
            </w:pPr>
          </w:p>
        </w:tc>
        <w:tc>
          <w:tcPr>
            <w:tcW w:w="2540" w:type="dxa"/>
            <w:vAlign w:val="bottom"/>
            <w:tcBorders>
              <w:bottom w:val="single" w:sz="8" w:color="C1CECC"/>
            </w:tcBorders>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4100" w:type="dxa"/>
            <w:vAlign w:val="bottom"/>
          </w:tcPr>
          <w:p>
            <w:pPr>
              <w:spacing w:after="0" w:line="160" w:lineRule="exact"/>
              <w:rPr>
                <w:sz w:val="20"/>
                <w:szCs w:val="20"/>
                <w:color w:val="auto"/>
              </w:rPr>
            </w:pPr>
            <w:r>
              <w:rPr>
                <w:rFonts w:ascii="Arial" w:cs="Arial" w:eastAsia="Arial" w:hAnsi="Arial"/>
                <w:sz w:val="11"/>
                <w:szCs w:val="11"/>
                <w:color w:val="auto"/>
              </w:rPr>
              <w:t>Vanguard Group, Inc</w:t>
            </w:r>
            <w:r>
              <w:rPr>
                <w:rFonts w:ascii="Arial" w:cs="Arial" w:eastAsia="Arial" w:hAnsi="Arial"/>
                <w:sz w:val="18"/>
                <w:szCs w:val="18"/>
                <w:color w:val="auto"/>
                <w:vertAlign w:val="superscript"/>
              </w:rPr>
              <w:t>.(9)</w:t>
            </w:r>
          </w:p>
        </w:tc>
        <w:tc>
          <w:tcPr>
            <w:tcW w:w="2320" w:type="dxa"/>
            <w:vAlign w:val="bottom"/>
          </w:tcPr>
          <w:p>
            <w:pPr>
              <w:jc w:val="right"/>
              <w:ind w:right="408"/>
              <w:spacing w:after="0"/>
              <w:rPr>
                <w:sz w:val="20"/>
                <w:szCs w:val="20"/>
                <w:color w:val="auto"/>
              </w:rPr>
            </w:pPr>
            <w:r>
              <w:rPr>
                <w:rFonts w:ascii="Arial" w:cs="Arial" w:eastAsia="Arial" w:hAnsi="Arial"/>
                <w:sz w:val="14"/>
                <w:szCs w:val="14"/>
                <w:color w:val="auto"/>
              </w:rPr>
              <w:t>6,280,266</w:t>
            </w:r>
          </w:p>
        </w:tc>
        <w:tc>
          <w:tcPr>
            <w:tcW w:w="2060" w:type="dxa"/>
            <w:vAlign w:val="bottom"/>
          </w:tcPr>
          <w:p>
            <w:pPr>
              <w:jc w:val="right"/>
              <w:ind w:right="328"/>
              <w:spacing w:after="0"/>
              <w:rPr>
                <w:sz w:val="20"/>
                <w:szCs w:val="20"/>
                <w:color w:val="auto"/>
              </w:rPr>
            </w:pPr>
            <w:r>
              <w:rPr>
                <w:rFonts w:ascii="Arial" w:cs="Arial" w:eastAsia="Arial" w:hAnsi="Arial"/>
                <w:sz w:val="14"/>
                <w:szCs w:val="14"/>
                <w:color w:val="auto"/>
              </w:rPr>
              <w:t>7.7%</w:t>
            </w:r>
          </w:p>
        </w:tc>
        <w:tc>
          <w:tcPr>
            <w:tcW w:w="2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120" w:type="dxa"/>
            <w:vAlign w:val="bottom"/>
            <w:gridSpan w:val="2"/>
          </w:tcPr>
          <w:p>
            <w:pPr>
              <w:spacing w:after="0"/>
              <w:rPr>
                <w:sz w:val="20"/>
                <w:szCs w:val="20"/>
                <w:color w:val="auto"/>
              </w:rPr>
            </w:pPr>
            <w:r>
              <w:rPr>
                <w:rFonts w:ascii="Arial" w:cs="Arial" w:eastAsia="Arial" w:hAnsi="Arial"/>
                <w:sz w:val="14"/>
                <w:szCs w:val="14"/>
                <w:color w:val="auto"/>
              </w:rPr>
              <w:t>100 Vanguard Blvd.</w:t>
            </w:r>
          </w:p>
        </w:tc>
        <w:tc>
          <w:tcPr>
            <w:tcW w:w="2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71"/>
        </w:trPr>
        <w:tc>
          <w:tcPr>
            <w:tcW w:w="4120" w:type="dxa"/>
            <w:vAlign w:val="bottom"/>
            <w:gridSpan w:val="2"/>
          </w:tcPr>
          <w:p>
            <w:pPr>
              <w:spacing w:after="0"/>
              <w:rPr>
                <w:sz w:val="20"/>
                <w:szCs w:val="20"/>
                <w:color w:val="auto"/>
              </w:rPr>
            </w:pPr>
            <w:r>
              <w:rPr>
                <w:rFonts w:ascii="Arial" w:cs="Arial" w:eastAsia="Arial" w:hAnsi="Arial"/>
                <w:sz w:val="14"/>
                <w:szCs w:val="14"/>
                <w:color w:val="auto"/>
              </w:rPr>
              <w:t>Malvern, PA 19355</w:t>
            </w:r>
          </w:p>
        </w:tc>
        <w:tc>
          <w:tcPr>
            <w:tcW w:w="2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100" w:type="dxa"/>
            <w:vAlign w:val="bottom"/>
            <w:tcBorders>
              <w:top w:val="single" w:sz="8" w:color="C1CECC"/>
              <w:bottom w:val="single" w:sz="8" w:color="C1CECC"/>
            </w:tcBorders>
          </w:tcPr>
          <w:p>
            <w:pPr>
              <w:spacing w:after="0"/>
              <w:rPr>
                <w:sz w:val="13"/>
                <w:szCs w:val="13"/>
                <w:color w:val="auto"/>
              </w:rPr>
            </w:pPr>
          </w:p>
        </w:tc>
        <w:tc>
          <w:tcPr>
            <w:tcW w:w="2320" w:type="dxa"/>
            <w:vAlign w:val="bottom"/>
            <w:tcBorders>
              <w:top w:val="single" w:sz="8" w:color="C1CECC"/>
              <w:bottom w:val="single" w:sz="8" w:color="C1CECC"/>
            </w:tcBorders>
          </w:tcPr>
          <w:p>
            <w:pPr>
              <w:spacing w:after="0"/>
              <w:rPr>
                <w:sz w:val="13"/>
                <w:szCs w:val="13"/>
                <w:color w:val="auto"/>
              </w:rPr>
            </w:pPr>
          </w:p>
        </w:tc>
        <w:tc>
          <w:tcPr>
            <w:tcW w:w="2060" w:type="dxa"/>
            <w:vAlign w:val="bottom"/>
            <w:tcBorders>
              <w:top w:val="single" w:sz="8" w:color="C1CECC"/>
              <w:bottom w:val="single" w:sz="8" w:color="C1CECC"/>
            </w:tcBorders>
          </w:tcPr>
          <w:p>
            <w:pPr>
              <w:spacing w:after="0"/>
              <w:rPr>
                <w:sz w:val="13"/>
                <w:szCs w:val="13"/>
                <w:color w:val="auto"/>
              </w:rPr>
            </w:pPr>
          </w:p>
        </w:tc>
        <w:tc>
          <w:tcPr>
            <w:tcW w:w="2540" w:type="dxa"/>
            <w:vAlign w:val="bottom"/>
            <w:tcBorders>
              <w:top w:val="single" w:sz="8" w:color="C1CECC"/>
              <w:bottom w:val="single" w:sz="8" w:color="C1CECC"/>
            </w:tcBorders>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4100" w:type="dxa"/>
            <w:vAlign w:val="bottom"/>
            <w:shd w:val="clear" w:color="auto" w:fill="DDE5E2"/>
          </w:tcPr>
          <w:p>
            <w:pPr>
              <w:spacing w:after="0" w:line="160" w:lineRule="exact"/>
              <w:rPr>
                <w:sz w:val="20"/>
                <w:szCs w:val="20"/>
                <w:color w:val="auto"/>
              </w:rPr>
            </w:pPr>
            <w:r>
              <w:rPr>
                <w:rFonts w:ascii="Arial" w:cs="Arial" w:eastAsia="Arial" w:hAnsi="Arial"/>
                <w:sz w:val="11"/>
                <w:szCs w:val="11"/>
                <w:color w:val="auto"/>
              </w:rPr>
              <w:t>PAR Investment Partners, L.P.</w:t>
            </w:r>
            <w:r>
              <w:rPr>
                <w:rFonts w:ascii="Arial" w:cs="Arial" w:eastAsia="Arial" w:hAnsi="Arial"/>
                <w:sz w:val="18"/>
                <w:szCs w:val="18"/>
                <w:color w:val="auto"/>
                <w:vertAlign w:val="superscript"/>
              </w:rPr>
              <w:t>(10)</w:t>
            </w:r>
          </w:p>
        </w:tc>
        <w:tc>
          <w:tcPr>
            <w:tcW w:w="2320" w:type="dxa"/>
            <w:vAlign w:val="bottom"/>
            <w:shd w:val="clear" w:color="auto" w:fill="DDE5E2"/>
          </w:tcPr>
          <w:p>
            <w:pPr>
              <w:jc w:val="right"/>
              <w:ind w:right="408"/>
              <w:spacing w:after="0"/>
              <w:rPr>
                <w:sz w:val="20"/>
                <w:szCs w:val="20"/>
                <w:color w:val="auto"/>
              </w:rPr>
            </w:pPr>
            <w:r>
              <w:rPr>
                <w:rFonts w:ascii="Arial" w:cs="Arial" w:eastAsia="Arial" w:hAnsi="Arial"/>
                <w:sz w:val="14"/>
                <w:szCs w:val="14"/>
                <w:color w:val="auto"/>
              </w:rPr>
              <w:t>6,181,608</w:t>
            </w:r>
          </w:p>
        </w:tc>
        <w:tc>
          <w:tcPr>
            <w:tcW w:w="2060" w:type="dxa"/>
            <w:vAlign w:val="bottom"/>
            <w:shd w:val="clear" w:color="auto" w:fill="DDE5E2"/>
          </w:tcPr>
          <w:p>
            <w:pPr>
              <w:jc w:val="right"/>
              <w:ind w:right="328"/>
              <w:spacing w:after="0"/>
              <w:rPr>
                <w:sz w:val="20"/>
                <w:szCs w:val="20"/>
                <w:color w:val="auto"/>
              </w:rPr>
            </w:pPr>
            <w:r>
              <w:rPr>
                <w:rFonts w:ascii="Arial" w:cs="Arial" w:eastAsia="Arial" w:hAnsi="Arial"/>
                <w:sz w:val="14"/>
                <w:szCs w:val="14"/>
                <w:color w:val="auto"/>
              </w:rPr>
              <w:t>7.6%</w:t>
            </w:r>
          </w:p>
        </w:tc>
        <w:tc>
          <w:tcPr>
            <w:tcW w:w="2540" w:type="dxa"/>
            <w:vAlign w:val="bottom"/>
            <w:shd w:val="clear" w:color="auto" w:fill="DDE5E2"/>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100" w:type="dxa"/>
            <w:vAlign w:val="bottom"/>
            <w:shd w:val="clear" w:color="auto" w:fill="DDE5E2"/>
          </w:tcPr>
          <w:p>
            <w:pPr>
              <w:spacing w:after="0"/>
              <w:rPr>
                <w:sz w:val="20"/>
                <w:szCs w:val="20"/>
                <w:color w:val="auto"/>
              </w:rPr>
            </w:pPr>
            <w:r>
              <w:rPr>
                <w:rFonts w:ascii="Arial" w:cs="Arial" w:eastAsia="Arial" w:hAnsi="Arial"/>
                <w:sz w:val="14"/>
                <w:szCs w:val="14"/>
                <w:color w:val="auto"/>
              </w:rPr>
              <w:t>200 Clarendon Street, Fl 48</w:t>
            </w:r>
          </w:p>
        </w:tc>
        <w:tc>
          <w:tcPr>
            <w:tcW w:w="2320" w:type="dxa"/>
            <w:vAlign w:val="bottom"/>
            <w:shd w:val="clear" w:color="auto" w:fill="DDE5E2"/>
          </w:tcPr>
          <w:p>
            <w:pPr>
              <w:spacing w:after="0"/>
              <w:rPr>
                <w:sz w:val="14"/>
                <w:szCs w:val="14"/>
                <w:color w:val="auto"/>
              </w:rPr>
            </w:pPr>
          </w:p>
        </w:tc>
        <w:tc>
          <w:tcPr>
            <w:tcW w:w="2060" w:type="dxa"/>
            <w:vAlign w:val="bottom"/>
            <w:shd w:val="clear" w:color="auto" w:fill="DDE5E2"/>
          </w:tcPr>
          <w:p>
            <w:pPr>
              <w:spacing w:after="0"/>
              <w:rPr>
                <w:sz w:val="14"/>
                <w:szCs w:val="14"/>
                <w:color w:val="auto"/>
              </w:rPr>
            </w:pPr>
          </w:p>
        </w:tc>
        <w:tc>
          <w:tcPr>
            <w:tcW w:w="2540" w:type="dxa"/>
            <w:vAlign w:val="bottom"/>
            <w:shd w:val="clear" w:color="auto" w:fill="DDE5E2"/>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100" w:type="dxa"/>
            <w:vAlign w:val="bottom"/>
            <w:tcBorders>
              <w:bottom w:val="single" w:sz="8" w:color="C1CECC"/>
            </w:tcBorders>
            <w:shd w:val="clear" w:color="auto" w:fill="DDE5E2"/>
          </w:tcPr>
          <w:p>
            <w:pPr>
              <w:spacing w:after="0"/>
              <w:rPr>
                <w:sz w:val="20"/>
                <w:szCs w:val="20"/>
                <w:color w:val="auto"/>
              </w:rPr>
            </w:pPr>
            <w:r>
              <w:rPr>
                <w:rFonts w:ascii="Arial" w:cs="Arial" w:eastAsia="Arial" w:hAnsi="Arial"/>
                <w:sz w:val="14"/>
                <w:szCs w:val="14"/>
                <w:color w:val="auto"/>
              </w:rPr>
              <w:t>Boston, MA 02116</w:t>
            </w:r>
          </w:p>
        </w:tc>
        <w:tc>
          <w:tcPr>
            <w:tcW w:w="2320" w:type="dxa"/>
            <w:vAlign w:val="bottom"/>
            <w:tcBorders>
              <w:bottom w:val="single" w:sz="8" w:color="C1CECC"/>
            </w:tcBorders>
            <w:shd w:val="clear" w:color="auto" w:fill="DDE5E2"/>
          </w:tcPr>
          <w:p>
            <w:pPr>
              <w:spacing w:after="0"/>
              <w:rPr>
                <w:sz w:val="14"/>
                <w:szCs w:val="14"/>
                <w:color w:val="auto"/>
              </w:rPr>
            </w:pPr>
          </w:p>
        </w:tc>
        <w:tc>
          <w:tcPr>
            <w:tcW w:w="2060" w:type="dxa"/>
            <w:vAlign w:val="bottom"/>
            <w:tcBorders>
              <w:bottom w:val="single" w:sz="8" w:color="C1CECC"/>
            </w:tcBorders>
            <w:shd w:val="clear" w:color="auto" w:fill="DDE5E2"/>
          </w:tcPr>
          <w:p>
            <w:pPr>
              <w:spacing w:after="0"/>
              <w:rPr>
                <w:sz w:val="14"/>
                <w:szCs w:val="14"/>
                <w:color w:val="auto"/>
              </w:rPr>
            </w:pPr>
          </w:p>
        </w:tc>
        <w:tc>
          <w:tcPr>
            <w:tcW w:w="2540" w:type="dxa"/>
            <w:vAlign w:val="bottom"/>
            <w:tcBorders>
              <w:bottom w:val="single" w:sz="8" w:color="C1CECC"/>
            </w:tcBorders>
            <w:shd w:val="clear" w:color="auto" w:fill="DDE5E2"/>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100" w:type="dxa"/>
            <w:vAlign w:val="bottom"/>
            <w:tcBorders>
              <w:bottom w:val="single" w:sz="8" w:color="C1CECC"/>
            </w:tcBorders>
          </w:tcPr>
          <w:p>
            <w:pPr>
              <w:spacing w:after="0"/>
              <w:rPr>
                <w:sz w:val="13"/>
                <w:szCs w:val="13"/>
                <w:color w:val="auto"/>
              </w:rPr>
            </w:pPr>
          </w:p>
        </w:tc>
        <w:tc>
          <w:tcPr>
            <w:tcW w:w="2320" w:type="dxa"/>
            <w:vAlign w:val="bottom"/>
            <w:tcBorders>
              <w:bottom w:val="single" w:sz="8" w:color="C1CECC"/>
            </w:tcBorders>
          </w:tcPr>
          <w:p>
            <w:pPr>
              <w:spacing w:after="0"/>
              <w:rPr>
                <w:sz w:val="13"/>
                <w:szCs w:val="13"/>
                <w:color w:val="auto"/>
              </w:rPr>
            </w:pPr>
          </w:p>
        </w:tc>
        <w:tc>
          <w:tcPr>
            <w:tcW w:w="2060" w:type="dxa"/>
            <w:vAlign w:val="bottom"/>
            <w:tcBorders>
              <w:bottom w:val="single" w:sz="8" w:color="C1CECC"/>
            </w:tcBorders>
          </w:tcPr>
          <w:p>
            <w:pPr>
              <w:spacing w:after="0"/>
              <w:rPr>
                <w:sz w:val="13"/>
                <w:szCs w:val="13"/>
                <w:color w:val="auto"/>
              </w:rPr>
            </w:pPr>
          </w:p>
        </w:tc>
        <w:tc>
          <w:tcPr>
            <w:tcW w:w="2540" w:type="dxa"/>
            <w:vAlign w:val="bottom"/>
            <w:tcBorders>
              <w:bottom w:val="single" w:sz="8" w:color="C1CECC"/>
            </w:tcBorders>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4100" w:type="dxa"/>
            <w:vAlign w:val="bottom"/>
          </w:tcPr>
          <w:p>
            <w:pPr>
              <w:spacing w:after="0" w:line="160" w:lineRule="exact"/>
              <w:rPr>
                <w:sz w:val="20"/>
                <w:szCs w:val="20"/>
                <w:color w:val="auto"/>
              </w:rPr>
            </w:pPr>
            <w:r>
              <w:rPr>
                <w:rFonts w:ascii="Arial" w:cs="Arial" w:eastAsia="Arial" w:hAnsi="Arial"/>
                <w:sz w:val="11"/>
                <w:szCs w:val="11"/>
                <w:color w:val="auto"/>
              </w:rPr>
              <w:t>The Bank of New York Mellon Corporation</w:t>
            </w:r>
            <w:r>
              <w:rPr>
                <w:rFonts w:ascii="Arial" w:cs="Arial" w:eastAsia="Arial" w:hAnsi="Arial"/>
                <w:sz w:val="18"/>
                <w:szCs w:val="18"/>
                <w:color w:val="auto"/>
                <w:vertAlign w:val="superscript"/>
              </w:rPr>
              <w:t>(11)</w:t>
            </w:r>
          </w:p>
        </w:tc>
        <w:tc>
          <w:tcPr>
            <w:tcW w:w="2320" w:type="dxa"/>
            <w:vAlign w:val="bottom"/>
          </w:tcPr>
          <w:p>
            <w:pPr>
              <w:jc w:val="right"/>
              <w:ind w:right="408"/>
              <w:spacing w:after="0"/>
              <w:rPr>
                <w:sz w:val="20"/>
                <w:szCs w:val="20"/>
                <w:color w:val="auto"/>
              </w:rPr>
            </w:pPr>
            <w:r>
              <w:rPr>
                <w:rFonts w:ascii="Arial" w:cs="Arial" w:eastAsia="Arial" w:hAnsi="Arial"/>
                <w:sz w:val="14"/>
                <w:szCs w:val="14"/>
                <w:color w:val="auto"/>
              </w:rPr>
              <w:t>4,384,829</w:t>
            </w:r>
          </w:p>
        </w:tc>
        <w:tc>
          <w:tcPr>
            <w:tcW w:w="2060" w:type="dxa"/>
            <w:vAlign w:val="bottom"/>
          </w:tcPr>
          <w:p>
            <w:pPr>
              <w:jc w:val="right"/>
              <w:ind w:right="328"/>
              <w:spacing w:after="0"/>
              <w:rPr>
                <w:sz w:val="20"/>
                <w:szCs w:val="20"/>
                <w:color w:val="auto"/>
              </w:rPr>
            </w:pPr>
            <w:r>
              <w:rPr>
                <w:rFonts w:ascii="Arial" w:cs="Arial" w:eastAsia="Arial" w:hAnsi="Arial"/>
                <w:sz w:val="14"/>
                <w:szCs w:val="14"/>
                <w:color w:val="auto"/>
              </w:rPr>
              <w:t>5.4%</w:t>
            </w:r>
          </w:p>
        </w:tc>
        <w:tc>
          <w:tcPr>
            <w:tcW w:w="2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120" w:type="dxa"/>
            <w:vAlign w:val="bottom"/>
            <w:gridSpan w:val="2"/>
          </w:tcPr>
          <w:p>
            <w:pPr>
              <w:spacing w:after="0"/>
              <w:rPr>
                <w:sz w:val="20"/>
                <w:szCs w:val="20"/>
                <w:color w:val="auto"/>
              </w:rPr>
            </w:pPr>
            <w:r>
              <w:rPr>
                <w:rFonts w:ascii="Arial" w:cs="Arial" w:eastAsia="Arial" w:hAnsi="Arial"/>
                <w:sz w:val="14"/>
                <w:szCs w:val="14"/>
                <w:color w:val="auto"/>
              </w:rPr>
              <w:t>225 Liberty Street</w:t>
            </w:r>
          </w:p>
        </w:tc>
        <w:tc>
          <w:tcPr>
            <w:tcW w:w="2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71"/>
        </w:trPr>
        <w:tc>
          <w:tcPr>
            <w:tcW w:w="4120" w:type="dxa"/>
            <w:vAlign w:val="bottom"/>
            <w:gridSpan w:val="2"/>
          </w:tcPr>
          <w:p>
            <w:pPr>
              <w:spacing w:after="0"/>
              <w:rPr>
                <w:sz w:val="20"/>
                <w:szCs w:val="20"/>
                <w:color w:val="auto"/>
              </w:rPr>
            </w:pPr>
            <w:r>
              <w:rPr>
                <w:rFonts w:ascii="Arial" w:cs="Arial" w:eastAsia="Arial" w:hAnsi="Arial"/>
                <w:sz w:val="14"/>
                <w:szCs w:val="14"/>
                <w:color w:val="auto"/>
              </w:rPr>
              <w:t>New York, New York 10286</w:t>
            </w:r>
          </w:p>
        </w:tc>
        <w:tc>
          <w:tcPr>
            <w:tcW w:w="2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100" w:type="dxa"/>
            <w:vAlign w:val="bottom"/>
            <w:tcBorders>
              <w:top w:val="single" w:sz="8" w:color="C1CECC"/>
              <w:bottom w:val="single" w:sz="8" w:color="C1CECC"/>
            </w:tcBorders>
          </w:tcPr>
          <w:p>
            <w:pPr>
              <w:spacing w:after="0"/>
              <w:rPr>
                <w:sz w:val="13"/>
                <w:szCs w:val="13"/>
                <w:color w:val="auto"/>
              </w:rPr>
            </w:pPr>
          </w:p>
        </w:tc>
        <w:tc>
          <w:tcPr>
            <w:tcW w:w="2320" w:type="dxa"/>
            <w:vAlign w:val="bottom"/>
            <w:tcBorders>
              <w:top w:val="single" w:sz="8" w:color="C1CECC"/>
              <w:bottom w:val="single" w:sz="8" w:color="C1CECC"/>
            </w:tcBorders>
          </w:tcPr>
          <w:p>
            <w:pPr>
              <w:spacing w:after="0"/>
              <w:rPr>
                <w:sz w:val="13"/>
                <w:szCs w:val="13"/>
                <w:color w:val="auto"/>
              </w:rPr>
            </w:pPr>
          </w:p>
        </w:tc>
        <w:tc>
          <w:tcPr>
            <w:tcW w:w="2060" w:type="dxa"/>
            <w:vAlign w:val="bottom"/>
            <w:tcBorders>
              <w:top w:val="single" w:sz="8" w:color="C1CECC"/>
              <w:bottom w:val="single" w:sz="8" w:color="C1CECC"/>
            </w:tcBorders>
          </w:tcPr>
          <w:p>
            <w:pPr>
              <w:spacing w:after="0"/>
              <w:rPr>
                <w:sz w:val="13"/>
                <w:szCs w:val="13"/>
                <w:color w:val="auto"/>
              </w:rPr>
            </w:pPr>
          </w:p>
        </w:tc>
        <w:tc>
          <w:tcPr>
            <w:tcW w:w="2540" w:type="dxa"/>
            <w:vAlign w:val="bottom"/>
            <w:tcBorders>
              <w:top w:val="single" w:sz="8" w:color="C1CECC"/>
              <w:bottom w:val="single" w:sz="8" w:color="C1CECC"/>
            </w:tcBorders>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100" w:type="dxa"/>
            <w:vAlign w:val="bottom"/>
            <w:tcBorders>
              <w:bottom w:val="single" w:sz="8" w:color="C1CECC"/>
            </w:tcBorders>
            <w:shd w:val="clear" w:color="auto" w:fill="F4F9F9"/>
          </w:tcPr>
          <w:p>
            <w:pPr>
              <w:spacing w:after="0" w:line="155" w:lineRule="exact"/>
              <w:rPr>
                <w:sz w:val="20"/>
                <w:szCs w:val="20"/>
                <w:color w:val="auto"/>
              </w:rPr>
            </w:pPr>
            <w:r>
              <w:rPr>
                <w:rFonts w:ascii="Arial" w:cs="Arial" w:eastAsia="Arial" w:hAnsi="Arial"/>
                <w:sz w:val="14"/>
                <w:szCs w:val="14"/>
                <w:b w:val="1"/>
                <w:bCs w:val="1"/>
                <w:color w:val="auto"/>
              </w:rPr>
              <w:t xml:space="preserve">Directors, Nominees and Named Executive Officers: </w:t>
            </w:r>
            <w:r>
              <w:rPr>
                <w:rFonts w:ascii="Arial" w:cs="Arial" w:eastAsia="Arial" w:hAnsi="Arial"/>
                <w:sz w:val="14"/>
                <w:szCs w:val="14"/>
                <w:color w:val="auto"/>
                <w:vertAlign w:val="superscript"/>
              </w:rPr>
              <w:t>(12)(13)</w:t>
            </w:r>
          </w:p>
        </w:tc>
        <w:tc>
          <w:tcPr>
            <w:tcW w:w="2320" w:type="dxa"/>
            <w:vAlign w:val="bottom"/>
            <w:tcBorders>
              <w:bottom w:val="single" w:sz="8" w:color="C1CECC"/>
            </w:tcBorders>
            <w:shd w:val="clear" w:color="auto" w:fill="F4F9F9"/>
          </w:tcPr>
          <w:p>
            <w:pPr>
              <w:spacing w:after="0"/>
              <w:rPr>
                <w:sz w:val="13"/>
                <w:szCs w:val="13"/>
                <w:color w:val="auto"/>
              </w:rPr>
            </w:pPr>
          </w:p>
        </w:tc>
        <w:tc>
          <w:tcPr>
            <w:tcW w:w="2060" w:type="dxa"/>
            <w:vAlign w:val="bottom"/>
            <w:tcBorders>
              <w:bottom w:val="single" w:sz="8" w:color="C1CECC"/>
            </w:tcBorders>
            <w:shd w:val="clear" w:color="auto" w:fill="F4F9F9"/>
          </w:tcPr>
          <w:p>
            <w:pPr>
              <w:spacing w:after="0"/>
              <w:rPr>
                <w:sz w:val="13"/>
                <w:szCs w:val="13"/>
                <w:color w:val="auto"/>
              </w:rPr>
            </w:pPr>
          </w:p>
        </w:tc>
        <w:tc>
          <w:tcPr>
            <w:tcW w:w="2540" w:type="dxa"/>
            <w:vAlign w:val="bottom"/>
            <w:tcBorders>
              <w:bottom w:val="single" w:sz="8" w:color="C1CECC"/>
            </w:tcBorders>
            <w:shd w:val="clear" w:color="auto" w:fill="F4F9F9"/>
          </w:tcPr>
          <w:p>
            <w:pPr>
              <w:spacing w:after="0"/>
              <w:rPr>
                <w:sz w:val="13"/>
                <w:szCs w:val="13"/>
                <w:color w:val="auto"/>
              </w:rPr>
            </w:pPr>
          </w:p>
        </w:tc>
      </w:tr>
      <w:tr>
        <w:trPr>
          <w:trHeight w:val="156"/>
        </w:trPr>
        <w:tc>
          <w:tcPr>
            <w:tcW w:w="4120" w:type="dxa"/>
            <w:vAlign w:val="bottom"/>
            <w:gridSpan w:val="2"/>
          </w:tcPr>
          <w:p>
            <w:pPr>
              <w:spacing w:after="0" w:line="155" w:lineRule="exact"/>
              <w:rPr>
                <w:sz w:val="20"/>
                <w:szCs w:val="20"/>
                <w:color w:val="auto"/>
              </w:rPr>
            </w:pPr>
            <w:r>
              <w:rPr>
                <w:rFonts w:ascii="Arial" w:cs="Arial" w:eastAsia="Arial" w:hAnsi="Arial"/>
                <w:sz w:val="14"/>
                <w:szCs w:val="14"/>
                <w:color w:val="auto"/>
              </w:rPr>
              <w:t>Ronald L. Nelson</w:t>
            </w:r>
          </w:p>
        </w:tc>
        <w:tc>
          <w:tcPr>
            <w:tcW w:w="232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499,775</w:t>
            </w:r>
          </w:p>
        </w:tc>
        <w:tc>
          <w:tcPr>
            <w:tcW w:w="2060" w:type="dxa"/>
            <w:vAlign w:val="bottom"/>
          </w:tcPr>
          <w:p>
            <w:pPr>
              <w:jc w:val="right"/>
              <w:ind w:right="448"/>
              <w:spacing w:after="0" w:line="155" w:lineRule="exact"/>
              <w:rPr>
                <w:sz w:val="20"/>
                <w:szCs w:val="20"/>
                <w:color w:val="auto"/>
              </w:rPr>
            </w:pPr>
            <w:r>
              <w:rPr>
                <w:rFonts w:ascii="Arial" w:cs="Arial" w:eastAsia="Arial" w:hAnsi="Arial"/>
                <w:sz w:val="14"/>
                <w:szCs w:val="14"/>
                <w:color w:val="auto"/>
              </w:rPr>
              <w:t>*</w:t>
            </w:r>
          </w:p>
        </w:tc>
        <w:tc>
          <w:tcPr>
            <w:tcW w:w="2540" w:type="dxa"/>
            <w:vAlign w:val="bottom"/>
          </w:tcPr>
          <w:p>
            <w:pPr>
              <w:jc w:val="right"/>
              <w:spacing w:after="0" w:line="155" w:lineRule="exact"/>
              <w:rPr>
                <w:sz w:val="20"/>
                <w:szCs w:val="20"/>
                <w:color w:val="auto"/>
              </w:rPr>
            </w:pPr>
            <w:r>
              <w:rPr>
                <w:rFonts w:ascii="Arial" w:cs="Arial" w:eastAsia="Arial" w:hAnsi="Arial"/>
                <w:sz w:val="14"/>
                <w:szCs w:val="14"/>
                <w:color w:val="auto"/>
              </w:rPr>
              <w:t>160,000</w:t>
            </w:r>
          </w:p>
        </w:tc>
      </w:tr>
      <w:tr>
        <w:trPr>
          <w:trHeight w:val="156"/>
        </w:trPr>
        <w:tc>
          <w:tcPr>
            <w:tcW w:w="20" w:type="dxa"/>
            <w:vAlign w:val="bottom"/>
          </w:tcPr>
          <w:p>
            <w:pPr>
              <w:spacing w:after="0"/>
              <w:rPr>
                <w:sz w:val="13"/>
                <w:szCs w:val="13"/>
                <w:color w:val="auto"/>
              </w:rPr>
            </w:pPr>
          </w:p>
        </w:tc>
        <w:tc>
          <w:tcPr>
            <w:tcW w:w="4100" w:type="dxa"/>
            <w:vAlign w:val="bottom"/>
            <w:tcBorders>
              <w:top w:val="single" w:sz="8" w:color="C1CECC"/>
              <w:bottom w:val="single" w:sz="8" w:color="C1CECC"/>
            </w:tcBorders>
            <w:shd w:val="clear" w:color="auto" w:fill="F4F9F9"/>
          </w:tcPr>
          <w:p>
            <w:pPr>
              <w:spacing w:after="0" w:line="155" w:lineRule="exact"/>
              <w:rPr>
                <w:sz w:val="20"/>
                <w:szCs w:val="20"/>
                <w:color w:val="auto"/>
              </w:rPr>
            </w:pPr>
            <w:r>
              <w:rPr>
                <w:rFonts w:ascii="Arial" w:cs="Arial" w:eastAsia="Arial" w:hAnsi="Arial"/>
                <w:sz w:val="14"/>
                <w:szCs w:val="14"/>
                <w:color w:val="auto"/>
              </w:rPr>
              <w:t>Brian J. Choi</w:t>
            </w:r>
          </w:p>
        </w:tc>
        <w:tc>
          <w:tcPr>
            <w:tcW w:w="2320" w:type="dxa"/>
            <w:vAlign w:val="bottom"/>
            <w:tcBorders>
              <w:top w:val="single" w:sz="8" w:color="C1CECC"/>
              <w:bottom w:val="single" w:sz="8" w:color="C1CECC"/>
            </w:tcBorders>
            <w:shd w:val="clear" w:color="auto" w:fill="F4F9F9"/>
          </w:tcPr>
          <w:p>
            <w:pPr>
              <w:jc w:val="right"/>
              <w:ind w:right="408"/>
              <w:spacing w:after="0" w:line="155" w:lineRule="exact"/>
              <w:rPr>
                <w:sz w:val="20"/>
                <w:szCs w:val="20"/>
                <w:color w:val="auto"/>
              </w:rPr>
            </w:pPr>
            <w:r>
              <w:rPr>
                <w:rFonts w:ascii="Arial" w:cs="Arial" w:eastAsia="Arial" w:hAnsi="Arial"/>
                <w:sz w:val="14"/>
                <w:szCs w:val="14"/>
                <w:color w:val="auto"/>
              </w:rPr>
              <w:t>-</w:t>
            </w:r>
          </w:p>
        </w:tc>
        <w:tc>
          <w:tcPr>
            <w:tcW w:w="2060" w:type="dxa"/>
            <w:vAlign w:val="bottom"/>
            <w:tcBorders>
              <w:top w:val="single" w:sz="8" w:color="C1CECC"/>
              <w:bottom w:val="single" w:sz="8" w:color="C1CECC"/>
            </w:tcBorders>
            <w:shd w:val="clear" w:color="auto" w:fill="F4F9F9"/>
          </w:tcPr>
          <w:p>
            <w:pPr>
              <w:jc w:val="right"/>
              <w:ind w:right="448"/>
              <w:spacing w:after="0" w:line="155" w:lineRule="exact"/>
              <w:rPr>
                <w:sz w:val="20"/>
                <w:szCs w:val="20"/>
                <w:color w:val="auto"/>
              </w:rPr>
            </w:pPr>
            <w:r>
              <w:rPr>
                <w:rFonts w:ascii="Arial" w:cs="Arial" w:eastAsia="Arial" w:hAnsi="Arial"/>
                <w:sz w:val="14"/>
                <w:szCs w:val="14"/>
                <w:color w:val="auto"/>
              </w:rPr>
              <w:t>*</w:t>
            </w:r>
          </w:p>
        </w:tc>
        <w:tc>
          <w:tcPr>
            <w:tcW w:w="2540" w:type="dxa"/>
            <w:vAlign w:val="bottom"/>
            <w:tcBorders>
              <w:top w:val="single" w:sz="8" w:color="C1CECC"/>
              <w:bottom w:val="single" w:sz="8" w:color="C1CECC"/>
            </w:tcBorders>
            <w:shd w:val="clear" w:color="auto" w:fill="F4F9F9"/>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4120" w:type="dxa"/>
            <w:vAlign w:val="bottom"/>
            <w:gridSpan w:val="2"/>
          </w:tcPr>
          <w:p>
            <w:pPr>
              <w:spacing w:after="0" w:line="155" w:lineRule="exact"/>
              <w:rPr>
                <w:sz w:val="20"/>
                <w:szCs w:val="20"/>
                <w:color w:val="auto"/>
              </w:rPr>
            </w:pPr>
            <w:r>
              <w:rPr>
                <w:rFonts w:ascii="Arial" w:cs="Arial" w:eastAsia="Arial" w:hAnsi="Arial"/>
                <w:sz w:val="14"/>
                <w:szCs w:val="14"/>
                <w:color w:val="auto"/>
              </w:rPr>
              <w:t>Mary C. Choksi</w:t>
            </w:r>
          </w:p>
        </w:tc>
        <w:tc>
          <w:tcPr>
            <w:tcW w:w="232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40,208</w:t>
            </w:r>
          </w:p>
        </w:tc>
        <w:tc>
          <w:tcPr>
            <w:tcW w:w="2060" w:type="dxa"/>
            <w:vAlign w:val="bottom"/>
          </w:tcPr>
          <w:p>
            <w:pPr>
              <w:jc w:val="right"/>
              <w:ind w:right="448"/>
              <w:spacing w:after="0" w:line="155" w:lineRule="exact"/>
              <w:rPr>
                <w:sz w:val="20"/>
                <w:szCs w:val="20"/>
                <w:color w:val="auto"/>
              </w:rPr>
            </w:pPr>
            <w:r>
              <w:rPr>
                <w:rFonts w:ascii="Arial" w:cs="Arial" w:eastAsia="Arial" w:hAnsi="Arial"/>
                <w:sz w:val="14"/>
                <w:szCs w:val="14"/>
                <w:color w:val="auto"/>
              </w:rPr>
              <w:t>*</w:t>
            </w:r>
          </w:p>
        </w:tc>
        <w:tc>
          <w:tcPr>
            <w:tcW w:w="2540" w:type="dxa"/>
            <w:vAlign w:val="bottom"/>
          </w:tcPr>
          <w:p>
            <w:pPr>
              <w:jc w:val="right"/>
              <w:spacing w:after="0" w:line="155" w:lineRule="exact"/>
              <w:rPr>
                <w:sz w:val="20"/>
                <w:szCs w:val="20"/>
                <w:color w:val="auto"/>
              </w:rPr>
            </w:pPr>
            <w:r>
              <w:rPr>
                <w:rFonts w:ascii="Arial" w:cs="Arial" w:eastAsia="Arial" w:hAnsi="Arial"/>
                <w:sz w:val="14"/>
                <w:szCs w:val="14"/>
                <w:color w:val="auto"/>
              </w:rPr>
              <w:t>31,108</w:t>
            </w:r>
          </w:p>
        </w:tc>
      </w:tr>
      <w:tr>
        <w:trPr>
          <w:trHeight w:val="156"/>
        </w:trPr>
        <w:tc>
          <w:tcPr>
            <w:tcW w:w="20" w:type="dxa"/>
            <w:vAlign w:val="bottom"/>
          </w:tcPr>
          <w:p>
            <w:pPr>
              <w:spacing w:after="0"/>
              <w:rPr>
                <w:sz w:val="13"/>
                <w:szCs w:val="13"/>
                <w:color w:val="auto"/>
              </w:rPr>
            </w:pPr>
          </w:p>
        </w:tc>
        <w:tc>
          <w:tcPr>
            <w:tcW w:w="4100" w:type="dxa"/>
            <w:vAlign w:val="bottom"/>
            <w:tcBorders>
              <w:top w:val="single" w:sz="8" w:color="C1CECC"/>
              <w:bottom w:val="single" w:sz="8" w:color="C1CECC"/>
            </w:tcBorders>
            <w:shd w:val="clear" w:color="auto" w:fill="F4F9F9"/>
          </w:tcPr>
          <w:p>
            <w:pPr>
              <w:spacing w:after="0" w:line="155" w:lineRule="exact"/>
              <w:rPr>
                <w:sz w:val="20"/>
                <w:szCs w:val="20"/>
                <w:color w:val="auto"/>
              </w:rPr>
            </w:pPr>
            <w:r>
              <w:rPr>
                <w:rFonts w:ascii="Arial" w:cs="Arial" w:eastAsia="Arial" w:hAnsi="Arial"/>
                <w:sz w:val="14"/>
                <w:szCs w:val="14"/>
                <w:color w:val="auto"/>
              </w:rPr>
              <w:t>Leonard S. Coleman</w:t>
            </w:r>
          </w:p>
        </w:tc>
        <w:tc>
          <w:tcPr>
            <w:tcW w:w="2320" w:type="dxa"/>
            <w:vAlign w:val="bottom"/>
            <w:tcBorders>
              <w:top w:val="single" w:sz="8" w:color="C1CECC"/>
              <w:bottom w:val="single" w:sz="8" w:color="C1CECC"/>
            </w:tcBorders>
            <w:shd w:val="clear" w:color="auto" w:fill="F4F9F9"/>
          </w:tcPr>
          <w:p>
            <w:pPr>
              <w:jc w:val="right"/>
              <w:ind w:right="408"/>
              <w:spacing w:after="0" w:line="155" w:lineRule="exact"/>
              <w:rPr>
                <w:sz w:val="20"/>
                <w:szCs w:val="20"/>
                <w:color w:val="auto"/>
              </w:rPr>
            </w:pPr>
            <w:r>
              <w:rPr>
                <w:rFonts w:ascii="Arial" w:cs="Arial" w:eastAsia="Arial" w:hAnsi="Arial"/>
                <w:sz w:val="14"/>
                <w:szCs w:val="14"/>
                <w:color w:val="auto"/>
              </w:rPr>
              <w:t>62,131</w:t>
            </w:r>
          </w:p>
        </w:tc>
        <w:tc>
          <w:tcPr>
            <w:tcW w:w="2060" w:type="dxa"/>
            <w:vAlign w:val="bottom"/>
            <w:tcBorders>
              <w:top w:val="single" w:sz="8" w:color="C1CECC"/>
              <w:bottom w:val="single" w:sz="8" w:color="C1CECC"/>
            </w:tcBorders>
            <w:shd w:val="clear" w:color="auto" w:fill="F4F9F9"/>
          </w:tcPr>
          <w:p>
            <w:pPr>
              <w:jc w:val="right"/>
              <w:ind w:right="448"/>
              <w:spacing w:after="0" w:line="155" w:lineRule="exact"/>
              <w:rPr>
                <w:sz w:val="20"/>
                <w:szCs w:val="20"/>
                <w:color w:val="auto"/>
              </w:rPr>
            </w:pPr>
            <w:r>
              <w:rPr>
                <w:rFonts w:ascii="Arial" w:cs="Arial" w:eastAsia="Arial" w:hAnsi="Arial"/>
                <w:sz w:val="14"/>
                <w:szCs w:val="14"/>
                <w:color w:val="auto"/>
              </w:rPr>
              <w:t>*</w:t>
            </w:r>
          </w:p>
        </w:tc>
        <w:tc>
          <w:tcPr>
            <w:tcW w:w="2540" w:type="dxa"/>
            <w:vAlign w:val="bottom"/>
            <w:tcBorders>
              <w:top w:val="single" w:sz="8" w:color="C1CECC"/>
              <w:bottom w:val="single" w:sz="8" w:color="C1CECC"/>
            </w:tcBorders>
            <w:shd w:val="clear" w:color="auto" w:fill="F4F9F9"/>
          </w:tcPr>
          <w:p>
            <w:pPr>
              <w:jc w:val="right"/>
              <w:spacing w:after="0" w:line="155" w:lineRule="exact"/>
              <w:rPr>
                <w:sz w:val="20"/>
                <w:szCs w:val="20"/>
                <w:color w:val="auto"/>
              </w:rPr>
            </w:pPr>
            <w:r>
              <w:rPr>
                <w:rFonts w:ascii="Arial" w:cs="Arial" w:eastAsia="Arial" w:hAnsi="Arial"/>
                <w:sz w:val="14"/>
                <w:szCs w:val="14"/>
                <w:color w:val="auto"/>
              </w:rPr>
              <w:t>23,986</w:t>
            </w:r>
          </w:p>
        </w:tc>
      </w:tr>
      <w:tr>
        <w:trPr>
          <w:trHeight w:val="156"/>
        </w:trPr>
        <w:tc>
          <w:tcPr>
            <w:tcW w:w="4120" w:type="dxa"/>
            <w:vAlign w:val="bottom"/>
            <w:gridSpan w:val="2"/>
          </w:tcPr>
          <w:p>
            <w:pPr>
              <w:spacing w:after="0" w:line="155" w:lineRule="exact"/>
              <w:rPr>
                <w:sz w:val="20"/>
                <w:szCs w:val="20"/>
                <w:color w:val="auto"/>
              </w:rPr>
            </w:pPr>
            <w:r>
              <w:rPr>
                <w:rFonts w:ascii="Arial" w:cs="Arial" w:eastAsia="Arial" w:hAnsi="Arial"/>
                <w:sz w:val="14"/>
                <w:szCs w:val="14"/>
                <w:color w:val="auto"/>
              </w:rPr>
              <w:t>Larry D. De Shon</w:t>
            </w:r>
          </w:p>
        </w:tc>
        <w:tc>
          <w:tcPr>
            <w:tcW w:w="232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244,295</w:t>
            </w:r>
          </w:p>
        </w:tc>
        <w:tc>
          <w:tcPr>
            <w:tcW w:w="2060" w:type="dxa"/>
            <w:vAlign w:val="bottom"/>
          </w:tcPr>
          <w:p>
            <w:pPr>
              <w:jc w:val="right"/>
              <w:ind w:right="448"/>
              <w:spacing w:after="0" w:line="155" w:lineRule="exact"/>
              <w:rPr>
                <w:sz w:val="20"/>
                <w:szCs w:val="20"/>
                <w:color w:val="auto"/>
              </w:rPr>
            </w:pPr>
            <w:r>
              <w:rPr>
                <w:rFonts w:ascii="Arial" w:cs="Arial" w:eastAsia="Arial" w:hAnsi="Arial"/>
                <w:sz w:val="14"/>
                <w:szCs w:val="14"/>
                <w:color w:val="auto"/>
              </w:rPr>
              <w:t>*</w:t>
            </w:r>
          </w:p>
        </w:tc>
        <w:tc>
          <w:tcPr>
            <w:tcW w:w="25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4100" w:type="dxa"/>
            <w:vAlign w:val="bottom"/>
            <w:tcBorders>
              <w:top w:val="single" w:sz="8" w:color="C1CECC"/>
              <w:bottom w:val="single" w:sz="8" w:color="C1CECC"/>
            </w:tcBorders>
            <w:shd w:val="clear" w:color="auto" w:fill="F4F9F9"/>
          </w:tcPr>
          <w:p>
            <w:pPr>
              <w:spacing w:after="0" w:line="155" w:lineRule="exact"/>
              <w:rPr>
                <w:sz w:val="20"/>
                <w:szCs w:val="20"/>
                <w:color w:val="auto"/>
              </w:rPr>
            </w:pPr>
            <w:r>
              <w:rPr>
                <w:rFonts w:ascii="Arial" w:cs="Arial" w:eastAsia="Arial" w:hAnsi="Arial"/>
                <w:sz w:val="14"/>
                <w:szCs w:val="14"/>
                <w:color w:val="auto"/>
              </w:rPr>
              <w:t>Jeffrey H. Fox</w:t>
            </w:r>
          </w:p>
        </w:tc>
        <w:tc>
          <w:tcPr>
            <w:tcW w:w="2320" w:type="dxa"/>
            <w:vAlign w:val="bottom"/>
            <w:tcBorders>
              <w:top w:val="single" w:sz="8" w:color="C1CECC"/>
              <w:bottom w:val="single" w:sz="8" w:color="C1CECC"/>
            </w:tcBorders>
            <w:shd w:val="clear" w:color="auto" w:fill="F4F9F9"/>
          </w:tcPr>
          <w:p>
            <w:pPr>
              <w:jc w:val="right"/>
              <w:ind w:right="408"/>
              <w:spacing w:after="0" w:line="155" w:lineRule="exact"/>
              <w:rPr>
                <w:sz w:val="20"/>
                <w:szCs w:val="20"/>
                <w:color w:val="auto"/>
              </w:rPr>
            </w:pPr>
            <w:r>
              <w:rPr>
                <w:rFonts w:ascii="Arial" w:cs="Arial" w:eastAsia="Arial" w:hAnsi="Arial"/>
                <w:sz w:val="14"/>
                <w:szCs w:val="14"/>
                <w:color w:val="auto"/>
              </w:rPr>
              <w:t>22,549</w:t>
            </w:r>
          </w:p>
        </w:tc>
        <w:tc>
          <w:tcPr>
            <w:tcW w:w="2060" w:type="dxa"/>
            <w:vAlign w:val="bottom"/>
            <w:tcBorders>
              <w:top w:val="single" w:sz="8" w:color="C1CECC"/>
              <w:bottom w:val="single" w:sz="8" w:color="C1CECC"/>
            </w:tcBorders>
            <w:shd w:val="clear" w:color="auto" w:fill="F4F9F9"/>
          </w:tcPr>
          <w:p>
            <w:pPr>
              <w:jc w:val="right"/>
              <w:ind w:right="448"/>
              <w:spacing w:after="0" w:line="155" w:lineRule="exact"/>
              <w:rPr>
                <w:sz w:val="20"/>
                <w:szCs w:val="20"/>
                <w:color w:val="auto"/>
              </w:rPr>
            </w:pPr>
            <w:r>
              <w:rPr>
                <w:rFonts w:ascii="Arial" w:cs="Arial" w:eastAsia="Arial" w:hAnsi="Arial"/>
                <w:sz w:val="14"/>
                <w:szCs w:val="14"/>
                <w:color w:val="auto"/>
              </w:rPr>
              <w:t>*</w:t>
            </w:r>
          </w:p>
        </w:tc>
        <w:tc>
          <w:tcPr>
            <w:tcW w:w="2540" w:type="dxa"/>
            <w:vAlign w:val="bottom"/>
            <w:tcBorders>
              <w:top w:val="single" w:sz="8" w:color="C1CECC"/>
              <w:bottom w:val="single" w:sz="8" w:color="C1CECC"/>
            </w:tcBorders>
            <w:shd w:val="clear" w:color="auto" w:fill="F4F9F9"/>
          </w:tcPr>
          <w:p>
            <w:pPr>
              <w:jc w:val="right"/>
              <w:spacing w:after="0" w:line="155" w:lineRule="exact"/>
              <w:rPr>
                <w:sz w:val="20"/>
                <w:szCs w:val="20"/>
                <w:color w:val="auto"/>
              </w:rPr>
            </w:pPr>
            <w:r>
              <w:rPr>
                <w:rFonts w:ascii="Arial" w:cs="Arial" w:eastAsia="Arial" w:hAnsi="Arial"/>
                <w:sz w:val="14"/>
                <w:szCs w:val="14"/>
                <w:color w:val="auto"/>
              </w:rPr>
              <w:t>12,549</w:t>
            </w:r>
          </w:p>
        </w:tc>
      </w:tr>
      <w:tr>
        <w:trPr>
          <w:trHeight w:val="156"/>
        </w:trPr>
        <w:tc>
          <w:tcPr>
            <w:tcW w:w="4120" w:type="dxa"/>
            <w:vAlign w:val="bottom"/>
            <w:gridSpan w:val="2"/>
          </w:tcPr>
          <w:p>
            <w:pPr>
              <w:spacing w:after="0" w:line="155" w:lineRule="exact"/>
              <w:rPr>
                <w:sz w:val="20"/>
                <w:szCs w:val="20"/>
                <w:color w:val="auto"/>
              </w:rPr>
            </w:pPr>
            <w:r>
              <w:rPr>
                <w:rFonts w:ascii="Arial" w:cs="Arial" w:eastAsia="Arial" w:hAnsi="Arial"/>
                <w:sz w:val="14"/>
                <w:szCs w:val="14"/>
                <w:color w:val="auto"/>
              </w:rPr>
              <w:t>John D. Hardy, Jr.</w:t>
            </w:r>
          </w:p>
        </w:tc>
        <w:tc>
          <w:tcPr>
            <w:tcW w:w="232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19,826</w:t>
            </w:r>
          </w:p>
        </w:tc>
        <w:tc>
          <w:tcPr>
            <w:tcW w:w="2060" w:type="dxa"/>
            <w:vAlign w:val="bottom"/>
          </w:tcPr>
          <w:p>
            <w:pPr>
              <w:jc w:val="right"/>
              <w:ind w:right="448"/>
              <w:spacing w:after="0" w:line="155" w:lineRule="exact"/>
              <w:rPr>
                <w:sz w:val="20"/>
                <w:szCs w:val="20"/>
                <w:color w:val="auto"/>
              </w:rPr>
            </w:pPr>
            <w:r>
              <w:rPr>
                <w:rFonts w:ascii="Arial" w:cs="Arial" w:eastAsia="Arial" w:hAnsi="Arial"/>
                <w:sz w:val="14"/>
                <w:szCs w:val="14"/>
                <w:color w:val="auto"/>
              </w:rPr>
              <w:t>*</w:t>
            </w:r>
          </w:p>
        </w:tc>
        <w:tc>
          <w:tcPr>
            <w:tcW w:w="2540" w:type="dxa"/>
            <w:vAlign w:val="bottom"/>
          </w:tcPr>
          <w:p>
            <w:pPr>
              <w:jc w:val="right"/>
              <w:spacing w:after="0" w:line="155" w:lineRule="exact"/>
              <w:rPr>
                <w:sz w:val="20"/>
                <w:szCs w:val="20"/>
                <w:color w:val="auto"/>
              </w:rPr>
            </w:pPr>
            <w:r>
              <w:rPr>
                <w:rFonts w:ascii="Arial" w:cs="Arial" w:eastAsia="Arial" w:hAnsi="Arial"/>
                <w:sz w:val="14"/>
                <w:szCs w:val="14"/>
                <w:color w:val="auto"/>
              </w:rPr>
              <w:t>19,185</w:t>
            </w:r>
          </w:p>
        </w:tc>
      </w:tr>
      <w:tr>
        <w:trPr>
          <w:trHeight w:val="156"/>
        </w:trPr>
        <w:tc>
          <w:tcPr>
            <w:tcW w:w="20" w:type="dxa"/>
            <w:vAlign w:val="bottom"/>
          </w:tcPr>
          <w:p>
            <w:pPr>
              <w:spacing w:after="0"/>
              <w:rPr>
                <w:sz w:val="13"/>
                <w:szCs w:val="13"/>
                <w:color w:val="auto"/>
              </w:rPr>
            </w:pPr>
          </w:p>
        </w:tc>
        <w:tc>
          <w:tcPr>
            <w:tcW w:w="4100" w:type="dxa"/>
            <w:vAlign w:val="bottom"/>
            <w:tcBorders>
              <w:top w:val="single" w:sz="8" w:color="C1CECC"/>
              <w:bottom w:val="single" w:sz="8" w:color="C1CECC"/>
            </w:tcBorders>
            <w:shd w:val="clear" w:color="auto" w:fill="F4F9F9"/>
          </w:tcPr>
          <w:p>
            <w:pPr>
              <w:spacing w:after="0" w:line="155" w:lineRule="exact"/>
              <w:rPr>
                <w:sz w:val="20"/>
                <w:szCs w:val="20"/>
                <w:color w:val="auto"/>
              </w:rPr>
            </w:pPr>
            <w:r>
              <w:rPr>
                <w:rFonts w:ascii="Arial" w:cs="Arial" w:eastAsia="Arial" w:hAnsi="Arial"/>
                <w:sz w:val="14"/>
                <w:szCs w:val="14"/>
                <w:color w:val="auto"/>
              </w:rPr>
              <w:t>Lynn Krominga</w:t>
            </w:r>
          </w:p>
        </w:tc>
        <w:tc>
          <w:tcPr>
            <w:tcW w:w="2320" w:type="dxa"/>
            <w:vAlign w:val="bottom"/>
            <w:tcBorders>
              <w:top w:val="single" w:sz="8" w:color="C1CECC"/>
              <w:bottom w:val="single" w:sz="8" w:color="C1CECC"/>
            </w:tcBorders>
            <w:shd w:val="clear" w:color="auto" w:fill="F4F9F9"/>
          </w:tcPr>
          <w:p>
            <w:pPr>
              <w:jc w:val="right"/>
              <w:ind w:right="408"/>
              <w:spacing w:after="0" w:line="155" w:lineRule="exact"/>
              <w:rPr>
                <w:sz w:val="20"/>
                <w:szCs w:val="20"/>
                <w:color w:val="auto"/>
              </w:rPr>
            </w:pPr>
            <w:r>
              <w:rPr>
                <w:rFonts w:ascii="Arial" w:cs="Arial" w:eastAsia="Arial" w:hAnsi="Arial"/>
                <w:sz w:val="14"/>
                <w:szCs w:val="14"/>
                <w:color w:val="auto"/>
              </w:rPr>
              <w:t>25,629</w:t>
            </w:r>
          </w:p>
        </w:tc>
        <w:tc>
          <w:tcPr>
            <w:tcW w:w="2060" w:type="dxa"/>
            <w:vAlign w:val="bottom"/>
            <w:tcBorders>
              <w:top w:val="single" w:sz="8" w:color="C1CECC"/>
              <w:bottom w:val="single" w:sz="8" w:color="C1CECC"/>
            </w:tcBorders>
            <w:shd w:val="clear" w:color="auto" w:fill="F4F9F9"/>
          </w:tcPr>
          <w:p>
            <w:pPr>
              <w:jc w:val="right"/>
              <w:ind w:right="448"/>
              <w:spacing w:after="0" w:line="155" w:lineRule="exact"/>
              <w:rPr>
                <w:sz w:val="20"/>
                <w:szCs w:val="20"/>
                <w:color w:val="auto"/>
              </w:rPr>
            </w:pPr>
            <w:r>
              <w:rPr>
                <w:rFonts w:ascii="Arial" w:cs="Arial" w:eastAsia="Arial" w:hAnsi="Arial"/>
                <w:sz w:val="14"/>
                <w:szCs w:val="14"/>
                <w:color w:val="auto"/>
              </w:rPr>
              <w:t>*</w:t>
            </w:r>
          </w:p>
        </w:tc>
        <w:tc>
          <w:tcPr>
            <w:tcW w:w="2540" w:type="dxa"/>
            <w:vAlign w:val="bottom"/>
            <w:tcBorders>
              <w:top w:val="single" w:sz="8" w:color="C1CECC"/>
              <w:bottom w:val="single" w:sz="8" w:color="C1CECC"/>
            </w:tcBorders>
            <w:shd w:val="clear" w:color="auto" w:fill="F4F9F9"/>
          </w:tcPr>
          <w:p>
            <w:pPr>
              <w:jc w:val="right"/>
              <w:spacing w:after="0" w:line="155" w:lineRule="exact"/>
              <w:rPr>
                <w:sz w:val="20"/>
                <w:szCs w:val="20"/>
                <w:color w:val="auto"/>
              </w:rPr>
            </w:pPr>
            <w:r>
              <w:rPr>
                <w:rFonts w:ascii="Arial" w:cs="Arial" w:eastAsia="Arial" w:hAnsi="Arial"/>
                <w:sz w:val="14"/>
                <w:szCs w:val="14"/>
                <w:color w:val="auto"/>
              </w:rPr>
              <w:t>15,967</w:t>
            </w:r>
          </w:p>
        </w:tc>
      </w:tr>
      <w:tr>
        <w:trPr>
          <w:trHeight w:val="156"/>
        </w:trPr>
        <w:tc>
          <w:tcPr>
            <w:tcW w:w="4120" w:type="dxa"/>
            <w:vAlign w:val="bottom"/>
            <w:tcBorders>
              <w:bottom w:val="single" w:sz="8" w:color="C1CECC"/>
            </w:tcBorders>
            <w:gridSpan w:val="2"/>
          </w:tcPr>
          <w:p>
            <w:pPr>
              <w:spacing w:after="0" w:line="155" w:lineRule="exact"/>
              <w:rPr>
                <w:sz w:val="20"/>
                <w:szCs w:val="20"/>
                <w:color w:val="auto"/>
              </w:rPr>
            </w:pPr>
            <w:r>
              <w:rPr>
                <w:rFonts w:ascii="Arial" w:cs="Arial" w:eastAsia="Arial" w:hAnsi="Arial"/>
                <w:sz w:val="14"/>
                <w:szCs w:val="14"/>
                <w:color w:val="auto"/>
              </w:rPr>
              <w:t>Glenn Lurie</w:t>
            </w:r>
          </w:p>
        </w:tc>
        <w:tc>
          <w:tcPr>
            <w:tcW w:w="2320" w:type="dxa"/>
            <w:vAlign w:val="bottom"/>
            <w:tcBorders>
              <w:bottom w:val="single" w:sz="8" w:color="C1CECC"/>
            </w:tcBorders>
          </w:tcPr>
          <w:p>
            <w:pPr>
              <w:jc w:val="right"/>
              <w:ind w:right="408"/>
              <w:spacing w:after="0" w:line="155" w:lineRule="exact"/>
              <w:rPr>
                <w:sz w:val="20"/>
                <w:szCs w:val="20"/>
                <w:color w:val="auto"/>
              </w:rPr>
            </w:pPr>
            <w:r>
              <w:rPr>
                <w:rFonts w:ascii="Arial" w:cs="Arial" w:eastAsia="Arial" w:hAnsi="Arial"/>
                <w:sz w:val="14"/>
                <w:szCs w:val="14"/>
                <w:color w:val="auto"/>
              </w:rPr>
              <w:t>-</w:t>
            </w:r>
          </w:p>
        </w:tc>
        <w:tc>
          <w:tcPr>
            <w:tcW w:w="2060" w:type="dxa"/>
            <w:vAlign w:val="bottom"/>
            <w:tcBorders>
              <w:bottom w:val="single" w:sz="8" w:color="C1CECC"/>
            </w:tcBorders>
          </w:tcPr>
          <w:p>
            <w:pPr>
              <w:jc w:val="right"/>
              <w:ind w:right="448"/>
              <w:spacing w:after="0" w:line="155" w:lineRule="exact"/>
              <w:rPr>
                <w:sz w:val="20"/>
                <w:szCs w:val="20"/>
                <w:color w:val="auto"/>
              </w:rPr>
            </w:pPr>
            <w:r>
              <w:rPr>
                <w:rFonts w:ascii="Arial" w:cs="Arial" w:eastAsia="Arial" w:hAnsi="Arial"/>
                <w:sz w:val="14"/>
                <w:szCs w:val="14"/>
                <w:color w:val="auto"/>
              </w:rPr>
              <w:t>*</w:t>
            </w:r>
          </w:p>
        </w:tc>
        <w:tc>
          <w:tcPr>
            <w:tcW w:w="2540" w:type="dxa"/>
            <w:vAlign w:val="bottom"/>
            <w:tcBorders>
              <w:bottom w:val="single" w:sz="8" w:color="C1CECC"/>
            </w:tcBorders>
          </w:tcPr>
          <w:p>
            <w:pPr>
              <w:jc w:val="right"/>
              <w:spacing w:after="0" w:line="155" w:lineRule="exact"/>
              <w:rPr>
                <w:sz w:val="20"/>
                <w:szCs w:val="20"/>
                <w:color w:val="auto"/>
              </w:rPr>
            </w:pPr>
            <w:r>
              <w:rPr>
                <w:rFonts w:ascii="Arial" w:cs="Arial" w:eastAsia="Arial" w:hAnsi="Arial"/>
                <w:sz w:val="14"/>
                <w:szCs w:val="14"/>
                <w:color w:val="auto"/>
              </w:rPr>
              <w:t>-</w:t>
            </w: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0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020" w:type="dxa"/>
            <w:vAlign w:val="bottom"/>
            <w:tcBorders>
              <w:top w:val="single" w:sz="8" w:color="C1CECC"/>
              <w:bottom w:val="single" w:sz="8" w:color="C1CECC"/>
            </w:tcBorders>
            <w:shd w:val="clear" w:color="auto" w:fill="F4F9F9"/>
          </w:tcPr>
          <w:p>
            <w:pPr>
              <w:spacing w:after="0"/>
              <w:rPr>
                <w:sz w:val="20"/>
                <w:szCs w:val="20"/>
                <w:color w:val="auto"/>
              </w:rPr>
            </w:pPr>
            <w:r>
              <w:rPr>
                <w:rFonts w:ascii="Arial" w:cs="Arial" w:eastAsia="Arial" w:hAnsi="Arial"/>
                <w:sz w:val="14"/>
                <w:szCs w:val="14"/>
                <w:color w:val="auto"/>
              </w:rPr>
              <w:t>Eduardo G. Mestre</w:t>
            </w:r>
          </w:p>
        </w:tc>
        <w:tc>
          <w:tcPr>
            <w:tcW w:w="2540" w:type="dxa"/>
            <w:vAlign w:val="bottom"/>
            <w:tcBorders>
              <w:top w:val="single" w:sz="8" w:color="C1CECC"/>
              <w:bottom w:val="single" w:sz="8" w:color="C1CECC"/>
            </w:tcBorders>
            <w:shd w:val="clear" w:color="auto" w:fill="F4F9F9"/>
          </w:tcPr>
          <w:p>
            <w:pPr>
              <w:jc w:val="right"/>
              <w:ind w:right="888"/>
              <w:spacing w:after="0"/>
              <w:rPr>
                <w:sz w:val="20"/>
                <w:szCs w:val="20"/>
                <w:color w:val="auto"/>
              </w:rPr>
            </w:pPr>
            <w:r>
              <w:rPr>
                <w:rFonts w:ascii="Arial" w:cs="Arial" w:eastAsia="Arial" w:hAnsi="Arial"/>
                <w:sz w:val="14"/>
                <w:szCs w:val="14"/>
                <w:color w:val="auto"/>
              </w:rPr>
              <w:t>64,160</w:t>
            </w:r>
          </w:p>
        </w:tc>
        <w:tc>
          <w:tcPr>
            <w:tcW w:w="1960" w:type="dxa"/>
            <w:vAlign w:val="bottom"/>
            <w:tcBorders>
              <w:top w:val="single" w:sz="8" w:color="C1CECC"/>
              <w:bottom w:val="single" w:sz="8" w:color="C1CECC"/>
            </w:tcBorders>
            <w:shd w:val="clear" w:color="auto" w:fill="F4F9F9"/>
          </w:tcPr>
          <w:p>
            <w:pPr>
              <w:jc w:val="right"/>
              <w:ind w:right="86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C1CECC"/>
              <w:bottom w:val="single" w:sz="8" w:color="C1CECC"/>
            </w:tcBorders>
            <w:shd w:val="clear" w:color="auto" w:fill="F4F9F9"/>
          </w:tcPr>
          <w:p>
            <w:pPr>
              <w:jc w:val="right"/>
              <w:ind w:right="88"/>
              <w:spacing w:after="0"/>
              <w:rPr>
                <w:sz w:val="20"/>
                <w:szCs w:val="20"/>
                <w:color w:val="auto"/>
              </w:rPr>
            </w:pPr>
            <w:r>
              <w:rPr>
                <w:rFonts w:ascii="Arial" w:cs="Arial" w:eastAsia="Arial" w:hAnsi="Arial"/>
                <w:sz w:val="14"/>
                <w:szCs w:val="14"/>
                <w:color w:val="auto"/>
              </w:rPr>
              <w:t>43,710</w:t>
            </w:r>
          </w:p>
        </w:tc>
      </w:tr>
      <w:tr>
        <w:trPr>
          <w:trHeight w:val="156"/>
        </w:trPr>
        <w:tc>
          <w:tcPr>
            <w:tcW w:w="5040" w:type="dxa"/>
            <w:vAlign w:val="bottom"/>
            <w:gridSpan w:val="2"/>
          </w:tcPr>
          <w:p>
            <w:pPr>
              <w:spacing w:after="0" w:line="155" w:lineRule="exact"/>
              <w:rPr>
                <w:sz w:val="20"/>
                <w:szCs w:val="20"/>
                <w:color w:val="auto"/>
              </w:rPr>
            </w:pPr>
            <w:r>
              <w:rPr>
                <w:rFonts w:ascii="Arial" w:cs="Arial" w:eastAsia="Arial" w:hAnsi="Arial"/>
                <w:sz w:val="14"/>
                <w:szCs w:val="14"/>
                <w:color w:val="auto"/>
              </w:rPr>
              <w:t>Jagdeep Pahwa</w:t>
            </w:r>
          </w:p>
        </w:tc>
        <w:tc>
          <w:tcPr>
            <w:tcW w:w="2540" w:type="dxa"/>
            <w:vAlign w:val="bottom"/>
          </w:tcPr>
          <w:p>
            <w:pPr>
              <w:jc w:val="right"/>
              <w:ind w:right="888"/>
              <w:spacing w:after="0" w:line="155" w:lineRule="exact"/>
              <w:rPr>
                <w:sz w:val="20"/>
                <w:szCs w:val="20"/>
                <w:color w:val="auto"/>
              </w:rPr>
            </w:pPr>
            <w:r>
              <w:rPr>
                <w:rFonts w:ascii="Arial" w:cs="Arial" w:eastAsia="Arial" w:hAnsi="Arial"/>
                <w:sz w:val="14"/>
                <w:szCs w:val="14"/>
                <w:color w:val="auto"/>
              </w:rPr>
              <w:t>-</w:t>
            </w:r>
          </w:p>
        </w:tc>
        <w:tc>
          <w:tcPr>
            <w:tcW w:w="1960" w:type="dxa"/>
            <w:vAlign w:val="bottom"/>
          </w:tcPr>
          <w:p>
            <w:pPr>
              <w:jc w:val="right"/>
              <w:ind w:right="868"/>
              <w:spacing w:after="0" w:line="155" w:lineRule="exact"/>
              <w:rPr>
                <w:sz w:val="20"/>
                <w:szCs w:val="20"/>
                <w:color w:val="auto"/>
              </w:rPr>
            </w:pPr>
            <w:r>
              <w:rPr>
                <w:rFonts w:ascii="Arial" w:cs="Arial" w:eastAsia="Arial" w:hAnsi="Arial"/>
                <w:sz w:val="14"/>
                <w:szCs w:val="14"/>
                <w:color w:val="auto"/>
              </w:rPr>
              <w:t>*</w:t>
            </w:r>
          </w:p>
        </w:tc>
        <w:tc>
          <w:tcPr>
            <w:tcW w:w="1500" w:type="dxa"/>
            <w:vAlign w:val="bottom"/>
          </w:tcPr>
          <w:p>
            <w:pPr>
              <w:jc w:val="right"/>
              <w:ind w:right="88"/>
              <w:spacing w:after="0" w:line="155" w:lineRule="exact"/>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5020" w:type="dxa"/>
            <w:vAlign w:val="bottom"/>
            <w:tcBorders>
              <w:top w:val="single" w:sz="8" w:color="C1CECC"/>
              <w:bottom w:val="single" w:sz="8" w:color="C1CECC"/>
            </w:tcBorders>
            <w:shd w:val="clear" w:color="auto" w:fill="F4F9F9"/>
          </w:tcPr>
          <w:p>
            <w:pPr>
              <w:spacing w:after="0" w:line="155" w:lineRule="exact"/>
              <w:rPr>
                <w:sz w:val="20"/>
                <w:szCs w:val="20"/>
                <w:color w:val="auto"/>
              </w:rPr>
            </w:pPr>
            <w:r>
              <w:rPr>
                <w:rFonts w:ascii="Arial" w:cs="Arial" w:eastAsia="Arial" w:hAnsi="Arial"/>
                <w:sz w:val="14"/>
                <w:szCs w:val="14"/>
                <w:color w:val="auto"/>
              </w:rPr>
              <w:t>F. Robert Salerno</w:t>
            </w:r>
          </w:p>
        </w:tc>
        <w:tc>
          <w:tcPr>
            <w:tcW w:w="2540" w:type="dxa"/>
            <w:vAlign w:val="bottom"/>
            <w:tcBorders>
              <w:top w:val="single" w:sz="8" w:color="C1CECC"/>
              <w:bottom w:val="single" w:sz="8" w:color="C1CECC"/>
            </w:tcBorders>
            <w:shd w:val="clear" w:color="auto" w:fill="F4F9F9"/>
          </w:tcPr>
          <w:p>
            <w:pPr>
              <w:jc w:val="right"/>
              <w:ind w:right="888"/>
              <w:spacing w:after="0" w:line="155" w:lineRule="exact"/>
              <w:rPr>
                <w:sz w:val="20"/>
                <w:szCs w:val="20"/>
                <w:color w:val="auto"/>
              </w:rPr>
            </w:pPr>
            <w:r>
              <w:rPr>
                <w:rFonts w:ascii="Arial" w:cs="Arial" w:eastAsia="Arial" w:hAnsi="Arial"/>
                <w:sz w:val="14"/>
                <w:szCs w:val="14"/>
                <w:color w:val="auto"/>
              </w:rPr>
              <w:t>39,928</w:t>
            </w:r>
          </w:p>
        </w:tc>
        <w:tc>
          <w:tcPr>
            <w:tcW w:w="1960" w:type="dxa"/>
            <w:vAlign w:val="bottom"/>
            <w:tcBorders>
              <w:top w:val="single" w:sz="8" w:color="C1CECC"/>
              <w:bottom w:val="single" w:sz="8" w:color="C1CECC"/>
            </w:tcBorders>
            <w:shd w:val="clear" w:color="auto" w:fill="F4F9F9"/>
          </w:tcPr>
          <w:p>
            <w:pPr>
              <w:jc w:val="right"/>
              <w:ind w:right="868"/>
              <w:spacing w:after="0" w:line="155" w:lineRule="exact"/>
              <w:rPr>
                <w:sz w:val="20"/>
                <w:szCs w:val="20"/>
                <w:color w:val="auto"/>
              </w:rPr>
            </w:pPr>
            <w:r>
              <w:rPr>
                <w:rFonts w:ascii="Arial" w:cs="Arial" w:eastAsia="Arial" w:hAnsi="Arial"/>
                <w:sz w:val="14"/>
                <w:szCs w:val="14"/>
                <w:color w:val="auto"/>
              </w:rPr>
              <w:t>*</w:t>
            </w:r>
          </w:p>
        </w:tc>
        <w:tc>
          <w:tcPr>
            <w:tcW w:w="1500" w:type="dxa"/>
            <w:vAlign w:val="bottom"/>
            <w:tcBorders>
              <w:top w:val="single" w:sz="8" w:color="C1CECC"/>
              <w:bottom w:val="single" w:sz="8" w:color="C1CECC"/>
            </w:tcBorders>
            <w:shd w:val="clear" w:color="auto" w:fill="F4F9F9"/>
          </w:tcPr>
          <w:p>
            <w:pPr>
              <w:jc w:val="right"/>
              <w:ind w:right="88"/>
              <w:spacing w:after="0" w:line="155" w:lineRule="exact"/>
              <w:rPr>
                <w:sz w:val="20"/>
                <w:szCs w:val="20"/>
                <w:color w:val="auto"/>
              </w:rPr>
            </w:pPr>
            <w:r>
              <w:rPr>
                <w:rFonts w:ascii="Arial" w:cs="Arial" w:eastAsia="Arial" w:hAnsi="Arial"/>
                <w:sz w:val="14"/>
                <w:szCs w:val="14"/>
                <w:color w:val="auto"/>
              </w:rPr>
              <w:t>20,211</w:t>
            </w:r>
          </w:p>
        </w:tc>
      </w:tr>
      <w:tr>
        <w:trPr>
          <w:trHeight w:val="156"/>
        </w:trPr>
        <w:tc>
          <w:tcPr>
            <w:tcW w:w="5040" w:type="dxa"/>
            <w:vAlign w:val="bottom"/>
            <w:gridSpan w:val="2"/>
          </w:tcPr>
          <w:p>
            <w:pPr>
              <w:spacing w:after="0" w:line="155" w:lineRule="exact"/>
              <w:rPr>
                <w:sz w:val="20"/>
                <w:szCs w:val="20"/>
                <w:color w:val="auto"/>
              </w:rPr>
            </w:pPr>
            <w:r>
              <w:rPr>
                <w:rFonts w:ascii="Arial" w:cs="Arial" w:eastAsia="Arial" w:hAnsi="Arial"/>
                <w:sz w:val="14"/>
                <w:szCs w:val="14"/>
                <w:color w:val="auto"/>
              </w:rPr>
              <w:t>Francis J. Shammo</w:t>
            </w:r>
          </w:p>
        </w:tc>
        <w:tc>
          <w:tcPr>
            <w:tcW w:w="2540" w:type="dxa"/>
            <w:vAlign w:val="bottom"/>
          </w:tcPr>
          <w:p>
            <w:pPr>
              <w:jc w:val="right"/>
              <w:ind w:right="888"/>
              <w:spacing w:after="0" w:line="155" w:lineRule="exact"/>
              <w:rPr>
                <w:sz w:val="20"/>
                <w:szCs w:val="20"/>
                <w:color w:val="auto"/>
              </w:rPr>
            </w:pPr>
            <w:r>
              <w:rPr>
                <w:rFonts w:ascii="Arial" w:cs="Arial" w:eastAsia="Arial" w:hAnsi="Arial"/>
                <w:sz w:val="14"/>
                <w:szCs w:val="14"/>
                <w:color w:val="auto"/>
              </w:rPr>
              <w:t>-</w:t>
            </w:r>
          </w:p>
        </w:tc>
        <w:tc>
          <w:tcPr>
            <w:tcW w:w="1960" w:type="dxa"/>
            <w:vAlign w:val="bottom"/>
          </w:tcPr>
          <w:p>
            <w:pPr>
              <w:jc w:val="right"/>
              <w:ind w:right="868"/>
              <w:spacing w:after="0" w:line="155" w:lineRule="exact"/>
              <w:rPr>
                <w:sz w:val="20"/>
                <w:szCs w:val="20"/>
                <w:color w:val="auto"/>
              </w:rPr>
            </w:pPr>
            <w:r>
              <w:rPr>
                <w:rFonts w:ascii="Arial" w:cs="Arial" w:eastAsia="Arial" w:hAnsi="Arial"/>
                <w:sz w:val="14"/>
                <w:szCs w:val="14"/>
                <w:color w:val="auto"/>
              </w:rPr>
              <w:t>*</w:t>
            </w:r>
          </w:p>
        </w:tc>
        <w:tc>
          <w:tcPr>
            <w:tcW w:w="1500" w:type="dxa"/>
            <w:vAlign w:val="bottom"/>
          </w:tcPr>
          <w:p>
            <w:pPr>
              <w:jc w:val="right"/>
              <w:ind w:right="88"/>
              <w:spacing w:after="0" w:line="155" w:lineRule="exact"/>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5020" w:type="dxa"/>
            <w:vAlign w:val="bottom"/>
            <w:tcBorders>
              <w:top w:val="single" w:sz="8" w:color="C1CECC"/>
              <w:bottom w:val="single" w:sz="8" w:color="C1CECC"/>
            </w:tcBorders>
            <w:shd w:val="clear" w:color="auto" w:fill="F4F9F9"/>
          </w:tcPr>
          <w:p>
            <w:pPr>
              <w:spacing w:after="0" w:line="155" w:lineRule="exact"/>
              <w:rPr>
                <w:sz w:val="20"/>
                <w:szCs w:val="20"/>
                <w:color w:val="auto"/>
              </w:rPr>
            </w:pPr>
            <w:r>
              <w:rPr>
                <w:rFonts w:ascii="Arial" w:cs="Arial" w:eastAsia="Arial" w:hAnsi="Arial"/>
                <w:sz w:val="14"/>
                <w:szCs w:val="14"/>
                <w:color w:val="auto"/>
              </w:rPr>
              <w:t>Carl Sparks</w:t>
            </w:r>
          </w:p>
        </w:tc>
        <w:tc>
          <w:tcPr>
            <w:tcW w:w="2540" w:type="dxa"/>
            <w:vAlign w:val="bottom"/>
            <w:tcBorders>
              <w:top w:val="single" w:sz="8" w:color="C1CECC"/>
              <w:bottom w:val="single" w:sz="8" w:color="C1CECC"/>
            </w:tcBorders>
            <w:shd w:val="clear" w:color="auto" w:fill="F4F9F9"/>
          </w:tcPr>
          <w:p>
            <w:pPr>
              <w:jc w:val="right"/>
              <w:ind w:right="888"/>
              <w:spacing w:after="0" w:line="155" w:lineRule="exact"/>
              <w:rPr>
                <w:sz w:val="20"/>
                <w:szCs w:val="20"/>
                <w:color w:val="auto"/>
              </w:rPr>
            </w:pPr>
            <w:r>
              <w:rPr>
                <w:rFonts w:ascii="Arial" w:cs="Arial" w:eastAsia="Arial" w:hAnsi="Arial"/>
                <w:sz w:val="14"/>
                <w:szCs w:val="14"/>
                <w:color w:val="auto"/>
              </w:rPr>
              <w:t>-</w:t>
            </w:r>
          </w:p>
        </w:tc>
        <w:tc>
          <w:tcPr>
            <w:tcW w:w="1960" w:type="dxa"/>
            <w:vAlign w:val="bottom"/>
            <w:tcBorders>
              <w:top w:val="single" w:sz="8" w:color="C1CECC"/>
              <w:bottom w:val="single" w:sz="8" w:color="C1CECC"/>
            </w:tcBorders>
            <w:shd w:val="clear" w:color="auto" w:fill="F4F9F9"/>
          </w:tcPr>
          <w:p>
            <w:pPr>
              <w:jc w:val="right"/>
              <w:ind w:right="868"/>
              <w:spacing w:after="0" w:line="155" w:lineRule="exact"/>
              <w:rPr>
                <w:sz w:val="20"/>
                <w:szCs w:val="20"/>
                <w:color w:val="auto"/>
              </w:rPr>
            </w:pPr>
            <w:r>
              <w:rPr>
                <w:rFonts w:ascii="Arial" w:cs="Arial" w:eastAsia="Arial" w:hAnsi="Arial"/>
                <w:sz w:val="14"/>
                <w:szCs w:val="14"/>
                <w:color w:val="auto"/>
              </w:rPr>
              <w:t>*</w:t>
            </w:r>
          </w:p>
        </w:tc>
        <w:tc>
          <w:tcPr>
            <w:tcW w:w="1500" w:type="dxa"/>
            <w:vAlign w:val="bottom"/>
            <w:tcBorders>
              <w:top w:val="single" w:sz="8" w:color="C1CECC"/>
              <w:bottom w:val="single" w:sz="8" w:color="C1CECC"/>
            </w:tcBorders>
            <w:shd w:val="clear" w:color="auto" w:fill="F4F9F9"/>
          </w:tcPr>
          <w:p>
            <w:pPr>
              <w:jc w:val="right"/>
              <w:ind w:right="88"/>
              <w:spacing w:after="0" w:line="155" w:lineRule="exact"/>
              <w:rPr>
                <w:sz w:val="20"/>
                <w:szCs w:val="20"/>
                <w:color w:val="auto"/>
              </w:rPr>
            </w:pPr>
            <w:r>
              <w:rPr>
                <w:rFonts w:ascii="Arial" w:cs="Arial" w:eastAsia="Arial" w:hAnsi="Arial"/>
                <w:sz w:val="14"/>
                <w:szCs w:val="14"/>
                <w:color w:val="auto"/>
              </w:rPr>
              <w:t>-</w:t>
            </w:r>
          </w:p>
        </w:tc>
      </w:tr>
      <w:tr>
        <w:trPr>
          <w:trHeight w:val="156"/>
        </w:trPr>
        <w:tc>
          <w:tcPr>
            <w:tcW w:w="5040" w:type="dxa"/>
            <w:vAlign w:val="bottom"/>
            <w:gridSpan w:val="2"/>
          </w:tcPr>
          <w:p>
            <w:pPr>
              <w:spacing w:after="0" w:line="155" w:lineRule="exact"/>
              <w:rPr>
                <w:sz w:val="20"/>
                <w:szCs w:val="20"/>
                <w:color w:val="auto"/>
              </w:rPr>
            </w:pPr>
            <w:r>
              <w:rPr>
                <w:rFonts w:ascii="Arial" w:cs="Arial" w:eastAsia="Arial" w:hAnsi="Arial"/>
                <w:sz w:val="14"/>
                <w:szCs w:val="14"/>
                <w:color w:val="auto"/>
              </w:rPr>
              <w:t>Stender E. Sweeney</w:t>
            </w:r>
          </w:p>
        </w:tc>
        <w:tc>
          <w:tcPr>
            <w:tcW w:w="2540" w:type="dxa"/>
            <w:vAlign w:val="bottom"/>
          </w:tcPr>
          <w:p>
            <w:pPr>
              <w:jc w:val="right"/>
              <w:ind w:right="888"/>
              <w:spacing w:after="0" w:line="155" w:lineRule="exact"/>
              <w:rPr>
                <w:sz w:val="20"/>
                <w:szCs w:val="20"/>
                <w:color w:val="auto"/>
              </w:rPr>
            </w:pPr>
            <w:r>
              <w:rPr>
                <w:rFonts w:ascii="Arial" w:cs="Arial" w:eastAsia="Arial" w:hAnsi="Arial"/>
                <w:sz w:val="14"/>
                <w:szCs w:val="14"/>
                <w:color w:val="auto"/>
              </w:rPr>
              <w:t>36,910</w:t>
            </w:r>
          </w:p>
        </w:tc>
        <w:tc>
          <w:tcPr>
            <w:tcW w:w="1960" w:type="dxa"/>
            <w:vAlign w:val="bottom"/>
          </w:tcPr>
          <w:p>
            <w:pPr>
              <w:jc w:val="right"/>
              <w:ind w:right="868"/>
              <w:spacing w:after="0" w:line="155" w:lineRule="exact"/>
              <w:rPr>
                <w:sz w:val="20"/>
                <w:szCs w:val="20"/>
                <w:color w:val="auto"/>
              </w:rPr>
            </w:pPr>
            <w:r>
              <w:rPr>
                <w:rFonts w:ascii="Arial" w:cs="Arial" w:eastAsia="Arial" w:hAnsi="Arial"/>
                <w:sz w:val="14"/>
                <w:szCs w:val="14"/>
                <w:color w:val="auto"/>
              </w:rPr>
              <w:t>*</w:t>
            </w:r>
          </w:p>
        </w:tc>
        <w:tc>
          <w:tcPr>
            <w:tcW w:w="1500" w:type="dxa"/>
            <w:vAlign w:val="bottom"/>
          </w:tcPr>
          <w:p>
            <w:pPr>
              <w:jc w:val="right"/>
              <w:ind w:right="88"/>
              <w:spacing w:after="0" w:line="155" w:lineRule="exact"/>
              <w:rPr>
                <w:sz w:val="20"/>
                <w:szCs w:val="20"/>
                <w:color w:val="auto"/>
              </w:rPr>
            </w:pPr>
            <w:r>
              <w:rPr>
                <w:rFonts w:ascii="Arial" w:cs="Arial" w:eastAsia="Arial" w:hAnsi="Arial"/>
                <w:sz w:val="14"/>
                <w:szCs w:val="14"/>
                <w:color w:val="auto"/>
              </w:rPr>
              <w:t>34,032</w:t>
            </w:r>
          </w:p>
        </w:tc>
      </w:tr>
      <w:tr>
        <w:trPr>
          <w:trHeight w:val="156"/>
        </w:trPr>
        <w:tc>
          <w:tcPr>
            <w:tcW w:w="20" w:type="dxa"/>
            <w:vAlign w:val="bottom"/>
          </w:tcPr>
          <w:p>
            <w:pPr>
              <w:spacing w:after="0"/>
              <w:rPr>
                <w:sz w:val="13"/>
                <w:szCs w:val="13"/>
                <w:color w:val="auto"/>
              </w:rPr>
            </w:pPr>
          </w:p>
        </w:tc>
        <w:tc>
          <w:tcPr>
            <w:tcW w:w="5020" w:type="dxa"/>
            <w:vAlign w:val="bottom"/>
            <w:tcBorders>
              <w:top w:val="single" w:sz="8" w:color="C1CECC"/>
              <w:bottom w:val="single" w:sz="8" w:color="C1CECC"/>
            </w:tcBorders>
            <w:shd w:val="clear" w:color="auto" w:fill="F4F9F9"/>
          </w:tcPr>
          <w:p>
            <w:pPr>
              <w:spacing w:after="0" w:line="155" w:lineRule="exact"/>
              <w:rPr>
                <w:sz w:val="20"/>
                <w:szCs w:val="20"/>
                <w:color w:val="auto"/>
              </w:rPr>
            </w:pPr>
            <w:r>
              <w:rPr>
                <w:rFonts w:ascii="Arial" w:cs="Arial" w:eastAsia="Arial" w:hAnsi="Arial"/>
                <w:sz w:val="14"/>
                <w:szCs w:val="14"/>
                <w:color w:val="auto"/>
              </w:rPr>
              <w:t>Sanoke Viswanathan</w:t>
            </w:r>
          </w:p>
        </w:tc>
        <w:tc>
          <w:tcPr>
            <w:tcW w:w="2540" w:type="dxa"/>
            <w:vAlign w:val="bottom"/>
            <w:tcBorders>
              <w:top w:val="single" w:sz="8" w:color="C1CECC"/>
              <w:bottom w:val="single" w:sz="8" w:color="C1CECC"/>
            </w:tcBorders>
            <w:shd w:val="clear" w:color="auto" w:fill="F4F9F9"/>
          </w:tcPr>
          <w:p>
            <w:pPr>
              <w:jc w:val="right"/>
              <w:ind w:right="888"/>
              <w:spacing w:after="0" w:line="155" w:lineRule="exact"/>
              <w:rPr>
                <w:sz w:val="20"/>
                <w:szCs w:val="20"/>
                <w:color w:val="auto"/>
              </w:rPr>
            </w:pPr>
            <w:r>
              <w:rPr>
                <w:rFonts w:ascii="Arial" w:cs="Arial" w:eastAsia="Arial" w:hAnsi="Arial"/>
                <w:sz w:val="14"/>
                <w:szCs w:val="14"/>
                <w:color w:val="auto"/>
              </w:rPr>
              <w:t>6,126</w:t>
            </w:r>
          </w:p>
        </w:tc>
        <w:tc>
          <w:tcPr>
            <w:tcW w:w="1960" w:type="dxa"/>
            <w:vAlign w:val="bottom"/>
            <w:tcBorders>
              <w:top w:val="single" w:sz="8" w:color="C1CECC"/>
              <w:bottom w:val="single" w:sz="8" w:color="C1CECC"/>
            </w:tcBorders>
            <w:shd w:val="clear" w:color="auto" w:fill="F4F9F9"/>
          </w:tcPr>
          <w:p>
            <w:pPr>
              <w:jc w:val="right"/>
              <w:ind w:right="868"/>
              <w:spacing w:after="0" w:line="155" w:lineRule="exact"/>
              <w:rPr>
                <w:sz w:val="20"/>
                <w:szCs w:val="20"/>
                <w:color w:val="auto"/>
              </w:rPr>
            </w:pPr>
            <w:r>
              <w:rPr>
                <w:rFonts w:ascii="Arial" w:cs="Arial" w:eastAsia="Arial" w:hAnsi="Arial"/>
                <w:sz w:val="14"/>
                <w:szCs w:val="14"/>
                <w:color w:val="auto"/>
              </w:rPr>
              <w:t>*</w:t>
            </w:r>
          </w:p>
        </w:tc>
        <w:tc>
          <w:tcPr>
            <w:tcW w:w="1500" w:type="dxa"/>
            <w:vAlign w:val="bottom"/>
            <w:tcBorders>
              <w:top w:val="single" w:sz="8" w:color="C1CECC"/>
              <w:bottom w:val="single" w:sz="8" w:color="C1CECC"/>
            </w:tcBorders>
            <w:shd w:val="clear" w:color="auto" w:fill="F4F9F9"/>
          </w:tcPr>
          <w:p>
            <w:pPr>
              <w:jc w:val="right"/>
              <w:ind w:right="88"/>
              <w:spacing w:after="0" w:line="155" w:lineRule="exact"/>
              <w:rPr>
                <w:sz w:val="20"/>
                <w:szCs w:val="20"/>
                <w:color w:val="auto"/>
              </w:rPr>
            </w:pPr>
            <w:r>
              <w:rPr>
                <w:rFonts w:ascii="Arial" w:cs="Arial" w:eastAsia="Arial" w:hAnsi="Arial"/>
                <w:sz w:val="14"/>
                <w:szCs w:val="14"/>
                <w:color w:val="auto"/>
              </w:rPr>
              <w:t>6,126</w:t>
            </w:r>
          </w:p>
        </w:tc>
      </w:tr>
      <w:tr>
        <w:trPr>
          <w:trHeight w:val="156"/>
        </w:trPr>
        <w:tc>
          <w:tcPr>
            <w:tcW w:w="5040" w:type="dxa"/>
            <w:vAlign w:val="bottom"/>
            <w:gridSpan w:val="2"/>
          </w:tcPr>
          <w:p>
            <w:pPr>
              <w:spacing w:after="0" w:line="155" w:lineRule="exact"/>
              <w:rPr>
                <w:sz w:val="20"/>
                <w:szCs w:val="20"/>
                <w:color w:val="auto"/>
              </w:rPr>
            </w:pPr>
            <w:r>
              <w:rPr>
                <w:rFonts w:ascii="Arial" w:cs="Arial" w:eastAsia="Arial" w:hAnsi="Arial"/>
                <w:sz w:val="14"/>
                <w:szCs w:val="14"/>
                <w:color w:val="auto"/>
              </w:rPr>
              <w:t>Joseph A. Ferraro</w:t>
            </w:r>
          </w:p>
        </w:tc>
        <w:tc>
          <w:tcPr>
            <w:tcW w:w="2540" w:type="dxa"/>
            <w:vAlign w:val="bottom"/>
          </w:tcPr>
          <w:p>
            <w:pPr>
              <w:jc w:val="right"/>
              <w:ind w:right="888"/>
              <w:spacing w:after="0" w:line="155" w:lineRule="exact"/>
              <w:rPr>
                <w:sz w:val="20"/>
                <w:szCs w:val="20"/>
                <w:color w:val="auto"/>
              </w:rPr>
            </w:pPr>
            <w:r>
              <w:rPr>
                <w:rFonts w:ascii="Arial" w:cs="Arial" w:eastAsia="Arial" w:hAnsi="Arial"/>
                <w:sz w:val="14"/>
                <w:szCs w:val="14"/>
                <w:color w:val="auto"/>
              </w:rPr>
              <w:t>59,575</w:t>
            </w:r>
          </w:p>
        </w:tc>
        <w:tc>
          <w:tcPr>
            <w:tcW w:w="1960" w:type="dxa"/>
            <w:vAlign w:val="bottom"/>
          </w:tcPr>
          <w:p>
            <w:pPr>
              <w:jc w:val="right"/>
              <w:ind w:right="868"/>
              <w:spacing w:after="0" w:line="155" w:lineRule="exact"/>
              <w:rPr>
                <w:sz w:val="20"/>
                <w:szCs w:val="20"/>
                <w:color w:val="auto"/>
              </w:rPr>
            </w:pPr>
            <w:r>
              <w:rPr>
                <w:rFonts w:ascii="Arial" w:cs="Arial" w:eastAsia="Arial" w:hAnsi="Arial"/>
                <w:sz w:val="14"/>
                <w:szCs w:val="14"/>
                <w:color w:val="auto"/>
              </w:rPr>
              <w:t>*</w:t>
            </w:r>
          </w:p>
        </w:tc>
        <w:tc>
          <w:tcPr>
            <w:tcW w:w="1500" w:type="dxa"/>
            <w:vAlign w:val="bottom"/>
          </w:tcPr>
          <w:p>
            <w:pPr>
              <w:jc w:val="right"/>
              <w:ind w:right="88"/>
              <w:spacing w:after="0" w:line="155" w:lineRule="exact"/>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5020" w:type="dxa"/>
            <w:vAlign w:val="bottom"/>
            <w:tcBorders>
              <w:top w:val="single" w:sz="8" w:color="C1CECC"/>
              <w:bottom w:val="single" w:sz="8" w:color="C1CECC"/>
            </w:tcBorders>
            <w:shd w:val="clear" w:color="auto" w:fill="F4F9F9"/>
          </w:tcPr>
          <w:p>
            <w:pPr>
              <w:spacing w:after="0" w:line="155" w:lineRule="exact"/>
              <w:rPr>
                <w:sz w:val="20"/>
                <w:szCs w:val="20"/>
                <w:color w:val="auto"/>
              </w:rPr>
            </w:pPr>
            <w:r>
              <w:rPr>
                <w:rFonts w:ascii="Arial" w:cs="Arial" w:eastAsia="Arial" w:hAnsi="Arial"/>
                <w:sz w:val="14"/>
                <w:szCs w:val="14"/>
                <w:color w:val="auto"/>
              </w:rPr>
              <w:t>Mark J. Servodidio</w:t>
            </w:r>
          </w:p>
        </w:tc>
        <w:tc>
          <w:tcPr>
            <w:tcW w:w="2540" w:type="dxa"/>
            <w:vAlign w:val="bottom"/>
            <w:tcBorders>
              <w:top w:val="single" w:sz="8" w:color="C1CECC"/>
              <w:bottom w:val="single" w:sz="8" w:color="C1CECC"/>
            </w:tcBorders>
            <w:shd w:val="clear" w:color="auto" w:fill="F4F9F9"/>
          </w:tcPr>
          <w:p>
            <w:pPr>
              <w:jc w:val="right"/>
              <w:ind w:right="888"/>
              <w:spacing w:after="0" w:line="155" w:lineRule="exact"/>
              <w:rPr>
                <w:sz w:val="20"/>
                <w:szCs w:val="20"/>
                <w:color w:val="auto"/>
              </w:rPr>
            </w:pPr>
            <w:r>
              <w:rPr>
                <w:rFonts w:ascii="Arial" w:cs="Arial" w:eastAsia="Arial" w:hAnsi="Arial"/>
                <w:sz w:val="14"/>
                <w:szCs w:val="14"/>
                <w:color w:val="auto"/>
              </w:rPr>
              <w:t>82,225</w:t>
            </w:r>
          </w:p>
        </w:tc>
        <w:tc>
          <w:tcPr>
            <w:tcW w:w="1960" w:type="dxa"/>
            <w:vAlign w:val="bottom"/>
            <w:tcBorders>
              <w:top w:val="single" w:sz="8" w:color="C1CECC"/>
              <w:bottom w:val="single" w:sz="8" w:color="C1CECC"/>
            </w:tcBorders>
            <w:shd w:val="clear" w:color="auto" w:fill="F4F9F9"/>
          </w:tcPr>
          <w:p>
            <w:pPr>
              <w:jc w:val="right"/>
              <w:ind w:right="868"/>
              <w:spacing w:after="0" w:line="155" w:lineRule="exact"/>
              <w:rPr>
                <w:sz w:val="20"/>
                <w:szCs w:val="20"/>
                <w:color w:val="auto"/>
              </w:rPr>
            </w:pPr>
            <w:r>
              <w:rPr>
                <w:rFonts w:ascii="Arial" w:cs="Arial" w:eastAsia="Arial" w:hAnsi="Arial"/>
                <w:sz w:val="14"/>
                <w:szCs w:val="14"/>
                <w:color w:val="auto"/>
              </w:rPr>
              <w:t>*</w:t>
            </w:r>
          </w:p>
        </w:tc>
        <w:tc>
          <w:tcPr>
            <w:tcW w:w="1500" w:type="dxa"/>
            <w:vAlign w:val="bottom"/>
            <w:tcBorders>
              <w:top w:val="single" w:sz="8" w:color="C1CECC"/>
              <w:bottom w:val="single" w:sz="8" w:color="C1CECC"/>
            </w:tcBorders>
            <w:shd w:val="clear" w:color="auto" w:fill="F4F9F9"/>
          </w:tcPr>
          <w:p>
            <w:pPr>
              <w:jc w:val="right"/>
              <w:ind w:right="88"/>
              <w:spacing w:after="0" w:line="155" w:lineRule="exact"/>
              <w:rPr>
                <w:sz w:val="20"/>
                <w:szCs w:val="20"/>
                <w:color w:val="auto"/>
              </w:rPr>
            </w:pPr>
            <w:r>
              <w:rPr>
                <w:rFonts w:ascii="Arial" w:cs="Arial" w:eastAsia="Arial" w:hAnsi="Arial"/>
                <w:sz w:val="14"/>
                <w:szCs w:val="14"/>
                <w:color w:val="auto"/>
              </w:rPr>
              <w:t>-</w:t>
            </w:r>
          </w:p>
        </w:tc>
      </w:tr>
      <w:tr>
        <w:trPr>
          <w:trHeight w:val="156"/>
        </w:trPr>
        <w:tc>
          <w:tcPr>
            <w:tcW w:w="5040" w:type="dxa"/>
            <w:vAlign w:val="bottom"/>
            <w:gridSpan w:val="2"/>
          </w:tcPr>
          <w:p>
            <w:pPr>
              <w:spacing w:after="0" w:line="155" w:lineRule="exact"/>
              <w:rPr>
                <w:sz w:val="20"/>
                <w:szCs w:val="20"/>
                <w:color w:val="auto"/>
              </w:rPr>
            </w:pPr>
            <w:r>
              <w:rPr>
                <w:rFonts w:ascii="Arial" w:cs="Arial" w:eastAsia="Arial" w:hAnsi="Arial"/>
                <w:sz w:val="14"/>
                <w:szCs w:val="14"/>
                <w:color w:val="auto"/>
              </w:rPr>
              <w:t>Martyn Smith</w:t>
            </w:r>
          </w:p>
        </w:tc>
        <w:tc>
          <w:tcPr>
            <w:tcW w:w="2540" w:type="dxa"/>
            <w:vAlign w:val="bottom"/>
          </w:tcPr>
          <w:p>
            <w:pPr>
              <w:jc w:val="right"/>
              <w:ind w:right="888"/>
              <w:spacing w:after="0" w:line="155" w:lineRule="exact"/>
              <w:rPr>
                <w:sz w:val="20"/>
                <w:szCs w:val="20"/>
                <w:color w:val="auto"/>
              </w:rPr>
            </w:pPr>
            <w:r>
              <w:rPr>
                <w:rFonts w:ascii="Arial" w:cs="Arial" w:eastAsia="Arial" w:hAnsi="Arial"/>
                <w:sz w:val="14"/>
                <w:szCs w:val="14"/>
                <w:color w:val="auto"/>
              </w:rPr>
              <w:t>725</w:t>
            </w:r>
          </w:p>
        </w:tc>
        <w:tc>
          <w:tcPr>
            <w:tcW w:w="1960" w:type="dxa"/>
            <w:vAlign w:val="bottom"/>
          </w:tcPr>
          <w:p>
            <w:pPr>
              <w:jc w:val="right"/>
              <w:ind w:right="868"/>
              <w:spacing w:after="0" w:line="155" w:lineRule="exact"/>
              <w:rPr>
                <w:sz w:val="20"/>
                <w:szCs w:val="20"/>
                <w:color w:val="auto"/>
              </w:rPr>
            </w:pPr>
            <w:r>
              <w:rPr>
                <w:rFonts w:ascii="Arial" w:cs="Arial" w:eastAsia="Arial" w:hAnsi="Arial"/>
                <w:sz w:val="14"/>
                <w:szCs w:val="14"/>
                <w:color w:val="auto"/>
              </w:rPr>
              <w:t>*</w:t>
            </w:r>
          </w:p>
        </w:tc>
        <w:tc>
          <w:tcPr>
            <w:tcW w:w="1500" w:type="dxa"/>
            <w:vAlign w:val="bottom"/>
          </w:tcPr>
          <w:p>
            <w:pPr>
              <w:jc w:val="right"/>
              <w:ind w:right="88"/>
              <w:spacing w:after="0" w:line="155" w:lineRule="exact"/>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5020" w:type="dxa"/>
            <w:vAlign w:val="bottom"/>
            <w:tcBorders>
              <w:top w:val="single" w:sz="8" w:color="C1CECC"/>
              <w:bottom w:val="single" w:sz="8" w:color="auto"/>
            </w:tcBorders>
            <w:shd w:val="clear" w:color="auto" w:fill="F4F9F9"/>
          </w:tcPr>
          <w:p>
            <w:pPr>
              <w:spacing w:after="0" w:line="155" w:lineRule="exact"/>
              <w:rPr>
                <w:sz w:val="20"/>
                <w:szCs w:val="20"/>
                <w:color w:val="auto"/>
              </w:rPr>
            </w:pPr>
            <w:r>
              <w:rPr>
                <w:rFonts w:ascii="Arial" w:cs="Arial" w:eastAsia="Arial" w:hAnsi="Arial"/>
                <w:sz w:val="14"/>
                <w:szCs w:val="14"/>
                <w:b w:val="1"/>
                <w:bCs w:val="1"/>
                <w:color w:val="auto"/>
              </w:rPr>
              <w:t>All Directors and Executive Officers as a group (22 persons)</w:t>
            </w:r>
          </w:p>
        </w:tc>
        <w:tc>
          <w:tcPr>
            <w:tcW w:w="2540" w:type="dxa"/>
            <w:vAlign w:val="bottom"/>
            <w:tcBorders>
              <w:top w:val="single" w:sz="8" w:color="C1CECC"/>
              <w:bottom w:val="single" w:sz="8" w:color="auto"/>
            </w:tcBorders>
            <w:shd w:val="clear" w:color="auto" w:fill="F4F9F9"/>
          </w:tcPr>
          <w:p>
            <w:pPr>
              <w:jc w:val="right"/>
              <w:ind w:right="748"/>
              <w:spacing w:after="0" w:line="155" w:lineRule="exact"/>
              <w:rPr>
                <w:sz w:val="20"/>
                <w:szCs w:val="20"/>
                <w:color w:val="auto"/>
              </w:rPr>
            </w:pPr>
            <w:r>
              <w:rPr>
                <w:rFonts w:ascii="Arial" w:cs="Arial" w:eastAsia="Arial" w:hAnsi="Arial"/>
                <w:sz w:val="14"/>
                <w:szCs w:val="14"/>
                <w:b w:val="1"/>
                <w:bCs w:val="1"/>
                <w:color w:val="auto"/>
              </w:rPr>
              <w:t>1,311,001</w:t>
            </w:r>
            <w:r>
              <w:rPr>
                <w:rFonts w:ascii="Arial" w:cs="Arial" w:eastAsia="Arial" w:hAnsi="Arial"/>
                <w:sz w:val="7"/>
                <w:szCs w:val="7"/>
                <w:color w:val="auto"/>
              </w:rPr>
              <w:t>(14)</w:t>
            </w:r>
          </w:p>
        </w:tc>
        <w:tc>
          <w:tcPr>
            <w:tcW w:w="1960" w:type="dxa"/>
            <w:vAlign w:val="bottom"/>
            <w:tcBorders>
              <w:top w:val="single" w:sz="8" w:color="C1CECC"/>
              <w:bottom w:val="single" w:sz="8" w:color="auto"/>
            </w:tcBorders>
            <w:shd w:val="clear" w:color="auto" w:fill="F4F9F9"/>
          </w:tcPr>
          <w:p>
            <w:pPr>
              <w:jc w:val="right"/>
              <w:ind w:right="748"/>
              <w:spacing w:after="0" w:line="155" w:lineRule="exact"/>
              <w:rPr>
                <w:sz w:val="20"/>
                <w:szCs w:val="20"/>
                <w:color w:val="auto"/>
              </w:rPr>
            </w:pPr>
            <w:r>
              <w:rPr>
                <w:rFonts w:ascii="Arial" w:cs="Arial" w:eastAsia="Arial" w:hAnsi="Arial"/>
                <w:sz w:val="14"/>
                <w:szCs w:val="14"/>
                <w:b w:val="1"/>
                <w:bCs w:val="1"/>
                <w:color w:val="auto"/>
              </w:rPr>
              <w:t>1.6%</w:t>
            </w:r>
          </w:p>
        </w:tc>
        <w:tc>
          <w:tcPr>
            <w:tcW w:w="1500" w:type="dxa"/>
            <w:vAlign w:val="bottom"/>
            <w:tcBorders>
              <w:top w:val="single" w:sz="8" w:color="C1CECC"/>
              <w:bottom w:val="single" w:sz="8" w:color="auto"/>
            </w:tcBorders>
            <w:shd w:val="clear" w:color="auto" w:fill="F4F9F9"/>
          </w:tcPr>
          <w:p>
            <w:pPr>
              <w:jc w:val="right"/>
              <w:spacing w:after="0" w:line="155" w:lineRule="exact"/>
              <w:rPr>
                <w:sz w:val="20"/>
                <w:szCs w:val="20"/>
                <w:color w:val="auto"/>
              </w:rPr>
            </w:pPr>
            <w:r>
              <w:rPr>
                <w:rFonts w:ascii="Arial" w:cs="Arial" w:eastAsia="Arial" w:hAnsi="Arial"/>
                <w:sz w:val="14"/>
                <w:szCs w:val="14"/>
                <w:b w:val="1"/>
                <w:bCs w:val="1"/>
                <w:color w:val="auto"/>
              </w:rPr>
              <w:t>366,874</w:t>
            </w:r>
            <w:r>
              <w:rPr>
                <w:rFonts w:ascii="Arial" w:cs="Arial" w:eastAsia="Arial" w:hAnsi="Arial"/>
                <w:sz w:val="7"/>
                <w:szCs w:val="7"/>
                <w:color w:val="auto"/>
              </w:rPr>
              <w:t>(15)</w:t>
            </w:r>
          </w:p>
        </w:tc>
      </w:tr>
    </w:tbl>
    <w:p>
      <w:pPr>
        <w:spacing w:after="0" w:line="121" w:lineRule="exact"/>
        <w:rPr>
          <w:sz w:val="20"/>
          <w:szCs w:val="20"/>
          <w:color w:val="auto"/>
        </w:rPr>
      </w:pPr>
    </w:p>
    <w:p>
      <w:pPr>
        <w:ind w:left="520" w:hanging="316"/>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 represents less than 1% of outstanding Common Stock.</w:t>
      </w:r>
    </w:p>
    <w:p>
      <w:pPr>
        <w:spacing w:after="0" w:line="109" w:lineRule="exact"/>
        <w:rPr>
          <w:sz w:val="20"/>
          <w:szCs w:val="20"/>
          <w:color w:val="auto"/>
        </w:rPr>
      </w:pPr>
    </w:p>
    <w:p>
      <w:pPr>
        <w:ind w:left="520" w:right="20" w:hanging="316"/>
        <w:spacing w:after="0" w:line="231"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Information is based upon the assumption that there was no change in the beneficial ownership of such shares of Common Stock from the publicly filed information through March 14, 2018.</w:t>
      </w:r>
    </w:p>
    <w:p>
      <w:pPr>
        <w:spacing w:after="0" w:line="109" w:lineRule="exact"/>
        <w:rPr>
          <w:sz w:val="20"/>
          <w:szCs w:val="20"/>
          <w:color w:val="auto"/>
        </w:rPr>
      </w:pPr>
    </w:p>
    <w:p>
      <w:pPr>
        <w:ind w:left="520" w:right="20" w:hanging="316"/>
        <w:spacing w:after="0" w:line="231"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Shares beneficially owned include (i) direct and indirect ownership of shares, (ii) vested stock option awards, (iii) restricted stock units, and (iv) director deferred stock units that may be settled or exercised within 60 days of March 14, 2018.</w:t>
      </w:r>
    </w:p>
    <w:p>
      <w:pPr>
        <w:spacing w:after="0" w:line="108" w:lineRule="exact"/>
        <w:rPr>
          <w:rFonts w:ascii="Arial" w:cs="Arial" w:eastAsia="Arial" w:hAnsi="Arial"/>
          <w:sz w:val="14"/>
          <w:szCs w:val="14"/>
          <w:color w:val="auto"/>
        </w:rPr>
      </w:pPr>
    </w:p>
    <w:p>
      <w:pPr>
        <w:ind w:left="520" w:hanging="316"/>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81,075,682 shares of Common Stock outstanding on March 14, 2018.</w:t>
      </w:r>
    </w:p>
    <w:p>
      <w:pPr>
        <w:spacing w:after="0" w:line="109" w:lineRule="exact"/>
        <w:rPr>
          <w:rFonts w:ascii="Arial" w:cs="Arial" w:eastAsia="Arial" w:hAnsi="Arial"/>
          <w:sz w:val="14"/>
          <w:szCs w:val="14"/>
          <w:color w:val="auto"/>
        </w:rPr>
      </w:pPr>
    </w:p>
    <w:p>
      <w:pPr>
        <w:ind w:left="520" w:hanging="316"/>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(i) vested stock option awards and (ii) director deferred stock units that may be settled or exercised within 60 days of March 14, 2018.</w:t>
      </w:r>
    </w:p>
    <w:p>
      <w:pPr>
        <w:spacing w:after="0" w:line="109" w:lineRule="exact"/>
        <w:rPr>
          <w:rFonts w:ascii="Arial" w:cs="Arial" w:eastAsia="Arial" w:hAnsi="Arial"/>
          <w:sz w:val="14"/>
          <w:szCs w:val="14"/>
          <w:color w:val="auto"/>
        </w:rPr>
      </w:pPr>
    </w:p>
    <w:p>
      <w:pPr>
        <w:jc w:val="both"/>
        <w:ind w:left="520" w:right="20" w:hanging="316"/>
        <w:spacing w:after="0" w:line="224"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beneficial ownership of 12,005,554 shares of Common Stock by SRS Investment Management, LLC (“SRS”), Karthik R. Sarma and Sanoke Viswanathan (the “Reporting Persons”), as derived solely from information reported on Schedule 13D/A under the Exchange Act, as filed with the SEC on February 15, 2018. Such Schedule 13D/A indicates that SRS and Mr. Sarma share voting and dispositive power over 12,000,000 shares of Common Stock and Mr. Viswanathan has sole voting and dispositive power over 5,554 shares of Common Stock. Such Schedule 13D/A also indicates that the Reporting Persons have economic exposure to, and may be deemed to beneficially own, an additional 13,000,000 notional shares of Common Stock pursuant to cash-settled equity swaps and certain options. Such notional shares represent approximately 16% of the shares of Common Stock outstanding on March 14, 2018. The Schedule 13D/A indicates that the Reporting Persons do not have voting power or dispositive power with respect to the shares referenced in such swaps, and disclaim beneficial ownership of the shares underlying such swaps.</w:t>
      </w:r>
    </w:p>
    <w:p>
      <w:pPr>
        <w:spacing w:after="0" w:line="109" w:lineRule="exact"/>
        <w:rPr>
          <w:rFonts w:ascii="Arial" w:cs="Arial" w:eastAsia="Arial" w:hAnsi="Arial"/>
          <w:sz w:val="14"/>
          <w:szCs w:val="14"/>
          <w:color w:val="auto"/>
        </w:rPr>
      </w:pPr>
    </w:p>
    <w:p>
      <w:pPr>
        <w:jc w:val="both"/>
        <w:ind w:left="520" w:right="20" w:hanging="316"/>
        <w:spacing w:after="0" w:line="228"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beneficial ownership of 8,810,620 shares of Common Stock by FMR LLC as derived solely from information reported in a Schedule 13G under the Exchange Act, filed with the SEC on March 12, 2018. Such Schedule 13G indicates that FMR LLC has sole voting power over 711,198 shares, and sole dispositive power over 8,810,620 shares of Common Stock.</w:t>
      </w:r>
    </w:p>
    <w:p>
      <w:pPr>
        <w:spacing w:after="0" w:line="108" w:lineRule="exact"/>
        <w:rPr>
          <w:rFonts w:ascii="Arial" w:cs="Arial" w:eastAsia="Arial" w:hAnsi="Arial"/>
          <w:sz w:val="14"/>
          <w:szCs w:val="14"/>
          <w:color w:val="auto"/>
        </w:rPr>
      </w:pPr>
    </w:p>
    <w:p>
      <w:pPr>
        <w:jc w:val="both"/>
        <w:ind w:left="520" w:right="20" w:hanging="316"/>
        <w:spacing w:after="0" w:line="228"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beneficial ownership of 8,072,653 shares of Common Stock by BlackRock, Inc. (“BlackRock”), as derived solely from information in a Schedule 13G under the Exchange Act, filed with the SEC on January 23, 2018. Such Schedule 13G indicates that BlackRock has sole voting power over 7,891,331 shares of Common Stock and sole dispositive power over 8,072,653 shares of Common Stock.</w:t>
      </w:r>
    </w:p>
    <w:p>
      <w:pPr>
        <w:spacing w:after="0" w:line="108" w:lineRule="exact"/>
        <w:rPr>
          <w:rFonts w:ascii="Arial" w:cs="Arial" w:eastAsia="Arial" w:hAnsi="Arial"/>
          <w:sz w:val="14"/>
          <w:szCs w:val="14"/>
          <w:color w:val="auto"/>
        </w:rPr>
      </w:pPr>
    </w:p>
    <w:p>
      <w:pPr>
        <w:jc w:val="both"/>
        <w:ind w:left="520" w:right="20" w:hanging="316"/>
        <w:spacing w:after="0" w:line="228"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beneficial ownership of 7,598,004 shares of Common Stock by Glenview Capital Management, LLC and Larry Robbins as derived solely from information reported in a Schedule 13G under the Exchange Act, filed with the SEC on February 14, 2018. Such Schedule 13G indicates that Glenview Capital Management, LLC and Mr. Robbins share voting and dispositive power over the shares of Common Stock.</w:t>
      </w:r>
    </w:p>
    <w:p>
      <w:pPr>
        <w:spacing w:after="0" w:line="108" w:lineRule="exact"/>
        <w:rPr>
          <w:rFonts w:ascii="Arial" w:cs="Arial" w:eastAsia="Arial" w:hAnsi="Arial"/>
          <w:sz w:val="14"/>
          <w:szCs w:val="14"/>
          <w:color w:val="auto"/>
        </w:rPr>
      </w:pPr>
    </w:p>
    <w:p>
      <w:pPr>
        <w:jc w:val="both"/>
        <w:ind w:left="520" w:right="20" w:hanging="316"/>
        <w:spacing w:after="0" w:line="228"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beneficial ownership of 7,155,783 shares of Common Stock by Jefferies Financial Products, LLC, Jefferies Group LLC and Leucadia National Corporation (the “Jefferies Group”) as derived solely from information reported in a Schedule 13G under the Exchange Act, filed with the SEC on February 14, 2018. Such Schedule 13G indicates that the Jefferies Group has shared voting and dispositive power over the shares of Common Stock.</w:t>
      </w:r>
    </w:p>
    <w:p>
      <w:pPr>
        <w:spacing w:after="0" w:line="108" w:lineRule="exact"/>
        <w:rPr>
          <w:rFonts w:ascii="Arial" w:cs="Arial" w:eastAsia="Arial" w:hAnsi="Arial"/>
          <w:sz w:val="14"/>
          <w:szCs w:val="14"/>
          <w:color w:val="auto"/>
        </w:rPr>
      </w:pPr>
    </w:p>
    <w:p>
      <w:pPr>
        <w:jc w:val="both"/>
        <w:ind w:left="520" w:right="20" w:hanging="316"/>
        <w:spacing w:after="0" w:line="228"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beneficial ownership of 6,280,266 shares of Common Stock by The Vanguard Group, Inc., as derived solely from information reported in a Schedule 13G under the Exchange Act, filed with the SEC on February 12, 2018. Such Schedule 13G indicates that The Vanguard Group, Inc. has sole voting power over 140,278 shares, shared voting power over 10,769 shares, sole dispositive power over 6,134,844 shares, and shared dispositive power over 145,422 shares of Common Stock.</w:t>
      </w:r>
    </w:p>
    <w:p>
      <w:pPr>
        <w:spacing w:after="0" w:line="108" w:lineRule="exact"/>
        <w:rPr>
          <w:rFonts w:ascii="Arial" w:cs="Arial" w:eastAsia="Arial" w:hAnsi="Arial"/>
          <w:sz w:val="14"/>
          <w:szCs w:val="14"/>
          <w:color w:val="auto"/>
        </w:rPr>
      </w:pPr>
    </w:p>
    <w:p>
      <w:pPr>
        <w:jc w:val="both"/>
        <w:ind w:left="520" w:right="20" w:hanging="316"/>
        <w:spacing w:after="0" w:line="228"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beneficial ownership of 6,181,608 shares of Common Stock by PAR Investment Partners, LP, PAR Group, L.P. and PAR Capital Management, Inc. (“PAR”), as derived solely from information reported in a Schedule 13G under the Exchange Act, filed with the SEC on February 14, 2018. Such Schedule 13G indicates that PAR has sole voting power and dispositive power over the shares of Common Stock.</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520" w:hanging="316"/>
        <w:spacing w:after="0" w:line="226"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beneficial ownership of 4,384,829 shares of Common Stock by The Bank of New York Mellon Corporation and certain of its direct or indirect subsidiaries (together, “BNY”), as derived solely from information reported in a Schedule 13G under the Exchange Act, filed with the SEC on February 7, 2018. Such Schedule 13G indicates that BNY has sole voting power over 3,971,116 shares of Common Stock, shared voting power over 13,628 shares of Common Stock, sole dispositive power over 4,218,615 shares of Common Stock, and shared dispositive power over 166,154 shares of Common Stock.</w:t>
      </w:r>
    </w:p>
    <w:p>
      <w:pPr>
        <w:spacing w:after="0" w:line="109" w:lineRule="exact"/>
        <w:rPr>
          <w:rFonts w:ascii="Arial" w:cs="Arial" w:eastAsia="Arial" w:hAnsi="Arial"/>
          <w:sz w:val="14"/>
          <w:szCs w:val="14"/>
          <w:color w:val="auto"/>
        </w:rPr>
      </w:pPr>
    </w:p>
    <w:p>
      <w:pPr>
        <w:ind w:left="520" w:hanging="316"/>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shares of Common Stock underlying 160,000 fully vested but unexercised options held by Mr. Nelson.</w:t>
      </w:r>
    </w:p>
    <w:p>
      <w:pPr>
        <w:spacing w:after="0" w:line="109" w:lineRule="exact"/>
        <w:rPr>
          <w:rFonts w:ascii="Arial" w:cs="Arial" w:eastAsia="Arial" w:hAnsi="Arial"/>
          <w:sz w:val="14"/>
          <w:szCs w:val="14"/>
          <w:color w:val="auto"/>
        </w:rPr>
      </w:pPr>
    </w:p>
    <w:p>
      <w:pPr>
        <w:jc w:val="both"/>
        <w:ind w:left="520" w:hanging="316"/>
        <w:spacing w:after="0" w:line="226"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each non-employee director, (1) includes deferred stock units held under the Non-Employee Directors Deferred Compensation Plan, which, pursuant to the terms of the Plan, will be distributed in the form of Common Stock on a one-to-one basis as soon as reasonably practicable following such director’s retirement or termination of service from the Board for any reason (“Director Shares”), and (2) excludes deferred stock units held under the plan, which pursuant to the terms of the Plan will be distributed seven months following such director’s retirement or termination of service from the Board for any reason (“Director Deferred Shares”), as follows:</w:t>
      </w:r>
    </w:p>
    <w:p>
      <w:pPr>
        <w:spacing w:after="0" w:line="97"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20" w:type="dxa"/>
            <w:vAlign w:val="bottom"/>
          </w:tcPr>
          <w:p>
            <w:pPr>
              <w:ind w:left="460"/>
              <w:spacing w:after="0"/>
              <w:rPr>
                <w:sz w:val="20"/>
                <w:szCs w:val="20"/>
                <w:color w:val="auto"/>
              </w:rPr>
            </w:pPr>
            <w:r>
              <w:rPr>
                <w:rFonts w:ascii="Arial" w:cs="Arial" w:eastAsia="Arial" w:hAnsi="Arial"/>
                <w:sz w:val="14"/>
                <w:szCs w:val="14"/>
                <w:b w:val="1"/>
                <w:bCs w:val="1"/>
                <w:color w:val="auto"/>
              </w:rPr>
              <w:t>Director</w:t>
            </w:r>
          </w:p>
        </w:tc>
        <w:tc>
          <w:tcPr>
            <w:tcW w:w="2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ind w:left="460"/>
              <w:spacing w:after="0"/>
              <w:rPr>
                <w:sz w:val="20"/>
                <w:szCs w:val="20"/>
                <w:color w:val="auto"/>
              </w:rPr>
            </w:pPr>
            <w:r>
              <w:rPr>
                <w:rFonts w:ascii="Arial" w:cs="Arial" w:eastAsia="Arial" w:hAnsi="Arial"/>
                <w:sz w:val="14"/>
                <w:szCs w:val="14"/>
                <w:b w:val="1"/>
                <w:bCs w:val="1"/>
                <w:color w:val="auto"/>
              </w:rPr>
              <w:t>Director</w:t>
            </w:r>
          </w:p>
        </w:tc>
      </w:t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100" w:type="dxa"/>
            <w:vAlign w:val="bottom"/>
          </w:tcPr>
          <w:p>
            <w:pPr>
              <w:ind w:left="1100"/>
              <w:spacing w:after="0"/>
              <w:rPr>
                <w:sz w:val="20"/>
                <w:szCs w:val="20"/>
                <w:color w:val="auto"/>
              </w:rPr>
            </w:pPr>
            <w:r>
              <w:rPr>
                <w:rFonts w:ascii="Arial" w:cs="Arial" w:eastAsia="Arial" w:hAnsi="Arial"/>
                <w:sz w:val="14"/>
                <w:szCs w:val="14"/>
                <w:b w:val="1"/>
                <w:bCs w:val="1"/>
                <w:color w:val="auto"/>
              </w:rPr>
              <w:t>Director</w:t>
            </w:r>
          </w:p>
        </w:tc>
        <w:tc>
          <w:tcPr>
            <w:tcW w:w="1520" w:type="dxa"/>
            <w:vAlign w:val="bottom"/>
          </w:tcPr>
          <w:p>
            <w:pPr>
              <w:ind w:left="460"/>
              <w:spacing w:after="0"/>
              <w:rPr>
                <w:sz w:val="20"/>
                <w:szCs w:val="20"/>
                <w:color w:val="auto"/>
              </w:rPr>
            </w:pPr>
            <w:r>
              <w:rPr>
                <w:rFonts w:ascii="Arial" w:cs="Arial" w:eastAsia="Arial" w:hAnsi="Arial"/>
                <w:sz w:val="14"/>
                <w:szCs w:val="14"/>
                <w:b w:val="1"/>
                <w:bCs w:val="1"/>
                <w:color w:val="auto"/>
              </w:rPr>
              <w:t>Deferred</w:t>
            </w:r>
          </w:p>
        </w:tc>
        <w:tc>
          <w:tcPr>
            <w:tcW w:w="2000" w:type="dxa"/>
            <w:vAlign w:val="bottom"/>
          </w:tcPr>
          <w:p>
            <w:pPr>
              <w:spacing w:after="0"/>
              <w:rPr>
                <w:sz w:val="14"/>
                <w:szCs w:val="14"/>
                <w:color w:val="auto"/>
              </w:rPr>
            </w:pPr>
          </w:p>
        </w:tc>
        <w:tc>
          <w:tcPr>
            <w:tcW w:w="1480" w:type="dxa"/>
            <w:vAlign w:val="bottom"/>
          </w:tcPr>
          <w:p>
            <w:pPr>
              <w:ind w:left="480"/>
              <w:spacing w:after="0"/>
              <w:rPr>
                <w:sz w:val="20"/>
                <w:szCs w:val="20"/>
                <w:color w:val="auto"/>
              </w:rPr>
            </w:pPr>
            <w:r>
              <w:rPr>
                <w:rFonts w:ascii="Arial" w:cs="Arial" w:eastAsia="Arial" w:hAnsi="Arial"/>
                <w:sz w:val="14"/>
                <w:szCs w:val="14"/>
                <w:b w:val="1"/>
                <w:bCs w:val="1"/>
                <w:color w:val="auto"/>
              </w:rPr>
              <w:t>Director</w:t>
            </w:r>
          </w:p>
        </w:tc>
        <w:tc>
          <w:tcPr>
            <w:tcW w:w="1100" w:type="dxa"/>
            <w:vAlign w:val="bottom"/>
          </w:tcPr>
          <w:p>
            <w:pPr>
              <w:ind w:left="460"/>
              <w:spacing w:after="0"/>
              <w:rPr>
                <w:sz w:val="20"/>
                <w:szCs w:val="20"/>
                <w:color w:val="auto"/>
              </w:rPr>
            </w:pPr>
            <w:r>
              <w:rPr>
                <w:rFonts w:ascii="Arial" w:cs="Arial" w:eastAsia="Arial" w:hAnsi="Arial"/>
                <w:sz w:val="14"/>
                <w:szCs w:val="14"/>
                <w:b w:val="1"/>
                <w:bCs w:val="1"/>
                <w:color w:val="auto"/>
              </w:rPr>
              <w:t>Deferred</w:t>
            </w:r>
          </w:p>
        </w:tc>
      </w:tr>
      <w:tr>
        <w:trPr>
          <w:trHeight w:val="175"/>
        </w:trPr>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2100" w:type="dxa"/>
            <w:vAlign w:val="bottom"/>
          </w:tcPr>
          <w:p>
            <w:pPr>
              <w:ind w:left="1100"/>
              <w:spacing w:after="0"/>
              <w:rPr>
                <w:sz w:val="20"/>
                <w:szCs w:val="20"/>
                <w:color w:val="auto"/>
              </w:rPr>
            </w:pPr>
            <w:r>
              <w:rPr>
                <w:rFonts w:ascii="Arial" w:cs="Arial" w:eastAsia="Arial" w:hAnsi="Arial"/>
                <w:sz w:val="14"/>
                <w:szCs w:val="14"/>
                <w:b w:val="1"/>
                <w:bCs w:val="1"/>
                <w:color w:val="auto"/>
              </w:rPr>
              <w:t>Shares</w:t>
            </w:r>
          </w:p>
        </w:tc>
        <w:tc>
          <w:tcPr>
            <w:tcW w:w="152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2000" w:type="dxa"/>
            <w:vAlign w:val="bottom"/>
          </w:tcPr>
          <w:p>
            <w:pPr>
              <w:ind w:left="460"/>
              <w:spacing w:after="0"/>
              <w:rPr>
                <w:sz w:val="20"/>
                <w:szCs w:val="20"/>
                <w:color w:val="auto"/>
              </w:rPr>
            </w:pPr>
            <w:r>
              <w:rPr>
                <w:rFonts w:ascii="Arial" w:cs="Arial" w:eastAsia="Arial" w:hAnsi="Arial"/>
                <w:sz w:val="14"/>
                <w:szCs w:val="14"/>
                <w:b w:val="1"/>
                <w:bCs w:val="1"/>
                <w:color w:val="auto"/>
              </w:rPr>
              <w:t>Director</w:t>
            </w:r>
          </w:p>
        </w:tc>
        <w:tc>
          <w:tcPr>
            <w:tcW w:w="148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110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r>
      <w:tr>
        <w:trPr>
          <w:trHeight w:val="156"/>
        </w:trPr>
        <w:tc>
          <w:tcPr>
            <w:tcW w:w="20" w:type="dxa"/>
            <w:vAlign w:val="bottom"/>
          </w:tcPr>
          <w:p>
            <w:pPr>
              <w:spacing w:after="0"/>
              <w:rPr>
                <w:sz w:val="13"/>
                <w:szCs w:val="13"/>
                <w:color w:val="auto"/>
              </w:rPr>
            </w:pPr>
          </w:p>
        </w:tc>
        <w:tc>
          <w:tcPr>
            <w:tcW w:w="1920" w:type="dxa"/>
            <w:vAlign w:val="bottom"/>
            <w:tcBorders>
              <w:top w:val="single" w:sz="8" w:color="auto"/>
              <w:bottom w:val="single" w:sz="8" w:color="C1CECC"/>
            </w:tcBorders>
            <w:shd w:val="clear" w:color="auto" w:fill="F4F9F9"/>
          </w:tcPr>
          <w:p>
            <w:pPr>
              <w:spacing w:after="0" w:line="155" w:lineRule="exact"/>
              <w:rPr>
                <w:sz w:val="20"/>
                <w:szCs w:val="20"/>
                <w:color w:val="auto"/>
              </w:rPr>
            </w:pPr>
            <w:r>
              <w:rPr>
                <w:rFonts w:ascii="Arial" w:cs="Arial" w:eastAsia="Arial" w:hAnsi="Arial"/>
                <w:sz w:val="14"/>
                <w:szCs w:val="14"/>
                <w:color w:val="auto"/>
              </w:rPr>
              <w:t>Mr. Choi</w:t>
            </w:r>
          </w:p>
        </w:tc>
        <w:tc>
          <w:tcPr>
            <w:tcW w:w="2100" w:type="dxa"/>
            <w:vAlign w:val="bottom"/>
            <w:tcBorders>
              <w:top w:val="single" w:sz="8" w:color="auto"/>
              <w:bottom w:val="single" w:sz="8" w:color="C1CECC"/>
            </w:tcBorders>
            <w:shd w:val="clear" w:color="auto" w:fill="F4F9F9"/>
          </w:tcPr>
          <w:p>
            <w:pPr>
              <w:ind w:left="1100"/>
              <w:spacing w:after="0" w:line="155" w:lineRule="exact"/>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C1CECC"/>
            </w:tcBorders>
            <w:shd w:val="clear" w:color="auto" w:fill="F4F9F9"/>
          </w:tcPr>
          <w:p>
            <w:pPr>
              <w:ind w:left="460"/>
              <w:spacing w:after="0" w:line="155" w:lineRule="exact"/>
              <w:rPr>
                <w:sz w:val="20"/>
                <w:szCs w:val="20"/>
                <w:color w:val="auto"/>
              </w:rPr>
            </w:pPr>
            <w:r>
              <w:rPr>
                <w:rFonts w:ascii="Arial" w:cs="Arial" w:eastAsia="Arial" w:hAnsi="Arial"/>
                <w:sz w:val="14"/>
                <w:szCs w:val="14"/>
                <w:color w:val="auto"/>
              </w:rPr>
              <w:t>—</w:t>
            </w:r>
          </w:p>
        </w:tc>
        <w:tc>
          <w:tcPr>
            <w:tcW w:w="2000" w:type="dxa"/>
            <w:vAlign w:val="bottom"/>
            <w:tcBorders>
              <w:top w:val="single" w:sz="8" w:color="auto"/>
              <w:bottom w:val="single" w:sz="8" w:color="C1CECC"/>
            </w:tcBorders>
            <w:shd w:val="clear" w:color="auto" w:fill="F4F9F9"/>
          </w:tcPr>
          <w:p>
            <w:pPr>
              <w:ind w:left="460"/>
              <w:spacing w:after="0" w:line="155" w:lineRule="exact"/>
              <w:rPr>
                <w:sz w:val="20"/>
                <w:szCs w:val="20"/>
                <w:color w:val="auto"/>
              </w:rPr>
            </w:pPr>
            <w:r>
              <w:rPr>
                <w:rFonts w:ascii="Arial" w:cs="Arial" w:eastAsia="Arial" w:hAnsi="Arial"/>
                <w:sz w:val="14"/>
                <w:szCs w:val="14"/>
                <w:color w:val="auto"/>
              </w:rPr>
              <w:t>Ms. Krominga</w:t>
            </w:r>
          </w:p>
        </w:tc>
        <w:tc>
          <w:tcPr>
            <w:tcW w:w="1480" w:type="dxa"/>
            <w:vAlign w:val="bottom"/>
            <w:tcBorders>
              <w:top w:val="single" w:sz="8" w:color="auto"/>
              <w:bottom w:val="single" w:sz="8" w:color="C1CECC"/>
            </w:tcBorders>
            <w:shd w:val="clear" w:color="auto" w:fill="F4F9F9"/>
          </w:tcPr>
          <w:p>
            <w:pPr>
              <w:ind w:left="480"/>
              <w:spacing w:after="0" w:line="155" w:lineRule="exact"/>
              <w:rPr>
                <w:sz w:val="20"/>
                <w:szCs w:val="20"/>
                <w:color w:val="auto"/>
              </w:rPr>
            </w:pPr>
            <w:r>
              <w:rPr>
                <w:rFonts w:ascii="Arial" w:cs="Arial" w:eastAsia="Arial" w:hAnsi="Arial"/>
                <w:sz w:val="14"/>
                <w:szCs w:val="14"/>
                <w:color w:val="auto"/>
              </w:rPr>
              <w:t>15,967</w:t>
            </w:r>
          </w:p>
        </w:tc>
        <w:tc>
          <w:tcPr>
            <w:tcW w:w="1100" w:type="dxa"/>
            <w:vAlign w:val="bottom"/>
            <w:tcBorders>
              <w:top w:val="single" w:sz="8" w:color="auto"/>
              <w:bottom w:val="single" w:sz="8" w:color="C1CECC"/>
            </w:tcBorders>
            <w:shd w:val="clear" w:color="auto" w:fill="F4F9F9"/>
          </w:tcPr>
          <w:p>
            <w:pPr>
              <w:ind w:left="460"/>
              <w:spacing w:after="0" w:line="155" w:lineRule="exact"/>
              <w:rPr>
                <w:sz w:val="20"/>
                <w:szCs w:val="20"/>
                <w:color w:val="auto"/>
              </w:rPr>
            </w:pPr>
            <w:r>
              <w:rPr>
                <w:rFonts w:ascii="Arial" w:cs="Arial" w:eastAsia="Arial" w:hAnsi="Arial"/>
                <w:sz w:val="14"/>
                <w:szCs w:val="14"/>
                <w:color w:val="auto"/>
              </w:rPr>
              <w:t>37,939</w:t>
            </w:r>
          </w:p>
        </w:tc>
      </w:tr>
      <w:tr>
        <w:trPr>
          <w:trHeight w:val="156"/>
        </w:trPr>
        <w:tc>
          <w:tcPr>
            <w:tcW w:w="1940" w:type="dxa"/>
            <w:vAlign w:val="bottom"/>
            <w:gridSpan w:val="2"/>
          </w:tcPr>
          <w:p>
            <w:pPr>
              <w:spacing w:after="0" w:line="155" w:lineRule="exact"/>
              <w:rPr>
                <w:sz w:val="20"/>
                <w:szCs w:val="20"/>
                <w:color w:val="auto"/>
              </w:rPr>
            </w:pPr>
            <w:r>
              <w:rPr>
                <w:rFonts w:ascii="Arial" w:cs="Arial" w:eastAsia="Arial" w:hAnsi="Arial"/>
                <w:sz w:val="14"/>
                <w:szCs w:val="14"/>
                <w:color w:val="auto"/>
              </w:rPr>
              <w:t>Ms. Choksi</w:t>
            </w:r>
          </w:p>
        </w:tc>
        <w:tc>
          <w:tcPr>
            <w:tcW w:w="2100" w:type="dxa"/>
            <w:vAlign w:val="bottom"/>
          </w:tcPr>
          <w:p>
            <w:pPr>
              <w:ind w:left="1100"/>
              <w:spacing w:after="0" w:line="155" w:lineRule="exact"/>
              <w:rPr>
                <w:sz w:val="20"/>
                <w:szCs w:val="20"/>
                <w:color w:val="auto"/>
              </w:rPr>
            </w:pPr>
            <w:r>
              <w:rPr>
                <w:rFonts w:ascii="Arial" w:cs="Arial" w:eastAsia="Arial" w:hAnsi="Arial"/>
                <w:sz w:val="14"/>
                <w:szCs w:val="14"/>
                <w:color w:val="auto"/>
              </w:rPr>
              <w:t>31,108</w:t>
            </w:r>
          </w:p>
        </w:tc>
        <w:tc>
          <w:tcPr>
            <w:tcW w:w="1520" w:type="dxa"/>
            <w:vAlign w:val="bottom"/>
          </w:tcPr>
          <w:p>
            <w:pPr>
              <w:ind w:left="460"/>
              <w:spacing w:after="0" w:line="155" w:lineRule="exact"/>
              <w:rPr>
                <w:sz w:val="20"/>
                <w:szCs w:val="20"/>
                <w:color w:val="auto"/>
              </w:rPr>
            </w:pPr>
            <w:r>
              <w:rPr>
                <w:rFonts w:ascii="Arial" w:cs="Arial" w:eastAsia="Arial" w:hAnsi="Arial"/>
                <w:sz w:val="14"/>
                <w:szCs w:val="14"/>
                <w:color w:val="auto"/>
              </w:rPr>
              <w:t>35,584</w:t>
            </w:r>
          </w:p>
        </w:tc>
        <w:tc>
          <w:tcPr>
            <w:tcW w:w="2000" w:type="dxa"/>
            <w:vAlign w:val="bottom"/>
          </w:tcPr>
          <w:p>
            <w:pPr>
              <w:ind w:left="460"/>
              <w:spacing w:after="0" w:line="155" w:lineRule="exact"/>
              <w:rPr>
                <w:sz w:val="20"/>
                <w:szCs w:val="20"/>
                <w:color w:val="auto"/>
              </w:rPr>
            </w:pPr>
            <w:r>
              <w:rPr>
                <w:rFonts w:ascii="Arial" w:cs="Arial" w:eastAsia="Arial" w:hAnsi="Arial"/>
                <w:sz w:val="14"/>
                <w:szCs w:val="14"/>
                <w:color w:val="auto"/>
              </w:rPr>
              <w:t>Mr. Mestre</w:t>
            </w:r>
          </w:p>
        </w:tc>
        <w:tc>
          <w:tcPr>
            <w:tcW w:w="1480" w:type="dxa"/>
            <w:vAlign w:val="bottom"/>
          </w:tcPr>
          <w:p>
            <w:pPr>
              <w:ind w:left="480"/>
              <w:spacing w:after="0" w:line="155" w:lineRule="exact"/>
              <w:rPr>
                <w:sz w:val="20"/>
                <w:szCs w:val="20"/>
                <w:color w:val="auto"/>
              </w:rPr>
            </w:pPr>
            <w:r>
              <w:rPr>
                <w:rFonts w:ascii="Arial" w:cs="Arial" w:eastAsia="Arial" w:hAnsi="Arial"/>
                <w:sz w:val="14"/>
                <w:szCs w:val="14"/>
                <w:color w:val="auto"/>
              </w:rPr>
              <w:t>43,710</w:t>
            </w:r>
          </w:p>
        </w:tc>
        <w:tc>
          <w:tcPr>
            <w:tcW w:w="1100" w:type="dxa"/>
            <w:vAlign w:val="bottom"/>
          </w:tcPr>
          <w:p>
            <w:pPr>
              <w:ind w:left="460"/>
              <w:spacing w:after="0" w:line="155" w:lineRule="exact"/>
              <w:rPr>
                <w:sz w:val="20"/>
                <w:szCs w:val="20"/>
                <w:color w:val="auto"/>
              </w:rPr>
            </w:pPr>
            <w:r>
              <w:rPr>
                <w:rFonts w:ascii="Arial" w:cs="Arial" w:eastAsia="Arial" w:hAnsi="Arial"/>
                <w:sz w:val="14"/>
                <w:szCs w:val="14"/>
                <w:color w:val="auto"/>
              </w:rPr>
              <w:t>32,979</w:t>
            </w:r>
          </w:p>
        </w:tc>
      </w:tr>
      <w:tr>
        <w:trPr>
          <w:trHeight w:val="156"/>
        </w:trPr>
        <w:tc>
          <w:tcPr>
            <w:tcW w:w="20" w:type="dxa"/>
            <w:vAlign w:val="bottom"/>
          </w:tcPr>
          <w:p>
            <w:pPr>
              <w:spacing w:after="0"/>
              <w:rPr>
                <w:sz w:val="13"/>
                <w:szCs w:val="13"/>
                <w:color w:val="auto"/>
              </w:rPr>
            </w:pPr>
          </w:p>
        </w:tc>
        <w:tc>
          <w:tcPr>
            <w:tcW w:w="1920" w:type="dxa"/>
            <w:vAlign w:val="bottom"/>
            <w:tcBorders>
              <w:top w:val="single" w:sz="8" w:color="C1CECC"/>
              <w:bottom w:val="single" w:sz="8" w:color="C1CECC"/>
            </w:tcBorders>
            <w:shd w:val="clear" w:color="auto" w:fill="F4F9F9"/>
          </w:tcPr>
          <w:p>
            <w:pPr>
              <w:spacing w:after="0" w:line="155" w:lineRule="exact"/>
              <w:rPr>
                <w:sz w:val="20"/>
                <w:szCs w:val="20"/>
                <w:color w:val="auto"/>
              </w:rPr>
            </w:pPr>
            <w:r>
              <w:rPr>
                <w:rFonts w:ascii="Arial" w:cs="Arial" w:eastAsia="Arial" w:hAnsi="Arial"/>
                <w:sz w:val="14"/>
                <w:szCs w:val="14"/>
                <w:color w:val="auto"/>
              </w:rPr>
              <w:t>Mr. Coleman</w:t>
            </w:r>
          </w:p>
        </w:tc>
        <w:tc>
          <w:tcPr>
            <w:tcW w:w="2100" w:type="dxa"/>
            <w:vAlign w:val="bottom"/>
            <w:tcBorders>
              <w:top w:val="single" w:sz="8" w:color="C1CECC"/>
              <w:bottom w:val="single" w:sz="8" w:color="C1CECC"/>
            </w:tcBorders>
            <w:shd w:val="clear" w:color="auto" w:fill="F4F9F9"/>
          </w:tcPr>
          <w:p>
            <w:pPr>
              <w:ind w:left="1100"/>
              <w:spacing w:after="0" w:line="155" w:lineRule="exact"/>
              <w:rPr>
                <w:sz w:val="20"/>
                <w:szCs w:val="20"/>
                <w:color w:val="auto"/>
              </w:rPr>
            </w:pPr>
            <w:r>
              <w:rPr>
                <w:rFonts w:ascii="Arial" w:cs="Arial" w:eastAsia="Arial" w:hAnsi="Arial"/>
                <w:sz w:val="14"/>
                <w:szCs w:val="14"/>
                <w:color w:val="auto"/>
              </w:rPr>
              <w:t>23,986</w:t>
            </w:r>
          </w:p>
        </w:tc>
        <w:tc>
          <w:tcPr>
            <w:tcW w:w="1520" w:type="dxa"/>
            <w:vAlign w:val="bottom"/>
            <w:tcBorders>
              <w:top w:val="single" w:sz="8" w:color="C1CECC"/>
              <w:bottom w:val="single" w:sz="8" w:color="C1CECC"/>
            </w:tcBorders>
            <w:shd w:val="clear" w:color="auto" w:fill="F4F9F9"/>
          </w:tcPr>
          <w:p>
            <w:pPr>
              <w:ind w:left="460"/>
              <w:spacing w:after="0" w:line="155" w:lineRule="exact"/>
              <w:rPr>
                <w:sz w:val="20"/>
                <w:szCs w:val="20"/>
                <w:color w:val="auto"/>
              </w:rPr>
            </w:pPr>
            <w:r>
              <w:rPr>
                <w:rFonts w:ascii="Arial" w:cs="Arial" w:eastAsia="Arial" w:hAnsi="Arial"/>
                <w:sz w:val="14"/>
                <w:szCs w:val="14"/>
                <w:color w:val="auto"/>
              </w:rPr>
              <w:t>45,301</w:t>
            </w:r>
          </w:p>
        </w:tc>
        <w:tc>
          <w:tcPr>
            <w:tcW w:w="2000" w:type="dxa"/>
            <w:vAlign w:val="bottom"/>
            <w:tcBorders>
              <w:top w:val="single" w:sz="8" w:color="C1CECC"/>
              <w:bottom w:val="single" w:sz="8" w:color="C1CECC"/>
            </w:tcBorders>
            <w:shd w:val="clear" w:color="auto" w:fill="F4F9F9"/>
          </w:tcPr>
          <w:p>
            <w:pPr>
              <w:ind w:left="460"/>
              <w:spacing w:after="0" w:line="155" w:lineRule="exact"/>
              <w:rPr>
                <w:sz w:val="20"/>
                <w:szCs w:val="20"/>
                <w:color w:val="auto"/>
              </w:rPr>
            </w:pPr>
            <w:r>
              <w:rPr>
                <w:rFonts w:ascii="Arial" w:cs="Arial" w:eastAsia="Arial" w:hAnsi="Arial"/>
                <w:sz w:val="14"/>
                <w:szCs w:val="14"/>
                <w:color w:val="auto"/>
              </w:rPr>
              <w:t>Mr. Salerno</w:t>
            </w:r>
          </w:p>
        </w:tc>
        <w:tc>
          <w:tcPr>
            <w:tcW w:w="1480" w:type="dxa"/>
            <w:vAlign w:val="bottom"/>
            <w:tcBorders>
              <w:top w:val="single" w:sz="8" w:color="C1CECC"/>
              <w:bottom w:val="single" w:sz="8" w:color="C1CECC"/>
            </w:tcBorders>
            <w:shd w:val="clear" w:color="auto" w:fill="F4F9F9"/>
          </w:tcPr>
          <w:p>
            <w:pPr>
              <w:ind w:left="480"/>
              <w:spacing w:after="0" w:line="155" w:lineRule="exact"/>
              <w:rPr>
                <w:sz w:val="20"/>
                <w:szCs w:val="20"/>
                <w:color w:val="auto"/>
              </w:rPr>
            </w:pPr>
            <w:r>
              <w:rPr>
                <w:rFonts w:ascii="Arial" w:cs="Arial" w:eastAsia="Arial" w:hAnsi="Arial"/>
                <w:sz w:val="14"/>
                <w:szCs w:val="14"/>
                <w:color w:val="auto"/>
              </w:rPr>
              <w:t>20,211</w:t>
            </w:r>
          </w:p>
        </w:tc>
        <w:tc>
          <w:tcPr>
            <w:tcW w:w="1100" w:type="dxa"/>
            <w:vAlign w:val="bottom"/>
            <w:tcBorders>
              <w:top w:val="single" w:sz="8" w:color="C1CECC"/>
              <w:bottom w:val="single" w:sz="8" w:color="C1CECC"/>
            </w:tcBorders>
            <w:shd w:val="clear" w:color="auto" w:fill="F4F9F9"/>
          </w:tcPr>
          <w:p>
            <w:pPr>
              <w:ind w:left="460"/>
              <w:spacing w:after="0" w:line="155" w:lineRule="exact"/>
              <w:rPr>
                <w:sz w:val="20"/>
                <w:szCs w:val="20"/>
                <w:color w:val="auto"/>
              </w:rPr>
            </w:pPr>
            <w:r>
              <w:rPr>
                <w:rFonts w:ascii="Arial" w:cs="Arial" w:eastAsia="Arial" w:hAnsi="Arial"/>
                <w:sz w:val="14"/>
                <w:szCs w:val="14"/>
                <w:color w:val="auto"/>
              </w:rPr>
              <w:t>—</w:t>
            </w:r>
          </w:p>
        </w:tc>
      </w:tr>
      <w:tr>
        <w:trPr>
          <w:trHeight w:val="156"/>
        </w:trPr>
        <w:tc>
          <w:tcPr>
            <w:tcW w:w="1940" w:type="dxa"/>
            <w:vAlign w:val="bottom"/>
            <w:gridSpan w:val="2"/>
          </w:tcPr>
          <w:p>
            <w:pPr>
              <w:spacing w:after="0" w:line="155" w:lineRule="exact"/>
              <w:rPr>
                <w:sz w:val="20"/>
                <w:szCs w:val="20"/>
                <w:color w:val="auto"/>
              </w:rPr>
            </w:pPr>
            <w:r>
              <w:rPr>
                <w:rFonts w:ascii="Arial" w:cs="Arial" w:eastAsia="Arial" w:hAnsi="Arial"/>
                <w:sz w:val="14"/>
                <w:szCs w:val="14"/>
                <w:color w:val="auto"/>
              </w:rPr>
              <w:t>Mr. Fox</w:t>
            </w:r>
          </w:p>
        </w:tc>
        <w:tc>
          <w:tcPr>
            <w:tcW w:w="2100" w:type="dxa"/>
            <w:vAlign w:val="bottom"/>
          </w:tcPr>
          <w:p>
            <w:pPr>
              <w:ind w:left="1100"/>
              <w:spacing w:after="0" w:line="155" w:lineRule="exact"/>
              <w:rPr>
                <w:sz w:val="20"/>
                <w:szCs w:val="20"/>
                <w:color w:val="auto"/>
              </w:rPr>
            </w:pPr>
            <w:r>
              <w:rPr>
                <w:rFonts w:ascii="Arial" w:cs="Arial" w:eastAsia="Arial" w:hAnsi="Arial"/>
                <w:sz w:val="14"/>
                <w:szCs w:val="14"/>
                <w:color w:val="auto"/>
              </w:rPr>
              <w:t>12,549</w:t>
            </w:r>
          </w:p>
        </w:tc>
        <w:tc>
          <w:tcPr>
            <w:tcW w:w="1520" w:type="dxa"/>
            <w:vAlign w:val="bottom"/>
          </w:tcPr>
          <w:p>
            <w:pPr>
              <w:ind w:left="460"/>
              <w:spacing w:after="0" w:line="155" w:lineRule="exact"/>
              <w:rPr>
                <w:sz w:val="20"/>
                <w:szCs w:val="20"/>
                <w:color w:val="auto"/>
              </w:rPr>
            </w:pPr>
            <w:r>
              <w:rPr>
                <w:rFonts w:ascii="Arial" w:cs="Arial" w:eastAsia="Arial" w:hAnsi="Arial"/>
                <w:sz w:val="14"/>
                <w:szCs w:val="14"/>
                <w:color w:val="auto"/>
              </w:rPr>
              <w:t>—</w:t>
            </w:r>
          </w:p>
        </w:tc>
        <w:tc>
          <w:tcPr>
            <w:tcW w:w="2000" w:type="dxa"/>
            <w:vAlign w:val="bottom"/>
          </w:tcPr>
          <w:p>
            <w:pPr>
              <w:ind w:left="460"/>
              <w:spacing w:after="0" w:line="155" w:lineRule="exact"/>
              <w:rPr>
                <w:sz w:val="20"/>
                <w:szCs w:val="20"/>
                <w:color w:val="auto"/>
              </w:rPr>
            </w:pPr>
            <w:r>
              <w:rPr>
                <w:rFonts w:ascii="Arial" w:cs="Arial" w:eastAsia="Arial" w:hAnsi="Arial"/>
                <w:sz w:val="14"/>
                <w:szCs w:val="14"/>
                <w:color w:val="auto"/>
              </w:rPr>
              <w:t>Mr. Sweeney</w:t>
            </w:r>
          </w:p>
        </w:tc>
        <w:tc>
          <w:tcPr>
            <w:tcW w:w="1480" w:type="dxa"/>
            <w:vAlign w:val="bottom"/>
          </w:tcPr>
          <w:p>
            <w:pPr>
              <w:ind w:left="480"/>
              <w:spacing w:after="0" w:line="155" w:lineRule="exact"/>
              <w:rPr>
                <w:sz w:val="20"/>
                <w:szCs w:val="20"/>
                <w:color w:val="auto"/>
              </w:rPr>
            </w:pPr>
            <w:r>
              <w:rPr>
                <w:rFonts w:ascii="Arial" w:cs="Arial" w:eastAsia="Arial" w:hAnsi="Arial"/>
                <w:sz w:val="14"/>
                <w:szCs w:val="14"/>
                <w:color w:val="auto"/>
              </w:rPr>
              <w:t>34,032</w:t>
            </w:r>
          </w:p>
        </w:tc>
        <w:tc>
          <w:tcPr>
            <w:tcW w:w="1100" w:type="dxa"/>
            <w:vAlign w:val="bottom"/>
          </w:tcPr>
          <w:p>
            <w:pPr>
              <w:ind w:left="460"/>
              <w:spacing w:after="0" w:line="155" w:lineRule="exact"/>
              <w:rPr>
                <w:sz w:val="20"/>
                <w:szCs w:val="20"/>
                <w:color w:val="auto"/>
              </w:rPr>
            </w:pPr>
            <w:r>
              <w:rPr>
                <w:rFonts w:ascii="Arial" w:cs="Arial" w:eastAsia="Arial" w:hAnsi="Arial"/>
                <w:sz w:val="14"/>
                <w:szCs w:val="14"/>
                <w:color w:val="auto"/>
              </w:rPr>
              <w:t>32,679</w:t>
            </w:r>
          </w:p>
        </w:tc>
      </w:tr>
      <w:tr>
        <w:trPr>
          <w:trHeight w:val="156"/>
        </w:trPr>
        <w:tc>
          <w:tcPr>
            <w:tcW w:w="20" w:type="dxa"/>
            <w:vAlign w:val="bottom"/>
          </w:tcPr>
          <w:p>
            <w:pPr>
              <w:spacing w:after="0"/>
              <w:rPr>
                <w:sz w:val="13"/>
                <w:szCs w:val="13"/>
                <w:color w:val="auto"/>
              </w:rPr>
            </w:pPr>
          </w:p>
        </w:tc>
        <w:tc>
          <w:tcPr>
            <w:tcW w:w="1920" w:type="dxa"/>
            <w:vAlign w:val="bottom"/>
            <w:tcBorders>
              <w:top w:val="single" w:sz="8" w:color="C1CECC"/>
              <w:bottom w:val="single" w:sz="8" w:color="auto"/>
            </w:tcBorders>
            <w:shd w:val="clear" w:color="auto" w:fill="F4F9F9"/>
          </w:tcPr>
          <w:p>
            <w:pPr>
              <w:spacing w:after="0" w:line="155" w:lineRule="exact"/>
              <w:rPr>
                <w:sz w:val="20"/>
                <w:szCs w:val="20"/>
                <w:color w:val="auto"/>
              </w:rPr>
            </w:pPr>
            <w:r>
              <w:rPr>
                <w:rFonts w:ascii="Arial" w:cs="Arial" w:eastAsia="Arial" w:hAnsi="Arial"/>
                <w:sz w:val="14"/>
                <w:szCs w:val="14"/>
                <w:color w:val="auto"/>
              </w:rPr>
              <w:t>Mr. Hardy</w:t>
            </w:r>
          </w:p>
        </w:tc>
        <w:tc>
          <w:tcPr>
            <w:tcW w:w="2100" w:type="dxa"/>
            <w:vAlign w:val="bottom"/>
            <w:tcBorders>
              <w:top w:val="single" w:sz="8" w:color="C1CECC"/>
              <w:bottom w:val="single" w:sz="8" w:color="auto"/>
            </w:tcBorders>
            <w:shd w:val="clear" w:color="auto" w:fill="F4F9F9"/>
          </w:tcPr>
          <w:p>
            <w:pPr>
              <w:ind w:left="1100"/>
              <w:spacing w:after="0" w:line="155" w:lineRule="exact"/>
              <w:rPr>
                <w:sz w:val="20"/>
                <w:szCs w:val="20"/>
                <w:color w:val="auto"/>
              </w:rPr>
            </w:pPr>
            <w:r>
              <w:rPr>
                <w:rFonts w:ascii="Arial" w:cs="Arial" w:eastAsia="Arial" w:hAnsi="Arial"/>
                <w:sz w:val="14"/>
                <w:szCs w:val="14"/>
                <w:color w:val="auto"/>
              </w:rPr>
              <w:t>19,185</w:t>
            </w:r>
          </w:p>
        </w:tc>
        <w:tc>
          <w:tcPr>
            <w:tcW w:w="1520" w:type="dxa"/>
            <w:vAlign w:val="bottom"/>
            <w:tcBorders>
              <w:top w:val="single" w:sz="8" w:color="C1CECC"/>
              <w:bottom w:val="single" w:sz="8" w:color="auto"/>
            </w:tcBorders>
            <w:shd w:val="clear" w:color="auto" w:fill="F4F9F9"/>
          </w:tcPr>
          <w:p>
            <w:pPr>
              <w:ind w:left="460"/>
              <w:spacing w:after="0" w:line="155" w:lineRule="exact"/>
              <w:rPr>
                <w:sz w:val="20"/>
                <w:szCs w:val="20"/>
                <w:color w:val="auto"/>
              </w:rPr>
            </w:pPr>
            <w:r>
              <w:rPr>
                <w:rFonts w:ascii="Arial" w:cs="Arial" w:eastAsia="Arial" w:hAnsi="Arial"/>
                <w:sz w:val="14"/>
                <w:szCs w:val="14"/>
                <w:color w:val="auto"/>
              </w:rPr>
              <w:t>34,889</w:t>
            </w:r>
          </w:p>
        </w:tc>
        <w:tc>
          <w:tcPr>
            <w:tcW w:w="2000" w:type="dxa"/>
            <w:vAlign w:val="bottom"/>
            <w:tcBorders>
              <w:top w:val="single" w:sz="8" w:color="C1CECC"/>
              <w:bottom w:val="single" w:sz="8" w:color="auto"/>
            </w:tcBorders>
            <w:shd w:val="clear" w:color="auto" w:fill="F4F9F9"/>
          </w:tcPr>
          <w:p>
            <w:pPr>
              <w:ind w:left="460"/>
              <w:spacing w:after="0" w:line="155" w:lineRule="exact"/>
              <w:rPr>
                <w:sz w:val="20"/>
                <w:szCs w:val="20"/>
                <w:color w:val="auto"/>
              </w:rPr>
            </w:pPr>
            <w:r>
              <w:rPr>
                <w:rFonts w:ascii="Arial" w:cs="Arial" w:eastAsia="Arial" w:hAnsi="Arial"/>
                <w:sz w:val="14"/>
                <w:szCs w:val="14"/>
                <w:color w:val="auto"/>
              </w:rPr>
              <w:t>Mr. Viswanathan</w:t>
            </w:r>
          </w:p>
        </w:tc>
        <w:tc>
          <w:tcPr>
            <w:tcW w:w="1480" w:type="dxa"/>
            <w:vAlign w:val="bottom"/>
            <w:tcBorders>
              <w:top w:val="single" w:sz="8" w:color="C1CECC"/>
              <w:bottom w:val="single" w:sz="8" w:color="auto"/>
            </w:tcBorders>
            <w:shd w:val="clear" w:color="auto" w:fill="F4F9F9"/>
          </w:tcPr>
          <w:p>
            <w:pPr>
              <w:ind w:left="480"/>
              <w:spacing w:after="0" w:line="155" w:lineRule="exact"/>
              <w:rPr>
                <w:sz w:val="20"/>
                <w:szCs w:val="20"/>
                <w:color w:val="auto"/>
              </w:rPr>
            </w:pPr>
            <w:r>
              <w:rPr>
                <w:rFonts w:ascii="Arial" w:cs="Arial" w:eastAsia="Arial" w:hAnsi="Arial"/>
                <w:sz w:val="14"/>
                <w:szCs w:val="14"/>
                <w:color w:val="auto"/>
              </w:rPr>
              <w:t>6,126</w:t>
            </w:r>
          </w:p>
        </w:tc>
        <w:tc>
          <w:tcPr>
            <w:tcW w:w="1100" w:type="dxa"/>
            <w:vAlign w:val="bottom"/>
            <w:tcBorders>
              <w:top w:val="single" w:sz="8" w:color="C1CECC"/>
              <w:bottom w:val="single" w:sz="8" w:color="auto"/>
            </w:tcBorders>
            <w:shd w:val="clear" w:color="auto" w:fill="F4F9F9"/>
          </w:tcPr>
          <w:p>
            <w:pPr>
              <w:ind w:left="460"/>
              <w:spacing w:after="0" w:line="155" w:lineRule="exact"/>
              <w:rPr>
                <w:sz w:val="20"/>
                <w:szCs w:val="20"/>
                <w:color w:val="auto"/>
              </w:rPr>
            </w:pPr>
            <w:r>
              <w:rPr>
                <w:rFonts w:ascii="Arial" w:cs="Arial" w:eastAsia="Arial" w:hAnsi="Arial"/>
                <w:sz w:val="14"/>
                <w:szCs w:val="14"/>
                <w:color w:val="auto"/>
              </w:rPr>
              <w:t>—</w:t>
            </w:r>
          </w:p>
        </w:tc>
      </w:tr>
    </w:tbl>
    <w:p>
      <w:pPr>
        <w:spacing w:after="0" w:line="121" w:lineRule="exact"/>
        <w:rPr>
          <w:sz w:val="20"/>
          <w:szCs w:val="20"/>
          <w:color w:val="auto"/>
        </w:rPr>
      </w:pPr>
    </w:p>
    <w:p>
      <w:pPr>
        <w:ind w:left="520" w:hanging="316"/>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Excludes 219,371 Director Deferred Shares.</w:t>
      </w:r>
    </w:p>
    <w:p>
      <w:pPr>
        <w:spacing w:after="0" w:line="109" w:lineRule="exact"/>
        <w:rPr>
          <w:rFonts w:ascii="Arial" w:cs="Arial" w:eastAsia="Arial" w:hAnsi="Arial"/>
          <w:sz w:val="14"/>
          <w:szCs w:val="14"/>
          <w:color w:val="auto"/>
        </w:rPr>
      </w:pPr>
    </w:p>
    <w:p>
      <w:pPr>
        <w:ind w:left="520" w:hanging="316"/>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206,874 Director Shares and 160,000 shares of Common Stock underlying fully vested but unexercised options with a strike price of $11.53.</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200"/>
        <w:spacing w:after="0"/>
        <w:rPr>
          <w:sz w:val="20"/>
          <w:szCs w:val="20"/>
          <w:color w:val="auto"/>
        </w:rPr>
      </w:pPr>
      <w:r>
        <w:rPr>
          <w:rFonts w:ascii="Arial" w:cs="Arial" w:eastAsia="Arial" w:hAnsi="Arial"/>
          <w:sz w:val="32"/>
          <w:szCs w:val="32"/>
          <w:color w:val="auto"/>
        </w:rPr>
        <w:t>Section 16(a) Beneficial Ownership Reporting Compliance</w:t>
      </w:r>
    </w:p>
    <w:p>
      <w:pPr>
        <w:spacing w:after="0" w:line="114"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Section 16(a) of the Exchange Act requires the Company’s executive officers and directors, and persons who beneficially own more than ten percent of a registered class of the Company’s equity securities, to file reports of ownership and changes in ownership on Forms 3, 4 and 5 with the SEC. As a practical matter, the Company typically assists its directors and executive officers by monitoring transactions and completing and filing Section 16 reports on their behalf. The Company believes that all filings required to be made under Section 16(a) of the Exchange Act during 2017 were timely made.</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32"/>
          <w:szCs w:val="32"/>
          <w:color w:val="auto"/>
        </w:rPr>
        <w:t>Executive Officers</w:t>
      </w:r>
    </w:p>
    <w:p>
      <w:pPr>
        <w:spacing w:after="0" w:line="114"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The present executive officers of the Company are set forth in the table below. All executive officers are appointed at the annual meeting or interim meetings of the Board of Directors. Each executive officer is appointed by the Board of Directors to hold office at the discretion of the Board of Directors and may be removed at any time by the Board of Directors with or without cause.</w:t>
      </w:r>
    </w:p>
    <w:p>
      <w:pPr>
        <w:spacing w:after="0" w:line="93" w:lineRule="exact"/>
        <w:rPr>
          <w:sz w:val="20"/>
          <w:szCs w:val="20"/>
          <w:color w:val="auto"/>
        </w:rPr>
      </w:pPr>
    </w:p>
    <w:tbl>
      <w:tblPr>
        <w:tblLayout w:type="fixed"/>
        <w:tblInd w:w="200" w:type="dxa"/>
        <w:tblCellMar>
          <w:top w:w="0" w:type="dxa"/>
          <w:left w:w="0" w:type="dxa"/>
          <w:bottom w:w="0" w:type="dxa"/>
          <w:right w:w="0" w:type="dxa"/>
        </w:tblCellMar>
      </w:tblPr>
      <w:tr>
        <w:trPr>
          <w:trHeight w:val="165"/>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91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Offices or Positions To be Held</w:t>
            </w:r>
          </w:p>
        </w:tc>
      </w:tr>
      <w:tr>
        <w:trPr>
          <w:trHeight w:val="196"/>
        </w:trPr>
        <w:tc>
          <w:tcPr>
            <w:tcW w:w="192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Larry D. De Shon</w:t>
            </w:r>
          </w:p>
        </w:tc>
        <w:tc>
          <w:tcPr>
            <w:tcW w:w="9120" w:type="dxa"/>
            <w:vAlign w:val="bottom"/>
            <w:tcBorders>
              <w:bottom w:val="single" w:sz="8" w:color="C1CECC"/>
            </w:tcBorders>
          </w:tcPr>
          <w:p>
            <w:pPr>
              <w:ind w:left="400"/>
              <w:spacing w:after="0" w:line="196" w:lineRule="exact"/>
              <w:rPr>
                <w:sz w:val="20"/>
                <w:szCs w:val="20"/>
                <w:color w:val="auto"/>
              </w:rPr>
            </w:pPr>
            <w:r>
              <w:rPr>
                <w:rFonts w:ascii="Arial" w:cs="Arial" w:eastAsia="Arial" w:hAnsi="Arial"/>
                <w:sz w:val="18"/>
                <w:szCs w:val="18"/>
                <w:color w:val="auto"/>
              </w:rPr>
              <w:t>Chief Executive Officer, President and Chief Operating Officer</w:t>
            </w:r>
          </w:p>
        </w:tc>
      </w:tr>
      <w:tr>
        <w:trPr>
          <w:trHeight w:val="196"/>
        </w:trPr>
        <w:tc>
          <w:tcPr>
            <w:tcW w:w="192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Ronald L. Nelson</w:t>
            </w:r>
          </w:p>
        </w:tc>
        <w:tc>
          <w:tcPr>
            <w:tcW w:w="9120" w:type="dxa"/>
            <w:vAlign w:val="bottom"/>
            <w:tcBorders>
              <w:bottom w:val="single" w:sz="8" w:color="C1CECC"/>
            </w:tcBorders>
          </w:tcPr>
          <w:p>
            <w:pPr>
              <w:ind w:left="400"/>
              <w:spacing w:after="0" w:line="196" w:lineRule="exact"/>
              <w:rPr>
                <w:sz w:val="20"/>
                <w:szCs w:val="20"/>
                <w:color w:val="auto"/>
              </w:rPr>
            </w:pPr>
            <w:r>
              <w:rPr>
                <w:rFonts w:ascii="Arial" w:cs="Arial" w:eastAsia="Arial" w:hAnsi="Arial"/>
                <w:sz w:val="18"/>
                <w:szCs w:val="18"/>
                <w:color w:val="auto"/>
              </w:rPr>
              <w:t>Executive Chairman of the Board</w:t>
            </w:r>
          </w:p>
        </w:tc>
      </w:tr>
      <w:tr>
        <w:trPr>
          <w:trHeight w:val="196"/>
        </w:trPr>
        <w:tc>
          <w:tcPr>
            <w:tcW w:w="192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Martyn Smith</w:t>
            </w:r>
          </w:p>
        </w:tc>
        <w:tc>
          <w:tcPr>
            <w:tcW w:w="9120" w:type="dxa"/>
            <w:vAlign w:val="bottom"/>
            <w:tcBorders>
              <w:bottom w:val="single" w:sz="8" w:color="C1CECC"/>
            </w:tcBorders>
          </w:tcPr>
          <w:p>
            <w:pPr>
              <w:ind w:left="400"/>
              <w:spacing w:after="0" w:line="196" w:lineRule="exact"/>
              <w:rPr>
                <w:sz w:val="20"/>
                <w:szCs w:val="20"/>
                <w:color w:val="auto"/>
              </w:rPr>
            </w:pPr>
            <w:r>
              <w:rPr>
                <w:rFonts w:ascii="Arial" w:cs="Arial" w:eastAsia="Arial" w:hAnsi="Arial"/>
                <w:sz w:val="18"/>
                <w:szCs w:val="18"/>
                <w:color w:val="auto"/>
              </w:rPr>
              <w:t>Interim Chief Financial Officer</w:t>
            </w:r>
          </w:p>
        </w:tc>
      </w:tr>
      <w:tr>
        <w:trPr>
          <w:trHeight w:val="196"/>
        </w:trPr>
        <w:tc>
          <w:tcPr>
            <w:tcW w:w="192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Joseph A. Ferraro</w:t>
            </w:r>
          </w:p>
        </w:tc>
        <w:tc>
          <w:tcPr>
            <w:tcW w:w="9120" w:type="dxa"/>
            <w:vAlign w:val="bottom"/>
            <w:tcBorders>
              <w:bottom w:val="single" w:sz="8" w:color="C1CECC"/>
            </w:tcBorders>
          </w:tcPr>
          <w:p>
            <w:pPr>
              <w:ind w:left="400"/>
              <w:spacing w:after="0" w:line="196" w:lineRule="exact"/>
              <w:rPr>
                <w:sz w:val="20"/>
                <w:szCs w:val="20"/>
                <w:color w:val="auto"/>
              </w:rPr>
            </w:pPr>
            <w:r>
              <w:rPr>
                <w:rFonts w:ascii="Arial" w:cs="Arial" w:eastAsia="Arial" w:hAnsi="Arial"/>
                <w:sz w:val="18"/>
                <w:szCs w:val="18"/>
                <w:color w:val="auto"/>
              </w:rPr>
              <w:t>President, Americas</w:t>
            </w:r>
          </w:p>
        </w:tc>
      </w:tr>
      <w:tr>
        <w:trPr>
          <w:trHeight w:val="196"/>
        </w:trPr>
        <w:tc>
          <w:tcPr>
            <w:tcW w:w="192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Edward P. Linnen</w:t>
            </w:r>
          </w:p>
        </w:tc>
        <w:tc>
          <w:tcPr>
            <w:tcW w:w="9120" w:type="dxa"/>
            <w:vAlign w:val="bottom"/>
            <w:tcBorders>
              <w:bottom w:val="single" w:sz="8" w:color="C1CECC"/>
            </w:tcBorders>
          </w:tcPr>
          <w:p>
            <w:pPr>
              <w:ind w:left="400"/>
              <w:spacing w:after="0" w:line="196" w:lineRule="exact"/>
              <w:rPr>
                <w:sz w:val="20"/>
                <w:szCs w:val="20"/>
                <w:color w:val="auto"/>
              </w:rPr>
            </w:pPr>
            <w:r>
              <w:rPr>
                <w:rFonts w:ascii="Arial" w:cs="Arial" w:eastAsia="Arial" w:hAnsi="Arial"/>
                <w:sz w:val="18"/>
                <w:szCs w:val="18"/>
                <w:color w:val="auto"/>
              </w:rPr>
              <w:t>Executive Vice President, Chief Human Resources Officer</w:t>
            </w:r>
          </w:p>
        </w:tc>
      </w:tr>
      <w:tr>
        <w:trPr>
          <w:trHeight w:val="196"/>
        </w:trPr>
        <w:tc>
          <w:tcPr>
            <w:tcW w:w="192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Mark J. Servodidio</w:t>
            </w:r>
          </w:p>
        </w:tc>
        <w:tc>
          <w:tcPr>
            <w:tcW w:w="9120" w:type="dxa"/>
            <w:vAlign w:val="bottom"/>
            <w:tcBorders>
              <w:bottom w:val="single" w:sz="8" w:color="C1CECC"/>
            </w:tcBorders>
          </w:tcPr>
          <w:p>
            <w:pPr>
              <w:ind w:left="400"/>
              <w:spacing w:after="0" w:line="196" w:lineRule="exact"/>
              <w:rPr>
                <w:sz w:val="20"/>
                <w:szCs w:val="20"/>
                <w:color w:val="auto"/>
              </w:rPr>
            </w:pPr>
            <w:r>
              <w:rPr>
                <w:rFonts w:ascii="Arial" w:cs="Arial" w:eastAsia="Arial" w:hAnsi="Arial"/>
                <w:sz w:val="18"/>
                <w:szCs w:val="18"/>
                <w:color w:val="auto"/>
              </w:rPr>
              <w:t>President, International</w:t>
            </w:r>
          </w:p>
        </w:tc>
      </w:tr>
      <w:tr>
        <w:trPr>
          <w:trHeight w:val="196"/>
        </w:trPr>
        <w:tc>
          <w:tcPr>
            <w:tcW w:w="192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Michael K. Tucker</w:t>
            </w:r>
          </w:p>
        </w:tc>
        <w:tc>
          <w:tcPr>
            <w:tcW w:w="9120" w:type="dxa"/>
            <w:vAlign w:val="bottom"/>
            <w:tcBorders>
              <w:bottom w:val="single" w:sz="8" w:color="C1CECC"/>
            </w:tcBorders>
          </w:tcPr>
          <w:p>
            <w:pPr>
              <w:ind w:left="400"/>
              <w:spacing w:after="0" w:line="196" w:lineRule="exact"/>
              <w:rPr>
                <w:sz w:val="20"/>
                <w:szCs w:val="20"/>
                <w:color w:val="auto"/>
              </w:rPr>
            </w:pPr>
            <w:r>
              <w:rPr>
                <w:rFonts w:ascii="Arial" w:cs="Arial" w:eastAsia="Arial" w:hAnsi="Arial"/>
                <w:sz w:val="18"/>
                <w:szCs w:val="18"/>
                <w:color w:val="auto"/>
              </w:rPr>
              <w:t>Executive Vice President, General Counsel and Chief Compliance Officer</w:t>
            </w:r>
          </w:p>
        </w:tc>
      </w:tr>
      <w:tr>
        <w:trPr>
          <w:trHeight w:val="196"/>
        </w:trPr>
        <w:tc>
          <w:tcPr>
            <w:tcW w:w="1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David T. Calabria</w:t>
            </w:r>
          </w:p>
        </w:tc>
        <w:tc>
          <w:tcPr>
            <w:tcW w:w="9120" w:type="dxa"/>
            <w:vAlign w:val="bottom"/>
            <w:tcBorders>
              <w:bottom w:val="single" w:sz="8" w:color="auto"/>
            </w:tcBorders>
          </w:tcPr>
          <w:p>
            <w:pPr>
              <w:ind w:left="400"/>
              <w:spacing w:after="0" w:line="196" w:lineRule="exact"/>
              <w:rPr>
                <w:sz w:val="20"/>
                <w:szCs w:val="20"/>
                <w:color w:val="auto"/>
              </w:rPr>
            </w:pPr>
            <w:r>
              <w:rPr>
                <w:rFonts w:ascii="Arial" w:cs="Arial" w:eastAsia="Arial" w:hAnsi="Arial"/>
                <w:sz w:val="18"/>
                <w:szCs w:val="18"/>
                <w:color w:val="auto"/>
              </w:rPr>
              <w:t>Senior Vice President and Chief Accounting Officer</w:t>
            </w:r>
          </w:p>
        </w:tc>
      </w:tr>
    </w:tbl>
    <w:p>
      <w:pPr>
        <w:spacing w:after="0" w:line="107"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Biographical information for our Executive Chairman and our Chief Executive Officer is set forth above under “Board of Directors-Biographical Information for Nominees.” Biographical information for all other present executive officers is set forth below.</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160" w:type="dxa"/>
            <w:vAlign w:val="bottom"/>
          </w:tcPr>
          <w:p>
            <w:pPr>
              <w:ind w:left="440"/>
              <w:spacing w:after="0"/>
              <w:rPr>
                <w:sz w:val="20"/>
                <w:szCs w:val="20"/>
                <w:color w:val="auto"/>
              </w:rPr>
            </w:pPr>
            <w:r>
              <w:rPr>
                <w:rFonts w:ascii="Arial" w:cs="Arial" w:eastAsia="Arial" w:hAnsi="Arial"/>
                <w:sz w:val="14"/>
                <w:szCs w:val="14"/>
                <w:b w:val="1"/>
                <w:bCs w:val="1"/>
                <w:color w:val="auto"/>
              </w:rPr>
              <w:t>Biographical Information</w:t>
            </w:r>
          </w:p>
        </w:tc>
      </w:tr>
      <w:tr>
        <w:trPr>
          <w:trHeight w:val="195"/>
        </w:trPr>
        <w:tc>
          <w:tcPr>
            <w:tcW w:w="20" w:type="dxa"/>
            <w:vAlign w:val="bottom"/>
          </w:tcPr>
          <w:p>
            <w:pPr>
              <w:spacing w:after="0"/>
              <w:rPr>
                <w:sz w:val="16"/>
                <w:szCs w:val="16"/>
                <w:color w:val="auto"/>
              </w:rPr>
            </w:pPr>
          </w:p>
        </w:tc>
        <w:tc>
          <w:tcPr>
            <w:tcW w:w="1860" w:type="dxa"/>
            <w:vAlign w:val="bottom"/>
            <w:tcBorders>
              <w:top w:val="single" w:sz="8" w:color="auto"/>
            </w:tcBorders>
            <w:shd w:val="clear" w:color="auto" w:fill="F4F9F9"/>
          </w:tcPr>
          <w:p>
            <w:pPr>
              <w:spacing w:after="0" w:line="195" w:lineRule="exact"/>
              <w:rPr>
                <w:sz w:val="20"/>
                <w:szCs w:val="20"/>
                <w:color w:val="auto"/>
              </w:rPr>
            </w:pPr>
            <w:r>
              <w:rPr>
                <w:rFonts w:ascii="Arial" w:cs="Arial" w:eastAsia="Arial" w:hAnsi="Arial"/>
                <w:sz w:val="18"/>
                <w:szCs w:val="18"/>
                <w:color w:val="auto"/>
              </w:rPr>
              <w:t>Martyn Smith</w:t>
            </w:r>
          </w:p>
        </w:tc>
        <w:tc>
          <w:tcPr>
            <w:tcW w:w="9160" w:type="dxa"/>
            <w:vAlign w:val="bottom"/>
            <w:tcBorders>
              <w:top w:val="single" w:sz="8" w:color="auto"/>
            </w:tcBorders>
            <w:shd w:val="clear" w:color="auto" w:fill="F4F9F9"/>
          </w:tcPr>
          <w:p>
            <w:pPr>
              <w:ind w:left="440"/>
              <w:spacing w:after="0" w:line="195" w:lineRule="exact"/>
              <w:rPr>
                <w:sz w:val="20"/>
                <w:szCs w:val="20"/>
                <w:color w:val="auto"/>
              </w:rPr>
            </w:pPr>
            <w:r>
              <w:rPr>
                <w:rFonts w:ascii="Arial" w:cs="Arial" w:eastAsia="Arial" w:hAnsi="Arial"/>
                <w:sz w:val="18"/>
                <w:szCs w:val="18"/>
                <w:b w:val="1"/>
                <w:bCs w:val="1"/>
                <w:color w:val="auto"/>
              </w:rPr>
              <w:t>Mr. Smith</w:t>
            </w:r>
            <w:r>
              <w:rPr>
                <w:rFonts w:ascii="Arial" w:cs="Arial" w:eastAsia="Arial" w:hAnsi="Arial"/>
                <w:sz w:val="18"/>
                <w:szCs w:val="18"/>
                <w:color w:val="auto"/>
              </w:rPr>
              <w:t>, age 63, has been interim Chief Financial Officer since June 2017. Mr. Smith has been with the</w:t>
            </w:r>
          </w:p>
        </w:tc>
      </w:tr>
      <w:tr>
        <w:trPr>
          <w:trHeight w:val="203"/>
        </w:trPr>
        <w:tc>
          <w:tcPr>
            <w:tcW w:w="20" w:type="dxa"/>
            <w:vAlign w:val="bottom"/>
          </w:tcPr>
          <w:p>
            <w:pPr>
              <w:spacing w:after="0"/>
              <w:rPr>
                <w:sz w:val="17"/>
                <w:szCs w:val="17"/>
                <w:color w:val="auto"/>
              </w:rPr>
            </w:pPr>
          </w:p>
        </w:tc>
        <w:tc>
          <w:tcPr>
            <w:tcW w:w="1860" w:type="dxa"/>
            <w:vAlign w:val="bottom"/>
            <w:shd w:val="clear" w:color="auto" w:fill="F4F9F9"/>
          </w:tcPr>
          <w:p>
            <w:pPr>
              <w:spacing w:after="0"/>
              <w:rPr>
                <w:sz w:val="17"/>
                <w:szCs w:val="17"/>
                <w:color w:val="auto"/>
              </w:rPr>
            </w:pPr>
          </w:p>
        </w:tc>
        <w:tc>
          <w:tcPr>
            <w:tcW w:w="9160" w:type="dxa"/>
            <w:vAlign w:val="bottom"/>
            <w:shd w:val="clear" w:color="auto" w:fill="F4F9F9"/>
          </w:tcPr>
          <w:p>
            <w:pPr>
              <w:ind w:left="440"/>
              <w:spacing w:after="0" w:line="202" w:lineRule="exact"/>
              <w:rPr>
                <w:sz w:val="20"/>
                <w:szCs w:val="20"/>
                <w:color w:val="auto"/>
              </w:rPr>
            </w:pPr>
            <w:r>
              <w:rPr>
                <w:rFonts w:ascii="Arial" w:cs="Arial" w:eastAsia="Arial" w:hAnsi="Arial"/>
                <w:sz w:val="18"/>
                <w:szCs w:val="18"/>
                <w:color w:val="auto"/>
              </w:rPr>
              <w:t>Company since the Avis Europe acquisition and previously held the role of Chief Financial Officer of Avis</w:t>
            </w:r>
          </w:p>
        </w:tc>
      </w:tr>
      <w:tr>
        <w:trPr>
          <w:trHeight w:val="203"/>
        </w:trPr>
        <w:tc>
          <w:tcPr>
            <w:tcW w:w="20" w:type="dxa"/>
            <w:vAlign w:val="bottom"/>
          </w:tcPr>
          <w:p>
            <w:pPr>
              <w:spacing w:after="0"/>
              <w:rPr>
                <w:sz w:val="17"/>
                <w:szCs w:val="17"/>
                <w:color w:val="auto"/>
              </w:rPr>
            </w:pPr>
          </w:p>
        </w:tc>
        <w:tc>
          <w:tcPr>
            <w:tcW w:w="1860" w:type="dxa"/>
            <w:vAlign w:val="bottom"/>
            <w:shd w:val="clear" w:color="auto" w:fill="F4F9F9"/>
          </w:tcPr>
          <w:p>
            <w:pPr>
              <w:spacing w:after="0"/>
              <w:rPr>
                <w:sz w:val="17"/>
                <w:szCs w:val="17"/>
                <w:color w:val="auto"/>
              </w:rPr>
            </w:pPr>
          </w:p>
        </w:tc>
        <w:tc>
          <w:tcPr>
            <w:tcW w:w="9160" w:type="dxa"/>
            <w:vAlign w:val="bottom"/>
            <w:shd w:val="clear" w:color="auto" w:fill="F4F9F9"/>
          </w:tcPr>
          <w:p>
            <w:pPr>
              <w:ind w:left="440"/>
              <w:spacing w:after="0" w:line="202" w:lineRule="exact"/>
              <w:rPr>
                <w:sz w:val="20"/>
                <w:szCs w:val="20"/>
                <w:color w:val="auto"/>
              </w:rPr>
            </w:pPr>
            <w:r>
              <w:rPr>
                <w:rFonts w:ascii="Arial" w:cs="Arial" w:eastAsia="Arial" w:hAnsi="Arial"/>
                <w:sz w:val="18"/>
                <w:szCs w:val="18"/>
                <w:color w:val="auto"/>
              </w:rPr>
              <w:t>Budget EMEA Ltd., the Company’s principal international subsidiary, until March 2015. From April 2015</w:t>
            </w:r>
          </w:p>
        </w:tc>
      </w:tr>
      <w:tr>
        <w:trPr>
          <w:trHeight w:val="203"/>
        </w:trPr>
        <w:tc>
          <w:tcPr>
            <w:tcW w:w="20" w:type="dxa"/>
            <w:vAlign w:val="bottom"/>
          </w:tcPr>
          <w:p>
            <w:pPr>
              <w:spacing w:after="0"/>
              <w:rPr>
                <w:sz w:val="17"/>
                <w:szCs w:val="17"/>
                <w:color w:val="auto"/>
              </w:rPr>
            </w:pPr>
          </w:p>
        </w:tc>
        <w:tc>
          <w:tcPr>
            <w:tcW w:w="1860" w:type="dxa"/>
            <w:vAlign w:val="bottom"/>
            <w:shd w:val="clear" w:color="auto" w:fill="F4F9F9"/>
          </w:tcPr>
          <w:p>
            <w:pPr>
              <w:spacing w:after="0"/>
              <w:rPr>
                <w:sz w:val="17"/>
                <w:szCs w:val="17"/>
                <w:color w:val="auto"/>
              </w:rPr>
            </w:pPr>
          </w:p>
        </w:tc>
        <w:tc>
          <w:tcPr>
            <w:tcW w:w="9160" w:type="dxa"/>
            <w:vAlign w:val="bottom"/>
            <w:shd w:val="clear" w:color="auto" w:fill="F4F9F9"/>
          </w:tcPr>
          <w:p>
            <w:pPr>
              <w:ind w:left="440"/>
              <w:spacing w:after="0" w:line="202" w:lineRule="exact"/>
              <w:rPr>
                <w:sz w:val="20"/>
                <w:szCs w:val="20"/>
                <w:color w:val="auto"/>
              </w:rPr>
            </w:pPr>
            <w:r>
              <w:rPr>
                <w:rFonts w:ascii="Arial" w:cs="Arial" w:eastAsia="Arial" w:hAnsi="Arial"/>
                <w:sz w:val="18"/>
                <w:szCs w:val="18"/>
                <w:color w:val="auto"/>
              </w:rPr>
              <w:t>through September 2016, Mr. Smith led the Company’s human resources organization for the Company’s</w:t>
            </w:r>
          </w:p>
        </w:tc>
      </w:tr>
      <w:tr>
        <w:trPr>
          <w:trHeight w:val="203"/>
        </w:trPr>
        <w:tc>
          <w:tcPr>
            <w:tcW w:w="20" w:type="dxa"/>
            <w:vAlign w:val="bottom"/>
          </w:tcPr>
          <w:p>
            <w:pPr>
              <w:spacing w:after="0"/>
              <w:rPr>
                <w:sz w:val="17"/>
                <w:szCs w:val="17"/>
                <w:color w:val="auto"/>
              </w:rPr>
            </w:pPr>
          </w:p>
        </w:tc>
        <w:tc>
          <w:tcPr>
            <w:tcW w:w="1860" w:type="dxa"/>
            <w:vAlign w:val="bottom"/>
            <w:shd w:val="clear" w:color="auto" w:fill="F4F9F9"/>
          </w:tcPr>
          <w:p>
            <w:pPr>
              <w:spacing w:after="0"/>
              <w:rPr>
                <w:sz w:val="17"/>
                <w:szCs w:val="17"/>
                <w:color w:val="auto"/>
              </w:rPr>
            </w:pPr>
          </w:p>
        </w:tc>
        <w:tc>
          <w:tcPr>
            <w:tcW w:w="9160" w:type="dxa"/>
            <w:vAlign w:val="bottom"/>
            <w:shd w:val="clear" w:color="auto" w:fill="F4F9F9"/>
          </w:tcPr>
          <w:p>
            <w:pPr>
              <w:ind w:left="440"/>
              <w:spacing w:after="0" w:line="202" w:lineRule="exact"/>
              <w:rPr>
                <w:sz w:val="20"/>
                <w:szCs w:val="20"/>
                <w:color w:val="auto"/>
              </w:rPr>
            </w:pPr>
            <w:r>
              <w:rPr>
                <w:rFonts w:ascii="Arial" w:cs="Arial" w:eastAsia="Arial" w:hAnsi="Arial"/>
                <w:sz w:val="18"/>
                <w:szCs w:val="18"/>
                <w:color w:val="auto"/>
              </w:rPr>
              <w:t>International region and in October 2016, became a special advisor to the Company. Mr. Smith joined Avis</w:t>
            </w:r>
          </w:p>
        </w:tc>
      </w:tr>
      <w:tr>
        <w:trPr>
          <w:trHeight w:val="203"/>
        </w:trPr>
        <w:tc>
          <w:tcPr>
            <w:tcW w:w="20" w:type="dxa"/>
            <w:vAlign w:val="bottom"/>
          </w:tcPr>
          <w:p>
            <w:pPr>
              <w:spacing w:after="0"/>
              <w:rPr>
                <w:sz w:val="17"/>
                <w:szCs w:val="17"/>
                <w:color w:val="auto"/>
              </w:rPr>
            </w:pPr>
          </w:p>
        </w:tc>
        <w:tc>
          <w:tcPr>
            <w:tcW w:w="1860" w:type="dxa"/>
            <w:vAlign w:val="bottom"/>
            <w:tcBorders>
              <w:bottom w:val="single" w:sz="8" w:color="C1CECC"/>
            </w:tcBorders>
            <w:shd w:val="clear" w:color="auto" w:fill="F4F9F9"/>
          </w:tcPr>
          <w:p>
            <w:pPr>
              <w:spacing w:after="0"/>
              <w:rPr>
                <w:sz w:val="17"/>
                <w:szCs w:val="17"/>
                <w:color w:val="auto"/>
              </w:rPr>
            </w:pPr>
          </w:p>
        </w:tc>
        <w:tc>
          <w:tcPr>
            <w:tcW w:w="9160" w:type="dxa"/>
            <w:vAlign w:val="bottom"/>
            <w:tcBorders>
              <w:bottom w:val="single" w:sz="8" w:color="C1CECC"/>
            </w:tcBorders>
            <w:shd w:val="clear" w:color="auto" w:fill="F4F9F9"/>
          </w:tcPr>
          <w:p>
            <w:pPr>
              <w:ind w:left="440"/>
              <w:spacing w:after="0" w:line="203" w:lineRule="exact"/>
              <w:rPr>
                <w:sz w:val="20"/>
                <w:szCs w:val="20"/>
                <w:color w:val="auto"/>
              </w:rPr>
            </w:pPr>
            <w:r>
              <w:rPr>
                <w:rFonts w:ascii="Arial" w:cs="Arial" w:eastAsia="Arial" w:hAnsi="Arial"/>
                <w:sz w:val="18"/>
                <w:szCs w:val="18"/>
                <w:color w:val="auto"/>
              </w:rPr>
              <w:t>Europe in 2002 as Group Finance Director and a member of the Board of Directors.</w:t>
            </w:r>
          </w:p>
        </w:tc>
      </w:tr>
      <w:tr>
        <w:trPr>
          <w:trHeight w:val="195"/>
        </w:trPr>
        <w:tc>
          <w:tcPr>
            <w:tcW w:w="20" w:type="dxa"/>
            <w:vAlign w:val="bottom"/>
          </w:tcPr>
          <w:p>
            <w:pPr>
              <w:spacing w:after="0"/>
              <w:rPr>
                <w:sz w:val="16"/>
                <w:szCs w:val="16"/>
                <w:color w:val="auto"/>
              </w:rPr>
            </w:pPr>
          </w:p>
        </w:tc>
        <w:tc>
          <w:tcPr>
            <w:tcW w:w="1860" w:type="dxa"/>
            <w:vAlign w:val="bottom"/>
          </w:tcPr>
          <w:p>
            <w:pPr>
              <w:spacing w:after="0" w:line="195" w:lineRule="exact"/>
              <w:rPr>
                <w:sz w:val="20"/>
                <w:szCs w:val="20"/>
                <w:color w:val="auto"/>
              </w:rPr>
            </w:pPr>
            <w:r>
              <w:rPr>
                <w:rFonts w:ascii="Arial" w:cs="Arial" w:eastAsia="Arial" w:hAnsi="Arial"/>
                <w:sz w:val="18"/>
                <w:szCs w:val="18"/>
                <w:color w:val="auto"/>
              </w:rPr>
              <w:t>Joseph A. Ferraro</w:t>
            </w:r>
          </w:p>
        </w:tc>
        <w:tc>
          <w:tcPr>
            <w:tcW w:w="9160" w:type="dxa"/>
            <w:vAlign w:val="bottom"/>
          </w:tcPr>
          <w:p>
            <w:pPr>
              <w:ind w:left="440"/>
              <w:spacing w:after="0" w:line="195" w:lineRule="exact"/>
              <w:rPr>
                <w:sz w:val="20"/>
                <w:szCs w:val="20"/>
                <w:color w:val="auto"/>
              </w:rPr>
            </w:pPr>
            <w:r>
              <w:rPr>
                <w:rFonts w:ascii="Arial" w:cs="Arial" w:eastAsia="Arial" w:hAnsi="Arial"/>
                <w:sz w:val="18"/>
                <w:szCs w:val="18"/>
                <w:b w:val="1"/>
                <w:bCs w:val="1"/>
                <w:color w:val="auto"/>
              </w:rPr>
              <w:t>Mr. Ferraro</w:t>
            </w:r>
            <w:r>
              <w:rPr>
                <w:rFonts w:ascii="Arial" w:cs="Arial" w:eastAsia="Arial" w:hAnsi="Arial"/>
                <w:sz w:val="18"/>
                <w:szCs w:val="18"/>
                <w:color w:val="auto"/>
              </w:rPr>
              <w:t>, age 61, has been President, Americas since January 2015. Previously, Mr. Ferraro held the title</w:t>
            </w:r>
          </w:p>
        </w:tc>
      </w:tr>
      <w:tr>
        <w:trPr>
          <w:trHeight w:val="203"/>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160" w:type="dxa"/>
            <w:vAlign w:val="bottom"/>
          </w:tcPr>
          <w:p>
            <w:pPr>
              <w:ind w:left="440"/>
              <w:spacing w:after="0" w:line="202" w:lineRule="exact"/>
              <w:rPr>
                <w:sz w:val="20"/>
                <w:szCs w:val="20"/>
                <w:color w:val="auto"/>
              </w:rPr>
            </w:pPr>
            <w:r>
              <w:rPr>
                <w:rFonts w:ascii="Arial" w:cs="Arial" w:eastAsia="Arial" w:hAnsi="Arial"/>
                <w:sz w:val="18"/>
                <w:szCs w:val="18"/>
                <w:color w:val="auto"/>
              </w:rPr>
              <w:t>of Senior Vice President, North America Operations from October 2011 to December 2014. Mr. Ferraro</w:t>
            </w:r>
          </w:p>
        </w:tc>
      </w:tr>
      <w:tr>
        <w:trPr>
          <w:trHeight w:val="203"/>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160" w:type="dxa"/>
            <w:vAlign w:val="bottom"/>
          </w:tcPr>
          <w:p>
            <w:pPr>
              <w:ind w:left="440"/>
              <w:spacing w:after="0" w:line="202" w:lineRule="exact"/>
              <w:rPr>
                <w:sz w:val="20"/>
                <w:szCs w:val="20"/>
                <w:color w:val="auto"/>
              </w:rPr>
            </w:pPr>
            <w:r>
              <w:rPr>
                <w:rFonts w:ascii="Arial" w:cs="Arial" w:eastAsia="Arial" w:hAnsi="Arial"/>
                <w:sz w:val="18"/>
                <w:szCs w:val="18"/>
                <w:color w:val="auto"/>
              </w:rPr>
              <w:t>joined the Company in 1979, and served in various positions of increasing responsibility in the Company’s</w:t>
            </w:r>
          </w:p>
        </w:tc>
      </w:tr>
      <w:tr>
        <w:trPr>
          <w:trHeight w:val="203"/>
        </w:trPr>
        <w:tc>
          <w:tcPr>
            <w:tcW w:w="20" w:type="dxa"/>
            <w:vAlign w:val="bottom"/>
          </w:tcPr>
          <w:p>
            <w:pPr>
              <w:spacing w:after="0"/>
              <w:rPr>
                <w:sz w:val="17"/>
                <w:szCs w:val="17"/>
                <w:color w:val="auto"/>
              </w:rPr>
            </w:pPr>
          </w:p>
        </w:tc>
        <w:tc>
          <w:tcPr>
            <w:tcW w:w="1860" w:type="dxa"/>
            <w:vAlign w:val="bottom"/>
            <w:tcBorders>
              <w:bottom w:val="single" w:sz="8" w:color="C1CECC"/>
            </w:tcBorders>
          </w:tcPr>
          <w:p>
            <w:pPr>
              <w:spacing w:after="0"/>
              <w:rPr>
                <w:sz w:val="17"/>
                <w:szCs w:val="17"/>
                <w:color w:val="auto"/>
              </w:rPr>
            </w:pPr>
          </w:p>
        </w:tc>
        <w:tc>
          <w:tcPr>
            <w:tcW w:w="9160" w:type="dxa"/>
            <w:vAlign w:val="bottom"/>
            <w:tcBorders>
              <w:bottom w:val="single" w:sz="8" w:color="C1CECC"/>
            </w:tcBorders>
          </w:tcPr>
          <w:p>
            <w:pPr>
              <w:ind w:left="440"/>
              <w:spacing w:after="0" w:line="203" w:lineRule="exact"/>
              <w:rPr>
                <w:sz w:val="20"/>
                <w:szCs w:val="20"/>
                <w:color w:val="auto"/>
              </w:rPr>
            </w:pPr>
            <w:r>
              <w:rPr>
                <w:rFonts w:ascii="Arial" w:cs="Arial" w:eastAsia="Arial" w:hAnsi="Arial"/>
                <w:sz w:val="18"/>
                <w:szCs w:val="18"/>
                <w:color w:val="auto"/>
              </w:rPr>
              <w:t>North American operations.</w:t>
            </w:r>
          </w:p>
        </w:tc>
      </w:tr>
      <w:tr>
        <w:trPr>
          <w:trHeight w:val="358"/>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160" w:type="dxa"/>
            <w:vAlign w:val="bottom"/>
          </w:tcPr>
          <w:p>
            <w:pPr>
              <w:ind w:left="354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980" w:type="dxa"/>
            <w:vAlign w:val="bottom"/>
            <w:tcBorders>
              <w:top w:val="single" w:sz="8" w:color="C1CECC"/>
            </w:tcBorders>
            <w:shd w:val="clear" w:color="auto" w:fill="F4F9F9"/>
          </w:tcPr>
          <w:p>
            <w:pPr>
              <w:spacing w:after="0"/>
              <w:rPr>
                <w:sz w:val="20"/>
                <w:szCs w:val="20"/>
                <w:color w:val="auto"/>
              </w:rPr>
            </w:pPr>
            <w:r>
              <w:rPr>
                <w:rFonts w:ascii="Arial" w:cs="Arial" w:eastAsia="Arial" w:hAnsi="Arial"/>
                <w:sz w:val="18"/>
                <w:szCs w:val="18"/>
                <w:color w:val="auto"/>
              </w:rPr>
              <w:t>Edward P. Linnen</w:t>
            </w:r>
          </w:p>
        </w:tc>
        <w:tc>
          <w:tcPr>
            <w:tcW w:w="9040" w:type="dxa"/>
            <w:vAlign w:val="bottom"/>
            <w:tcBorders>
              <w:top w:val="single" w:sz="8" w:color="C1CECC"/>
            </w:tcBorders>
            <w:shd w:val="clear" w:color="auto" w:fill="F4F9F9"/>
          </w:tcPr>
          <w:p>
            <w:pPr>
              <w:ind w:left="320"/>
              <w:spacing w:after="0"/>
              <w:rPr>
                <w:sz w:val="20"/>
                <w:szCs w:val="20"/>
                <w:color w:val="auto"/>
              </w:rPr>
            </w:pPr>
            <w:r>
              <w:rPr>
                <w:rFonts w:ascii="Arial" w:cs="Arial" w:eastAsia="Arial" w:hAnsi="Arial"/>
                <w:sz w:val="18"/>
                <w:szCs w:val="18"/>
                <w:b w:val="1"/>
                <w:bCs w:val="1"/>
                <w:color w:val="auto"/>
              </w:rPr>
              <w:t>Mr. Linnen</w:t>
            </w:r>
            <w:r>
              <w:rPr>
                <w:rFonts w:ascii="Arial" w:cs="Arial" w:eastAsia="Arial" w:hAnsi="Arial"/>
                <w:sz w:val="18"/>
                <w:szCs w:val="18"/>
                <w:color w:val="auto"/>
              </w:rPr>
              <w:t>, age 48, has been Executive Vice President, Chief Human Resources Officer since January</w:t>
            </w:r>
          </w:p>
        </w:tc>
      </w:tr>
      <w:tr>
        <w:trPr>
          <w:trHeight w:val="203"/>
        </w:trPr>
        <w:tc>
          <w:tcPr>
            <w:tcW w:w="20" w:type="dxa"/>
            <w:vAlign w:val="bottom"/>
          </w:tcPr>
          <w:p>
            <w:pPr>
              <w:spacing w:after="0"/>
              <w:rPr>
                <w:sz w:val="17"/>
                <w:szCs w:val="17"/>
                <w:color w:val="auto"/>
              </w:rPr>
            </w:pPr>
          </w:p>
        </w:tc>
        <w:tc>
          <w:tcPr>
            <w:tcW w:w="1980" w:type="dxa"/>
            <w:vAlign w:val="bottom"/>
            <w:shd w:val="clear" w:color="auto" w:fill="F4F9F9"/>
          </w:tcPr>
          <w:p>
            <w:pPr>
              <w:spacing w:after="0"/>
              <w:rPr>
                <w:sz w:val="17"/>
                <w:szCs w:val="17"/>
                <w:color w:val="auto"/>
              </w:rPr>
            </w:pPr>
          </w:p>
        </w:tc>
        <w:tc>
          <w:tcPr>
            <w:tcW w:w="9040" w:type="dxa"/>
            <w:vAlign w:val="bottom"/>
            <w:shd w:val="clear" w:color="auto" w:fill="F4F9F9"/>
          </w:tcPr>
          <w:p>
            <w:pPr>
              <w:ind w:left="320"/>
              <w:spacing w:after="0" w:line="202" w:lineRule="exact"/>
              <w:rPr>
                <w:sz w:val="20"/>
                <w:szCs w:val="20"/>
                <w:color w:val="auto"/>
              </w:rPr>
            </w:pPr>
            <w:r>
              <w:rPr>
                <w:rFonts w:ascii="Arial" w:cs="Arial" w:eastAsia="Arial" w:hAnsi="Arial"/>
                <w:sz w:val="18"/>
                <w:szCs w:val="18"/>
                <w:color w:val="auto"/>
              </w:rPr>
              <w:t>2015. Previously, Mr. Linnen held the title of Senior Vice President, Chief Human Resources Officer from</w:t>
            </w:r>
          </w:p>
        </w:tc>
      </w:tr>
      <w:tr>
        <w:trPr>
          <w:trHeight w:val="203"/>
        </w:trPr>
        <w:tc>
          <w:tcPr>
            <w:tcW w:w="20" w:type="dxa"/>
            <w:vAlign w:val="bottom"/>
          </w:tcPr>
          <w:p>
            <w:pPr>
              <w:spacing w:after="0"/>
              <w:rPr>
                <w:sz w:val="17"/>
                <w:szCs w:val="17"/>
                <w:color w:val="auto"/>
              </w:rPr>
            </w:pPr>
          </w:p>
        </w:tc>
        <w:tc>
          <w:tcPr>
            <w:tcW w:w="1980" w:type="dxa"/>
            <w:vAlign w:val="bottom"/>
            <w:shd w:val="clear" w:color="auto" w:fill="F4F9F9"/>
          </w:tcPr>
          <w:p>
            <w:pPr>
              <w:spacing w:after="0"/>
              <w:rPr>
                <w:sz w:val="17"/>
                <w:szCs w:val="17"/>
                <w:color w:val="auto"/>
              </w:rPr>
            </w:pPr>
          </w:p>
        </w:tc>
        <w:tc>
          <w:tcPr>
            <w:tcW w:w="9040" w:type="dxa"/>
            <w:vAlign w:val="bottom"/>
            <w:shd w:val="clear" w:color="auto" w:fill="F4F9F9"/>
          </w:tcPr>
          <w:p>
            <w:pPr>
              <w:ind w:left="320"/>
              <w:spacing w:after="0" w:line="202" w:lineRule="exact"/>
              <w:rPr>
                <w:sz w:val="20"/>
                <w:szCs w:val="20"/>
                <w:color w:val="auto"/>
              </w:rPr>
            </w:pPr>
            <w:r>
              <w:rPr>
                <w:rFonts w:ascii="Arial" w:cs="Arial" w:eastAsia="Arial" w:hAnsi="Arial"/>
                <w:sz w:val="18"/>
                <w:szCs w:val="18"/>
                <w:color w:val="auto"/>
              </w:rPr>
              <w:t>February 2013 until January 2015, and Senior Vice President, Human Resources for North America from</w:t>
            </w:r>
          </w:p>
        </w:tc>
      </w:tr>
      <w:tr>
        <w:trPr>
          <w:trHeight w:val="203"/>
        </w:trPr>
        <w:tc>
          <w:tcPr>
            <w:tcW w:w="20" w:type="dxa"/>
            <w:vAlign w:val="bottom"/>
          </w:tcPr>
          <w:p>
            <w:pPr>
              <w:spacing w:after="0"/>
              <w:rPr>
                <w:sz w:val="17"/>
                <w:szCs w:val="17"/>
                <w:color w:val="auto"/>
              </w:rPr>
            </w:pPr>
          </w:p>
        </w:tc>
        <w:tc>
          <w:tcPr>
            <w:tcW w:w="1980" w:type="dxa"/>
            <w:vAlign w:val="bottom"/>
            <w:shd w:val="clear" w:color="auto" w:fill="F4F9F9"/>
          </w:tcPr>
          <w:p>
            <w:pPr>
              <w:spacing w:after="0"/>
              <w:rPr>
                <w:sz w:val="17"/>
                <w:szCs w:val="17"/>
                <w:color w:val="auto"/>
              </w:rPr>
            </w:pPr>
          </w:p>
        </w:tc>
        <w:tc>
          <w:tcPr>
            <w:tcW w:w="9040" w:type="dxa"/>
            <w:vAlign w:val="bottom"/>
            <w:shd w:val="clear" w:color="auto" w:fill="F4F9F9"/>
          </w:tcPr>
          <w:p>
            <w:pPr>
              <w:ind w:left="320"/>
              <w:spacing w:after="0" w:line="202" w:lineRule="exact"/>
              <w:rPr>
                <w:sz w:val="20"/>
                <w:szCs w:val="20"/>
                <w:color w:val="auto"/>
              </w:rPr>
            </w:pPr>
            <w:r>
              <w:rPr>
                <w:rFonts w:ascii="Arial" w:cs="Arial" w:eastAsia="Arial" w:hAnsi="Arial"/>
                <w:sz w:val="18"/>
                <w:szCs w:val="18"/>
                <w:color w:val="auto"/>
              </w:rPr>
              <w:t>October 2011 to February 2013. Mr. Linnen joined the Company in 2001, and served in several positions in</w:t>
            </w:r>
          </w:p>
        </w:tc>
      </w:tr>
      <w:tr>
        <w:trPr>
          <w:trHeight w:val="203"/>
        </w:trPr>
        <w:tc>
          <w:tcPr>
            <w:tcW w:w="20" w:type="dxa"/>
            <w:vAlign w:val="bottom"/>
          </w:tcPr>
          <w:p>
            <w:pPr>
              <w:spacing w:after="0"/>
              <w:rPr>
                <w:sz w:val="17"/>
                <w:szCs w:val="17"/>
                <w:color w:val="auto"/>
              </w:rPr>
            </w:pPr>
          </w:p>
        </w:tc>
        <w:tc>
          <w:tcPr>
            <w:tcW w:w="1980" w:type="dxa"/>
            <w:vAlign w:val="bottom"/>
            <w:shd w:val="clear" w:color="auto" w:fill="F4F9F9"/>
          </w:tcPr>
          <w:p>
            <w:pPr>
              <w:spacing w:after="0"/>
              <w:rPr>
                <w:sz w:val="17"/>
                <w:szCs w:val="17"/>
                <w:color w:val="auto"/>
              </w:rPr>
            </w:pPr>
          </w:p>
        </w:tc>
        <w:tc>
          <w:tcPr>
            <w:tcW w:w="9040" w:type="dxa"/>
            <w:vAlign w:val="bottom"/>
            <w:shd w:val="clear" w:color="auto" w:fill="F4F9F9"/>
          </w:tcPr>
          <w:p>
            <w:pPr>
              <w:ind w:left="320"/>
              <w:spacing w:after="0" w:line="202" w:lineRule="exact"/>
              <w:rPr>
                <w:sz w:val="20"/>
                <w:szCs w:val="20"/>
                <w:color w:val="auto"/>
              </w:rPr>
            </w:pPr>
            <w:r>
              <w:rPr>
                <w:rFonts w:ascii="Arial" w:cs="Arial" w:eastAsia="Arial" w:hAnsi="Arial"/>
                <w:sz w:val="18"/>
                <w:szCs w:val="18"/>
                <w:color w:val="auto"/>
              </w:rPr>
              <w:t>the Company’s human resources function, including as Vice President, Labor Relations &amp; International</w:t>
            </w:r>
          </w:p>
        </w:tc>
      </w:tr>
      <w:tr>
        <w:trPr>
          <w:trHeight w:val="203"/>
        </w:trPr>
        <w:tc>
          <w:tcPr>
            <w:tcW w:w="20" w:type="dxa"/>
            <w:vAlign w:val="bottom"/>
          </w:tcPr>
          <w:p>
            <w:pPr>
              <w:spacing w:after="0"/>
              <w:rPr>
                <w:sz w:val="17"/>
                <w:szCs w:val="17"/>
                <w:color w:val="auto"/>
              </w:rPr>
            </w:pPr>
          </w:p>
        </w:tc>
        <w:tc>
          <w:tcPr>
            <w:tcW w:w="1980" w:type="dxa"/>
            <w:vAlign w:val="bottom"/>
            <w:shd w:val="clear" w:color="auto" w:fill="F4F9F9"/>
          </w:tcPr>
          <w:p>
            <w:pPr>
              <w:spacing w:after="0"/>
              <w:rPr>
                <w:sz w:val="17"/>
                <w:szCs w:val="17"/>
                <w:color w:val="auto"/>
              </w:rPr>
            </w:pPr>
          </w:p>
        </w:tc>
        <w:tc>
          <w:tcPr>
            <w:tcW w:w="9040" w:type="dxa"/>
            <w:vAlign w:val="bottom"/>
            <w:shd w:val="clear" w:color="auto" w:fill="F4F9F9"/>
          </w:tcPr>
          <w:p>
            <w:pPr>
              <w:ind w:left="320"/>
              <w:spacing w:after="0" w:line="202" w:lineRule="exact"/>
              <w:rPr>
                <w:sz w:val="20"/>
                <w:szCs w:val="20"/>
                <w:color w:val="auto"/>
              </w:rPr>
            </w:pPr>
            <w:r>
              <w:rPr>
                <w:rFonts w:ascii="Arial" w:cs="Arial" w:eastAsia="Arial" w:hAnsi="Arial"/>
                <w:sz w:val="18"/>
                <w:szCs w:val="18"/>
                <w:color w:val="auto"/>
              </w:rPr>
              <w:t>Human Resources, Vice President, Domestic Human Resources, and Field Human Resources Director. Prior</w:t>
            </w:r>
          </w:p>
        </w:tc>
      </w:tr>
      <w:tr>
        <w:trPr>
          <w:trHeight w:val="203"/>
        </w:trPr>
        <w:tc>
          <w:tcPr>
            <w:tcW w:w="20" w:type="dxa"/>
            <w:vAlign w:val="bottom"/>
          </w:tcPr>
          <w:p>
            <w:pPr>
              <w:spacing w:after="0"/>
              <w:rPr>
                <w:sz w:val="17"/>
                <w:szCs w:val="17"/>
                <w:color w:val="auto"/>
              </w:rPr>
            </w:pPr>
          </w:p>
        </w:tc>
        <w:tc>
          <w:tcPr>
            <w:tcW w:w="1980" w:type="dxa"/>
            <w:vAlign w:val="bottom"/>
            <w:shd w:val="clear" w:color="auto" w:fill="F4F9F9"/>
          </w:tcPr>
          <w:p>
            <w:pPr>
              <w:spacing w:after="0"/>
              <w:rPr>
                <w:sz w:val="17"/>
                <w:szCs w:val="17"/>
                <w:color w:val="auto"/>
              </w:rPr>
            </w:pPr>
          </w:p>
        </w:tc>
        <w:tc>
          <w:tcPr>
            <w:tcW w:w="9040" w:type="dxa"/>
            <w:vAlign w:val="bottom"/>
            <w:shd w:val="clear" w:color="auto" w:fill="F4F9F9"/>
          </w:tcPr>
          <w:p>
            <w:pPr>
              <w:ind w:left="320"/>
              <w:spacing w:after="0" w:line="202" w:lineRule="exact"/>
              <w:rPr>
                <w:sz w:val="20"/>
                <w:szCs w:val="20"/>
                <w:color w:val="auto"/>
              </w:rPr>
            </w:pPr>
            <w:r>
              <w:rPr>
                <w:rFonts w:ascii="Arial" w:cs="Arial" w:eastAsia="Arial" w:hAnsi="Arial"/>
                <w:sz w:val="18"/>
                <w:szCs w:val="18"/>
                <w:color w:val="auto"/>
              </w:rPr>
              <w:t>to joining the Company, Mr. Linnen served in various positions within human resources at Kraft Foods Inc.</w:t>
            </w:r>
          </w:p>
        </w:tc>
      </w:tr>
      <w:tr>
        <w:trPr>
          <w:trHeight w:val="203"/>
        </w:trPr>
        <w:tc>
          <w:tcPr>
            <w:tcW w:w="20" w:type="dxa"/>
            <w:vAlign w:val="bottom"/>
          </w:tcPr>
          <w:p>
            <w:pPr>
              <w:spacing w:after="0"/>
              <w:rPr>
                <w:sz w:val="17"/>
                <w:szCs w:val="17"/>
                <w:color w:val="auto"/>
              </w:rPr>
            </w:pPr>
          </w:p>
        </w:tc>
        <w:tc>
          <w:tcPr>
            <w:tcW w:w="1980" w:type="dxa"/>
            <w:vAlign w:val="bottom"/>
            <w:tcBorders>
              <w:bottom w:val="single" w:sz="8" w:color="C1CECC"/>
            </w:tcBorders>
            <w:shd w:val="clear" w:color="auto" w:fill="F4F9F9"/>
          </w:tcPr>
          <w:p>
            <w:pPr>
              <w:spacing w:after="0"/>
              <w:rPr>
                <w:sz w:val="17"/>
                <w:szCs w:val="17"/>
                <w:color w:val="auto"/>
              </w:rPr>
            </w:pPr>
          </w:p>
        </w:tc>
        <w:tc>
          <w:tcPr>
            <w:tcW w:w="9040" w:type="dxa"/>
            <w:vAlign w:val="bottom"/>
            <w:tcBorders>
              <w:bottom w:val="single" w:sz="8" w:color="C1CECC"/>
            </w:tcBorders>
            <w:shd w:val="clear" w:color="auto" w:fill="F4F9F9"/>
          </w:tcPr>
          <w:p>
            <w:pPr>
              <w:ind w:left="320"/>
              <w:spacing w:after="0" w:line="203" w:lineRule="exact"/>
              <w:rPr>
                <w:sz w:val="20"/>
                <w:szCs w:val="20"/>
                <w:color w:val="auto"/>
              </w:rPr>
            </w:pPr>
            <w:r>
              <w:rPr>
                <w:rFonts w:ascii="Arial" w:cs="Arial" w:eastAsia="Arial" w:hAnsi="Arial"/>
                <w:sz w:val="18"/>
                <w:szCs w:val="18"/>
                <w:color w:val="auto"/>
              </w:rPr>
              <w:t>and Nabisco, Inc.</w:t>
            </w:r>
          </w:p>
        </w:tc>
      </w:tr>
      <w:tr>
        <w:trPr>
          <w:trHeight w:val="195"/>
        </w:trPr>
        <w:tc>
          <w:tcPr>
            <w:tcW w:w="20" w:type="dxa"/>
            <w:vAlign w:val="bottom"/>
          </w:tcPr>
          <w:p>
            <w:pPr>
              <w:spacing w:after="0"/>
              <w:rPr>
                <w:sz w:val="16"/>
                <w:szCs w:val="16"/>
                <w:color w:val="auto"/>
              </w:rPr>
            </w:pPr>
          </w:p>
        </w:tc>
        <w:tc>
          <w:tcPr>
            <w:tcW w:w="1980" w:type="dxa"/>
            <w:vAlign w:val="bottom"/>
          </w:tcPr>
          <w:p>
            <w:pPr>
              <w:spacing w:after="0" w:line="195" w:lineRule="exact"/>
              <w:rPr>
                <w:sz w:val="20"/>
                <w:szCs w:val="20"/>
                <w:color w:val="auto"/>
              </w:rPr>
            </w:pPr>
            <w:r>
              <w:rPr>
                <w:rFonts w:ascii="Arial" w:cs="Arial" w:eastAsia="Arial" w:hAnsi="Arial"/>
                <w:sz w:val="18"/>
                <w:szCs w:val="18"/>
                <w:color w:val="auto"/>
              </w:rPr>
              <w:t>Mark J. Servodidio</w:t>
            </w:r>
          </w:p>
        </w:tc>
        <w:tc>
          <w:tcPr>
            <w:tcW w:w="9040" w:type="dxa"/>
            <w:vAlign w:val="bottom"/>
          </w:tcPr>
          <w:p>
            <w:pPr>
              <w:ind w:left="320"/>
              <w:spacing w:after="0" w:line="195" w:lineRule="exact"/>
              <w:rPr>
                <w:sz w:val="20"/>
                <w:szCs w:val="20"/>
                <w:color w:val="auto"/>
              </w:rPr>
            </w:pPr>
            <w:r>
              <w:rPr>
                <w:rFonts w:ascii="Arial" w:cs="Arial" w:eastAsia="Arial" w:hAnsi="Arial"/>
                <w:sz w:val="18"/>
                <w:szCs w:val="18"/>
                <w:b w:val="1"/>
                <w:bCs w:val="1"/>
                <w:color w:val="auto"/>
              </w:rPr>
              <w:t>Mr. Servodidio</w:t>
            </w:r>
            <w:r>
              <w:rPr>
                <w:rFonts w:ascii="Arial" w:cs="Arial" w:eastAsia="Arial" w:hAnsi="Arial"/>
                <w:sz w:val="18"/>
                <w:szCs w:val="18"/>
                <w:color w:val="auto"/>
              </w:rPr>
              <w:t>, age 52, has been President, International since October 2015. Previously, Mr. Servodidio</w:t>
            </w: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040" w:type="dxa"/>
            <w:vAlign w:val="bottom"/>
          </w:tcPr>
          <w:p>
            <w:pPr>
              <w:ind w:left="320"/>
              <w:spacing w:after="0" w:line="202" w:lineRule="exact"/>
              <w:rPr>
                <w:sz w:val="20"/>
                <w:szCs w:val="20"/>
                <w:color w:val="auto"/>
              </w:rPr>
            </w:pPr>
            <w:r>
              <w:rPr>
                <w:rFonts w:ascii="Arial" w:cs="Arial" w:eastAsia="Arial" w:hAnsi="Arial"/>
                <w:sz w:val="18"/>
                <w:szCs w:val="18"/>
                <w:color w:val="auto"/>
              </w:rPr>
              <w:t>held several positions with the Company, including Managing Director, Europe, Executive Vice President for</w:t>
            </w: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040" w:type="dxa"/>
            <w:vAlign w:val="bottom"/>
          </w:tcPr>
          <w:p>
            <w:pPr>
              <w:ind w:left="320"/>
              <w:spacing w:after="0" w:line="202" w:lineRule="exact"/>
              <w:rPr>
                <w:sz w:val="20"/>
                <w:szCs w:val="20"/>
                <w:color w:val="auto"/>
              </w:rPr>
            </w:pPr>
            <w:r>
              <w:rPr>
                <w:rFonts w:ascii="Arial" w:cs="Arial" w:eastAsia="Arial" w:hAnsi="Arial"/>
                <w:sz w:val="18"/>
                <w:szCs w:val="18"/>
                <w:color w:val="auto"/>
              </w:rPr>
              <w:t>Franchise and Corporate Services, Europe, Middle East and Africa, Executive Vice President and Chief</w:t>
            </w: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040" w:type="dxa"/>
            <w:vAlign w:val="bottom"/>
          </w:tcPr>
          <w:p>
            <w:pPr>
              <w:ind w:left="320"/>
              <w:spacing w:after="0" w:line="202" w:lineRule="exact"/>
              <w:rPr>
                <w:sz w:val="20"/>
                <w:szCs w:val="20"/>
                <w:color w:val="auto"/>
              </w:rPr>
            </w:pPr>
            <w:r>
              <w:rPr>
                <w:rFonts w:ascii="Arial" w:cs="Arial" w:eastAsia="Arial" w:hAnsi="Arial"/>
                <w:sz w:val="18"/>
                <w:szCs w:val="18"/>
                <w:color w:val="auto"/>
              </w:rPr>
              <w:t>Administrative Officer, Executive Vice President, Chief Human Resource Officer, and Executive Vice</w:t>
            </w: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040" w:type="dxa"/>
            <w:vAlign w:val="bottom"/>
          </w:tcPr>
          <w:p>
            <w:pPr>
              <w:ind w:left="320"/>
              <w:spacing w:after="0" w:line="202" w:lineRule="exact"/>
              <w:rPr>
                <w:sz w:val="20"/>
                <w:szCs w:val="20"/>
                <w:color w:val="auto"/>
              </w:rPr>
            </w:pPr>
            <w:r>
              <w:rPr>
                <w:rFonts w:ascii="Arial" w:cs="Arial" w:eastAsia="Arial" w:hAnsi="Arial"/>
                <w:sz w:val="18"/>
                <w:szCs w:val="18"/>
                <w:color w:val="auto"/>
              </w:rPr>
              <w:t>President, Human Resources. Mr. Servodidio joined Avis in April 2001 as Senior Vice President, Human</w:t>
            </w: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040" w:type="dxa"/>
            <w:vAlign w:val="bottom"/>
          </w:tcPr>
          <w:p>
            <w:pPr>
              <w:ind w:left="320"/>
              <w:spacing w:after="0" w:line="202" w:lineRule="exact"/>
              <w:rPr>
                <w:sz w:val="20"/>
                <w:szCs w:val="20"/>
                <w:color w:val="auto"/>
              </w:rPr>
            </w:pPr>
            <w:r>
              <w:rPr>
                <w:rFonts w:ascii="Arial" w:cs="Arial" w:eastAsia="Arial" w:hAnsi="Arial"/>
                <w:sz w:val="18"/>
                <w:szCs w:val="18"/>
                <w:color w:val="auto"/>
              </w:rPr>
              <w:t>Resources. Prior to joining Avis, Mr. Servodidio was with Kraft Foods, Inc. (formerly Nabisco). Prior thereto,</w:t>
            </w:r>
          </w:p>
        </w:tc>
      </w:tr>
      <w:tr>
        <w:trPr>
          <w:trHeight w:val="203"/>
        </w:trPr>
        <w:tc>
          <w:tcPr>
            <w:tcW w:w="20" w:type="dxa"/>
            <w:vAlign w:val="bottom"/>
          </w:tcPr>
          <w:p>
            <w:pPr>
              <w:spacing w:after="0"/>
              <w:rPr>
                <w:sz w:val="17"/>
                <w:szCs w:val="17"/>
                <w:color w:val="auto"/>
              </w:rPr>
            </w:pPr>
          </w:p>
        </w:tc>
        <w:tc>
          <w:tcPr>
            <w:tcW w:w="1980" w:type="dxa"/>
            <w:vAlign w:val="bottom"/>
            <w:tcBorders>
              <w:bottom w:val="single" w:sz="8" w:color="C1CECC"/>
            </w:tcBorders>
          </w:tcPr>
          <w:p>
            <w:pPr>
              <w:spacing w:after="0"/>
              <w:rPr>
                <w:sz w:val="17"/>
                <w:szCs w:val="17"/>
                <w:color w:val="auto"/>
              </w:rPr>
            </w:pPr>
          </w:p>
        </w:tc>
        <w:tc>
          <w:tcPr>
            <w:tcW w:w="9040" w:type="dxa"/>
            <w:vAlign w:val="bottom"/>
            <w:tcBorders>
              <w:bottom w:val="single" w:sz="8" w:color="C1CECC"/>
            </w:tcBorders>
          </w:tcPr>
          <w:p>
            <w:pPr>
              <w:ind w:left="320"/>
              <w:spacing w:after="0" w:line="203" w:lineRule="exact"/>
              <w:rPr>
                <w:sz w:val="20"/>
                <w:szCs w:val="20"/>
                <w:color w:val="auto"/>
              </w:rPr>
            </w:pPr>
            <w:r>
              <w:rPr>
                <w:rFonts w:ascii="Arial" w:cs="Arial" w:eastAsia="Arial" w:hAnsi="Arial"/>
                <w:sz w:val="18"/>
                <w:szCs w:val="18"/>
                <w:color w:val="auto"/>
              </w:rPr>
              <w:t>he served in various leadership roles at PepsiCo, Inc.</w:t>
            </w:r>
          </w:p>
        </w:tc>
      </w:tr>
      <w:tr>
        <w:trPr>
          <w:trHeight w:val="195"/>
        </w:trPr>
        <w:tc>
          <w:tcPr>
            <w:tcW w:w="20" w:type="dxa"/>
            <w:vAlign w:val="bottom"/>
          </w:tcPr>
          <w:p>
            <w:pPr>
              <w:spacing w:after="0"/>
              <w:rPr>
                <w:sz w:val="16"/>
                <w:szCs w:val="16"/>
                <w:color w:val="auto"/>
              </w:rPr>
            </w:pPr>
          </w:p>
        </w:tc>
        <w:tc>
          <w:tcPr>
            <w:tcW w:w="1980" w:type="dxa"/>
            <w:vAlign w:val="bottom"/>
            <w:shd w:val="clear" w:color="auto" w:fill="F4F9F9"/>
          </w:tcPr>
          <w:p>
            <w:pPr>
              <w:spacing w:after="0" w:line="195" w:lineRule="exact"/>
              <w:rPr>
                <w:sz w:val="20"/>
                <w:szCs w:val="20"/>
                <w:color w:val="auto"/>
              </w:rPr>
            </w:pPr>
            <w:r>
              <w:rPr>
                <w:rFonts w:ascii="Arial" w:cs="Arial" w:eastAsia="Arial" w:hAnsi="Arial"/>
                <w:sz w:val="18"/>
                <w:szCs w:val="18"/>
                <w:color w:val="auto"/>
              </w:rPr>
              <w:t>Michael K. Tucker</w:t>
            </w:r>
          </w:p>
        </w:tc>
        <w:tc>
          <w:tcPr>
            <w:tcW w:w="9040" w:type="dxa"/>
            <w:vAlign w:val="bottom"/>
            <w:shd w:val="clear" w:color="auto" w:fill="F4F9F9"/>
          </w:tcPr>
          <w:p>
            <w:pPr>
              <w:ind w:left="320"/>
              <w:spacing w:after="0" w:line="195" w:lineRule="exact"/>
              <w:rPr>
                <w:sz w:val="20"/>
                <w:szCs w:val="20"/>
                <w:color w:val="auto"/>
              </w:rPr>
            </w:pPr>
            <w:r>
              <w:rPr>
                <w:rFonts w:ascii="Arial" w:cs="Arial" w:eastAsia="Arial" w:hAnsi="Arial"/>
                <w:sz w:val="18"/>
                <w:szCs w:val="18"/>
                <w:b w:val="1"/>
                <w:bCs w:val="1"/>
                <w:color w:val="auto"/>
              </w:rPr>
              <w:t>Mr. Tucker</w:t>
            </w:r>
            <w:r>
              <w:rPr>
                <w:rFonts w:ascii="Arial" w:cs="Arial" w:eastAsia="Arial" w:hAnsi="Arial"/>
                <w:sz w:val="18"/>
                <w:szCs w:val="18"/>
                <w:color w:val="auto"/>
              </w:rPr>
              <w:t>, age 53, has been Executive Vice President, General Counsel and Chief Compliance Officer</w:t>
            </w:r>
          </w:p>
        </w:tc>
      </w:tr>
      <w:tr>
        <w:trPr>
          <w:trHeight w:val="203"/>
        </w:trPr>
        <w:tc>
          <w:tcPr>
            <w:tcW w:w="20" w:type="dxa"/>
            <w:vAlign w:val="bottom"/>
          </w:tcPr>
          <w:p>
            <w:pPr>
              <w:spacing w:after="0"/>
              <w:rPr>
                <w:sz w:val="17"/>
                <w:szCs w:val="17"/>
                <w:color w:val="auto"/>
              </w:rPr>
            </w:pPr>
          </w:p>
        </w:tc>
        <w:tc>
          <w:tcPr>
            <w:tcW w:w="1980" w:type="dxa"/>
            <w:vAlign w:val="bottom"/>
            <w:shd w:val="clear" w:color="auto" w:fill="F4F9F9"/>
          </w:tcPr>
          <w:p>
            <w:pPr>
              <w:spacing w:after="0"/>
              <w:rPr>
                <w:sz w:val="17"/>
                <w:szCs w:val="17"/>
                <w:color w:val="auto"/>
              </w:rPr>
            </w:pPr>
          </w:p>
        </w:tc>
        <w:tc>
          <w:tcPr>
            <w:tcW w:w="9040" w:type="dxa"/>
            <w:vAlign w:val="bottom"/>
            <w:shd w:val="clear" w:color="auto" w:fill="F4F9F9"/>
          </w:tcPr>
          <w:p>
            <w:pPr>
              <w:ind w:left="320"/>
              <w:spacing w:after="0" w:line="202" w:lineRule="exact"/>
              <w:rPr>
                <w:sz w:val="20"/>
                <w:szCs w:val="20"/>
                <w:color w:val="auto"/>
              </w:rPr>
            </w:pPr>
            <w:r>
              <w:rPr>
                <w:rFonts w:ascii="Arial" w:cs="Arial" w:eastAsia="Arial" w:hAnsi="Arial"/>
                <w:sz w:val="18"/>
                <w:szCs w:val="18"/>
                <w:color w:val="auto"/>
              </w:rPr>
              <w:t>since April 2010. Prior to joining the Company, Mr. Tucker was in private practice, serving as managing</w:t>
            </w:r>
          </w:p>
        </w:tc>
      </w:tr>
      <w:tr>
        <w:trPr>
          <w:trHeight w:val="203"/>
        </w:trPr>
        <w:tc>
          <w:tcPr>
            <w:tcW w:w="20" w:type="dxa"/>
            <w:vAlign w:val="bottom"/>
          </w:tcPr>
          <w:p>
            <w:pPr>
              <w:spacing w:after="0"/>
              <w:rPr>
                <w:sz w:val="17"/>
                <w:szCs w:val="17"/>
                <w:color w:val="auto"/>
              </w:rPr>
            </w:pPr>
          </w:p>
        </w:tc>
        <w:tc>
          <w:tcPr>
            <w:tcW w:w="1980" w:type="dxa"/>
            <w:vAlign w:val="bottom"/>
            <w:shd w:val="clear" w:color="auto" w:fill="F4F9F9"/>
          </w:tcPr>
          <w:p>
            <w:pPr>
              <w:spacing w:after="0"/>
              <w:rPr>
                <w:sz w:val="17"/>
                <w:szCs w:val="17"/>
                <w:color w:val="auto"/>
              </w:rPr>
            </w:pPr>
          </w:p>
        </w:tc>
        <w:tc>
          <w:tcPr>
            <w:tcW w:w="9040" w:type="dxa"/>
            <w:vAlign w:val="bottom"/>
            <w:shd w:val="clear" w:color="auto" w:fill="F4F9F9"/>
          </w:tcPr>
          <w:p>
            <w:pPr>
              <w:ind w:left="320"/>
              <w:spacing w:after="0" w:line="202" w:lineRule="exact"/>
              <w:rPr>
                <w:sz w:val="20"/>
                <w:szCs w:val="20"/>
                <w:color w:val="auto"/>
              </w:rPr>
            </w:pPr>
            <w:r>
              <w:rPr>
                <w:rFonts w:ascii="Arial" w:cs="Arial" w:eastAsia="Arial" w:hAnsi="Arial"/>
                <w:sz w:val="18"/>
                <w:szCs w:val="18"/>
                <w:color w:val="auto"/>
              </w:rPr>
              <w:t>partner at the law firm of Tucker Associates and Of Counsel at the law firm of Lowe &amp; Savage from 2007.</w:t>
            </w:r>
          </w:p>
        </w:tc>
      </w:tr>
      <w:tr>
        <w:trPr>
          <w:trHeight w:val="203"/>
        </w:trPr>
        <w:tc>
          <w:tcPr>
            <w:tcW w:w="20" w:type="dxa"/>
            <w:vAlign w:val="bottom"/>
          </w:tcPr>
          <w:p>
            <w:pPr>
              <w:spacing w:after="0"/>
              <w:rPr>
                <w:sz w:val="17"/>
                <w:szCs w:val="17"/>
                <w:color w:val="auto"/>
              </w:rPr>
            </w:pPr>
          </w:p>
        </w:tc>
        <w:tc>
          <w:tcPr>
            <w:tcW w:w="1980" w:type="dxa"/>
            <w:vAlign w:val="bottom"/>
            <w:shd w:val="clear" w:color="auto" w:fill="F4F9F9"/>
          </w:tcPr>
          <w:p>
            <w:pPr>
              <w:spacing w:after="0"/>
              <w:rPr>
                <w:sz w:val="17"/>
                <w:szCs w:val="17"/>
                <w:color w:val="auto"/>
              </w:rPr>
            </w:pPr>
          </w:p>
        </w:tc>
        <w:tc>
          <w:tcPr>
            <w:tcW w:w="9040" w:type="dxa"/>
            <w:vAlign w:val="bottom"/>
            <w:shd w:val="clear" w:color="auto" w:fill="F4F9F9"/>
          </w:tcPr>
          <w:p>
            <w:pPr>
              <w:ind w:left="320"/>
              <w:spacing w:after="0" w:line="202" w:lineRule="exact"/>
              <w:rPr>
                <w:sz w:val="20"/>
                <w:szCs w:val="20"/>
                <w:color w:val="auto"/>
              </w:rPr>
            </w:pPr>
            <w:r>
              <w:rPr>
                <w:rFonts w:ascii="Arial" w:cs="Arial" w:eastAsia="Arial" w:hAnsi="Arial"/>
                <w:sz w:val="18"/>
                <w:szCs w:val="18"/>
                <w:color w:val="auto"/>
                <w:w w:val="99"/>
              </w:rPr>
              <w:t>Prior thereto, Mr. Tucker was Division General Counsel with Tyco International Ltd. from 2005. Prior to joining</w:t>
            </w:r>
          </w:p>
        </w:tc>
      </w:tr>
      <w:tr>
        <w:trPr>
          <w:trHeight w:val="203"/>
        </w:trPr>
        <w:tc>
          <w:tcPr>
            <w:tcW w:w="20" w:type="dxa"/>
            <w:vAlign w:val="bottom"/>
          </w:tcPr>
          <w:p>
            <w:pPr>
              <w:spacing w:after="0"/>
              <w:rPr>
                <w:sz w:val="17"/>
                <w:szCs w:val="17"/>
                <w:color w:val="auto"/>
              </w:rPr>
            </w:pPr>
          </w:p>
        </w:tc>
        <w:tc>
          <w:tcPr>
            <w:tcW w:w="1980" w:type="dxa"/>
            <w:vAlign w:val="bottom"/>
            <w:shd w:val="clear" w:color="auto" w:fill="F4F9F9"/>
          </w:tcPr>
          <w:p>
            <w:pPr>
              <w:spacing w:after="0"/>
              <w:rPr>
                <w:sz w:val="17"/>
                <w:szCs w:val="17"/>
                <w:color w:val="auto"/>
              </w:rPr>
            </w:pPr>
          </w:p>
        </w:tc>
        <w:tc>
          <w:tcPr>
            <w:tcW w:w="9040" w:type="dxa"/>
            <w:vAlign w:val="bottom"/>
            <w:shd w:val="clear" w:color="auto" w:fill="F4F9F9"/>
          </w:tcPr>
          <w:p>
            <w:pPr>
              <w:ind w:left="320"/>
              <w:spacing w:after="0" w:line="202" w:lineRule="exact"/>
              <w:rPr>
                <w:sz w:val="20"/>
                <w:szCs w:val="20"/>
                <w:color w:val="auto"/>
              </w:rPr>
            </w:pPr>
            <w:r>
              <w:rPr>
                <w:rFonts w:ascii="Arial" w:cs="Arial" w:eastAsia="Arial" w:hAnsi="Arial"/>
                <w:sz w:val="18"/>
                <w:szCs w:val="18"/>
                <w:color w:val="auto"/>
              </w:rPr>
              <w:t>Tyco, Mr. Tucker served in senior legal positions with General Electric Company, including division senior</w:t>
            </w:r>
          </w:p>
        </w:tc>
      </w:tr>
      <w:tr>
        <w:trPr>
          <w:trHeight w:val="203"/>
        </w:trPr>
        <w:tc>
          <w:tcPr>
            <w:tcW w:w="20" w:type="dxa"/>
            <w:vAlign w:val="bottom"/>
          </w:tcPr>
          <w:p>
            <w:pPr>
              <w:spacing w:after="0"/>
              <w:rPr>
                <w:sz w:val="17"/>
                <w:szCs w:val="17"/>
                <w:color w:val="auto"/>
              </w:rPr>
            </w:pPr>
          </w:p>
        </w:tc>
        <w:tc>
          <w:tcPr>
            <w:tcW w:w="1980" w:type="dxa"/>
            <w:vAlign w:val="bottom"/>
            <w:shd w:val="clear" w:color="auto" w:fill="F4F9F9"/>
          </w:tcPr>
          <w:p>
            <w:pPr>
              <w:spacing w:after="0"/>
              <w:rPr>
                <w:sz w:val="17"/>
                <w:szCs w:val="17"/>
                <w:color w:val="auto"/>
              </w:rPr>
            </w:pPr>
          </w:p>
        </w:tc>
        <w:tc>
          <w:tcPr>
            <w:tcW w:w="9040" w:type="dxa"/>
            <w:vAlign w:val="bottom"/>
            <w:shd w:val="clear" w:color="auto" w:fill="F4F9F9"/>
          </w:tcPr>
          <w:p>
            <w:pPr>
              <w:ind w:left="320"/>
              <w:spacing w:after="0" w:line="202" w:lineRule="exact"/>
              <w:rPr>
                <w:sz w:val="20"/>
                <w:szCs w:val="20"/>
                <w:color w:val="auto"/>
              </w:rPr>
            </w:pPr>
            <w:r>
              <w:rPr>
                <w:rFonts w:ascii="Arial" w:cs="Arial" w:eastAsia="Arial" w:hAnsi="Arial"/>
                <w:sz w:val="18"/>
                <w:szCs w:val="18"/>
                <w:color w:val="auto"/>
              </w:rPr>
              <w:t>counsel of GE Transportation and senior vice president and general counsel of GE Capital International</w:t>
            </w:r>
          </w:p>
        </w:tc>
      </w:tr>
      <w:tr>
        <w:trPr>
          <w:trHeight w:val="203"/>
        </w:trPr>
        <w:tc>
          <w:tcPr>
            <w:tcW w:w="20" w:type="dxa"/>
            <w:vAlign w:val="bottom"/>
          </w:tcPr>
          <w:p>
            <w:pPr>
              <w:spacing w:after="0"/>
              <w:rPr>
                <w:sz w:val="17"/>
                <w:szCs w:val="17"/>
                <w:color w:val="auto"/>
              </w:rPr>
            </w:pPr>
          </w:p>
        </w:tc>
        <w:tc>
          <w:tcPr>
            <w:tcW w:w="1980" w:type="dxa"/>
            <w:vAlign w:val="bottom"/>
            <w:shd w:val="clear" w:color="auto" w:fill="F4F9F9"/>
          </w:tcPr>
          <w:p>
            <w:pPr>
              <w:spacing w:after="0"/>
              <w:rPr>
                <w:sz w:val="17"/>
                <w:szCs w:val="17"/>
                <w:color w:val="auto"/>
              </w:rPr>
            </w:pPr>
          </w:p>
        </w:tc>
        <w:tc>
          <w:tcPr>
            <w:tcW w:w="9040" w:type="dxa"/>
            <w:vAlign w:val="bottom"/>
            <w:shd w:val="clear" w:color="auto" w:fill="F4F9F9"/>
          </w:tcPr>
          <w:p>
            <w:pPr>
              <w:ind w:left="320"/>
              <w:spacing w:after="0" w:line="202" w:lineRule="exact"/>
              <w:rPr>
                <w:sz w:val="20"/>
                <w:szCs w:val="20"/>
                <w:color w:val="auto"/>
              </w:rPr>
            </w:pPr>
            <w:r>
              <w:rPr>
                <w:rFonts w:ascii="Arial" w:cs="Arial" w:eastAsia="Arial" w:hAnsi="Arial"/>
                <w:sz w:val="18"/>
                <w:szCs w:val="18"/>
                <w:color w:val="auto"/>
              </w:rPr>
              <w:t>Services. Prior to joining General Electric, Mr. Tucker was associated with the law firms of Ballard Spahr</w:t>
            </w:r>
          </w:p>
        </w:tc>
      </w:tr>
      <w:tr>
        <w:trPr>
          <w:trHeight w:val="203"/>
        </w:trPr>
        <w:tc>
          <w:tcPr>
            <w:tcW w:w="20" w:type="dxa"/>
            <w:vAlign w:val="bottom"/>
          </w:tcPr>
          <w:p>
            <w:pPr>
              <w:spacing w:after="0"/>
              <w:rPr>
                <w:sz w:val="17"/>
                <w:szCs w:val="17"/>
                <w:color w:val="auto"/>
              </w:rPr>
            </w:pPr>
          </w:p>
        </w:tc>
        <w:tc>
          <w:tcPr>
            <w:tcW w:w="1980" w:type="dxa"/>
            <w:vAlign w:val="bottom"/>
            <w:tcBorders>
              <w:bottom w:val="single" w:sz="8" w:color="C1CECC"/>
            </w:tcBorders>
            <w:shd w:val="clear" w:color="auto" w:fill="F4F9F9"/>
          </w:tcPr>
          <w:p>
            <w:pPr>
              <w:spacing w:after="0"/>
              <w:rPr>
                <w:sz w:val="17"/>
                <w:szCs w:val="17"/>
                <w:color w:val="auto"/>
              </w:rPr>
            </w:pPr>
          </w:p>
        </w:tc>
        <w:tc>
          <w:tcPr>
            <w:tcW w:w="9040" w:type="dxa"/>
            <w:vAlign w:val="bottom"/>
            <w:tcBorders>
              <w:bottom w:val="single" w:sz="8" w:color="C1CECC"/>
            </w:tcBorders>
            <w:shd w:val="clear" w:color="auto" w:fill="F4F9F9"/>
          </w:tcPr>
          <w:p>
            <w:pPr>
              <w:ind w:left="320"/>
              <w:spacing w:after="0" w:line="203" w:lineRule="exact"/>
              <w:rPr>
                <w:sz w:val="20"/>
                <w:szCs w:val="20"/>
                <w:color w:val="auto"/>
              </w:rPr>
            </w:pPr>
            <w:r>
              <w:rPr>
                <w:rFonts w:ascii="Arial" w:cs="Arial" w:eastAsia="Arial" w:hAnsi="Arial"/>
                <w:sz w:val="18"/>
                <w:szCs w:val="18"/>
                <w:color w:val="auto"/>
              </w:rPr>
              <w:t>Andrews &amp; Ingersoll, Bingham Dana LLP, and Csaplar &amp; Bok.</w:t>
            </w:r>
          </w:p>
        </w:tc>
      </w:tr>
      <w:tr>
        <w:trPr>
          <w:trHeight w:val="195"/>
        </w:trPr>
        <w:tc>
          <w:tcPr>
            <w:tcW w:w="20" w:type="dxa"/>
            <w:vAlign w:val="bottom"/>
          </w:tcPr>
          <w:p>
            <w:pPr>
              <w:spacing w:after="0"/>
              <w:rPr>
                <w:sz w:val="16"/>
                <w:szCs w:val="16"/>
                <w:color w:val="auto"/>
              </w:rPr>
            </w:pPr>
          </w:p>
        </w:tc>
        <w:tc>
          <w:tcPr>
            <w:tcW w:w="1980" w:type="dxa"/>
            <w:vAlign w:val="bottom"/>
          </w:tcPr>
          <w:p>
            <w:pPr>
              <w:spacing w:after="0" w:line="195" w:lineRule="exact"/>
              <w:rPr>
                <w:sz w:val="20"/>
                <w:szCs w:val="20"/>
                <w:color w:val="auto"/>
              </w:rPr>
            </w:pPr>
            <w:r>
              <w:rPr>
                <w:rFonts w:ascii="Arial" w:cs="Arial" w:eastAsia="Arial" w:hAnsi="Arial"/>
                <w:sz w:val="18"/>
                <w:szCs w:val="18"/>
                <w:color w:val="auto"/>
              </w:rPr>
              <w:t>David T. Calabria</w:t>
            </w:r>
          </w:p>
        </w:tc>
        <w:tc>
          <w:tcPr>
            <w:tcW w:w="9040" w:type="dxa"/>
            <w:vAlign w:val="bottom"/>
          </w:tcPr>
          <w:p>
            <w:pPr>
              <w:ind w:left="320"/>
              <w:spacing w:after="0" w:line="195" w:lineRule="exact"/>
              <w:rPr>
                <w:sz w:val="20"/>
                <w:szCs w:val="20"/>
                <w:color w:val="auto"/>
              </w:rPr>
            </w:pPr>
            <w:r>
              <w:rPr>
                <w:rFonts w:ascii="Arial" w:cs="Arial" w:eastAsia="Arial" w:hAnsi="Arial"/>
                <w:sz w:val="18"/>
                <w:szCs w:val="18"/>
                <w:b w:val="1"/>
                <w:bCs w:val="1"/>
                <w:color w:val="auto"/>
              </w:rPr>
              <w:t>Mr. Calabria</w:t>
            </w:r>
            <w:r>
              <w:rPr>
                <w:rFonts w:ascii="Arial" w:cs="Arial" w:eastAsia="Arial" w:hAnsi="Arial"/>
                <w:sz w:val="18"/>
                <w:szCs w:val="18"/>
                <w:color w:val="auto"/>
              </w:rPr>
              <w:t>, age 43, has been Senior Vice President and Chief Accounting Officer since September 2015.</w:t>
            </w: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040" w:type="dxa"/>
            <w:vAlign w:val="bottom"/>
          </w:tcPr>
          <w:p>
            <w:pPr>
              <w:ind w:left="320"/>
              <w:spacing w:after="0" w:line="202" w:lineRule="exact"/>
              <w:rPr>
                <w:sz w:val="20"/>
                <w:szCs w:val="20"/>
                <w:color w:val="auto"/>
              </w:rPr>
            </w:pPr>
            <w:r>
              <w:rPr>
                <w:rFonts w:ascii="Arial" w:cs="Arial" w:eastAsia="Arial" w:hAnsi="Arial"/>
                <w:sz w:val="18"/>
                <w:szCs w:val="18"/>
                <w:color w:val="auto"/>
              </w:rPr>
              <w:t>Previously, Mr. Calabria held the title of Vice President and Chief Accounting Officer of the Company from</w:t>
            </w: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040" w:type="dxa"/>
            <w:vAlign w:val="bottom"/>
          </w:tcPr>
          <w:p>
            <w:pPr>
              <w:ind w:left="320"/>
              <w:spacing w:after="0" w:line="202" w:lineRule="exact"/>
              <w:rPr>
                <w:sz w:val="20"/>
                <w:szCs w:val="20"/>
                <w:color w:val="auto"/>
              </w:rPr>
            </w:pPr>
            <w:r>
              <w:rPr>
                <w:rFonts w:ascii="Arial" w:cs="Arial" w:eastAsia="Arial" w:hAnsi="Arial"/>
                <w:sz w:val="18"/>
                <w:szCs w:val="18"/>
                <w:color w:val="auto"/>
              </w:rPr>
              <w:t>May 2014 until September 2015. Mr. Calabria joined the Company in 2004 and held roles of increasing</w:t>
            </w: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040" w:type="dxa"/>
            <w:vAlign w:val="bottom"/>
          </w:tcPr>
          <w:p>
            <w:pPr>
              <w:ind w:left="320"/>
              <w:spacing w:after="0" w:line="202" w:lineRule="exact"/>
              <w:rPr>
                <w:sz w:val="20"/>
                <w:szCs w:val="20"/>
                <w:color w:val="auto"/>
              </w:rPr>
            </w:pPr>
            <w:r>
              <w:rPr>
                <w:rFonts w:ascii="Arial" w:cs="Arial" w:eastAsia="Arial" w:hAnsi="Arial"/>
                <w:sz w:val="18"/>
                <w:szCs w:val="18"/>
                <w:color w:val="auto"/>
              </w:rPr>
              <w:t>responsibility within the Company’s Treasury function, including as Vice President and Assistant Treasurer.</w:t>
            </w: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040" w:type="dxa"/>
            <w:vAlign w:val="bottom"/>
          </w:tcPr>
          <w:p>
            <w:pPr>
              <w:ind w:left="320"/>
              <w:spacing w:after="0" w:line="202" w:lineRule="exact"/>
              <w:rPr>
                <w:sz w:val="20"/>
                <w:szCs w:val="20"/>
                <w:color w:val="auto"/>
              </w:rPr>
            </w:pPr>
            <w:r>
              <w:rPr>
                <w:rFonts w:ascii="Arial" w:cs="Arial" w:eastAsia="Arial" w:hAnsi="Arial"/>
                <w:sz w:val="18"/>
                <w:szCs w:val="18"/>
                <w:color w:val="auto"/>
              </w:rPr>
              <w:t>Prior to joining the Company, Mr. Calabria was a Vice President in ABS Conduit Administration at JPMorgan</w:t>
            </w:r>
          </w:p>
        </w:tc>
      </w:tr>
      <w:tr>
        <w:trPr>
          <w:trHeight w:val="203"/>
        </w:trPr>
        <w:tc>
          <w:tcPr>
            <w:tcW w:w="20" w:type="dxa"/>
            <w:vAlign w:val="bottom"/>
          </w:tcPr>
          <w:p>
            <w:pPr>
              <w:spacing w:after="0"/>
              <w:rPr>
                <w:sz w:val="17"/>
                <w:szCs w:val="17"/>
                <w:color w:val="auto"/>
              </w:rPr>
            </w:pPr>
          </w:p>
        </w:tc>
        <w:tc>
          <w:tcPr>
            <w:tcW w:w="1980" w:type="dxa"/>
            <w:vAlign w:val="bottom"/>
            <w:tcBorders>
              <w:bottom w:val="single" w:sz="8" w:color="C1CECC"/>
            </w:tcBorders>
          </w:tcPr>
          <w:p>
            <w:pPr>
              <w:spacing w:after="0"/>
              <w:rPr>
                <w:sz w:val="17"/>
                <w:szCs w:val="17"/>
                <w:color w:val="auto"/>
              </w:rPr>
            </w:pPr>
          </w:p>
        </w:tc>
        <w:tc>
          <w:tcPr>
            <w:tcW w:w="9040" w:type="dxa"/>
            <w:vAlign w:val="bottom"/>
            <w:tcBorders>
              <w:bottom w:val="single" w:sz="8" w:color="auto"/>
            </w:tcBorders>
          </w:tcPr>
          <w:p>
            <w:pPr>
              <w:ind w:left="320"/>
              <w:spacing w:after="0" w:line="203" w:lineRule="exact"/>
              <w:rPr>
                <w:sz w:val="20"/>
                <w:szCs w:val="20"/>
                <w:color w:val="auto"/>
              </w:rPr>
            </w:pPr>
            <w:r>
              <w:rPr>
                <w:rFonts w:ascii="Arial" w:cs="Arial" w:eastAsia="Arial" w:hAnsi="Arial"/>
                <w:sz w:val="18"/>
                <w:szCs w:val="18"/>
                <w:color w:val="auto"/>
              </w:rPr>
              <w:t>Chase Bank and was an accountant with PricewaterhouseCoopers.</w:t>
            </w:r>
          </w:p>
        </w:tc>
      </w:tr>
      <w:tr>
        <w:trPr>
          <w:trHeight w:val="358"/>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040" w:type="dxa"/>
            <w:vAlign w:val="bottom"/>
          </w:tcPr>
          <w:p>
            <w:pPr>
              <w:ind w:left="342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p>
      <w:pPr>
        <w:ind w:left="200"/>
        <w:spacing w:after="0"/>
        <w:rPr>
          <w:sz w:val="20"/>
          <w:szCs w:val="20"/>
          <w:color w:val="auto"/>
        </w:rPr>
      </w:pPr>
      <w:r>
        <w:rPr>
          <w:rFonts w:ascii="Arial" w:cs="Arial" w:eastAsia="Arial" w:hAnsi="Arial"/>
          <w:sz w:val="36"/>
          <w:szCs w:val="36"/>
          <w:b w:val="1"/>
          <w:bCs w:val="1"/>
          <w:color w:val="auto"/>
        </w:rPr>
        <w:t>Executive Compensation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Compensation Discussion and Analysis</w:t>
      </w:r>
    </w:p>
    <w:p>
      <w:pPr>
        <w:spacing w:after="0" w:line="129" w:lineRule="exact"/>
        <w:rPr>
          <w:sz w:val="20"/>
          <w:szCs w:val="20"/>
          <w:color w:val="auto"/>
        </w:rPr>
      </w:pPr>
    </w:p>
    <w:p>
      <w:pPr>
        <w:jc w:val="both"/>
        <w:ind w:left="200"/>
        <w:spacing w:after="0"/>
        <w:rPr>
          <w:sz w:val="20"/>
          <w:szCs w:val="20"/>
          <w:color w:val="auto"/>
        </w:rPr>
      </w:pPr>
      <w:r>
        <w:rPr>
          <w:rFonts w:ascii="Arial" w:cs="Arial" w:eastAsia="Arial" w:hAnsi="Arial"/>
          <w:sz w:val="18"/>
          <w:szCs w:val="18"/>
          <w:i w:val="1"/>
          <w:iCs w:val="1"/>
          <w:color w:val="auto"/>
        </w:rPr>
        <w:t>We refer you to our Annual Report on Form 10-K for the year ended December 31, 2017 (our “2017 Form 10-K”) for additional information regarding our financial results discussed below. In this Proxy Statement, we refer to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and income taxes. This non-GAAP measure is a performance metric in our incentive programs and a reconciliation is provided under “Analysis of 2017 Pay Decisions.” When we refer to “the Committee” in this “Executive Compensation” section, we are referring to the Compensation Committee.</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Executive Summary</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2017 Company Performance</w:t>
      </w:r>
    </w:p>
    <w:p>
      <w:pPr>
        <w:spacing w:after="0" w:line="121"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For 2017, our revenue increased by 2% compared to 2016 revenue, growing to $8.8 billion, our net income was $ 361 million, and our Adjusted EBITDA was $735 million. Our Adjusted EBITDA was below the 2017 business plan goal that we had set and was 12% lower than 2016 Adjusted EBITDA. This was primarily due to higher per-unit fleet costs and lower pricing, particularly in the first half of the year. Management partially offset these challenging industry headwinds through cost-reduction actions and strategic initiatives in the areas of profitable revenue growth, fleet optimization and operational efficiencies.</w:t>
      </w:r>
    </w:p>
    <w:p>
      <w:pPr>
        <w:spacing w:after="0" w:line="95"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In 2017, we made investments in our business designed to lower our cost structure, modernize our core infrastructure and further our position in the evolving mobility landscape. We also returned capital to our shareholders through the repurchase of $200 million of our Common Stock, resulting in the repurchase of 6.1 million shares. Our stock price increased by 19.6% from December 31, 2016 to December 31, 2017.</w:t>
      </w:r>
    </w:p>
    <w:p>
      <w:pPr>
        <w:spacing w:after="0" w:line="94"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In 2018, consistent with our strategy, we intend to continue to apply our brands, technology and people to drive profitable growth, while further building our position in the wide mobility services industry by continuing to: invest in connected car technology; roll-out our Demand-Fleet-Pricing system; enhance our mobile app, including targeting ease of use and speed; execute on our fleet optimization, workforce planning and shuttling initiatives; and explore new mobility partnerships and products.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2017 Strategic Accomplishments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2017, the Company continued to execute on its strategy designed for an evolving landscape through:</w:t>
      </w:r>
    </w:p>
    <w:p>
      <w:pPr>
        <w:spacing w:after="0" w:line="117" w:lineRule="exact"/>
        <w:rPr>
          <w:sz w:val="20"/>
          <w:szCs w:val="20"/>
          <w:color w:val="auto"/>
        </w:rPr>
      </w:pPr>
    </w:p>
    <w:p>
      <w:pPr>
        <w:ind w:left="640" w:hanging="436"/>
        <w:spacing w:after="0" w:line="246"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its fleet optimization initiatives, which included increasing the percentage of risk vehicles sold through alternative channels in the Americas to 50% from 39% in the previous year;</w:t>
      </w:r>
    </w:p>
    <w:p>
      <w:pPr>
        <w:spacing w:after="0" w:line="102" w:lineRule="exact"/>
        <w:rPr>
          <w:rFonts w:ascii="Arial" w:cs="Arial" w:eastAsia="Arial" w:hAnsi="Arial"/>
          <w:sz w:val="18"/>
          <w:szCs w:val="18"/>
          <w:color w:val="auto"/>
        </w:rPr>
      </w:pPr>
    </w:p>
    <w:p>
      <w:pPr>
        <w:ind w:left="640" w:hanging="436"/>
        <w:spacing w:after="0" w:line="246"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its workforce planning and shuttling initiatives, which drove a 5% year-over-year increase in productivity in the Americas and a 7% year-over-year improvement in shuttling costs per transaction in the Americas;</w:t>
      </w:r>
    </w:p>
    <w:p>
      <w:pPr>
        <w:spacing w:after="0" w:line="102" w:lineRule="exact"/>
        <w:rPr>
          <w:rFonts w:ascii="Arial" w:cs="Arial" w:eastAsia="Arial" w:hAnsi="Arial"/>
          <w:sz w:val="18"/>
          <w:szCs w:val="18"/>
          <w:color w:val="auto"/>
        </w:rPr>
      </w:pPr>
    </w:p>
    <w:p>
      <w:pPr>
        <w:ind w:left="640" w:hanging="436"/>
        <w:spacing w:after="0" w:line="246"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implementation of a new technology platform delivering adaptive web and mobile sites which helped drive additional direct bookings and prepaid rentals;</w:t>
      </w:r>
    </w:p>
    <w:p>
      <w:pPr>
        <w:spacing w:after="0" w:line="102" w:lineRule="exact"/>
        <w:rPr>
          <w:rFonts w:ascii="Arial" w:cs="Arial" w:eastAsia="Arial" w:hAnsi="Arial"/>
          <w:sz w:val="18"/>
          <w:szCs w:val="18"/>
          <w:color w:val="auto"/>
        </w:rPr>
      </w:pPr>
    </w:p>
    <w:p>
      <w:pPr>
        <w:ind w:left="640" w:hanging="436"/>
        <w:spacing w:after="0" w:line="246"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enhancements to its mobile app that include offering a wider selection of vehicles for exchange and upgrade, gas station and parking locations, courtesy bus tracking, rental receipts, and a “find my car” feature;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establishment of a partnership with Waymo to support its fleet of self-driving cars;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significant increase of connected cars in its fleet, and the launch of the first of its kind mobility lab;</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launch of its fully integrated Demand-Fleet-Pricing system; and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launch of a Zipcar commuter product and Zipcar Flex in the U.K.</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2017 Compensation for our Named Executive Officers</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Alignment of 2017 Compensation with Performance</w:t>
      </w:r>
    </w:p>
    <w:p>
      <w:pPr>
        <w:spacing w:after="0" w:line="122"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Our history of pay for performance alignment was evident in the compensation paid to our named executive officers for 2017. While management’s leadership and actions partially offset industry headwinds, as described above, based on actual 2017 financial performance, performance-based long-term incentives, which were granted in 2015 and based primarily on three-year cumulative Adjusted EBITDA goals, did not vest in 2018 and were forfeited without any payout. Our named executive officers also received no payouts under the 2017 annual incentive program (based on Adjusted EBITDA goal attainment for both Global and the Americas region), and performance-based long-term incentive awards granted in 2016 and 2017 and scheduled to vest in 2019 and 2020, respectively, are currently not expected to vest.</w:t>
      </w:r>
    </w:p>
    <w:p>
      <w:pPr>
        <w:spacing w:after="0" w:line="95"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The table below evidences our strong pay for performance approach, which has yielded target or above-target payouts in strong performance periods and below-target payouts in periods where target goals were not achieved, and sets forth historical payouts under our regular global performance-based incentive programs, in which our current CEO and Regional Presidents participated.</w:t>
      </w:r>
    </w:p>
    <w:p>
      <w:pPr>
        <w:spacing w:after="0" w:line="9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1440" w:type="dxa"/>
            <w:vAlign w:val="bottom"/>
          </w:tcPr>
          <w:p>
            <w:pPr>
              <w:ind w:left="760"/>
              <w:spacing w:after="0"/>
              <w:rPr>
                <w:sz w:val="20"/>
                <w:szCs w:val="20"/>
                <w:color w:val="auto"/>
              </w:rPr>
            </w:pPr>
            <w:r>
              <w:rPr>
                <w:rFonts w:ascii="Arial" w:cs="Arial" w:eastAsia="Arial" w:hAnsi="Arial"/>
                <w:sz w:val="14"/>
                <w:szCs w:val="14"/>
                <w:b w:val="1"/>
                <w:bCs w:val="1"/>
                <w:color w:val="auto"/>
              </w:rPr>
              <w:t>Year</w:t>
            </w:r>
          </w:p>
        </w:tc>
        <w:tc>
          <w:tcPr>
            <w:tcW w:w="1660" w:type="dxa"/>
            <w:vAlign w:val="bottom"/>
          </w:tcPr>
          <w:p>
            <w:pPr>
              <w:jc w:val="center"/>
              <w:ind w:left="48"/>
              <w:spacing w:after="0"/>
              <w:rPr>
                <w:sz w:val="20"/>
                <w:szCs w:val="20"/>
                <w:color w:val="auto"/>
              </w:rPr>
            </w:pPr>
            <w:r>
              <w:rPr>
                <w:rFonts w:ascii="Arial" w:cs="Arial" w:eastAsia="Arial" w:hAnsi="Arial"/>
                <w:sz w:val="14"/>
                <w:szCs w:val="14"/>
                <w:b w:val="1"/>
                <w:bCs w:val="1"/>
                <w:color w:val="auto"/>
              </w:rPr>
              <w:t>Global Annual</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Vesting of</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Adjusted EBITDA,</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Adjusted EBITDA</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One-</w:t>
            </w:r>
          </w:p>
        </w:tc>
        <w:tc>
          <w:tcPr>
            <w:tcW w:w="1940" w:type="dxa"/>
            <w:vAlign w:val="bottom"/>
          </w:tcPr>
          <w:p>
            <w:pPr>
              <w:jc w:val="center"/>
              <w:ind w:right="168"/>
              <w:spacing w:after="0"/>
              <w:rPr>
                <w:sz w:val="20"/>
                <w:szCs w:val="20"/>
                <w:color w:val="auto"/>
              </w:rPr>
            </w:pPr>
            <w:r>
              <w:rPr>
                <w:rFonts w:ascii="Arial" w:cs="Arial" w:eastAsia="Arial" w:hAnsi="Arial"/>
                <w:sz w:val="14"/>
                <w:szCs w:val="14"/>
                <w:b w:val="1"/>
                <w:bCs w:val="1"/>
                <w:color w:val="auto"/>
              </w:rPr>
              <w:t>Three-Year TSR for</w:t>
            </w:r>
          </w:p>
        </w:tc>
      </w:tr>
      <w:tr>
        <w:trPr>
          <w:trHeight w:val="162"/>
        </w:trPr>
        <w:tc>
          <w:tcPr>
            <w:tcW w:w="1440" w:type="dxa"/>
            <w:vAlign w:val="bottom"/>
          </w:tcPr>
          <w:p>
            <w:pPr>
              <w:spacing w:after="0"/>
              <w:rPr>
                <w:sz w:val="14"/>
                <w:szCs w:val="14"/>
                <w:color w:val="auto"/>
              </w:rPr>
            </w:pPr>
          </w:p>
        </w:tc>
        <w:tc>
          <w:tcPr>
            <w:tcW w:w="1660" w:type="dxa"/>
            <w:vAlign w:val="bottom"/>
          </w:tcPr>
          <w:p>
            <w:pPr>
              <w:jc w:val="center"/>
              <w:ind w:left="48"/>
              <w:spacing w:after="0"/>
              <w:rPr>
                <w:sz w:val="20"/>
                <w:szCs w:val="20"/>
                <w:color w:val="auto"/>
              </w:rPr>
            </w:pPr>
            <w:r>
              <w:rPr>
                <w:rFonts w:ascii="Arial" w:cs="Arial" w:eastAsia="Arial" w:hAnsi="Arial"/>
                <w:sz w:val="14"/>
                <w:szCs w:val="14"/>
                <w:b w:val="1"/>
                <w:bCs w:val="1"/>
                <w:color w:val="auto"/>
              </w:rPr>
              <w:t>Incentive Payout</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as Reported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Increase/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Year TSR</w:t>
            </w:r>
          </w:p>
        </w:tc>
        <w:tc>
          <w:tcPr>
            <w:tcW w:w="1940" w:type="dxa"/>
            <w:vAlign w:val="bottom"/>
          </w:tcPr>
          <w:p>
            <w:pPr>
              <w:jc w:val="center"/>
              <w:ind w:right="168"/>
              <w:spacing w:after="0"/>
              <w:rPr>
                <w:sz w:val="20"/>
                <w:szCs w:val="20"/>
                <w:color w:val="auto"/>
              </w:rPr>
            </w:pPr>
            <w:r>
              <w:rPr>
                <w:rFonts w:ascii="Arial" w:cs="Arial" w:eastAsia="Arial" w:hAnsi="Arial"/>
                <w:sz w:val="14"/>
                <w:szCs w:val="14"/>
                <w:b w:val="1"/>
                <w:bCs w:val="1"/>
                <w:color w:val="auto"/>
              </w:rPr>
              <w:t>period ending</w:t>
            </w:r>
          </w:p>
        </w:tc>
      </w:tr>
      <w:tr>
        <w:trPr>
          <w:trHeight w:val="162"/>
        </w:trPr>
        <w:tc>
          <w:tcPr>
            <w:tcW w:w="1440" w:type="dxa"/>
            <w:vAlign w:val="bottom"/>
          </w:tcPr>
          <w:p>
            <w:pPr>
              <w:spacing w:after="0"/>
              <w:rPr>
                <w:sz w:val="14"/>
                <w:szCs w:val="14"/>
                <w:color w:val="auto"/>
              </w:rPr>
            </w:pPr>
          </w:p>
        </w:tc>
        <w:tc>
          <w:tcPr>
            <w:tcW w:w="1660" w:type="dxa"/>
            <w:vAlign w:val="bottom"/>
          </w:tcPr>
          <w:p>
            <w:pPr>
              <w:jc w:val="center"/>
              <w:ind w:left="28"/>
              <w:spacing w:after="0"/>
              <w:rPr>
                <w:sz w:val="20"/>
                <w:szCs w:val="20"/>
                <w:color w:val="auto"/>
              </w:rPr>
            </w:pPr>
            <w:r>
              <w:rPr>
                <w:rFonts w:ascii="Arial" w:cs="Arial" w:eastAsia="Arial" w:hAnsi="Arial"/>
                <w:sz w:val="14"/>
                <w:szCs w:val="14"/>
                <w:b w:val="1"/>
                <w:bCs w:val="1"/>
                <w:color w:val="auto"/>
              </w:rPr>
              <w:t>(% of target)</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Based Equity</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(Decrease) from</w:t>
            </w:r>
          </w:p>
        </w:tc>
        <w:tc>
          <w:tcPr>
            <w:tcW w:w="1000" w:type="dxa"/>
            <w:vAlign w:val="bottom"/>
          </w:tcPr>
          <w:p>
            <w:pPr>
              <w:spacing w:after="0"/>
              <w:rPr>
                <w:sz w:val="14"/>
                <w:szCs w:val="14"/>
                <w:color w:val="auto"/>
              </w:rPr>
            </w:pPr>
          </w:p>
        </w:tc>
        <w:tc>
          <w:tcPr>
            <w:tcW w:w="1940" w:type="dxa"/>
            <w:vAlign w:val="bottom"/>
          </w:tcPr>
          <w:p>
            <w:pPr>
              <w:jc w:val="center"/>
              <w:ind w:right="168"/>
              <w:spacing w:after="0"/>
              <w:rPr>
                <w:sz w:val="20"/>
                <w:szCs w:val="20"/>
                <w:color w:val="auto"/>
              </w:rPr>
            </w:pPr>
            <w:r>
              <w:rPr>
                <w:rFonts w:ascii="Arial" w:cs="Arial" w:eastAsia="Arial" w:hAnsi="Arial"/>
                <w:sz w:val="14"/>
                <w:szCs w:val="14"/>
                <w:b w:val="1"/>
                <w:bCs w:val="1"/>
                <w:color w:val="auto"/>
              </w:rPr>
              <w:t>12/31 of the year</w:t>
            </w:r>
          </w:p>
        </w:tc>
      </w:tr>
      <w:tr>
        <w:trPr>
          <w:trHeight w:val="162"/>
        </w:trPr>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Awards for the</w:t>
            </w:r>
          </w:p>
        </w:tc>
        <w:tc>
          <w:tcPr>
            <w:tcW w:w="16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Prior Year</w:t>
            </w:r>
          </w:p>
        </w:tc>
        <w:tc>
          <w:tcPr>
            <w:tcW w:w="1000" w:type="dxa"/>
            <w:vAlign w:val="bottom"/>
          </w:tcPr>
          <w:p>
            <w:pPr>
              <w:spacing w:after="0"/>
              <w:rPr>
                <w:sz w:val="14"/>
                <w:szCs w:val="14"/>
                <w:color w:val="auto"/>
              </w:rPr>
            </w:pPr>
          </w:p>
        </w:tc>
        <w:tc>
          <w:tcPr>
            <w:tcW w:w="1940" w:type="dxa"/>
            <w:vAlign w:val="bottom"/>
          </w:tcPr>
          <w:p>
            <w:pPr>
              <w:jc w:val="center"/>
              <w:ind w:right="168"/>
              <w:spacing w:after="0"/>
              <w:rPr>
                <w:sz w:val="20"/>
                <w:szCs w:val="20"/>
                <w:color w:val="auto"/>
              </w:rPr>
            </w:pPr>
            <w:r>
              <w:rPr>
                <w:rFonts w:ascii="Arial" w:cs="Arial" w:eastAsia="Arial" w:hAnsi="Arial"/>
                <w:sz w:val="14"/>
                <w:szCs w:val="14"/>
                <w:b w:val="1"/>
                <w:bCs w:val="1"/>
                <w:color w:val="auto"/>
              </w:rPr>
              <w:t>shown</w:t>
            </w:r>
          </w:p>
        </w:tc>
      </w:tr>
      <w:tr>
        <w:trPr>
          <w:trHeight w:val="162"/>
        </w:trPr>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three-year</w:t>
            </w: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period commencing</w:t>
            </w: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January 1 of</w:t>
            </w: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89"/>
        </w:trPr>
        <w:tc>
          <w:tcPr>
            <w:tcW w:w="1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the year shown</w:t>
            </w:r>
          </w:p>
        </w:tc>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62"/>
        </w:trPr>
        <w:tc>
          <w:tcPr>
            <w:tcW w:w="1440" w:type="dxa"/>
            <w:vAlign w:val="bottom"/>
            <w:shd w:val="clear" w:color="auto" w:fill="F2F2F2"/>
          </w:tcPr>
          <w:p>
            <w:pPr>
              <w:ind w:left="760"/>
              <w:spacing w:after="0"/>
              <w:rPr>
                <w:sz w:val="20"/>
                <w:szCs w:val="20"/>
                <w:color w:val="auto"/>
              </w:rPr>
            </w:pPr>
            <w:r>
              <w:rPr>
                <w:rFonts w:ascii="Arial" w:cs="Arial" w:eastAsia="Arial" w:hAnsi="Arial"/>
                <w:sz w:val="14"/>
                <w:szCs w:val="14"/>
                <w:color w:val="auto"/>
              </w:rPr>
              <w:t>2011*</w:t>
            </w:r>
          </w:p>
        </w:tc>
        <w:tc>
          <w:tcPr>
            <w:tcW w:w="1660" w:type="dxa"/>
            <w:vAlign w:val="bottom"/>
            <w:shd w:val="clear" w:color="auto" w:fill="F2F2F2"/>
          </w:tcPr>
          <w:p>
            <w:pPr>
              <w:jc w:val="center"/>
              <w:ind w:left="48"/>
              <w:spacing w:after="0"/>
              <w:rPr>
                <w:sz w:val="20"/>
                <w:szCs w:val="20"/>
                <w:color w:val="auto"/>
              </w:rPr>
            </w:pPr>
            <w:r>
              <w:rPr>
                <w:rFonts w:ascii="Arial" w:cs="Arial" w:eastAsia="Arial" w:hAnsi="Arial"/>
                <w:sz w:val="14"/>
                <w:szCs w:val="14"/>
                <w:color w:val="auto"/>
              </w:rPr>
              <w:t>150%</w:t>
            </w:r>
          </w:p>
        </w:tc>
        <w:tc>
          <w:tcPr>
            <w:tcW w:w="17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100%</w:t>
            </w:r>
          </w:p>
        </w:tc>
        <w:tc>
          <w:tcPr>
            <w:tcW w:w="16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$610</w:t>
            </w:r>
          </w:p>
        </w:tc>
        <w:tc>
          <w:tcPr>
            <w:tcW w:w="16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49%</w:t>
            </w: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(31%)</w:t>
            </w:r>
          </w:p>
        </w:tc>
        <w:tc>
          <w:tcPr>
            <w:tcW w:w="1940" w:type="dxa"/>
            <w:vAlign w:val="bottom"/>
            <w:shd w:val="clear" w:color="auto" w:fill="F2F2F2"/>
          </w:tcPr>
          <w:p>
            <w:pPr>
              <w:jc w:val="center"/>
              <w:ind w:right="168"/>
              <w:spacing w:after="0"/>
              <w:rPr>
                <w:sz w:val="20"/>
                <w:szCs w:val="20"/>
                <w:color w:val="auto"/>
              </w:rPr>
            </w:pPr>
            <w:r>
              <w:rPr>
                <w:rFonts w:ascii="Arial" w:cs="Arial" w:eastAsia="Arial" w:hAnsi="Arial"/>
                <w:sz w:val="14"/>
                <w:szCs w:val="14"/>
                <w:color w:val="auto"/>
              </w:rPr>
              <w:t>1431%</w:t>
            </w:r>
          </w:p>
        </w:tc>
      </w:tr>
      <w:tr>
        <w:trPr>
          <w:trHeight w:val="162"/>
        </w:trPr>
        <w:tc>
          <w:tcPr>
            <w:tcW w:w="1440" w:type="dxa"/>
            <w:vAlign w:val="bottom"/>
          </w:tcPr>
          <w:p>
            <w:pPr>
              <w:ind w:left="760"/>
              <w:spacing w:after="0"/>
              <w:rPr>
                <w:sz w:val="20"/>
                <w:szCs w:val="20"/>
                <w:color w:val="auto"/>
              </w:rPr>
            </w:pPr>
            <w:r>
              <w:rPr>
                <w:rFonts w:ascii="Arial" w:cs="Arial" w:eastAsia="Arial" w:hAnsi="Arial"/>
                <w:sz w:val="14"/>
                <w:szCs w:val="14"/>
                <w:color w:val="auto"/>
              </w:rPr>
              <w:t>2012</w:t>
            </w:r>
          </w:p>
        </w:tc>
        <w:tc>
          <w:tcPr>
            <w:tcW w:w="1660" w:type="dxa"/>
            <w:vAlign w:val="bottom"/>
          </w:tcPr>
          <w:p>
            <w:pPr>
              <w:jc w:val="center"/>
              <w:ind w:left="48"/>
              <w:spacing w:after="0"/>
              <w:rPr>
                <w:sz w:val="20"/>
                <w:szCs w:val="20"/>
                <w:color w:val="auto"/>
              </w:rPr>
            </w:pPr>
            <w:r>
              <w:rPr>
                <w:rFonts w:ascii="Arial" w:cs="Arial" w:eastAsia="Arial" w:hAnsi="Arial"/>
                <w:sz w:val="14"/>
                <w:szCs w:val="14"/>
                <w:color w:val="auto"/>
              </w:rPr>
              <w:t>106%</w:t>
            </w:r>
          </w:p>
        </w:tc>
        <w:tc>
          <w:tcPr>
            <w:tcW w:w="1740" w:type="dxa"/>
            <w:vAlign w:val="bottom"/>
          </w:tcPr>
          <w:p>
            <w:pPr>
              <w:jc w:val="center"/>
              <w:spacing w:after="0"/>
              <w:rPr>
                <w:sz w:val="20"/>
                <w:szCs w:val="20"/>
                <w:color w:val="auto"/>
              </w:rPr>
            </w:pPr>
            <w:r>
              <w:rPr>
                <w:rFonts w:ascii="Arial" w:cs="Arial" w:eastAsia="Arial" w:hAnsi="Arial"/>
                <w:sz w:val="14"/>
                <w:szCs w:val="14"/>
                <w:color w:val="auto"/>
              </w:rPr>
              <w:t>100%</w:t>
            </w:r>
          </w:p>
        </w:tc>
        <w:tc>
          <w:tcPr>
            <w:tcW w:w="1640" w:type="dxa"/>
            <w:vAlign w:val="bottom"/>
          </w:tcPr>
          <w:p>
            <w:pPr>
              <w:jc w:val="center"/>
              <w:spacing w:after="0"/>
              <w:rPr>
                <w:sz w:val="20"/>
                <w:szCs w:val="20"/>
                <w:color w:val="auto"/>
              </w:rPr>
            </w:pPr>
            <w:r>
              <w:rPr>
                <w:rFonts w:ascii="Arial" w:cs="Arial" w:eastAsia="Arial" w:hAnsi="Arial"/>
                <w:sz w:val="14"/>
                <w:szCs w:val="14"/>
                <w:color w:val="auto"/>
              </w:rPr>
              <w:t>$840</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38%</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85%</w:t>
            </w:r>
          </w:p>
        </w:tc>
        <w:tc>
          <w:tcPr>
            <w:tcW w:w="1940" w:type="dxa"/>
            <w:vAlign w:val="bottom"/>
          </w:tcPr>
          <w:p>
            <w:pPr>
              <w:jc w:val="center"/>
              <w:ind w:right="168"/>
              <w:spacing w:after="0"/>
              <w:rPr>
                <w:sz w:val="20"/>
                <w:szCs w:val="20"/>
                <w:color w:val="auto"/>
              </w:rPr>
            </w:pPr>
            <w:r>
              <w:rPr>
                <w:rFonts w:ascii="Arial" w:cs="Arial" w:eastAsia="Arial" w:hAnsi="Arial"/>
                <w:sz w:val="14"/>
                <w:szCs w:val="14"/>
                <w:color w:val="auto"/>
              </w:rPr>
              <w:t>51%</w:t>
            </w:r>
          </w:p>
        </w:tc>
      </w:tr>
      <w:tr>
        <w:trPr>
          <w:trHeight w:val="162"/>
        </w:trPr>
        <w:tc>
          <w:tcPr>
            <w:tcW w:w="1440" w:type="dxa"/>
            <w:vAlign w:val="bottom"/>
            <w:shd w:val="clear" w:color="auto" w:fill="F2F2F2"/>
          </w:tcPr>
          <w:p>
            <w:pPr>
              <w:ind w:left="760"/>
              <w:spacing w:after="0"/>
              <w:rPr>
                <w:sz w:val="20"/>
                <w:szCs w:val="20"/>
                <w:color w:val="auto"/>
              </w:rPr>
            </w:pPr>
            <w:r>
              <w:rPr>
                <w:rFonts w:ascii="Arial" w:cs="Arial" w:eastAsia="Arial" w:hAnsi="Arial"/>
                <w:sz w:val="14"/>
                <w:szCs w:val="14"/>
                <w:color w:val="auto"/>
              </w:rPr>
              <w:t>2013</w:t>
            </w:r>
          </w:p>
        </w:tc>
        <w:tc>
          <w:tcPr>
            <w:tcW w:w="1660" w:type="dxa"/>
            <w:vAlign w:val="bottom"/>
            <w:shd w:val="clear" w:color="auto" w:fill="F2F2F2"/>
          </w:tcPr>
          <w:p>
            <w:pPr>
              <w:jc w:val="center"/>
              <w:ind w:left="48"/>
              <w:spacing w:after="0"/>
              <w:rPr>
                <w:sz w:val="20"/>
                <w:szCs w:val="20"/>
                <w:color w:val="auto"/>
              </w:rPr>
            </w:pPr>
            <w:r>
              <w:rPr>
                <w:rFonts w:ascii="Arial" w:cs="Arial" w:eastAsia="Arial" w:hAnsi="Arial"/>
                <w:sz w:val="14"/>
                <w:szCs w:val="14"/>
                <w:color w:val="auto"/>
              </w:rPr>
              <w:t>105%</w:t>
            </w:r>
          </w:p>
        </w:tc>
        <w:tc>
          <w:tcPr>
            <w:tcW w:w="17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150%</w:t>
            </w:r>
          </w:p>
        </w:tc>
        <w:tc>
          <w:tcPr>
            <w:tcW w:w="16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$769</w:t>
            </w:r>
          </w:p>
        </w:tc>
        <w:tc>
          <w:tcPr>
            <w:tcW w:w="16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(8%)**</w:t>
            </w: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104%</w:t>
            </w:r>
          </w:p>
        </w:tc>
        <w:tc>
          <w:tcPr>
            <w:tcW w:w="1940" w:type="dxa"/>
            <w:vAlign w:val="bottom"/>
            <w:shd w:val="clear" w:color="auto" w:fill="F2F2F2"/>
          </w:tcPr>
          <w:p>
            <w:pPr>
              <w:jc w:val="center"/>
              <w:ind w:right="168"/>
              <w:spacing w:after="0"/>
              <w:rPr>
                <w:sz w:val="20"/>
                <w:szCs w:val="20"/>
                <w:color w:val="auto"/>
              </w:rPr>
            </w:pPr>
            <w:r>
              <w:rPr>
                <w:rFonts w:ascii="Arial" w:cs="Arial" w:eastAsia="Arial" w:hAnsi="Arial"/>
                <w:sz w:val="14"/>
                <w:szCs w:val="14"/>
                <w:color w:val="auto"/>
              </w:rPr>
              <w:t>160%</w:t>
            </w:r>
          </w:p>
        </w:tc>
      </w:tr>
      <w:tr>
        <w:trPr>
          <w:trHeight w:val="162"/>
        </w:trPr>
        <w:tc>
          <w:tcPr>
            <w:tcW w:w="1440" w:type="dxa"/>
            <w:vAlign w:val="bottom"/>
          </w:tcPr>
          <w:p>
            <w:pPr>
              <w:ind w:left="760"/>
              <w:spacing w:after="0"/>
              <w:rPr>
                <w:sz w:val="20"/>
                <w:szCs w:val="20"/>
                <w:color w:val="auto"/>
              </w:rPr>
            </w:pPr>
            <w:r>
              <w:rPr>
                <w:rFonts w:ascii="Arial" w:cs="Arial" w:eastAsia="Arial" w:hAnsi="Arial"/>
                <w:sz w:val="14"/>
                <w:szCs w:val="14"/>
                <w:color w:val="auto"/>
              </w:rPr>
              <w:t>2014</w:t>
            </w:r>
          </w:p>
        </w:tc>
        <w:tc>
          <w:tcPr>
            <w:tcW w:w="1660" w:type="dxa"/>
            <w:vAlign w:val="bottom"/>
          </w:tcPr>
          <w:p>
            <w:pPr>
              <w:jc w:val="center"/>
              <w:ind w:left="48"/>
              <w:spacing w:after="0"/>
              <w:rPr>
                <w:sz w:val="20"/>
                <w:szCs w:val="20"/>
                <w:color w:val="auto"/>
              </w:rPr>
            </w:pPr>
            <w:r>
              <w:rPr>
                <w:rFonts w:ascii="Arial" w:cs="Arial" w:eastAsia="Arial" w:hAnsi="Arial"/>
                <w:sz w:val="14"/>
                <w:szCs w:val="14"/>
                <w:color w:val="auto"/>
              </w:rPr>
              <w:t>129%</w:t>
            </w:r>
          </w:p>
        </w:tc>
        <w:tc>
          <w:tcPr>
            <w:tcW w:w="1740" w:type="dxa"/>
            <w:vAlign w:val="bottom"/>
          </w:tcPr>
          <w:p>
            <w:pPr>
              <w:jc w:val="center"/>
              <w:spacing w:after="0"/>
              <w:rPr>
                <w:sz w:val="20"/>
                <w:szCs w:val="20"/>
                <w:color w:val="auto"/>
              </w:rPr>
            </w:pPr>
            <w:r>
              <w:rPr>
                <w:rFonts w:ascii="Arial" w:cs="Arial" w:eastAsia="Arial" w:hAnsi="Arial"/>
                <w:sz w:val="14"/>
                <w:szCs w:val="14"/>
                <w:color w:val="auto"/>
              </w:rPr>
              <w:t>109%</w:t>
            </w:r>
          </w:p>
        </w:tc>
        <w:tc>
          <w:tcPr>
            <w:tcW w:w="1640" w:type="dxa"/>
            <w:vAlign w:val="bottom"/>
          </w:tcPr>
          <w:p>
            <w:pPr>
              <w:jc w:val="center"/>
              <w:spacing w:after="0"/>
              <w:rPr>
                <w:sz w:val="20"/>
                <w:szCs w:val="20"/>
                <w:color w:val="auto"/>
              </w:rPr>
            </w:pPr>
            <w:r>
              <w:rPr>
                <w:rFonts w:ascii="Arial" w:cs="Arial" w:eastAsia="Arial" w:hAnsi="Arial"/>
                <w:sz w:val="14"/>
                <w:szCs w:val="14"/>
                <w:color w:val="auto"/>
              </w:rPr>
              <w:t>$876</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14%</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64%</w:t>
            </w:r>
          </w:p>
        </w:tc>
        <w:tc>
          <w:tcPr>
            <w:tcW w:w="1940" w:type="dxa"/>
            <w:vAlign w:val="bottom"/>
          </w:tcPr>
          <w:p>
            <w:pPr>
              <w:jc w:val="center"/>
              <w:ind w:right="168"/>
              <w:spacing w:after="0"/>
              <w:rPr>
                <w:sz w:val="20"/>
                <w:szCs w:val="20"/>
                <w:color w:val="auto"/>
              </w:rPr>
            </w:pPr>
            <w:r>
              <w:rPr>
                <w:rFonts w:ascii="Arial" w:cs="Arial" w:eastAsia="Arial" w:hAnsi="Arial"/>
                <w:sz w:val="14"/>
                <w:szCs w:val="14"/>
                <w:color w:val="auto"/>
              </w:rPr>
              <w:t>519%</w:t>
            </w:r>
          </w:p>
        </w:tc>
      </w:tr>
      <w:tr>
        <w:trPr>
          <w:trHeight w:val="162"/>
        </w:trPr>
        <w:tc>
          <w:tcPr>
            <w:tcW w:w="1440" w:type="dxa"/>
            <w:vAlign w:val="bottom"/>
            <w:shd w:val="clear" w:color="auto" w:fill="F2F2F2"/>
          </w:tcPr>
          <w:p>
            <w:pPr>
              <w:ind w:left="760"/>
              <w:spacing w:after="0"/>
              <w:rPr>
                <w:sz w:val="20"/>
                <w:szCs w:val="20"/>
                <w:color w:val="auto"/>
              </w:rPr>
            </w:pPr>
            <w:r>
              <w:rPr>
                <w:rFonts w:ascii="Arial" w:cs="Arial" w:eastAsia="Arial" w:hAnsi="Arial"/>
                <w:sz w:val="14"/>
                <w:szCs w:val="14"/>
                <w:color w:val="auto"/>
              </w:rPr>
              <w:t>2015</w:t>
            </w:r>
          </w:p>
        </w:tc>
        <w:tc>
          <w:tcPr>
            <w:tcW w:w="1660" w:type="dxa"/>
            <w:vAlign w:val="bottom"/>
            <w:shd w:val="clear" w:color="auto" w:fill="F2F2F2"/>
          </w:tcPr>
          <w:p>
            <w:pPr>
              <w:jc w:val="center"/>
              <w:ind w:left="48"/>
              <w:spacing w:after="0"/>
              <w:rPr>
                <w:sz w:val="20"/>
                <w:szCs w:val="20"/>
                <w:color w:val="auto"/>
              </w:rPr>
            </w:pPr>
            <w:r>
              <w:rPr>
                <w:rFonts w:ascii="Arial" w:cs="Arial" w:eastAsia="Arial" w:hAnsi="Arial"/>
                <w:sz w:val="14"/>
                <w:szCs w:val="14"/>
                <w:color w:val="auto"/>
              </w:rPr>
              <w:t>87%</w:t>
            </w:r>
          </w:p>
        </w:tc>
        <w:tc>
          <w:tcPr>
            <w:tcW w:w="17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6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$903</w:t>
            </w:r>
          </w:p>
        </w:tc>
        <w:tc>
          <w:tcPr>
            <w:tcW w:w="16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8"/>
              </w:rPr>
              <w:t>3%</w:t>
            </w: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(45%)</w:t>
            </w:r>
          </w:p>
        </w:tc>
        <w:tc>
          <w:tcPr>
            <w:tcW w:w="1940" w:type="dxa"/>
            <w:vAlign w:val="bottom"/>
            <w:shd w:val="clear" w:color="auto" w:fill="F2F2F2"/>
          </w:tcPr>
          <w:p>
            <w:pPr>
              <w:jc w:val="center"/>
              <w:ind w:right="168"/>
              <w:spacing w:after="0"/>
              <w:rPr>
                <w:sz w:val="20"/>
                <w:szCs w:val="20"/>
                <w:color w:val="auto"/>
              </w:rPr>
            </w:pPr>
            <w:r>
              <w:rPr>
                <w:rFonts w:ascii="Arial" w:cs="Arial" w:eastAsia="Arial" w:hAnsi="Arial"/>
                <w:sz w:val="14"/>
                <w:szCs w:val="14"/>
                <w:color w:val="auto"/>
              </w:rPr>
              <w:t>83%</w:t>
            </w:r>
          </w:p>
        </w:tc>
      </w:tr>
      <w:tr>
        <w:trPr>
          <w:trHeight w:val="162"/>
        </w:trPr>
        <w:tc>
          <w:tcPr>
            <w:tcW w:w="1440" w:type="dxa"/>
            <w:vAlign w:val="bottom"/>
          </w:tcPr>
          <w:p>
            <w:pPr>
              <w:ind w:left="760"/>
              <w:spacing w:after="0"/>
              <w:rPr>
                <w:sz w:val="20"/>
                <w:szCs w:val="20"/>
                <w:color w:val="auto"/>
              </w:rPr>
            </w:pPr>
            <w:r>
              <w:rPr>
                <w:rFonts w:ascii="Arial" w:cs="Arial" w:eastAsia="Arial" w:hAnsi="Arial"/>
                <w:sz w:val="14"/>
                <w:szCs w:val="14"/>
                <w:color w:val="auto"/>
              </w:rPr>
              <w:t>2016</w:t>
            </w:r>
          </w:p>
        </w:tc>
        <w:tc>
          <w:tcPr>
            <w:tcW w:w="1660" w:type="dxa"/>
            <w:vAlign w:val="bottom"/>
          </w:tcPr>
          <w:p>
            <w:pPr>
              <w:jc w:val="center"/>
              <w:ind w:left="48"/>
              <w:spacing w:after="0"/>
              <w:rPr>
                <w:sz w:val="20"/>
                <w:szCs w:val="20"/>
                <w:color w:val="auto"/>
              </w:rPr>
            </w:pPr>
            <w:r>
              <w:rPr>
                <w:rFonts w:ascii="Arial" w:cs="Arial" w:eastAsia="Arial" w:hAnsi="Arial"/>
                <w:sz w:val="14"/>
                <w:szCs w:val="14"/>
                <w:color w:val="auto"/>
              </w:rPr>
              <w:t>45%</w:t>
            </w:r>
          </w:p>
        </w:tc>
        <w:tc>
          <w:tcPr>
            <w:tcW w:w="1740" w:type="dxa"/>
            <w:vAlign w:val="bottom"/>
          </w:tcPr>
          <w:p>
            <w:pPr>
              <w:jc w:val="center"/>
              <w:spacing w:after="0"/>
              <w:rPr>
                <w:sz w:val="20"/>
                <w:szCs w:val="20"/>
                <w:color w:val="auto"/>
              </w:rPr>
            </w:pPr>
            <w:r>
              <w:rPr>
                <w:rFonts w:ascii="Arial" w:cs="Arial" w:eastAsia="Arial" w:hAnsi="Arial"/>
                <w:sz w:val="14"/>
                <w:szCs w:val="14"/>
                <w:color w:val="auto"/>
              </w:rPr>
              <w:t>Not Likely to Vest</w:t>
            </w:r>
          </w:p>
        </w:tc>
        <w:tc>
          <w:tcPr>
            <w:tcW w:w="1640" w:type="dxa"/>
            <w:vAlign w:val="bottom"/>
          </w:tcPr>
          <w:p>
            <w:pPr>
              <w:jc w:val="center"/>
              <w:spacing w:after="0"/>
              <w:rPr>
                <w:sz w:val="20"/>
                <w:szCs w:val="20"/>
                <w:color w:val="auto"/>
              </w:rPr>
            </w:pPr>
            <w:r>
              <w:rPr>
                <w:rFonts w:ascii="Arial" w:cs="Arial" w:eastAsia="Arial" w:hAnsi="Arial"/>
                <w:sz w:val="14"/>
                <w:szCs w:val="14"/>
                <w:color w:val="auto"/>
              </w:rPr>
              <w:t>$838</w:t>
            </w:r>
          </w:p>
        </w:tc>
        <w:tc>
          <w:tcPr>
            <w:tcW w:w="1600" w:type="dxa"/>
            <w:vAlign w:val="bottom"/>
          </w:tcPr>
          <w:p>
            <w:pPr>
              <w:jc w:val="center"/>
              <w:spacing w:after="0"/>
              <w:rPr>
                <w:sz w:val="20"/>
                <w:szCs w:val="20"/>
                <w:color w:val="auto"/>
              </w:rPr>
            </w:pPr>
            <w:r>
              <w:rPr>
                <w:rFonts w:ascii="Arial" w:cs="Arial" w:eastAsia="Arial" w:hAnsi="Arial"/>
                <w:sz w:val="14"/>
                <w:szCs w:val="14"/>
                <w:color w:val="auto"/>
              </w:rPr>
              <w:t>(7%)</w:t>
            </w:r>
          </w:p>
        </w:tc>
        <w:tc>
          <w:tcPr>
            <w:tcW w:w="1000" w:type="dxa"/>
            <w:vAlign w:val="bottom"/>
          </w:tcPr>
          <w:p>
            <w:pPr>
              <w:jc w:val="center"/>
              <w:spacing w:after="0"/>
              <w:rPr>
                <w:sz w:val="20"/>
                <w:szCs w:val="20"/>
                <w:color w:val="auto"/>
              </w:rPr>
            </w:pPr>
            <w:r>
              <w:rPr>
                <w:rFonts w:ascii="Arial" w:cs="Arial" w:eastAsia="Arial" w:hAnsi="Arial"/>
                <w:sz w:val="14"/>
                <w:szCs w:val="14"/>
                <w:color w:val="auto"/>
                <w:w w:val="98"/>
              </w:rPr>
              <w:t>1%</w:t>
            </w:r>
          </w:p>
        </w:tc>
        <w:tc>
          <w:tcPr>
            <w:tcW w:w="1940" w:type="dxa"/>
            <w:vAlign w:val="bottom"/>
          </w:tcPr>
          <w:p>
            <w:pPr>
              <w:jc w:val="center"/>
              <w:ind w:right="168"/>
              <w:spacing w:after="0"/>
              <w:rPr>
                <w:sz w:val="20"/>
                <w:szCs w:val="20"/>
                <w:color w:val="auto"/>
              </w:rPr>
            </w:pPr>
            <w:r>
              <w:rPr>
                <w:rFonts w:ascii="Arial" w:cs="Arial" w:eastAsia="Arial" w:hAnsi="Arial"/>
                <w:sz w:val="14"/>
                <w:szCs w:val="14"/>
                <w:color w:val="auto"/>
              </w:rPr>
              <w:t>(9%)</w:t>
            </w:r>
          </w:p>
        </w:tc>
      </w:tr>
      <w:tr>
        <w:trPr>
          <w:trHeight w:val="162"/>
        </w:trPr>
        <w:tc>
          <w:tcPr>
            <w:tcW w:w="1440" w:type="dxa"/>
            <w:vAlign w:val="bottom"/>
            <w:shd w:val="clear" w:color="auto" w:fill="F2F2F2"/>
          </w:tcPr>
          <w:p>
            <w:pPr>
              <w:ind w:left="760"/>
              <w:spacing w:after="0"/>
              <w:rPr>
                <w:sz w:val="20"/>
                <w:szCs w:val="20"/>
                <w:color w:val="auto"/>
              </w:rPr>
            </w:pPr>
            <w:r>
              <w:rPr>
                <w:rFonts w:ascii="Arial" w:cs="Arial" w:eastAsia="Arial" w:hAnsi="Arial"/>
                <w:sz w:val="14"/>
                <w:szCs w:val="14"/>
                <w:color w:val="auto"/>
              </w:rPr>
              <w:t>2017</w:t>
            </w:r>
          </w:p>
        </w:tc>
        <w:tc>
          <w:tcPr>
            <w:tcW w:w="1660" w:type="dxa"/>
            <w:vAlign w:val="bottom"/>
            <w:shd w:val="clear" w:color="auto" w:fill="F2F2F2"/>
          </w:tcPr>
          <w:p>
            <w:pPr>
              <w:jc w:val="center"/>
              <w:ind w:left="48"/>
              <w:spacing w:after="0"/>
              <w:rPr>
                <w:sz w:val="20"/>
                <w:szCs w:val="20"/>
                <w:color w:val="auto"/>
              </w:rPr>
            </w:pPr>
            <w:r>
              <w:rPr>
                <w:rFonts w:ascii="Arial" w:cs="Arial" w:eastAsia="Arial" w:hAnsi="Arial"/>
                <w:sz w:val="14"/>
                <w:szCs w:val="14"/>
                <w:color w:val="auto"/>
              </w:rPr>
              <w:t>0%</w:t>
            </w:r>
          </w:p>
        </w:tc>
        <w:tc>
          <w:tcPr>
            <w:tcW w:w="17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Not Likely to Vest</w:t>
            </w:r>
          </w:p>
        </w:tc>
        <w:tc>
          <w:tcPr>
            <w:tcW w:w="16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$735</w:t>
            </w:r>
          </w:p>
        </w:tc>
        <w:tc>
          <w:tcPr>
            <w:tcW w:w="16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(12%)</w:t>
            </w: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20%</w:t>
            </w:r>
          </w:p>
        </w:tc>
        <w:tc>
          <w:tcPr>
            <w:tcW w:w="1940" w:type="dxa"/>
            <w:vAlign w:val="bottom"/>
            <w:shd w:val="clear" w:color="auto" w:fill="F2F2F2"/>
          </w:tcPr>
          <w:p>
            <w:pPr>
              <w:jc w:val="center"/>
              <w:ind w:right="168"/>
              <w:spacing w:after="0"/>
              <w:rPr>
                <w:sz w:val="20"/>
                <w:szCs w:val="20"/>
                <w:color w:val="auto"/>
              </w:rPr>
            </w:pPr>
            <w:r>
              <w:rPr>
                <w:rFonts w:ascii="Arial" w:cs="Arial" w:eastAsia="Arial" w:hAnsi="Arial"/>
                <w:sz w:val="14"/>
                <w:szCs w:val="14"/>
                <w:color w:val="auto"/>
              </w:rPr>
              <w:t>(34%)</w:t>
            </w:r>
          </w:p>
        </w:tc>
      </w:tr>
    </w:tbl>
    <w:p>
      <w:pPr>
        <w:spacing w:after="0" w:line="121" w:lineRule="exact"/>
        <w:rPr>
          <w:sz w:val="20"/>
          <w:szCs w:val="20"/>
          <w:color w:val="auto"/>
        </w:rPr>
      </w:pPr>
    </w:p>
    <w:p>
      <w:pPr>
        <w:ind w:left="520" w:hanging="316"/>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Avis Europe acquisition completed in October 2011.</w:t>
      </w:r>
    </w:p>
    <w:p>
      <w:pPr>
        <w:spacing w:after="0" w:line="109" w:lineRule="exact"/>
        <w:rPr>
          <w:sz w:val="20"/>
          <w:szCs w:val="20"/>
          <w:color w:val="auto"/>
        </w:rPr>
      </w:pPr>
    </w:p>
    <w:p>
      <w:pPr>
        <w:ind w:left="520" w:hanging="316"/>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Decrease due to a normalization of the used car market, which resulted in a significant increase in fleet costs year-over-year.</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Setting 2017 Pay Levels</w:t>
      </w:r>
    </w:p>
    <w:p>
      <w:pPr>
        <w:spacing w:after="0" w:line="122"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In connection with the one-year anniversary of our CEO’s tenure, the Committee, with input from its compensation consultant, conducted a full review of our CEO’s compensation opportunity to determine the appropriate 2017 pay package. Based on the results of that review, and the Compensation Committee’s ongoing evaluation of appropriate compensation-setting practices, the Committee determined increases were appropriate. Driven in part by a full market review of pay opportunity, our Chief Executive Officer’s base salary was increased by 10% and his target long-term incentive opportunity, which is 60% performance-based, was increased by $2.5 million. As part of the regular annual review, in which both market and other factors are considered, the salaries of our President, Americas and President, International increased by approximately 4%, and the long-term incentive opportunities for these executive officers, which are 50% performance-based, increased by $200,000.</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Setting 2017 Performance Metrics</w:t>
      </w:r>
    </w:p>
    <w:p>
      <w:pPr>
        <w:spacing w:after="0" w:line="122"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The Committee conducted an in-depth review of the Company’s annual and long-term incentive programs to evaluate the efficacy of the existing performance metrics. Driven in large part by the Company’s updated strategic goals, which include a significant focus on margin improvement, the Committee determined to change the performance metric for the 2017 long term incentive program to strengthen the alignment of long-term incentives with the Company’s business objectives. As a result, the Committee set goals for the 2017 long term incentive program that were based strictly upon Adjusted EBITDA margin improvement instead of an absolute target. The Committee also determined that the modifier to potentially increase payouts was no longer warranted. Finally, the Committee did not believe any change was necessary for the 2017 annual incentive program, which was based on Adjusted EBITDA absolute targets, consistent with prior years.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CFO Compensation</w:t>
      </w:r>
    </w:p>
    <w:p>
      <w:pPr>
        <w:spacing w:after="0" w:line="122"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Our former Chief Financial Officer separated from the Company in 2017, and, as a result, he received severance payments consistent with his employment agreement plus an additional cash payment of $1.25 million. The additional cash payment was made in recognition of an amendment to our former Chief Financial Officer’s employment agreement in 2016, which significantly reduced the amount of severance payable in a separation. The additional cash payment was substantially less than the additional severance that would have been payable had the separation occurred prior to the employment agreement amendment. The compensation we paid in 2017 to our interim Chief Financial Officer reflects his assignment when he assumed the role, a pro-rated annual base salary of $575,000 and an annual incentive target, as a percentage of base salary, of 80%. However, as discussed above, no amounts were paid to our interim Chief Financial Officer under the annual incentive program.</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Incentives</w:t>
      </w:r>
    </w:p>
    <w:p>
      <w:pPr>
        <w:spacing w:after="0" w:line="122"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In September 2017, the Compensation Committee sought to recognize certain named executive officers for their leadership in addressing challenges the Company’s business faced from industry headwinds in both 2016 and 2017, which were out of management’s control and greatly contributed to below-target annual incentive payouts in 2015 and 2016, below-target or no payouts under the 2017 annual incentive program, and that performance-based long-term incentives were not expected to vest in 2018-2020. Accordingly, the Committee awarded special one-time long-term incentives to two key business leaders, our President, Americas and our President, International, with grant date values of $1.7 million, and $650,000, respectively. The values of these special awards were significantly less than the target amounts of the incentives that were not, or were not expected to be, paid to these executives. The awards were also intended to acknowledge the importance of retaining experienced management in a highly competitive, cyclical and fast evolving industry.</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Practices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believe that our compensation programs reflect sound practices, such as:</w:t>
      </w:r>
    </w:p>
    <w:p>
      <w:pPr>
        <w:spacing w:after="0" w:line="117" w:lineRule="exact"/>
        <w:rPr>
          <w:sz w:val="20"/>
          <w:szCs w:val="20"/>
          <w:color w:val="auto"/>
        </w:rPr>
      </w:pPr>
    </w:p>
    <w:p>
      <w:pPr>
        <w:ind w:left="640" w:hanging="436"/>
        <w:spacing w:after="0" w:line="246"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 stock ownership guidelines with significant share ownership requirements and a requirement that an amount equal to 50% of net shares that vest must also be held for twelve months;</w:t>
      </w:r>
    </w:p>
    <w:p>
      <w:pPr>
        <w:spacing w:after="0" w:line="102" w:lineRule="exact"/>
        <w:rPr>
          <w:rFonts w:ascii="Arial" w:cs="Arial" w:eastAsia="Arial" w:hAnsi="Arial"/>
          <w:sz w:val="18"/>
          <w:szCs w:val="18"/>
          <w:color w:val="auto"/>
        </w:rPr>
      </w:pPr>
    </w:p>
    <w:p>
      <w:pPr>
        <w:ind w:left="640" w:hanging="436"/>
        <w:spacing w:after="0" w:line="246"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current NEOs have achieved our share ownership threshold requirements, with the exception of our interim Chief Financial Officer;</w:t>
      </w:r>
    </w:p>
    <w:p>
      <w:pPr>
        <w:spacing w:after="0" w:line="102" w:lineRule="exact"/>
        <w:rPr>
          <w:rFonts w:ascii="Arial" w:cs="Arial" w:eastAsia="Arial" w:hAnsi="Arial"/>
          <w:sz w:val="18"/>
          <w:szCs w:val="18"/>
          <w:color w:val="auto"/>
        </w:rPr>
      </w:pPr>
    </w:p>
    <w:p>
      <w:pPr>
        <w:ind w:left="640" w:hanging="4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executive compensation recoupment (or “clawback”) policy with respect to incentive compensation;</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policy prohibiting executives from entering into speculative (or hedging) transactions in our securities;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40" w:hanging="43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excise tax gross-up or single-trigger change-in- control provisions; and</w:t>
      </w:r>
    </w:p>
    <w:p>
      <w:pPr>
        <w:spacing w:after="0" w:line="130" w:lineRule="exact"/>
        <w:rPr>
          <w:rFonts w:ascii="Arial" w:cs="Arial" w:eastAsia="Arial" w:hAnsi="Arial"/>
          <w:sz w:val="18"/>
          <w:szCs w:val="18"/>
          <w:color w:val="auto"/>
        </w:rPr>
      </w:pPr>
    </w:p>
    <w:p>
      <w:pPr>
        <w:ind w:left="640" w:right="20" w:hanging="436"/>
        <w:spacing w:after="0" w:line="246"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tax gross-ups on executive perquisites except with respect to relocation and expatriate benefits per the Company’s standard practices.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Named Executive Officers</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discussion addresses executive compensation in 2017 for our named executive officers, who are:</w:t>
      </w:r>
    </w:p>
    <w:p>
      <w:pPr>
        <w:spacing w:after="0" w:line="117" w:lineRule="exact"/>
        <w:rPr>
          <w:sz w:val="20"/>
          <w:szCs w:val="20"/>
          <w:color w:val="auto"/>
        </w:rPr>
      </w:pPr>
    </w:p>
    <w:p>
      <w:pPr>
        <w:ind w:left="640" w:hanging="43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Larry D. De Shon, our Chief Executive Officer, President and Chief Operating Officer (our “CEO”);</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Martyn Smith, our interim Chief Financial Officer (our “CFO”);</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Ronald L. Nelson, our Executive Chairman (our “Chairman”);</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Joseph A. Ferraro, our President, Americas;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 J. Servodidio, our President, International; and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David B. Wyshner, our former President and Chief Financial Officer (our “Former CFO”).</w:t>
      </w:r>
    </w:p>
    <w:p>
      <w:pPr>
        <w:spacing w:after="0" w:line="117"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Mr. Ferraro and Mr. Servodidio are sometimes referred to herein collectively as the “Regional Presidents,” and our CEO, our interim CFO, our Chairman and the Regional Presidents are sometimes referred to herein collectively as our “Current Named Executive Officers.”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Philosophy, Components and Mix of Executive Compensation</w:t>
      </w:r>
    </w:p>
    <w:p>
      <w:pPr>
        <w:spacing w:after="0" w:line="121"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In 2017, “pay for performance” continued to be a fundamental tenet of our compensation philosophy, which includes the core principles of rewarding the attainment of appropriately challenging performance goals and aligning our executives’ objectives with our shareholders’ interests. The Committee also believes that executive compensation should be designed to attract and retain a high-caliber leadership team and take into consideration competitive practices and the overall market for executive talent.</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Compensation for our NEOs is typically comprised of the following components:</w:t>
      </w:r>
    </w:p>
    <w:p>
      <w:pPr>
        <w:spacing w:after="0" w:line="105"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Component</w:t>
            </w:r>
          </w:p>
        </w:tc>
        <w:tc>
          <w:tcPr>
            <w:tcW w:w="8560" w:type="dxa"/>
            <w:vAlign w:val="bottom"/>
          </w:tcPr>
          <w:p>
            <w:pPr>
              <w:ind w:left="500"/>
              <w:spacing w:after="0"/>
              <w:rPr>
                <w:sz w:val="20"/>
                <w:szCs w:val="20"/>
                <w:color w:val="auto"/>
              </w:rPr>
            </w:pPr>
            <w:r>
              <w:rPr>
                <w:rFonts w:ascii="Arial" w:cs="Arial" w:eastAsia="Arial" w:hAnsi="Arial"/>
                <w:sz w:val="14"/>
                <w:szCs w:val="14"/>
                <w:b w:val="1"/>
                <w:bCs w:val="1"/>
                <w:color w:val="auto"/>
              </w:rPr>
              <w:t>Function and Objective</w:t>
            </w:r>
          </w:p>
        </w:tc>
      </w:tr>
      <w:tr>
        <w:trPr>
          <w:trHeight w:val="195"/>
        </w:trPr>
        <w:tc>
          <w:tcPr>
            <w:tcW w:w="20" w:type="dxa"/>
            <w:vAlign w:val="bottom"/>
          </w:tcPr>
          <w:p>
            <w:pPr>
              <w:spacing w:after="0"/>
              <w:rPr>
                <w:sz w:val="16"/>
                <w:szCs w:val="16"/>
                <w:color w:val="auto"/>
              </w:rPr>
            </w:pPr>
          </w:p>
        </w:tc>
        <w:tc>
          <w:tcPr>
            <w:tcW w:w="2460" w:type="dxa"/>
            <w:vAlign w:val="bottom"/>
            <w:tcBorders>
              <w:top w:val="single" w:sz="8" w:color="auto"/>
            </w:tcBorders>
            <w:shd w:val="clear" w:color="auto" w:fill="F2F2F2"/>
          </w:tcPr>
          <w:p>
            <w:pPr>
              <w:spacing w:after="0" w:line="195" w:lineRule="exact"/>
              <w:rPr>
                <w:sz w:val="20"/>
                <w:szCs w:val="20"/>
                <w:color w:val="auto"/>
              </w:rPr>
            </w:pPr>
            <w:r>
              <w:rPr>
                <w:rFonts w:ascii="Arial" w:cs="Arial" w:eastAsia="Arial" w:hAnsi="Arial"/>
                <w:sz w:val="18"/>
                <w:szCs w:val="18"/>
                <w:i w:val="1"/>
                <w:iCs w:val="1"/>
                <w:color w:val="auto"/>
              </w:rPr>
              <w:t>Base Salary</w:t>
            </w:r>
          </w:p>
        </w:tc>
        <w:tc>
          <w:tcPr>
            <w:tcW w:w="8560" w:type="dxa"/>
            <w:vAlign w:val="bottom"/>
            <w:tcBorders>
              <w:top w:val="single" w:sz="8" w:color="auto"/>
            </w:tcBorders>
            <w:shd w:val="clear" w:color="auto" w:fill="F2F2F2"/>
          </w:tcPr>
          <w:p>
            <w:pPr>
              <w:ind w:left="500"/>
              <w:spacing w:after="0" w:line="195" w:lineRule="exact"/>
              <w:rPr>
                <w:sz w:val="20"/>
                <w:szCs w:val="20"/>
                <w:color w:val="auto"/>
              </w:rPr>
            </w:pPr>
            <w:r>
              <w:rPr>
                <w:rFonts w:ascii="Arial" w:cs="Arial" w:eastAsia="Arial" w:hAnsi="Arial"/>
                <w:sz w:val="18"/>
                <w:szCs w:val="18"/>
                <w:color w:val="auto"/>
              </w:rPr>
              <w:t>Base salaries are paid in the form of cash and provide a fixed and competitive form of annual</w:t>
            </w:r>
          </w:p>
        </w:tc>
      </w:tr>
      <w:tr>
        <w:trPr>
          <w:trHeight w:val="203"/>
        </w:trPr>
        <w:tc>
          <w:tcPr>
            <w:tcW w:w="20" w:type="dxa"/>
            <w:vAlign w:val="bottom"/>
          </w:tcPr>
          <w:p>
            <w:pPr>
              <w:spacing w:after="0"/>
              <w:rPr>
                <w:sz w:val="17"/>
                <w:szCs w:val="17"/>
                <w:color w:val="auto"/>
              </w:rPr>
            </w:pPr>
          </w:p>
        </w:tc>
        <w:tc>
          <w:tcPr>
            <w:tcW w:w="2460" w:type="dxa"/>
            <w:vAlign w:val="bottom"/>
            <w:shd w:val="clear" w:color="auto" w:fill="F2F2F2"/>
          </w:tcPr>
          <w:p>
            <w:pPr>
              <w:spacing w:after="0"/>
              <w:rPr>
                <w:sz w:val="17"/>
                <w:szCs w:val="17"/>
                <w:color w:val="auto"/>
              </w:rPr>
            </w:pPr>
          </w:p>
        </w:tc>
        <w:tc>
          <w:tcPr>
            <w:tcW w:w="8560" w:type="dxa"/>
            <w:vAlign w:val="bottom"/>
            <w:shd w:val="clear" w:color="auto" w:fill="F2F2F2"/>
          </w:tcPr>
          <w:p>
            <w:pPr>
              <w:ind w:left="500"/>
              <w:spacing w:after="0" w:line="202" w:lineRule="exact"/>
              <w:rPr>
                <w:sz w:val="20"/>
                <w:szCs w:val="20"/>
                <w:color w:val="auto"/>
              </w:rPr>
            </w:pPr>
            <w:r>
              <w:rPr>
                <w:rFonts w:ascii="Arial" w:cs="Arial" w:eastAsia="Arial" w:hAnsi="Arial"/>
                <w:sz w:val="18"/>
                <w:szCs w:val="18"/>
                <w:color w:val="auto"/>
              </w:rPr>
              <w:t>compensation for the performance of primary responsibilities at a level consistent with each</w:t>
            </w:r>
          </w:p>
        </w:tc>
      </w:tr>
      <w:tr>
        <w:trPr>
          <w:trHeight w:val="203"/>
        </w:trPr>
        <w:tc>
          <w:tcPr>
            <w:tcW w:w="20" w:type="dxa"/>
            <w:vAlign w:val="bottom"/>
          </w:tcPr>
          <w:p>
            <w:pPr>
              <w:spacing w:after="0"/>
              <w:rPr>
                <w:sz w:val="17"/>
                <w:szCs w:val="17"/>
                <w:color w:val="auto"/>
              </w:rPr>
            </w:pPr>
          </w:p>
        </w:tc>
        <w:tc>
          <w:tcPr>
            <w:tcW w:w="2460" w:type="dxa"/>
            <w:vAlign w:val="bottom"/>
            <w:shd w:val="clear" w:color="auto" w:fill="F2F2F2"/>
          </w:tcPr>
          <w:p>
            <w:pPr>
              <w:spacing w:after="0"/>
              <w:rPr>
                <w:sz w:val="17"/>
                <w:szCs w:val="17"/>
                <w:color w:val="auto"/>
              </w:rPr>
            </w:pPr>
          </w:p>
        </w:tc>
        <w:tc>
          <w:tcPr>
            <w:tcW w:w="8560" w:type="dxa"/>
            <w:vAlign w:val="bottom"/>
            <w:shd w:val="clear" w:color="auto" w:fill="F2F2F2"/>
          </w:tcPr>
          <w:p>
            <w:pPr>
              <w:ind w:left="500"/>
              <w:spacing w:after="0" w:line="202" w:lineRule="exact"/>
              <w:rPr>
                <w:sz w:val="20"/>
                <w:szCs w:val="20"/>
                <w:color w:val="auto"/>
              </w:rPr>
            </w:pPr>
            <w:r>
              <w:rPr>
                <w:rFonts w:ascii="Arial" w:cs="Arial" w:eastAsia="Arial" w:hAnsi="Arial"/>
                <w:sz w:val="18"/>
                <w:szCs w:val="18"/>
                <w:color w:val="auto"/>
              </w:rPr>
              <w:t>executive’s experience and role. Base salaries are designed to provide competitive compensation to</w:t>
            </w:r>
          </w:p>
        </w:tc>
      </w:tr>
      <w:tr>
        <w:trPr>
          <w:trHeight w:val="203"/>
        </w:trPr>
        <w:tc>
          <w:tcPr>
            <w:tcW w:w="20" w:type="dxa"/>
            <w:vAlign w:val="bottom"/>
          </w:tcPr>
          <w:p>
            <w:pPr>
              <w:spacing w:after="0"/>
              <w:rPr>
                <w:sz w:val="17"/>
                <w:szCs w:val="17"/>
                <w:color w:val="auto"/>
              </w:rPr>
            </w:pPr>
          </w:p>
        </w:tc>
        <w:tc>
          <w:tcPr>
            <w:tcW w:w="2460" w:type="dxa"/>
            <w:vAlign w:val="bottom"/>
            <w:tcBorders>
              <w:bottom w:val="single" w:sz="8" w:color="CCCCCC"/>
            </w:tcBorders>
            <w:shd w:val="clear" w:color="auto" w:fill="F2F2F2"/>
          </w:tcPr>
          <w:p>
            <w:pPr>
              <w:spacing w:after="0"/>
              <w:rPr>
                <w:sz w:val="17"/>
                <w:szCs w:val="17"/>
                <w:color w:val="auto"/>
              </w:rPr>
            </w:pPr>
          </w:p>
        </w:tc>
        <w:tc>
          <w:tcPr>
            <w:tcW w:w="8560" w:type="dxa"/>
            <w:vAlign w:val="bottom"/>
            <w:tcBorders>
              <w:bottom w:val="single" w:sz="8" w:color="CCCCCC"/>
            </w:tcBorders>
            <w:shd w:val="clear" w:color="auto" w:fill="F2F2F2"/>
          </w:tcPr>
          <w:p>
            <w:pPr>
              <w:ind w:left="500"/>
              <w:spacing w:after="0" w:line="203" w:lineRule="exact"/>
              <w:rPr>
                <w:sz w:val="20"/>
                <w:szCs w:val="20"/>
                <w:color w:val="auto"/>
              </w:rPr>
            </w:pPr>
            <w:r>
              <w:rPr>
                <w:rFonts w:ascii="Arial" w:cs="Arial" w:eastAsia="Arial" w:hAnsi="Arial"/>
                <w:sz w:val="18"/>
                <w:szCs w:val="18"/>
                <w:color w:val="auto"/>
              </w:rPr>
              <w:t>attract and retain exceptional executive talent.</w:t>
            </w:r>
          </w:p>
        </w:tc>
      </w:tr>
      <w:tr>
        <w:trPr>
          <w:trHeight w:val="195"/>
        </w:trPr>
        <w:tc>
          <w:tcPr>
            <w:tcW w:w="20" w:type="dxa"/>
            <w:vAlign w:val="bottom"/>
          </w:tcPr>
          <w:p>
            <w:pPr>
              <w:spacing w:after="0"/>
              <w:rPr>
                <w:sz w:val="16"/>
                <w:szCs w:val="16"/>
                <w:color w:val="auto"/>
              </w:rPr>
            </w:pPr>
          </w:p>
        </w:tc>
        <w:tc>
          <w:tcPr>
            <w:tcW w:w="2460" w:type="dxa"/>
            <w:vAlign w:val="bottom"/>
          </w:tcPr>
          <w:p>
            <w:pPr>
              <w:spacing w:after="0" w:line="195" w:lineRule="exact"/>
              <w:rPr>
                <w:sz w:val="20"/>
                <w:szCs w:val="20"/>
                <w:color w:val="auto"/>
              </w:rPr>
            </w:pPr>
            <w:r>
              <w:rPr>
                <w:rFonts w:ascii="Arial" w:cs="Arial" w:eastAsia="Arial" w:hAnsi="Arial"/>
                <w:sz w:val="18"/>
                <w:szCs w:val="18"/>
                <w:i w:val="1"/>
                <w:iCs w:val="1"/>
                <w:color w:val="auto"/>
              </w:rPr>
              <w:t>Annual Incentive Awards</w:t>
            </w:r>
          </w:p>
        </w:tc>
        <w:tc>
          <w:tcPr>
            <w:tcW w:w="8560" w:type="dxa"/>
            <w:vAlign w:val="bottom"/>
          </w:tcPr>
          <w:p>
            <w:pPr>
              <w:ind w:left="500"/>
              <w:spacing w:after="0" w:line="195" w:lineRule="exact"/>
              <w:rPr>
                <w:sz w:val="20"/>
                <w:szCs w:val="20"/>
                <w:color w:val="auto"/>
              </w:rPr>
            </w:pPr>
            <w:r>
              <w:rPr>
                <w:rFonts w:ascii="Arial" w:cs="Arial" w:eastAsia="Arial" w:hAnsi="Arial"/>
                <w:sz w:val="18"/>
                <w:szCs w:val="18"/>
                <w:color w:val="auto"/>
              </w:rPr>
              <w:t>Annual incentives are comprised of annual performance-based cash incentive opportunities, and</w:t>
            </w:r>
          </w:p>
        </w:tc>
      </w:tr>
      <w:tr>
        <w:trPr>
          <w:trHeight w:val="203"/>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560" w:type="dxa"/>
            <w:vAlign w:val="bottom"/>
          </w:tcPr>
          <w:p>
            <w:pPr>
              <w:ind w:left="500"/>
              <w:spacing w:after="0" w:line="202" w:lineRule="exact"/>
              <w:rPr>
                <w:sz w:val="20"/>
                <w:szCs w:val="20"/>
                <w:color w:val="auto"/>
              </w:rPr>
            </w:pPr>
            <w:r>
              <w:rPr>
                <w:rFonts w:ascii="Arial" w:cs="Arial" w:eastAsia="Arial" w:hAnsi="Arial"/>
                <w:sz w:val="18"/>
                <w:szCs w:val="18"/>
                <w:color w:val="auto"/>
              </w:rPr>
              <w:t>reward our executives upon achieving or exceeding specific annual performance goals using</w:t>
            </w:r>
          </w:p>
        </w:tc>
      </w:tr>
      <w:tr>
        <w:trPr>
          <w:trHeight w:val="203"/>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560" w:type="dxa"/>
            <w:vAlign w:val="bottom"/>
          </w:tcPr>
          <w:p>
            <w:pPr>
              <w:ind w:left="500"/>
              <w:spacing w:after="0" w:line="202" w:lineRule="exact"/>
              <w:rPr>
                <w:sz w:val="20"/>
                <w:szCs w:val="20"/>
                <w:color w:val="auto"/>
              </w:rPr>
            </w:pPr>
            <w:r>
              <w:rPr>
                <w:rFonts w:ascii="Arial" w:cs="Arial" w:eastAsia="Arial" w:hAnsi="Arial"/>
                <w:sz w:val="18"/>
                <w:szCs w:val="18"/>
                <w:color w:val="auto"/>
              </w:rPr>
              <w:t>performance metrics approved by the Committee and that the Company believes are appropriate</w:t>
            </w:r>
          </w:p>
        </w:tc>
      </w:tr>
      <w:tr>
        <w:trPr>
          <w:trHeight w:val="203"/>
        </w:trPr>
        <w:tc>
          <w:tcPr>
            <w:tcW w:w="20" w:type="dxa"/>
            <w:vAlign w:val="bottom"/>
          </w:tcPr>
          <w:p>
            <w:pPr>
              <w:spacing w:after="0"/>
              <w:rPr>
                <w:sz w:val="17"/>
                <w:szCs w:val="17"/>
                <w:color w:val="auto"/>
              </w:rPr>
            </w:pPr>
          </w:p>
        </w:tc>
        <w:tc>
          <w:tcPr>
            <w:tcW w:w="2460" w:type="dxa"/>
            <w:vAlign w:val="bottom"/>
            <w:tcBorders>
              <w:bottom w:val="single" w:sz="8" w:color="CCCCCC"/>
            </w:tcBorders>
          </w:tcPr>
          <w:p>
            <w:pPr>
              <w:spacing w:after="0"/>
              <w:rPr>
                <w:sz w:val="17"/>
                <w:szCs w:val="17"/>
                <w:color w:val="auto"/>
              </w:rPr>
            </w:pPr>
          </w:p>
        </w:tc>
        <w:tc>
          <w:tcPr>
            <w:tcW w:w="8560" w:type="dxa"/>
            <w:vAlign w:val="bottom"/>
            <w:tcBorders>
              <w:bottom w:val="single" w:sz="8" w:color="CCCCCC"/>
            </w:tcBorders>
          </w:tcPr>
          <w:p>
            <w:pPr>
              <w:ind w:left="500"/>
              <w:spacing w:after="0" w:line="203" w:lineRule="exact"/>
              <w:rPr>
                <w:sz w:val="20"/>
                <w:szCs w:val="20"/>
                <w:color w:val="auto"/>
              </w:rPr>
            </w:pPr>
            <w:r>
              <w:rPr>
                <w:rFonts w:ascii="Arial" w:cs="Arial" w:eastAsia="Arial" w:hAnsi="Arial"/>
                <w:sz w:val="18"/>
                <w:szCs w:val="18"/>
                <w:color w:val="auto"/>
              </w:rPr>
              <w:t>measures of operational and financial performance.</w:t>
            </w:r>
          </w:p>
        </w:tc>
      </w:tr>
      <w:tr>
        <w:trPr>
          <w:trHeight w:val="177"/>
        </w:trPr>
        <w:tc>
          <w:tcPr>
            <w:tcW w:w="20" w:type="dxa"/>
            <w:vAlign w:val="bottom"/>
          </w:tcPr>
          <w:p>
            <w:pPr>
              <w:spacing w:after="0"/>
              <w:rPr>
                <w:sz w:val="15"/>
                <w:szCs w:val="15"/>
                <w:color w:val="auto"/>
              </w:rPr>
            </w:pPr>
          </w:p>
        </w:tc>
        <w:tc>
          <w:tcPr>
            <w:tcW w:w="2460" w:type="dxa"/>
            <w:vAlign w:val="bottom"/>
            <w:shd w:val="clear" w:color="auto" w:fill="F2F2F2"/>
          </w:tcPr>
          <w:p>
            <w:pPr>
              <w:spacing w:after="0" w:line="177" w:lineRule="exact"/>
              <w:rPr>
                <w:sz w:val="20"/>
                <w:szCs w:val="20"/>
                <w:color w:val="auto"/>
              </w:rPr>
            </w:pPr>
            <w:r>
              <w:rPr>
                <w:rFonts w:ascii="Arial" w:cs="Arial" w:eastAsia="Arial" w:hAnsi="Arial"/>
                <w:sz w:val="18"/>
                <w:szCs w:val="18"/>
                <w:i w:val="1"/>
                <w:iCs w:val="1"/>
                <w:color w:val="auto"/>
              </w:rPr>
              <w:t>Long-Term Incentive</w:t>
            </w:r>
          </w:p>
        </w:tc>
        <w:tc>
          <w:tcPr>
            <w:tcW w:w="8560" w:type="dxa"/>
            <w:vAlign w:val="bottom"/>
            <w:shd w:val="clear" w:color="auto" w:fill="F2F2F2"/>
          </w:tcPr>
          <w:p>
            <w:pPr>
              <w:ind w:left="500"/>
              <w:spacing w:after="0" w:line="177" w:lineRule="exact"/>
              <w:rPr>
                <w:sz w:val="20"/>
                <w:szCs w:val="20"/>
                <w:color w:val="auto"/>
              </w:rPr>
            </w:pPr>
            <w:r>
              <w:rPr>
                <w:rFonts w:ascii="Arial" w:cs="Arial" w:eastAsia="Arial" w:hAnsi="Arial"/>
                <w:sz w:val="18"/>
                <w:szCs w:val="18"/>
                <w:color w:val="auto"/>
              </w:rPr>
              <w:t>Long-term incentive awards are designed to attract and retain a highly qualified executive team, align</w:t>
            </w:r>
          </w:p>
        </w:tc>
      </w:tr>
      <w:tr>
        <w:trPr>
          <w:trHeight w:val="221"/>
        </w:trPr>
        <w:tc>
          <w:tcPr>
            <w:tcW w:w="20" w:type="dxa"/>
            <w:vAlign w:val="bottom"/>
          </w:tcPr>
          <w:p>
            <w:pPr>
              <w:spacing w:after="0"/>
              <w:rPr>
                <w:sz w:val="19"/>
                <w:szCs w:val="19"/>
                <w:color w:val="auto"/>
              </w:rPr>
            </w:pPr>
          </w:p>
        </w:tc>
        <w:tc>
          <w:tcPr>
            <w:tcW w:w="2460" w:type="dxa"/>
            <w:vAlign w:val="bottom"/>
            <w:shd w:val="clear" w:color="auto" w:fill="F2F2F2"/>
          </w:tcPr>
          <w:p>
            <w:pPr>
              <w:spacing w:after="0"/>
              <w:rPr>
                <w:sz w:val="20"/>
                <w:szCs w:val="20"/>
                <w:color w:val="auto"/>
              </w:rPr>
            </w:pPr>
            <w:r>
              <w:rPr>
                <w:rFonts w:ascii="Arial" w:cs="Arial" w:eastAsia="Arial" w:hAnsi="Arial"/>
                <w:sz w:val="18"/>
                <w:szCs w:val="18"/>
                <w:i w:val="1"/>
                <w:iCs w:val="1"/>
                <w:color w:val="auto"/>
              </w:rPr>
              <w:t>Awards</w:t>
            </w:r>
          </w:p>
        </w:tc>
        <w:tc>
          <w:tcPr>
            <w:tcW w:w="8560" w:type="dxa"/>
            <w:vAlign w:val="bottom"/>
            <w:shd w:val="clear" w:color="auto" w:fill="F2F2F2"/>
          </w:tcPr>
          <w:p>
            <w:pPr>
              <w:ind w:left="500"/>
              <w:spacing w:after="0"/>
              <w:rPr>
                <w:sz w:val="20"/>
                <w:szCs w:val="20"/>
                <w:color w:val="auto"/>
              </w:rPr>
            </w:pPr>
            <w:r>
              <w:rPr>
                <w:rFonts w:ascii="Arial" w:cs="Arial" w:eastAsia="Arial" w:hAnsi="Arial"/>
                <w:sz w:val="18"/>
                <w:szCs w:val="18"/>
                <w:color w:val="auto"/>
              </w:rPr>
              <w:t>executive rewards with shareholder interests, provide an incentive for our executives to achieve</w:t>
            </w:r>
          </w:p>
        </w:tc>
      </w:tr>
      <w:tr>
        <w:trPr>
          <w:trHeight w:val="203"/>
        </w:trPr>
        <w:tc>
          <w:tcPr>
            <w:tcW w:w="20" w:type="dxa"/>
            <w:vAlign w:val="bottom"/>
          </w:tcPr>
          <w:p>
            <w:pPr>
              <w:spacing w:after="0"/>
              <w:rPr>
                <w:sz w:val="17"/>
                <w:szCs w:val="17"/>
                <w:color w:val="auto"/>
              </w:rPr>
            </w:pPr>
          </w:p>
        </w:tc>
        <w:tc>
          <w:tcPr>
            <w:tcW w:w="2460" w:type="dxa"/>
            <w:vAlign w:val="bottom"/>
            <w:shd w:val="clear" w:color="auto" w:fill="F2F2F2"/>
          </w:tcPr>
          <w:p>
            <w:pPr>
              <w:spacing w:after="0"/>
              <w:rPr>
                <w:sz w:val="17"/>
                <w:szCs w:val="17"/>
                <w:color w:val="auto"/>
              </w:rPr>
            </w:pPr>
          </w:p>
        </w:tc>
        <w:tc>
          <w:tcPr>
            <w:tcW w:w="8560" w:type="dxa"/>
            <w:vAlign w:val="bottom"/>
            <w:shd w:val="clear" w:color="auto" w:fill="F2F2F2"/>
          </w:tcPr>
          <w:p>
            <w:pPr>
              <w:ind w:left="500"/>
              <w:spacing w:after="0" w:line="202" w:lineRule="exact"/>
              <w:rPr>
                <w:sz w:val="20"/>
                <w:szCs w:val="20"/>
                <w:color w:val="auto"/>
              </w:rPr>
            </w:pPr>
            <w:r>
              <w:rPr>
                <w:rFonts w:ascii="Arial" w:cs="Arial" w:eastAsia="Arial" w:hAnsi="Arial"/>
                <w:sz w:val="18"/>
                <w:szCs w:val="18"/>
                <w:color w:val="auto"/>
              </w:rPr>
              <w:t>appropriately challenging long-range performance goals, and allow our executives to share in the</w:t>
            </w:r>
          </w:p>
        </w:tc>
      </w:tr>
      <w:tr>
        <w:trPr>
          <w:trHeight w:val="203"/>
        </w:trPr>
        <w:tc>
          <w:tcPr>
            <w:tcW w:w="20" w:type="dxa"/>
            <w:vAlign w:val="bottom"/>
          </w:tcPr>
          <w:p>
            <w:pPr>
              <w:spacing w:after="0"/>
              <w:rPr>
                <w:sz w:val="17"/>
                <w:szCs w:val="17"/>
                <w:color w:val="auto"/>
              </w:rPr>
            </w:pPr>
          </w:p>
        </w:tc>
        <w:tc>
          <w:tcPr>
            <w:tcW w:w="2460" w:type="dxa"/>
            <w:vAlign w:val="bottom"/>
            <w:tcBorders>
              <w:bottom w:val="single" w:sz="8" w:color="CCCCCC"/>
            </w:tcBorders>
            <w:shd w:val="clear" w:color="auto" w:fill="F2F2F2"/>
          </w:tcPr>
          <w:p>
            <w:pPr>
              <w:spacing w:after="0"/>
              <w:rPr>
                <w:sz w:val="17"/>
                <w:szCs w:val="17"/>
                <w:color w:val="auto"/>
              </w:rPr>
            </w:pPr>
          </w:p>
        </w:tc>
        <w:tc>
          <w:tcPr>
            <w:tcW w:w="8560" w:type="dxa"/>
            <w:vAlign w:val="bottom"/>
            <w:tcBorders>
              <w:bottom w:val="single" w:sz="8" w:color="CCCCCC"/>
            </w:tcBorders>
            <w:shd w:val="clear" w:color="auto" w:fill="F2F2F2"/>
          </w:tcPr>
          <w:p>
            <w:pPr>
              <w:ind w:left="500"/>
              <w:spacing w:after="0" w:line="203" w:lineRule="exact"/>
              <w:rPr>
                <w:sz w:val="20"/>
                <w:szCs w:val="20"/>
                <w:color w:val="auto"/>
              </w:rPr>
            </w:pPr>
            <w:r>
              <w:rPr>
                <w:rFonts w:ascii="Arial" w:cs="Arial" w:eastAsia="Arial" w:hAnsi="Arial"/>
                <w:sz w:val="18"/>
                <w:szCs w:val="18"/>
                <w:color w:val="auto"/>
              </w:rPr>
              <w:t>value created for the Company’s shareholders.</w:t>
            </w:r>
          </w:p>
        </w:tc>
      </w:tr>
      <w:tr>
        <w:trPr>
          <w:trHeight w:val="358"/>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560" w:type="dxa"/>
            <w:vAlign w:val="bottom"/>
          </w:tcPr>
          <w:p>
            <w:pPr>
              <w:ind w:left="294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Component</w:t>
            </w:r>
          </w:p>
        </w:tc>
        <w:tc>
          <w:tcPr>
            <w:tcW w:w="87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Function and Objective</w:t>
            </w:r>
          </w:p>
        </w:tc>
      </w:tr>
      <w:tr>
        <w:trPr>
          <w:trHeight w:val="195"/>
        </w:trPr>
        <w:tc>
          <w:tcPr>
            <w:tcW w:w="2320" w:type="dxa"/>
            <w:vAlign w:val="bottom"/>
            <w:gridSpan w:val="2"/>
          </w:tcPr>
          <w:p>
            <w:pPr>
              <w:spacing w:after="0" w:line="195" w:lineRule="exact"/>
              <w:rPr>
                <w:sz w:val="20"/>
                <w:szCs w:val="20"/>
                <w:color w:val="auto"/>
              </w:rPr>
            </w:pPr>
            <w:r>
              <w:rPr>
                <w:rFonts w:ascii="Arial" w:cs="Arial" w:eastAsia="Arial" w:hAnsi="Arial"/>
                <w:sz w:val="18"/>
                <w:szCs w:val="18"/>
                <w:i w:val="1"/>
                <w:iCs w:val="1"/>
                <w:color w:val="auto"/>
              </w:rPr>
              <w:t>Other Compensation</w:t>
            </w:r>
          </w:p>
        </w:tc>
        <w:tc>
          <w:tcPr>
            <w:tcW w:w="8720" w:type="dxa"/>
            <w:vAlign w:val="bottom"/>
          </w:tcPr>
          <w:p>
            <w:pPr>
              <w:ind w:left="660"/>
              <w:spacing w:after="0" w:line="195" w:lineRule="exact"/>
              <w:rPr>
                <w:sz w:val="20"/>
                <w:szCs w:val="20"/>
                <w:color w:val="auto"/>
              </w:rPr>
            </w:pPr>
            <w:r>
              <w:rPr>
                <w:rFonts w:ascii="Arial" w:cs="Arial" w:eastAsia="Arial" w:hAnsi="Arial"/>
                <w:sz w:val="18"/>
                <w:szCs w:val="18"/>
                <w:color w:val="auto"/>
              </w:rPr>
              <w:t>We provide certain health, life insurance, disability and retirement benefits, which are all part of our</w:t>
            </w:r>
          </w:p>
        </w:tc>
      </w:tr>
      <w:tr>
        <w:trPr>
          <w:trHeight w:val="203"/>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720" w:type="dxa"/>
            <w:vAlign w:val="bottom"/>
          </w:tcPr>
          <w:p>
            <w:pPr>
              <w:ind w:left="660"/>
              <w:spacing w:after="0" w:line="202" w:lineRule="exact"/>
              <w:rPr>
                <w:sz w:val="20"/>
                <w:szCs w:val="20"/>
                <w:color w:val="auto"/>
              </w:rPr>
            </w:pPr>
            <w:r>
              <w:rPr>
                <w:rFonts w:ascii="Arial" w:cs="Arial" w:eastAsia="Arial" w:hAnsi="Arial"/>
                <w:sz w:val="18"/>
                <w:szCs w:val="18"/>
                <w:color w:val="auto"/>
              </w:rPr>
              <w:t>broad-based employee benefits program. Retirement benefits for our NEOs (other than our</w:t>
            </w:r>
          </w:p>
        </w:tc>
      </w:tr>
      <w:tr>
        <w:trPr>
          <w:trHeight w:val="203"/>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720" w:type="dxa"/>
            <w:vAlign w:val="bottom"/>
          </w:tcPr>
          <w:p>
            <w:pPr>
              <w:ind w:left="660"/>
              <w:spacing w:after="0" w:line="202" w:lineRule="exact"/>
              <w:rPr>
                <w:sz w:val="20"/>
                <w:szCs w:val="20"/>
                <w:color w:val="auto"/>
              </w:rPr>
            </w:pPr>
            <w:r>
              <w:rPr>
                <w:rFonts w:ascii="Arial" w:cs="Arial" w:eastAsia="Arial" w:hAnsi="Arial"/>
                <w:sz w:val="18"/>
                <w:szCs w:val="18"/>
                <w:color w:val="auto"/>
              </w:rPr>
              <w:t>President, Americas and our interim CFO) are limited to (i) deferrals under the Company’s deferred</w:t>
            </w:r>
          </w:p>
        </w:tc>
      </w:tr>
      <w:tr>
        <w:trPr>
          <w:trHeight w:val="203"/>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720" w:type="dxa"/>
            <w:vAlign w:val="bottom"/>
          </w:tcPr>
          <w:p>
            <w:pPr>
              <w:ind w:left="660"/>
              <w:spacing w:after="0" w:line="202" w:lineRule="exact"/>
              <w:rPr>
                <w:sz w:val="20"/>
                <w:szCs w:val="20"/>
                <w:color w:val="auto"/>
              </w:rPr>
            </w:pPr>
            <w:r>
              <w:rPr>
                <w:rFonts w:ascii="Arial" w:cs="Arial" w:eastAsia="Arial" w:hAnsi="Arial"/>
                <w:sz w:val="18"/>
                <w:szCs w:val="18"/>
                <w:color w:val="auto"/>
              </w:rPr>
              <w:t>compensation plan for executives, which the Company matches up to a maximum of 6% of base</w:t>
            </w:r>
          </w:p>
        </w:tc>
      </w:tr>
      <w:tr>
        <w:trPr>
          <w:trHeight w:val="203"/>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720" w:type="dxa"/>
            <w:vAlign w:val="bottom"/>
          </w:tcPr>
          <w:p>
            <w:pPr>
              <w:ind w:left="660"/>
              <w:spacing w:after="0" w:line="202" w:lineRule="exact"/>
              <w:rPr>
                <w:sz w:val="20"/>
                <w:szCs w:val="20"/>
                <w:color w:val="auto"/>
              </w:rPr>
            </w:pPr>
            <w:r>
              <w:rPr>
                <w:rFonts w:ascii="Arial" w:cs="Arial" w:eastAsia="Arial" w:hAnsi="Arial"/>
                <w:sz w:val="18"/>
                <w:szCs w:val="18"/>
                <w:color w:val="auto"/>
              </w:rPr>
              <w:t>salary and annual incentive, and/or (ii) participation in our 401(k) plan. Other executive benefits and</w:t>
            </w:r>
          </w:p>
        </w:tc>
      </w:tr>
      <w:tr>
        <w:trPr>
          <w:trHeight w:val="203"/>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720" w:type="dxa"/>
            <w:vAlign w:val="bottom"/>
          </w:tcPr>
          <w:p>
            <w:pPr>
              <w:ind w:left="660"/>
              <w:spacing w:after="0" w:line="202" w:lineRule="exact"/>
              <w:rPr>
                <w:sz w:val="20"/>
                <w:szCs w:val="20"/>
                <w:color w:val="auto"/>
              </w:rPr>
            </w:pPr>
            <w:r>
              <w:rPr>
                <w:rFonts w:ascii="Arial" w:cs="Arial" w:eastAsia="Arial" w:hAnsi="Arial"/>
                <w:sz w:val="18"/>
                <w:szCs w:val="18"/>
                <w:color w:val="auto"/>
              </w:rPr>
              <w:t>perquisites include auto use and financial planning services. Our CEO and our Chairman also are</w:t>
            </w:r>
          </w:p>
        </w:tc>
      </w:tr>
      <w:tr>
        <w:trPr>
          <w:trHeight w:val="203"/>
        </w:trPr>
        <w:tc>
          <w:tcPr>
            <w:tcW w:w="20" w:type="dxa"/>
            <w:vAlign w:val="bottom"/>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8720" w:type="dxa"/>
            <w:vAlign w:val="bottom"/>
            <w:tcBorders>
              <w:bottom w:val="single" w:sz="8" w:color="auto"/>
            </w:tcBorders>
          </w:tcPr>
          <w:p>
            <w:pPr>
              <w:ind w:left="660"/>
              <w:spacing w:after="0" w:line="203" w:lineRule="exact"/>
              <w:rPr>
                <w:sz w:val="20"/>
                <w:szCs w:val="20"/>
                <w:color w:val="auto"/>
              </w:rPr>
            </w:pPr>
            <w:r>
              <w:rPr>
                <w:rFonts w:ascii="Arial" w:cs="Arial" w:eastAsia="Arial" w:hAnsi="Arial"/>
                <w:sz w:val="18"/>
                <w:szCs w:val="18"/>
                <w:color w:val="auto"/>
              </w:rPr>
              <w:t>provided with agreed-upon limited personal use of Company-leased aircraft services.</w:t>
            </w:r>
          </w:p>
        </w:tc>
      </w:tr>
    </w:tbl>
    <w:p>
      <w:pPr>
        <w:spacing w:after="0" w:line="29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Analysis of 2017 Pay Decisions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Compensation for our CEO</w:t>
      </w:r>
    </w:p>
    <w:p>
      <w:pPr>
        <w:spacing w:after="0" w:line="121"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In connection with the one-year anniversary of our CEO’s tenure, the Committee, with input from its compensation consultant, conducted a full review of our CEO’s compensation opportunity to determine the appropriate 2017 pay package. This review included, among other things, an assessment of our CEO’s performance in 2016 and consideration of market compensation data (as described in “Consideration of Peer Groups and Survey Data”). In connection with its performance review, the Committee considered that:</w:t>
      </w:r>
    </w:p>
    <w:p>
      <w:pPr>
        <w:spacing w:after="0" w:line="107" w:lineRule="exact"/>
        <w:rPr>
          <w:sz w:val="20"/>
          <w:szCs w:val="20"/>
          <w:color w:val="auto"/>
        </w:rPr>
      </w:pPr>
    </w:p>
    <w:p>
      <w:pPr>
        <w:ind w:left="640" w:right="20" w:hanging="436"/>
        <w:spacing w:after="0" w:line="246"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 our CEO’s leadership, the Company had updated its corporate strategy and launched strategic initiatives to drive profitable growth and further build its position in the evolving mobility landscape;</w:t>
      </w:r>
    </w:p>
    <w:p>
      <w:pPr>
        <w:spacing w:after="0" w:line="102" w:lineRule="exact"/>
        <w:rPr>
          <w:rFonts w:ascii="Arial" w:cs="Arial" w:eastAsia="Arial" w:hAnsi="Arial"/>
          <w:sz w:val="18"/>
          <w:szCs w:val="18"/>
          <w:color w:val="auto"/>
        </w:rPr>
      </w:pPr>
    </w:p>
    <w:p>
      <w:pPr>
        <w:ind w:left="640" w:right="20" w:hanging="436"/>
        <w:spacing w:after="0" w:line="246"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despite significant industry headwinds driven, in part, by adverse trends in pricing and used car prices, the Company’s stock price remained stable, increasing 1%, despite a 7% decrease in Adjusted EBITDA, and revenue grew 2% in 2016 compared to 2015; and</w:t>
      </w:r>
    </w:p>
    <w:p>
      <w:pPr>
        <w:spacing w:after="0" w:line="102" w:lineRule="exact"/>
        <w:rPr>
          <w:rFonts w:ascii="Arial" w:cs="Arial" w:eastAsia="Arial" w:hAnsi="Arial"/>
          <w:sz w:val="18"/>
          <w:szCs w:val="18"/>
          <w:color w:val="auto"/>
        </w:rPr>
      </w:pP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returned capital to its shareholders in 2016 through the repurchase of $390 million of its Common Stock.</w:t>
      </w:r>
    </w:p>
    <w:p>
      <w:pPr>
        <w:spacing w:after="0" w:line="117"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As a result of this review, the Committee determined that our CEO’s compensation was below the market median of similarly situated executives and an increase was warranted. As a result, the Committee approved the following elements of pay for our CEO for 2017:</w:t>
      </w:r>
    </w:p>
    <w:p>
      <w:pPr>
        <w:spacing w:after="0" w:line="102" w:lineRule="exact"/>
        <w:rPr>
          <w:sz w:val="20"/>
          <w:szCs w:val="20"/>
          <w:color w:val="auto"/>
        </w:rPr>
      </w:pP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annual base salary of $1.1 million, representing a 10% increase compared to 2016;</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target annual incentive opportunity of 150% of base salary, reflecting no change compared to 2016; and</w:t>
      </w:r>
    </w:p>
    <w:p>
      <w:pPr>
        <w:spacing w:after="0" w:line="130" w:lineRule="exact"/>
        <w:rPr>
          <w:rFonts w:ascii="Arial" w:cs="Arial" w:eastAsia="Arial" w:hAnsi="Arial"/>
          <w:sz w:val="18"/>
          <w:szCs w:val="18"/>
          <w:color w:val="auto"/>
        </w:rPr>
      </w:pPr>
    </w:p>
    <w:p>
      <w:pPr>
        <w:ind w:left="640" w:right="20" w:hanging="436"/>
        <w:spacing w:after="0" w:line="246"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long-term incentive opportunity with a grant date fair value of $5.5 million, with 60% of target units subject to the attainment of performance goals based on Adjusted EBITDA margin improvement.</w:t>
      </w:r>
    </w:p>
    <w:p>
      <w:pPr>
        <w:spacing w:after="0" w:line="89"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The Committee determined that a long-term incentive award comprised of a mix of predominantly performance-based restricted stock units (“PSUs”) was appropriate, considering our pay-for-performance philosophy and past practice. The PSU award is further described under “2017 Long-Term Incentive Awards.”</w:t>
      </w:r>
    </w:p>
    <w:p>
      <w:pPr>
        <w:spacing w:after="0" w:line="95"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Consistent with our past practice, more than 50% of our CEO’s 2017 pay opportunity, at target, was performance-based, excluding all other compensation.</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Compensation for our Chairman</w:t>
      </w:r>
    </w:p>
    <w:p>
      <w:pPr>
        <w:spacing w:after="0" w:line="121"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In December 2016, our Chairman’s employment agreement was extended through December 31, 2017. Accordingly, the Committee elected not to make any changes to our Chairman’s pay opportunity for 2017 compared to 2016. Given the changes to our Long-Term Incentive Program as further discussed under “2017 Long-Term Incentive Awards,” the Committee approved an annual performance-based cash incentive in lieu of PSUs, as described under “Annual Incentive Awards.” Accordingly, our Chairman’s 2017 compensation consisted of:</w:t>
      </w:r>
    </w:p>
    <w:p>
      <w:pPr>
        <w:spacing w:after="0" w:line="108" w:lineRule="exact"/>
        <w:rPr>
          <w:sz w:val="20"/>
          <w:szCs w:val="20"/>
          <w:color w:val="auto"/>
        </w:rPr>
      </w:pPr>
    </w:p>
    <w:p>
      <w:pPr>
        <w:ind w:left="640" w:hanging="43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annual base salary of $800,000;</w:t>
      </w:r>
    </w:p>
    <w:p>
      <w:pPr>
        <w:spacing w:after="0" w:line="130" w:lineRule="exact"/>
        <w:rPr>
          <w:rFonts w:ascii="Arial" w:cs="Arial" w:eastAsia="Arial" w:hAnsi="Arial"/>
          <w:sz w:val="18"/>
          <w:szCs w:val="18"/>
          <w:color w:val="auto"/>
        </w:rPr>
      </w:pPr>
    </w:p>
    <w:p>
      <w:pPr>
        <w:ind w:left="640" w:hanging="436"/>
        <w:spacing w:after="0" w:line="246"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target annual performance-based incentive opportunity of 125% of base salary, which is equivalent to the target value of PSUs granted in 2016; and</w:t>
      </w:r>
    </w:p>
    <w:p>
      <w:pPr>
        <w:spacing w:after="0" w:line="102" w:lineRule="exact"/>
        <w:rPr>
          <w:rFonts w:ascii="Arial" w:cs="Arial" w:eastAsia="Arial" w:hAnsi="Arial"/>
          <w:sz w:val="18"/>
          <w:szCs w:val="18"/>
          <w:color w:val="auto"/>
        </w:rPr>
      </w:pPr>
    </w:p>
    <w:p>
      <w:pPr>
        <w:ind w:left="640" w:hanging="436"/>
        <w:spacing w:after="0" w:line="246"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restricted stock unit award with a grant date value of $1.0 million, with a scheduled vesting term of one-year consistent with the one-year nature of the extended agreement.</w:t>
      </w:r>
    </w:p>
    <w:p>
      <w:pPr>
        <w:spacing w:after="0" w:line="89"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Actual 2017 compensation for our Chairman reflected a reduction of more than 30% compared to 2016 compensation. Our Chairman has announced that he does not intend to stand for reelection at the 2018 Annual Meeting of Shareholders.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Base Salaries for our other Named Executive Officers</w:t>
      </w:r>
    </w:p>
    <w:p>
      <w:pPr>
        <w:spacing w:after="0" w:line="121"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Salaries for our NEOs are typically determined based on factors such as our past practice, reasonable comparability with Peer Group pay data and Survey Data (as described under “Consideration of Peer Groups and Survey Data”) and each NEO’s responsibilities, capabilities and skills, commitment to our business, leadership and drive to add value. For the CEO and CFO roles, the Committee also considers the size and complexity of our balance sheet and capital structure.</w:t>
      </w:r>
    </w:p>
    <w:p>
      <w:pPr>
        <w:spacing w:after="0" w:line="94"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In the beginning of 2017, the Committee approved salary increases of approximately 4% for each of our Regional Presidents. These increases were determined following an annual review for each role. The Committee also determined to maintain the base salary for our Former CFO, with no change compared to 2016.</w:t>
      </w:r>
    </w:p>
    <w:p>
      <w:pPr>
        <w:spacing w:after="0" w:line="95"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In June 2017, the Committee approved a base salary for our interim CFO following a review of market data and the other factors described above.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Annual Incentive Awards</w:t>
      </w:r>
    </w:p>
    <w:p>
      <w:pPr>
        <w:spacing w:after="0" w:line="121"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In establishing the 2017 annual performance-based incentive program, the Committee determined that the design should remain consistent with past practice, with target payouts as a percentage of base salary consistent with 2016 levels. The Committee also approved a target annual incentive opportunity of 80% of base salary for our interim CFO in connection with his appointment to the role in 2017. Payout opportunities also remained consistent with 2016 levels, ranging from 25% to 200% of target.</w:t>
      </w:r>
    </w:p>
    <w:p>
      <w:pPr>
        <w:spacing w:after="0" w:line="94"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Consistent with past practice, the performance metric for our 2017 annual incentive program was Adjusted EBITDA, which is a key measure of operational and financial performance and is driven by achieving profitable revenues and our strategic plan, and widely understood within the Company. While the Committee considered whether additional or different performance metrics should be utilized for the Company’s 2017 annual incentive program, the Committee determined that the metrics should remain consistent in light of the Committee’s decision to change the performance metric for the 2017 Long-Term Incentive Program, as further discussed below.</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The performance goals, presented below, were set based on the Company’s 2017 business plan. At target, the global goal represented an increase of approximately 6%, compared to 2016 Adjusted EBITDA, as reported.</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Achievement</w:t>
            </w:r>
          </w:p>
        </w:tc>
        <w:tc>
          <w:tcPr>
            <w:tcW w:w="3940" w:type="dxa"/>
            <w:vAlign w:val="bottom"/>
          </w:tcPr>
          <w:p>
            <w:pPr>
              <w:jc w:val="center"/>
              <w:ind w:left="2617"/>
              <w:spacing w:after="0"/>
              <w:rPr>
                <w:sz w:val="20"/>
                <w:szCs w:val="20"/>
                <w:color w:val="auto"/>
              </w:rPr>
            </w:pPr>
            <w:r>
              <w:rPr>
                <w:rFonts w:ascii="Arial" w:cs="Arial" w:eastAsia="Arial" w:hAnsi="Arial"/>
                <w:sz w:val="14"/>
                <w:szCs w:val="14"/>
                <w:b w:val="1"/>
                <w:bCs w:val="1"/>
                <w:color w:val="auto"/>
              </w:rPr>
              <w:t>Opportunity</w:t>
            </w:r>
          </w:p>
        </w:tc>
        <w:tc>
          <w:tcPr>
            <w:tcW w:w="1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(Dollars in Millions)</w:t>
            </w:r>
          </w:p>
        </w:tc>
        <w:tc>
          <w:tcPr>
            <w:tcW w:w="920" w:type="dxa"/>
            <w:vAlign w:val="bottom"/>
            <w:tcBorders>
              <w:bottom w:val="single" w:sz="8" w:color="auto"/>
            </w:tcBorders>
          </w:tcPr>
          <w:p>
            <w:pPr>
              <w:spacing w:after="0"/>
              <w:rPr>
                <w:sz w:val="15"/>
                <w:szCs w:val="15"/>
                <w:color w:val="auto"/>
              </w:rPr>
            </w:pPr>
          </w:p>
        </w:tc>
      </w:tr>
      <w:tr>
        <w:trPr>
          <w:trHeight w:val="156"/>
        </w:trPr>
        <w:tc>
          <w:tcPr>
            <w:tcW w:w="3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w:t>
            </w:r>
          </w:p>
        </w:tc>
        <w:tc>
          <w:tcPr>
            <w:tcW w:w="3940" w:type="dxa"/>
            <w:vAlign w:val="bottom"/>
          </w:tcPr>
          <w:p>
            <w:pPr>
              <w:jc w:val="center"/>
              <w:ind w:left="2617"/>
              <w:spacing w:after="0" w:line="155" w:lineRule="exact"/>
              <w:rPr>
                <w:sz w:val="20"/>
                <w:szCs w:val="20"/>
                <w:color w:val="auto"/>
              </w:rPr>
            </w:pPr>
            <w:r>
              <w:rPr>
                <w:rFonts w:ascii="Arial" w:cs="Arial" w:eastAsia="Arial" w:hAnsi="Arial"/>
                <w:sz w:val="14"/>
                <w:szCs w:val="14"/>
                <w:b w:val="1"/>
                <w:bCs w:val="1"/>
                <w:color w:val="auto"/>
              </w:rPr>
              <w:t>(% of Target)*</w:t>
            </w:r>
          </w:p>
        </w:tc>
        <w:tc>
          <w:tcPr>
            <w:tcW w:w="180" w:type="dxa"/>
            <w:vAlign w:val="bottom"/>
          </w:tcPr>
          <w:p>
            <w:pPr>
              <w:spacing w:after="0"/>
              <w:rPr>
                <w:sz w:val="13"/>
                <w:szCs w:val="13"/>
                <w:color w:val="auto"/>
              </w:rPr>
            </w:pPr>
          </w:p>
        </w:tc>
        <w:tc>
          <w:tcPr>
            <w:tcW w:w="740" w:type="dxa"/>
            <w:vAlign w:val="bottom"/>
          </w:tcPr>
          <w:p>
            <w:pPr>
              <w:spacing w:after="0" w:line="155" w:lineRule="exact"/>
              <w:rPr>
                <w:sz w:val="20"/>
                <w:szCs w:val="20"/>
                <w:color w:val="auto"/>
              </w:rPr>
            </w:pPr>
            <w:r>
              <w:rPr>
                <w:rFonts w:ascii="Arial" w:cs="Arial" w:eastAsia="Arial" w:hAnsi="Arial"/>
                <w:sz w:val="14"/>
                <w:szCs w:val="14"/>
                <w:b w:val="1"/>
                <w:bCs w:val="1"/>
                <w:color w:val="auto"/>
              </w:rPr>
              <w:t>Global**</w:t>
            </w:r>
          </w:p>
        </w:tc>
        <w:tc>
          <w:tcPr>
            <w:tcW w:w="1520" w:type="dxa"/>
            <w:vAlign w:val="bottom"/>
          </w:tcPr>
          <w:p>
            <w:pPr>
              <w:jc w:val="center"/>
              <w:ind w:right="277"/>
              <w:spacing w:after="0" w:line="155" w:lineRule="exact"/>
              <w:rPr>
                <w:sz w:val="20"/>
                <w:szCs w:val="20"/>
                <w:color w:val="auto"/>
              </w:rPr>
            </w:pPr>
            <w:r>
              <w:rPr>
                <w:rFonts w:ascii="Arial" w:cs="Arial" w:eastAsia="Arial" w:hAnsi="Arial"/>
                <w:sz w:val="14"/>
                <w:szCs w:val="14"/>
                <w:b w:val="1"/>
                <w:bCs w:val="1"/>
                <w:color w:val="auto"/>
              </w:rPr>
              <w:t>Americas</w:t>
            </w:r>
          </w:p>
        </w:tc>
        <w:tc>
          <w:tcPr>
            <w:tcW w:w="9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International</w:t>
            </w:r>
          </w:p>
        </w:tc>
      </w:tr>
      <w:tr>
        <w:trPr>
          <w:trHeight w:val="196"/>
        </w:trPr>
        <w:tc>
          <w:tcPr>
            <w:tcW w:w="20" w:type="dxa"/>
            <w:vAlign w:val="bottom"/>
          </w:tcPr>
          <w:p>
            <w:pPr>
              <w:spacing w:after="0"/>
              <w:rPr>
                <w:sz w:val="17"/>
                <w:szCs w:val="17"/>
                <w:color w:val="auto"/>
              </w:rPr>
            </w:pPr>
          </w:p>
        </w:tc>
        <w:tc>
          <w:tcPr>
            <w:tcW w:w="3720" w:type="dxa"/>
            <w:vAlign w:val="bottom"/>
            <w:tcBorders>
              <w:top w:val="single" w:sz="8" w:color="auto"/>
              <w:bottom w:val="single" w:sz="8" w:color="CCCCCC"/>
            </w:tcBorders>
            <w:shd w:val="clear" w:color="auto" w:fill="F2F2F2"/>
          </w:tcPr>
          <w:p>
            <w:pPr>
              <w:spacing w:after="0" w:line="196" w:lineRule="exact"/>
              <w:rPr>
                <w:sz w:val="20"/>
                <w:szCs w:val="20"/>
                <w:color w:val="auto"/>
              </w:rPr>
            </w:pPr>
            <w:r>
              <w:rPr>
                <w:rFonts w:ascii="Arial" w:cs="Arial" w:eastAsia="Arial" w:hAnsi="Arial"/>
                <w:sz w:val="18"/>
                <w:szCs w:val="18"/>
                <w:color w:val="auto"/>
              </w:rPr>
              <w:t>Maximum</w:t>
            </w:r>
          </w:p>
        </w:tc>
        <w:tc>
          <w:tcPr>
            <w:tcW w:w="3940" w:type="dxa"/>
            <w:vAlign w:val="bottom"/>
            <w:tcBorders>
              <w:top w:val="single" w:sz="8" w:color="auto"/>
              <w:bottom w:val="single" w:sz="8" w:color="CCCCCC"/>
            </w:tcBorders>
            <w:shd w:val="clear" w:color="auto" w:fill="F2F2F2"/>
          </w:tcPr>
          <w:p>
            <w:pPr>
              <w:jc w:val="center"/>
              <w:ind w:left="2637"/>
              <w:spacing w:after="0" w:line="196" w:lineRule="exact"/>
              <w:rPr>
                <w:sz w:val="20"/>
                <w:szCs w:val="20"/>
                <w:color w:val="auto"/>
              </w:rPr>
            </w:pPr>
            <w:r>
              <w:rPr>
                <w:rFonts w:ascii="Arial" w:cs="Arial" w:eastAsia="Arial" w:hAnsi="Arial"/>
                <w:sz w:val="18"/>
                <w:szCs w:val="18"/>
                <w:color w:val="auto"/>
                <w:w w:val="99"/>
              </w:rPr>
              <w:t>200%</w:t>
            </w:r>
          </w:p>
        </w:tc>
        <w:tc>
          <w:tcPr>
            <w:tcW w:w="920" w:type="dxa"/>
            <w:vAlign w:val="bottom"/>
            <w:tcBorders>
              <w:top w:val="single" w:sz="8" w:color="auto"/>
              <w:bottom w:val="single" w:sz="8" w:color="CCCCCC"/>
            </w:tcBorders>
            <w:gridSpan w:val="2"/>
            <w:shd w:val="clear" w:color="auto" w:fill="F2F2F2"/>
          </w:tcPr>
          <w:p>
            <w:pPr>
              <w:jc w:val="center"/>
              <w:spacing w:after="0" w:line="196" w:lineRule="exact"/>
              <w:rPr>
                <w:sz w:val="20"/>
                <w:szCs w:val="20"/>
                <w:color w:val="auto"/>
              </w:rPr>
            </w:pPr>
            <w:r>
              <w:rPr>
                <w:rFonts w:ascii="Arial" w:cs="Arial" w:eastAsia="Arial" w:hAnsi="Arial"/>
                <w:sz w:val="18"/>
                <w:szCs w:val="18"/>
                <w:color w:val="auto"/>
                <w:w w:val="98"/>
              </w:rPr>
              <w:t>$1,062</w:t>
            </w:r>
          </w:p>
        </w:tc>
        <w:tc>
          <w:tcPr>
            <w:tcW w:w="1520" w:type="dxa"/>
            <w:vAlign w:val="bottom"/>
            <w:tcBorders>
              <w:top w:val="single" w:sz="8" w:color="auto"/>
              <w:bottom w:val="single" w:sz="8" w:color="CCCCCC"/>
            </w:tcBorders>
            <w:shd w:val="clear" w:color="auto" w:fill="F2F2F2"/>
          </w:tcPr>
          <w:p>
            <w:pPr>
              <w:jc w:val="center"/>
              <w:ind w:right="277"/>
              <w:spacing w:after="0" w:line="196" w:lineRule="exact"/>
              <w:rPr>
                <w:sz w:val="20"/>
                <w:szCs w:val="20"/>
                <w:color w:val="auto"/>
              </w:rPr>
            </w:pPr>
            <w:r>
              <w:rPr>
                <w:rFonts w:ascii="Arial" w:cs="Arial" w:eastAsia="Arial" w:hAnsi="Arial"/>
                <w:sz w:val="18"/>
                <w:szCs w:val="18"/>
                <w:color w:val="auto"/>
                <w:w w:val="99"/>
              </w:rPr>
              <w:t>$775</w:t>
            </w:r>
          </w:p>
        </w:tc>
        <w:tc>
          <w:tcPr>
            <w:tcW w:w="920" w:type="dxa"/>
            <w:vAlign w:val="bottom"/>
            <w:tcBorders>
              <w:top w:val="single" w:sz="8" w:color="auto"/>
              <w:bottom w:val="single" w:sz="8" w:color="CCCCCC"/>
            </w:tcBorders>
            <w:shd w:val="clear" w:color="auto" w:fill="F2F2F2"/>
          </w:tcPr>
          <w:p>
            <w:pPr>
              <w:jc w:val="center"/>
              <w:spacing w:after="0" w:line="196" w:lineRule="exact"/>
              <w:rPr>
                <w:sz w:val="20"/>
                <w:szCs w:val="20"/>
                <w:color w:val="auto"/>
              </w:rPr>
            </w:pPr>
            <w:r>
              <w:rPr>
                <w:rFonts w:ascii="Arial" w:cs="Arial" w:eastAsia="Arial" w:hAnsi="Arial"/>
                <w:sz w:val="18"/>
                <w:szCs w:val="18"/>
                <w:color w:val="auto"/>
                <w:w w:val="99"/>
              </w:rPr>
              <w:t>$370</w:t>
            </w:r>
          </w:p>
        </w:tc>
      </w:tr>
      <w:tr>
        <w:trPr>
          <w:trHeight w:val="196"/>
        </w:trPr>
        <w:tc>
          <w:tcPr>
            <w:tcW w:w="20" w:type="dxa"/>
            <w:vAlign w:val="bottom"/>
          </w:tcPr>
          <w:p>
            <w:pPr>
              <w:spacing w:after="0"/>
              <w:rPr>
                <w:sz w:val="17"/>
                <w:szCs w:val="17"/>
                <w:color w:val="auto"/>
              </w:rPr>
            </w:pPr>
          </w:p>
        </w:tc>
        <w:tc>
          <w:tcPr>
            <w:tcW w:w="3720" w:type="dxa"/>
            <w:vAlign w:val="bottom"/>
            <w:tcBorders>
              <w:bottom w:val="single" w:sz="8" w:color="CCCCCC"/>
            </w:tcBorders>
          </w:tcPr>
          <w:p>
            <w:pPr>
              <w:spacing w:after="0" w:line="196" w:lineRule="exact"/>
              <w:rPr>
                <w:sz w:val="20"/>
                <w:szCs w:val="20"/>
                <w:color w:val="auto"/>
              </w:rPr>
            </w:pPr>
            <w:r>
              <w:rPr>
                <w:rFonts w:ascii="Arial" w:cs="Arial" w:eastAsia="Arial" w:hAnsi="Arial"/>
                <w:sz w:val="18"/>
                <w:szCs w:val="18"/>
                <w:color w:val="auto"/>
              </w:rPr>
              <w:t>Target</w:t>
            </w:r>
          </w:p>
        </w:tc>
        <w:tc>
          <w:tcPr>
            <w:tcW w:w="3940" w:type="dxa"/>
            <w:vAlign w:val="bottom"/>
            <w:tcBorders>
              <w:bottom w:val="single" w:sz="8" w:color="CCCCCC"/>
            </w:tcBorders>
          </w:tcPr>
          <w:p>
            <w:pPr>
              <w:jc w:val="center"/>
              <w:ind w:left="2637"/>
              <w:spacing w:after="0" w:line="196" w:lineRule="exact"/>
              <w:rPr>
                <w:sz w:val="20"/>
                <w:szCs w:val="20"/>
                <w:color w:val="auto"/>
              </w:rPr>
            </w:pPr>
            <w:r>
              <w:rPr>
                <w:rFonts w:ascii="Arial" w:cs="Arial" w:eastAsia="Arial" w:hAnsi="Arial"/>
                <w:sz w:val="18"/>
                <w:szCs w:val="18"/>
                <w:color w:val="auto"/>
                <w:w w:val="99"/>
              </w:rPr>
              <w:t>100%</w:t>
            </w:r>
          </w:p>
        </w:tc>
        <w:tc>
          <w:tcPr>
            <w:tcW w:w="920" w:type="dxa"/>
            <w:vAlign w:val="bottom"/>
            <w:tcBorders>
              <w:bottom w:val="single" w:sz="8" w:color="CCCCCC"/>
            </w:tcBorders>
            <w:gridSpan w:val="2"/>
          </w:tcPr>
          <w:p>
            <w:pPr>
              <w:jc w:val="center"/>
              <w:spacing w:after="0" w:line="196" w:lineRule="exact"/>
              <w:rPr>
                <w:sz w:val="20"/>
                <w:szCs w:val="20"/>
                <w:color w:val="auto"/>
              </w:rPr>
            </w:pPr>
            <w:r>
              <w:rPr>
                <w:rFonts w:ascii="Arial" w:cs="Arial" w:eastAsia="Arial" w:hAnsi="Arial"/>
                <w:sz w:val="18"/>
                <w:szCs w:val="18"/>
                <w:color w:val="auto"/>
                <w:w w:val="99"/>
              </w:rPr>
              <w:t>$885</w:t>
            </w:r>
          </w:p>
        </w:tc>
        <w:tc>
          <w:tcPr>
            <w:tcW w:w="1520" w:type="dxa"/>
            <w:vAlign w:val="bottom"/>
            <w:tcBorders>
              <w:bottom w:val="single" w:sz="8" w:color="CCCCCC"/>
            </w:tcBorders>
          </w:tcPr>
          <w:p>
            <w:pPr>
              <w:jc w:val="center"/>
              <w:ind w:right="277"/>
              <w:spacing w:after="0" w:line="196" w:lineRule="exact"/>
              <w:rPr>
                <w:sz w:val="20"/>
                <w:szCs w:val="20"/>
                <w:color w:val="auto"/>
              </w:rPr>
            </w:pPr>
            <w:r>
              <w:rPr>
                <w:rFonts w:ascii="Arial" w:cs="Arial" w:eastAsia="Arial" w:hAnsi="Arial"/>
                <w:sz w:val="18"/>
                <w:szCs w:val="18"/>
                <w:color w:val="auto"/>
                <w:w w:val="99"/>
              </w:rPr>
              <w:t>$646</w:t>
            </w:r>
          </w:p>
        </w:tc>
        <w:tc>
          <w:tcPr>
            <w:tcW w:w="920" w:type="dxa"/>
            <w:vAlign w:val="bottom"/>
            <w:tcBorders>
              <w:bottom w:val="single" w:sz="8" w:color="CCCCCC"/>
            </w:tcBorders>
          </w:tcPr>
          <w:p>
            <w:pPr>
              <w:jc w:val="center"/>
              <w:spacing w:after="0" w:line="196" w:lineRule="exact"/>
              <w:rPr>
                <w:sz w:val="20"/>
                <w:szCs w:val="20"/>
                <w:color w:val="auto"/>
              </w:rPr>
            </w:pPr>
            <w:r>
              <w:rPr>
                <w:rFonts w:ascii="Arial" w:cs="Arial" w:eastAsia="Arial" w:hAnsi="Arial"/>
                <w:sz w:val="18"/>
                <w:szCs w:val="18"/>
                <w:color w:val="auto"/>
                <w:w w:val="99"/>
              </w:rPr>
              <w:t>$308</w:t>
            </w:r>
          </w:p>
        </w:tc>
      </w:tr>
      <w:tr>
        <w:trPr>
          <w:trHeight w:val="196"/>
        </w:trPr>
        <w:tc>
          <w:tcPr>
            <w:tcW w:w="20" w:type="dxa"/>
            <w:vAlign w:val="bottom"/>
          </w:tcPr>
          <w:p>
            <w:pPr>
              <w:spacing w:after="0"/>
              <w:rPr>
                <w:sz w:val="17"/>
                <w:szCs w:val="17"/>
                <w:color w:val="auto"/>
              </w:rPr>
            </w:pPr>
          </w:p>
        </w:tc>
        <w:tc>
          <w:tcPr>
            <w:tcW w:w="3720" w:type="dxa"/>
            <w:vAlign w:val="bottom"/>
            <w:tcBorders>
              <w:bottom w:val="single" w:sz="8" w:color="auto"/>
            </w:tcBorders>
            <w:shd w:val="clear" w:color="auto" w:fill="F2F2F2"/>
          </w:tcPr>
          <w:p>
            <w:pPr>
              <w:spacing w:after="0" w:line="196" w:lineRule="exact"/>
              <w:rPr>
                <w:sz w:val="20"/>
                <w:szCs w:val="20"/>
                <w:color w:val="auto"/>
              </w:rPr>
            </w:pPr>
            <w:r>
              <w:rPr>
                <w:rFonts w:ascii="Arial" w:cs="Arial" w:eastAsia="Arial" w:hAnsi="Arial"/>
                <w:sz w:val="18"/>
                <w:szCs w:val="18"/>
                <w:color w:val="auto"/>
              </w:rPr>
              <w:t>Threshold</w:t>
            </w:r>
          </w:p>
        </w:tc>
        <w:tc>
          <w:tcPr>
            <w:tcW w:w="3940" w:type="dxa"/>
            <w:vAlign w:val="bottom"/>
            <w:tcBorders>
              <w:bottom w:val="single" w:sz="8" w:color="auto"/>
            </w:tcBorders>
            <w:shd w:val="clear" w:color="auto" w:fill="F2F2F2"/>
          </w:tcPr>
          <w:p>
            <w:pPr>
              <w:jc w:val="center"/>
              <w:ind w:left="2617"/>
              <w:spacing w:after="0" w:line="196" w:lineRule="exact"/>
              <w:rPr>
                <w:sz w:val="20"/>
                <w:szCs w:val="20"/>
                <w:color w:val="auto"/>
              </w:rPr>
            </w:pPr>
            <w:r>
              <w:rPr>
                <w:rFonts w:ascii="Arial" w:cs="Arial" w:eastAsia="Arial" w:hAnsi="Arial"/>
                <w:sz w:val="18"/>
                <w:szCs w:val="18"/>
                <w:color w:val="auto"/>
                <w:w w:val="99"/>
              </w:rPr>
              <w:t>25%</w:t>
            </w:r>
          </w:p>
        </w:tc>
        <w:tc>
          <w:tcPr>
            <w:tcW w:w="920" w:type="dxa"/>
            <w:vAlign w:val="bottom"/>
            <w:tcBorders>
              <w:bottom w:val="single" w:sz="8" w:color="auto"/>
            </w:tcBorders>
            <w:gridSpan w:val="2"/>
            <w:shd w:val="clear" w:color="auto" w:fill="F2F2F2"/>
          </w:tcPr>
          <w:p>
            <w:pPr>
              <w:jc w:val="center"/>
              <w:spacing w:after="0" w:line="196" w:lineRule="exact"/>
              <w:rPr>
                <w:sz w:val="20"/>
                <w:szCs w:val="20"/>
                <w:color w:val="auto"/>
              </w:rPr>
            </w:pPr>
            <w:r>
              <w:rPr>
                <w:rFonts w:ascii="Arial" w:cs="Arial" w:eastAsia="Arial" w:hAnsi="Arial"/>
                <w:sz w:val="18"/>
                <w:szCs w:val="18"/>
                <w:color w:val="auto"/>
                <w:w w:val="99"/>
              </w:rPr>
              <w:t>$797</w:t>
            </w:r>
          </w:p>
        </w:tc>
        <w:tc>
          <w:tcPr>
            <w:tcW w:w="1520" w:type="dxa"/>
            <w:vAlign w:val="bottom"/>
            <w:tcBorders>
              <w:bottom w:val="single" w:sz="8" w:color="auto"/>
            </w:tcBorders>
            <w:shd w:val="clear" w:color="auto" w:fill="F2F2F2"/>
          </w:tcPr>
          <w:p>
            <w:pPr>
              <w:jc w:val="center"/>
              <w:ind w:right="277"/>
              <w:spacing w:after="0" w:line="196" w:lineRule="exact"/>
              <w:rPr>
                <w:sz w:val="20"/>
                <w:szCs w:val="20"/>
                <w:color w:val="auto"/>
              </w:rPr>
            </w:pPr>
            <w:r>
              <w:rPr>
                <w:rFonts w:ascii="Arial" w:cs="Arial" w:eastAsia="Arial" w:hAnsi="Arial"/>
                <w:sz w:val="18"/>
                <w:szCs w:val="18"/>
                <w:color w:val="auto"/>
                <w:w w:val="99"/>
              </w:rPr>
              <w:t>$581</w:t>
            </w:r>
          </w:p>
        </w:tc>
        <w:tc>
          <w:tcPr>
            <w:tcW w:w="920" w:type="dxa"/>
            <w:vAlign w:val="bottom"/>
            <w:tcBorders>
              <w:bottom w:val="single" w:sz="8" w:color="auto"/>
            </w:tcBorders>
            <w:shd w:val="clear" w:color="auto" w:fill="F2F2F2"/>
          </w:tcPr>
          <w:p>
            <w:pPr>
              <w:jc w:val="center"/>
              <w:spacing w:after="0" w:line="196" w:lineRule="exact"/>
              <w:rPr>
                <w:sz w:val="20"/>
                <w:szCs w:val="20"/>
                <w:color w:val="auto"/>
              </w:rPr>
            </w:pPr>
            <w:r>
              <w:rPr>
                <w:rFonts w:ascii="Arial" w:cs="Arial" w:eastAsia="Arial" w:hAnsi="Arial"/>
                <w:sz w:val="18"/>
                <w:szCs w:val="18"/>
                <w:color w:val="auto"/>
                <w:w w:val="99"/>
              </w:rPr>
              <w:t>$277</w:t>
            </w:r>
          </w:p>
        </w:tc>
      </w:tr>
    </w:tbl>
    <w:p>
      <w:pPr>
        <w:spacing w:after="0" w:line="126" w:lineRule="exact"/>
        <w:rPr>
          <w:sz w:val="20"/>
          <w:szCs w:val="20"/>
          <w:color w:val="auto"/>
        </w:rPr>
      </w:pPr>
    </w:p>
    <w:p>
      <w:pPr>
        <w:ind w:left="200" w:right="5940" w:firstLine="4"/>
        <w:spacing w:after="0" w:line="439" w:lineRule="auto"/>
        <w:tabs>
          <w:tab w:leader="none" w:pos="524" w:val="left"/>
        </w:tabs>
        <w:numPr>
          <w:ilvl w:val="0"/>
          <w:numId w:val="32"/>
        </w:numPr>
        <w:rPr>
          <w:rFonts w:ascii="Arial" w:cs="Arial" w:eastAsia="Arial" w:hAnsi="Arial"/>
          <w:sz w:val="14"/>
          <w:szCs w:val="14"/>
          <w:color w:val="auto"/>
        </w:rPr>
      </w:pPr>
      <w:r>
        <w:rPr>
          <w:rFonts w:ascii="Arial" w:cs="Arial" w:eastAsia="Arial" w:hAnsi="Arial"/>
          <w:sz w:val="14"/>
          <w:szCs w:val="14"/>
          <w:color w:val="auto"/>
        </w:rPr>
        <w:t>Straight-line interpolation is used for achievement between specified goals. ** Includes unallocated corporate expenses.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Global achievement under the 2017 annual incentive program was below threshold. This resulted from the Company’s attainment of</w:t>
      </w:r>
    </w:p>
    <w:p>
      <w:pPr>
        <w:ind w:left="200"/>
        <w:spacing w:after="0"/>
        <w:rPr>
          <w:sz w:val="20"/>
          <w:szCs w:val="20"/>
          <w:color w:val="auto"/>
        </w:rPr>
      </w:pPr>
      <w:r>
        <w:rPr>
          <w:rFonts w:ascii="Arial" w:cs="Arial" w:eastAsia="Arial" w:hAnsi="Arial"/>
          <w:sz w:val="18"/>
          <w:szCs w:val="18"/>
          <w:color w:val="auto"/>
        </w:rPr>
        <w:t>Adjusted EBITDA of $735 million. Accordingly, actual payouts as a percentage of target for NEOs were as follows: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460" w:type="dxa"/>
            <w:vAlign w:val="bottom"/>
          </w:tcPr>
          <w:p>
            <w:pPr>
              <w:jc w:val="center"/>
              <w:ind w:left="1894"/>
              <w:spacing w:after="0"/>
              <w:rPr>
                <w:sz w:val="20"/>
                <w:szCs w:val="20"/>
                <w:color w:val="auto"/>
              </w:rPr>
            </w:pPr>
            <w:r>
              <w:rPr>
                <w:rFonts w:ascii="Arial" w:cs="Arial" w:eastAsia="Arial" w:hAnsi="Arial"/>
                <w:sz w:val="14"/>
                <w:szCs w:val="14"/>
                <w:b w:val="1"/>
                <w:bCs w:val="1"/>
                <w:color w:val="auto"/>
              </w:rPr>
              <w:t>Actual Payout</w:t>
            </w:r>
          </w:p>
        </w:tc>
        <w:tc>
          <w:tcPr>
            <w:tcW w:w="2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Regional Weighting</w:t>
            </w:r>
          </w:p>
        </w:tc>
        <w:tc>
          <w:tcPr>
            <w:tcW w:w="920" w:type="dxa"/>
            <w:vAlign w:val="bottom"/>
            <w:tcBorders>
              <w:bottom w:val="single" w:sz="8" w:color="auto"/>
            </w:tcBorders>
          </w:tcPr>
          <w:p>
            <w:pPr>
              <w:spacing w:after="0"/>
              <w:rPr>
                <w:sz w:val="15"/>
                <w:szCs w:val="15"/>
                <w:color w:val="auto"/>
              </w:rPr>
            </w:pPr>
          </w:p>
        </w:tc>
      </w:tr>
      <w:tr>
        <w:trPr>
          <w:trHeight w:val="156"/>
        </w:trPr>
        <w:tc>
          <w:tcPr>
            <w:tcW w:w="40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NEO*</w:t>
            </w:r>
          </w:p>
        </w:tc>
        <w:tc>
          <w:tcPr>
            <w:tcW w:w="3460" w:type="dxa"/>
            <w:vAlign w:val="bottom"/>
          </w:tcPr>
          <w:p>
            <w:pPr>
              <w:jc w:val="center"/>
              <w:ind w:left="1894"/>
              <w:spacing w:after="0" w:line="155" w:lineRule="exact"/>
              <w:rPr>
                <w:sz w:val="20"/>
                <w:szCs w:val="20"/>
                <w:color w:val="auto"/>
              </w:rPr>
            </w:pPr>
            <w:r>
              <w:rPr>
                <w:rFonts w:ascii="Arial" w:cs="Arial" w:eastAsia="Arial" w:hAnsi="Arial"/>
                <w:sz w:val="14"/>
                <w:szCs w:val="14"/>
                <w:b w:val="1"/>
                <w:bCs w:val="1"/>
                <w:color w:val="auto"/>
              </w:rPr>
              <w:t>(% of Target)</w:t>
            </w:r>
          </w:p>
        </w:tc>
        <w:tc>
          <w:tcPr>
            <w:tcW w:w="260" w:type="dxa"/>
            <w:vAlign w:val="bottom"/>
          </w:tcPr>
          <w:p>
            <w:pPr>
              <w:spacing w:after="0"/>
              <w:rPr>
                <w:sz w:val="13"/>
                <w:szCs w:val="13"/>
                <w:color w:val="auto"/>
              </w:rPr>
            </w:pPr>
          </w:p>
        </w:tc>
        <w:tc>
          <w:tcPr>
            <w:tcW w:w="700" w:type="dxa"/>
            <w:vAlign w:val="bottom"/>
          </w:tcPr>
          <w:p>
            <w:pPr>
              <w:spacing w:after="0" w:line="155" w:lineRule="exact"/>
              <w:rPr>
                <w:sz w:val="20"/>
                <w:szCs w:val="20"/>
                <w:color w:val="auto"/>
              </w:rPr>
            </w:pPr>
            <w:r>
              <w:rPr>
                <w:rFonts w:ascii="Arial" w:cs="Arial" w:eastAsia="Arial" w:hAnsi="Arial"/>
                <w:sz w:val="14"/>
                <w:szCs w:val="14"/>
                <w:b w:val="1"/>
                <w:bCs w:val="1"/>
                <w:color w:val="auto"/>
              </w:rPr>
              <w:t>Global</w:t>
            </w:r>
          </w:p>
        </w:tc>
        <w:tc>
          <w:tcPr>
            <w:tcW w:w="162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Americas</w:t>
            </w:r>
          </w:p>
        </w:tc>
        <w:tc>
          <w:tcPr>
            <w:tcW w:w="92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International</w:t>
            </w:r>
          </w:p>
        </w:tc>
      </w:tr>
      <w:tr>
        <w:trPr>
          <w:trHeight w:val="196"/>
        </w:trPr>
        <w:tc>
          <w:tcPr>
            <w:tcW w:w="20" w:type="dxa"/>
            <w:vAlign w:val="bottom"/>
          </w:tcPr>
          <w:p>
            <w:pPr>
              <w:spacing w:after="0"/>
              <w:rPr>
                <w:sz w:val="17"/>
                <w:szCs w:val="17"/>
                <w:color w:val="auto"/>
              </w:rPr>
            </w:pPr>
          </w:p>
        </w:tc>
        <w:tc>
          <w:tcPr>
            <w:tcW w:w="4060" w:type="dxa"/>
            <w:vAlign w:val="bottom"/>
            <w:tcBorders>
              <w:top w:val="single" w:sz="8" w:color="auto"/>
              <w:bottom w:val="single" w:sz="8" w:color="CCCCCC"/>
            </w:tcBorders>
            <w:shd w:val="clear" w:color="auto" w:fill="F2F2F2"/>
          </w:tcPr>
          <w:p>
            <w:pPr>
              <w:spacing w:after="0" w:line="196" w:lineRule="exact"/>
              <w:rPr>
                <w:sz w:val="20"/>
                <w:szCs w:val="20"/>
                <w:color w:val="auto"/>
              </w:rPr>
            </w:pPr>
            <w:r>
              <w:rPr>
                <w:rFonts w:ascii="Arial" w:cs="Arial" w:eastAsia="Arial" w:hAnsi="Arial"/>
                <w:sz w:val="18"/>
                <w:szCs w:val="18"/>
                <w:color w:val="auto"/>
              </w:rPr>
              <w:t>CEO</w:t>
            </w:r>
          </w:p>
        </w:tc>
        <w:tc>
          <w:tcPr>
            <w:tcW w:w="3460" w:type="dxa"/>
            <w:vAlign w:val="bottom"/>
            <w:tcBorders>
              <w:top w:val="single" w:sz="8" w:color="auto"/>
              <w:bottom w:val="single" w:sz="8" w:color="CCCCCC"/>
            </w:tcBorders>
            <w:shd w:val="clear" w:color="auto" w:fill="F2F2F2"/>
          </w:tcPr>
          <w:p>
            <w:pPr>
              <w:jc w:val="center"/>
              <w:ind w:left="1874"/>
              <w:spacing w:after="0" w:line="196" w:lineRule="exact"/>
              <w:rPr>
                <w:sz w:val="20"/>
                <w:szCs w:val="20"/>
                <w:color w:val="auto"/>
              </w:rPr>
            </w:pPr>
            <w:r>
              <w:rPr>
                <w:rFonts w:ascii="Arial" w:cs="Arial" w:eastAsia="Arial" w:hAnsi="Arial"/>
                <w:sz w:val="18"/>
                <w:szCs w:val="18"/>
                <w:color w:val="auto"/>
                <w:w w:val="99"/>
              </w:rPr>
              <w:t>0%</w:t>
            </w:r>
          </w:p>
        </w:tc>
        <w:tc>
          <w:tcPr>
            <w:tcW w:w="960" w:type="dxa"/>
            <w:vAlign w:val="bottom"/>
            <w:tcBorders>
              <w:top w:val="single" w:sz="8" w:color="auto"/>
              <w:bottom w:val="single" w:sz="8" w:color="CCCCCC"/>
            </w:tcBorders>
            <w:gridSpan w:val="2"/>
            <w:shd w:val="clear" w:color="auto" w:fill="F2F2F2"/>
          </w:tcPr>
          <w:p>
            <w:pPr>
              <w:jc w:val="center"/>
              <w:spacing w:after="0" w:line="196" w:lineRule="exact"/>
              <w:rPr>
                <w:sz w:val="20"/>
                <w:szCs w:val="20"/>
                <w:color w:val="auto"/>
              </w:rPr>
            </w:pPr>
            <w:r>
              <w:rPr>
                <w:rFonts w:ascii="Arial" w:cs="Arial" w:eastAsia="Arial" w:hAnsi="Arial"/>
                <w:sz w:val="18"/>
                <w:szCs w:val="18"/>
                <w:color w:val="auto"/>
                <w:w w:val="99"/>
              </w:rPr>
              <w:t>100%</w:t>
            </w:r>
          </w:p>
        </w:tc>
        <w:tc>
          <w:tcPr>
            <w:tcW w:w="1620" w:type="dxa"/>
            <w:vAlign w:val="bottom"/>
            <w:tcBorders>
              <w:top w:val="single" w:sz="8" w:color="auto"/>
              <w:bottom w:val="single" w:sz="8" w:color="CCCCCC"/>
            </w:tcBorders>
            <w:shd w:val="clear" w:color="auto" w:fill="F2F2F2"/>
          </w:tcPr>
          <w:p>
            <w:pPr>
              <w:jc w:val="center"/>
              <w:ind w:right="314"/>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CCCC"/>
            </w:tcBorders>
            <w:shd w:val="clear" w:color="auto" w:fill="F2F2F2"/>
          </w:tcPr>
          <w:p>
            <w:pPr>
              <w:jc w:val="center"/>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20" w:type="dxa"/>
            <w:vAlign w:val="bottom"/>
          </w:tcPr>
          <w:p>
            <w:pPr>
              <w:spacing w:after="0"/>
              <w:rPr>
                <w:sz w:val="17"/>
                <w:szCs w:val="17"/>
                <w:color w:val="auto"/>
              </w:rPr>
            </w:pPr>
          </w:p>
        </w:tc>
        <w:tc>
          <w:tcPr>
            <w:tcW w:w="4060" w:type="dxa"/>
            <w:vAlign w:val="bottom"/>
            <w:tcBorders>
              <w:bottom w:val="single" w:sz="8" w:color="CCCCCC"/>
            </w:tcBorders>
          </w:tcPr>
          <w:p>
            <w:pPr>
              <w:spacing w:after="0" w:line="196" w:lineRule="exact"/>
              <w:rPr>
                <w:sz w:val="20"/>
                <w:szCs w:val="20"/>
                <w:color w:val="auto"/>
              </w:rPr>
            </w:pPr>
            <w:r>
              <w:rPr>
                <w:rFonts w:ascii="Arial" w:cs="Arial" w:eastAsia="Arial" w:hAnsi="Arial"/>
                <w:sz w:val="18"/>
                <w:szCs w:val="18"/>
                <w:color w:val="auto"/>
              </w:rPr>
              <w:t>Chairman</w:t>
            </w:r>
          </w:p>
        </w:tc>
        <w:tc>
          <w:tcPr>
            <w:tcW w:w="3460" w:type="dxa"/>
            <w:vAlign w:val="bottom"/>
            <w:tcBorders>
              <w:bottom w:val="single" w:sz="8" w:color="CCCCCC"/>
            </w:tcBorders>
          </w:tcPr>
          <w:p>
            <w:pPr>
              <w:jc w:val="center"/>
              <w:ind w:left="1874"/>
              <w:spacing w:after="0" w:line="196" w:lineRule="exact"/>
              <w:rPr>
                <w:sz w:val="20"/>
                <w:szCs w:val="20"/>
                <w:color w:val="auto"/>
              </w:rPr>
            </w:pPr>
            <w:r>
              <w:rPr>
                <w:rFonts w:ascii="Arial" w:cs="Arial" w:eastAsia="Arial" w:hAnsi="Arial"/>
                <w:sz w:val="18"/>
                <w:szCs w:val="18"/>
                <w:color w:val="auto"/>
                <w:w w:val="99"/>
              </w:rPr>
              <w:t>0%</w:t>
            </w:r>
          </w:p>
        </w:tc>
        <w:tc>
          <w:tcPr>
            <w:tcW w:w="960" w:type="dxa"/>
            <w:vAlign w:val="bottom"/>
            <w:tcBorders>
              <w:bottom w:val="single" w:sz="8" w:color="CCCCCC"/>
            </w:tcBorders>
            <w:gridSpan w:val="2"/>
          </w:tcPr>
          <w:p>
            <w:pPr>
              <w:jc w:val="center"/>
              <w:spacing w:after="0" w:line="196" w:lineRule="exact"/>
              <w:rPr>
                <w:sz w:val="20"/>
                <w:szCs w:val="20"/>
                <w:color w:val="auto"/>
              </w:rPr>
            </w:pPr>
            <w:r>
              <w:rPr>
                <w:rFonts w:ascii="Arial" w:cs="Arial" w:eastAsia="Arial" w:hAnsi="Arial"/>
                <w:sz w:val="18"/>
                <w:szCs w:val="18"/>
                <w:color w:val="auto"/>
                <w:w w:val="99"/>
              </w:rPr>
              <w:t>100%</w:t>
            </w:r>
          </w:p>
        </w:tc>
        <w:tc>
          <w:tcPr>
            <w:tcW w:w="1620" w:type="dxa"/>
            <w:vAlign w:val="bottom"/>
            <w:tcBorders>
              <w:bottom w:val="single" w:sz="8" w:color="CCCCCC"/>
            </w:tcBorders>
          </w:tcPr>
          <w:p>
            <w:pPr>
              <w:jc w:val="center"/>
              <w:ind w:right="314"/>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CCCC"/>
            </w:tcBorders>
          </w:tcPr>
          <w:p>
            <w:pPr>
              <w:jc w:val="center"/>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20" w:type="dxa"/>
            <w:vAlign w:val="bottom"/>
          </w:tcPr>
          <w:p>
            <w:pPr>
              <w:spacing w:after="0"/>
              <w:rPr>
                <w:sz w:val="17"/>
                <w:szCs w:val="17"/>
                <w:color w:val="auto"/>
              </w:rPr>
            </w:pPr>
          </w:p>
        </w:tc>
        <w:tc>
          <w:tcPr>
            <w:tcW w:w="4060" w:type="dxa"/>
            <w:vAlign w:val="bottom"/>
            <w:tcBorders>
              <w:bottom w:val="single" w:sz="8" w:color="CCCCCC"/>
            </w:tcBorders>
            <w:shd w:val="clear" w:color="auto" w:fill="F2F2F2"/>
          </w:tcPr>
          <w:p>
            <w:pPr>
              <w:spacing w:after="0" w:line="196" w:lineRule="exact"/>
              <w:rPr>
                <w:sz w:val="20"/>
                <w:szCs w:val="20"/>
                <w:color w:val="auto"/>
              </w:rPr>
            </w:pPr>
            <w:r>
              <w:rPr>
                <w:rFonts w:ascii="Arial" w:cs="Arial" w:eastAsia="Arial" w:hAnsi="Arial"/>
                <w:sz w:val="18"/>
                <w:szCs w:val="18"/>
                <w:color w:val="auto"/>
              </w:rPr>
              <w:t>Former CFO</w:t>
            </w:r>
          </w:p>
        </w:tc>
        <w:tc>
          <w:tcPr>
            <w:tcW w:w="3460" w:type="dxa"/>
            <w:vAlign w:val="bottom"/>
            <w:tcBorders>
              <w:bottom w:val="single" w:sz="8" w:color="CCCCCC"/>
            </w:tcBorders>
            <w:shd w:val="clear" w:color="auto" w:fill="F2F2F2"/>
          </w:tcPr>
          <w:p>
            <w:pPr>
              <w:jc w:val="center"/>
              <w:ind w:left="1874"/>
              <w:spacing w:after="0" w:line="196" w:lineRule="exact"/>
              <w:rPr>
                <w:sz w:val="20"/>
                <w:szCs w:val="20"/>
                <w:color w:val="auto"/>
              </w:rPr>
            </w:pPr>
            <w:r>
              <w:rPr>
                <w:rFonts w:ascii="Arial" w:cs="Arial" w:eastAsia="Arial" w:hAnsi="Arial"/>
                <w:sz w:val="18"/>
                <w:szCs w:val="18"/>
                <w:color w:val="auto"/>
                <w:w w:val="99"/>
              </w:rPr>
              <w:t>0%</w:t>
            </w:r>
          </w:p>
        </w:tc>
        <w:tc>
          <w:tcPr>
            <w:tcW w:w="960" w:type="dxa"/>
            <w:vAlign w:val="bottom"/>
            <w:tcBorders>
              <w:bottom w:val="single" w:sz="8" w:color="CCCCCC"/>
            </w:tcBorders>
            <w:gridSpan w:val="2"/>
            <w:shd w:val="clear" w:color="auto" w:fill="F2F2F2"/>
          </w:tcPr>
          <w:p>
            <w:pPr>
              <w:jc w:val="center"/>
              <w:spacing w:after="0" w:line="196" w:lineRule="exact"/>
              <w:rPr>
                <w:sz w:val="20"/>
                <w:szCs w:val="20"/>
                <w:color w:val="auto"/>
              </w:rPr>
            </w:pPr>
            <w:r>
              <w:rPr>
                <w:rFonts w:ascii="Arial" w:cs="Arial" w:eastAsia="Arial" w:hAnsi="Arial"/>
                <w:sz w:val="18"/>
                <w:szCs w:val="18"/>
                <w:color w:val="auto"/>
                <w:w w:val="99"/>
              </w:rPr>
              <w:t>100%</w:t>
            </w:r>
          </w:p>
        </w:tc>
        <w:tc>
          <w:tcPr>
            <w:tcW w:w="1620" w:type="dxa"/>
            <w:vAlign w:val="bottom"/>
            <w:tcBorders>
              <w:bottom w:val="single" w:sz="8" w:color="CCCCCC"/>
            </w:tcBorders>
            <w:shd w:val="clear" w:color="auto" w:fill="F2F2F2"/>
          </w:tcPr>
          <w:p>
            <w:pPr>
              <w:jc w:val="center"/>
              <w:ind w:right="314"/>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CCCC"/>
            </w:tcBorders>
            <w:shd w:val="clear" w:color="auto" w:fill="F2F2F2"/>
          </w:tcPr>
          <w:p>
            <w:pPr>
              <w:jc w:val="center"/>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20" w:type="dxa"/>
            <w:vAlign w:val="bottom"/>
          </w:tcPr>
          <w:p>
            <w:pPr>
              <w:spacing w:after="0"/>
              <w:rPr>
                <w:sz w:val="17"/>
                <w:szCs w:val="17"/>
                <w:color w:val="auto"/>
              </w:rPr>
            </w:pPr>
          </w:p>
        </w:tc>
        <w:tc>
          <w:tcPr>
            <w:tcW w:w="4060" w:type="dxa"/>
            <w:vAlign w:val="bottom"/>
            <w:tcBorders>
              <w:bottom w:val="single" w:sz="8" w:color="CCCCCC"/>
            </w:tcBorders>
          </w:tcPr>
          <w:p>
            <w:pPr>
              <w:spacing w:after="0" w:line="196" w:lineRule="exact"/>
              <w:rPr>
                <w:sz w:val="20"/>
                <w:szCs w:val="20"/>
                <w:color w:val="auto"/>
              </w:rPr>
            </w:pPr>
            <w:r>
              <w:rPr>
                <w:rFonts w:ascii="Arial" w:cs="Arial" w:eastAsia="Arial" w:hAnsi="Arial"/>
                <w:sz w:val="18"/>
                <w:szCs w:val="18"/>
                <w:color w:val="auto"/>
              </w:rPr>
              <w:t>Interim CFO</w:t>
            </w:r>
          </w:p>
        </w:tc>
        <w:tc>
          <w:tcPr>
            <w:tcW w:w="3460" w:type="dxa"/>
            <w:vAlign w:val="bottom"/>
            <w:tcBorders>
              <w:bottom w:val="single" w:sz="8" w:color="CCCCCC"/>
            </w:tcBorders>
          </w:tcPr>
          <w:p>
            <w:pPr>
              <w:jc w:val="center"/>
              <w:ind w:left="1874"/>
              <w:spacing w:after="0" w:line="196" w:lineRule="exact"/>
              <w:rPr>
                <w:sz w:val="20"/>
                <w:szCs w:val="20"/>
                <w:color w:val="auto"/>
              </w:rPr>
            </w:pPr>
            <w:r>
              <w:rPr>
                <w:rFonts w:ascii="Arial" w:cs="Arial" w:eastAsia="Arial" w:hAnsi="Arial"/>
                <w:sz w:val="18"/>
                <w:szCs w:val="18"/>
                <w:color w:val="auto"/>
                <w:w w:val="99"/>
              </w:rPr>
              <w:t>0%</w:t>
            </w:r>
          </w:p>
        </w:tc>
        <w:tc>
          <w:tcPr>
            <w:tcW w:w="960" w:type="dxa"/>
            <w:vAlign w:val="bottom"/>
            <w:tcBorders>
              <w:bottom w:val="single" w:sz="8" w:color="CCCCCC"/>
            </w:tcBorders>
            <w:gridSpan w:val="2"/>
          </w:tcPr>
          <w:p>
            <w:pPr>
              <w:jc w:val="center"/>
              <w:spacing w:after="0" w:line="196" w:lineRule="exact"/>
              <w:rPr>
                <w:sz w:val="20"/>
                <w:szCs w:val="20"/>
                <w:color w:val="auto"/>
              </w:rPr>
            </w:pPr>
            <w:r>
              <w:rPr>
                <w:rFonts w:ascii="Arial" w:cs="Arial" w:eastAsia="Arial" w:hAnsi="Arial"/>
                <w:sz w:val="18"/>
                <w:szCs w:val="18"/>
                <w:color w:val="auto"/>
                <w:w w:val="99"/>
              </w:rPr>
              <w:t>100%</w:t>
            </w:r>
          </w:p>
        </w:tc>
        <w:tc>
          <w:tcPr>
            <w:tcW w:w="1620" w:type="dxa"/>
            <w:vAlign w:val="bottom"/>
            <w:tcBorders>
              <w:bottom w:val="single" w:sz="8" w:color="CCCCCC"/>
            </w:tcBorders>
          </w:tcPr>
          <w:p>
            <w:pPr>
              <w:jc w:val="center"/>
              <w:ind w:right="314"/>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CCCC"/>
            </w:tcBorders>
          </w:tcPr>
          <w:p>
            <w:pPr>
              <w:jc w:val="center"/>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20" w:type="dxa"/>
            <w:vAlign w:val="bottom"/>
          </w:tcPr>
          <w:p>
            <w:pPr>
              <w:spacing w:after="0"/>
              <w:rPr>
                <w:sz w:val="17"/>
                <w:szCs w:val="17"/>
                <w:color w:val="auto"/>
              </w:rPr>
            </w:pPr>
          </w:p>
        </w:tc>
        <w:tc>
          <w:tcPr>
            <w:tcW w:w="4060" w:type="dxa"/>
            <w:vAlign w:val="bottom"/>
            <w:tcBorders>
              <w:bottom w:val="single" w:sz="8" w:color="CCCCCC"/>
            </w:tcBorders>
            <w:shd w:val="clear" w:color="auto" w:fill="F2F2F2"/>
          </w:tcPr>
          <w:p>
            <w:pPr>
              <w:spacing w:after="0" w:line="196" w:lineRule="exact"/>
              <w:rPr>
                <w:sz w:val="20"/>
                <w:szCs w:val="20"/>
                <w:color w:val="auto"/>
              </w:rPr>
            </w:pPr>
            <w:r>
              <w:rPr>
                <w:rFonts w:ascii="Arial" w:cs="Arial" w:eastAsia="Arial" w:hAnsi="Arial"/>
                <w:sz w:val="18"/>
                <w:szCs w:val="18"/>
                <w:color w:val="auto"/>
              </w:rPr>
              <w:t>President, Americas</w:t>
            </w:r>
          </w:p>
        </w:tc>
        <w:tc>
          <w:tcPr>
            <w:tcW w:w="3460" w:type="dxa"/>
            <w:vAlign w:val="bottom"/>
            <w:tcBorders>
              <w:bottom w:val="single" w:sz="8" w:color="CCCCCC"/>
            </w:tcBorders>
            <w:shd w:val="clear" w:color="auto" w:fill="F2F2F2"/>
          </w:tcPr>
          <w:p>
            <w:pPr>
              <w:jc w:val="center"/>
              <w:ind w:left="1874"/>
              <w:spacing w:after="0" w:line="196" w:lineRule="exact"/>
              <w:rPr>
                <w:sz w:val="20"/>
                <w:szCs w:val="20"/>
                <w:color w:val="auto"/>
              </w:rPr>
            </w:pPr>
            <w:r>
              <w:rPr>
                <w:rFonts w:ascii="Arial" w:cs="Arial" w:eastAsia="Arial" w:hAnsi="Arial"/>
                <w:sz w:val="18"/>
                <w:szCs w:val="18"/>
                <w:color w:val="auto"/>
                <w:w w:val="99"/>
              </w:rPr>
              <w:t>0%</w:t>
            </w:r>
          </w:p>
        </w:tc>
        <w:tc>
          <w:tcPr>
            <w:tcW w:w="960" w:type="dxa"/>
            <w:vAlign w:val="bottom"/>
            <w:tcBorders>
              <w:bottom w:val="single" w:sz="8" w:color="CCCCCC"/>
            </w:tcBorders>
            <w:gridSpan w:val="2"/>
            <w:shd w:val="clear" w:color="auto" w:fill="F2F2F2"/>
          </w:tcPr>
          <w:p>
            <w:pPr>
              <w:jc w:val="center"/>
              <w:spacing w:after="0" w:line="196" w:lineRule="exact"/>
              <w:rPr>
                <w:sz w:val="20"/>
                <w:szCs w:val="20"/>
                <w:color w:val="auto"/>
              </w:rPr>
            </w:pPr>
            <w:r>
              <w:rPr>
                <w:rFonts w:ascii="Arial" w:cs="Arial" w:eastAsia="Arial" w:hAnsi="Arial"/>
                <w:sz w:val="18"/>
                <w:szCs w:val="18"/>
                <w:color w:val="auto"/>
                <w:w w:val="99"/>
              </w:rPr>
              <w:t>25%</w:t>
            </w:r>
          </w:p>
        </w:tc>
        <w:tc>
          <w:tcPr>
            <w:tcW w:w="1620" w:type="dxa"/>
            <w:vAlign w:val="bottom"/>
            <w:tcBorders>
              <w:bottom w:val="single" w:sz="8" w:color="CCCCCC"/>
            </w:tcBorders>
            <w:shd w:val="clear" w:color="auto" w:fill="F2F2F2"/>
          </w:tcPr>
          <w:p>
            <w:pPr>
              <w:jc w:val="center"/>
              <w:ind w:right="334"/>
              <w:spacing w:after="0" w:line="196" w:lineRule="exact"/>
              <w:rPr>
                <w:sz w:val="20"/>
                <w:szCs w:val="20"/>
                <w:color w:val="auto"/>
              </w:rPr>
            </w:pPr>
            <w:r>
              <w:rPr>
                <w:rFonts w:ascii="Arial" w:cs="Arial" w:eastAsia="Arial" w:hAnsi="Arial"/>
                <w:sz w:val="18"/>
                <w:szCs w:val="18"/>
                <w:color w:val="auto"/>
                <w:w w:val="99"/>
              </w:rPr>
              <w:t>75%</w:t>
            </w:r>
          </w:p>
        </w:tc>
        <w:tc>
          <w:tcPr>
            <w:tcW w:w="920" w:type="dxa"/>
            <w:vAlign w:val="bottom"/>
            <w:tcBorders>
              <w:bottom w:val="single" w:sz="8" w:color="CCCCCC"/>
            </w:tcBorders>
            <w:shd w:val="clear" w:color="auto" w:fill="F2F2F2"/>
          </w:tcPr>
          <w:p>
            <w:pPr>
              <w:jc w:val="center"/>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2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President, International</w:t>
            </w:r>
          </w:p>
        </w:tc>
        <w:tc>
          <w:tcPr>
            <w:tcW w:w="3460" w:type="dxa"/>
            <w:vAlign w:val="bottom"/>
            <w:tcBorders>
              <w:bottom w:val="single" w:sz="8" w:color="auto"/>
            </w:tcBorders>
          </w:tcPr>
          <w:p>
            <w:pPr>
              <w:jc w:val="center"/>
              <w:ind w:left="1894"/>
              <w:spacing w:after="0" w:line="196" w:lineRule="exact"/>
              <w:rPr>
                <w:sz w:val="20"/>
                <w:szCs w:val="20"/>
                <w:color w:val="auto"/>
              </w:rPr>
            </w:pPr>
            <w:r>
              <w:rPr>
                <w:rFonts w:ascii="Arial" w:cs="Arial" w:eastAsia="Arial" w:hAnsi="Arial"/>
                <w:sz w:val="18"/>
                <w:szCs w:val="18"/>
                <w:color w:val="auto"/>
              </w:rPr>
              <w:t>49.5%</w:t>
            </w:r>
          </w:p>
        </w:tc>
        <w:tc>
          <w:tcPr>
            <w:tcW w:w="96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w w:val="99"/>
              </w:rPr>
              <w:t>25%</w:t>
            </w:r>
          </w:p>
        </w:tc>
        <w:tc>
          <w:tcPr>
            <w:tcW w:w="1620" w:type="dxa"/>
            <w:vAlign w:val="bottom"/>
            <w:tcBorders>
              <w:bottom w:val="single" w:sz="8" w:color="auto"/>
            </w:tcBorders>
          </w:tcPr>
          <w:p>
            <w:pPr>
              <w:jc w:val="center"/>
              <w:ind w:right="314"/>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75%</w:t>
            </w: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reconciliation of our reported global net income to our reported global Adjusted EBITDA is set forth below (dollars are in millions):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80" w:type="dxa"/>
            <w:vAlign w:val="bottom"/>
            <w:tcBorders>
              <w:bottom w:val="single" w:sz="8" w:color="F2F2F2"/>
            </w:tcBorders>
          </w:tcPr>
          <w:p>
            <w:pPr>
              <w:spacing w:after="0"/>
              <w:rPr>
                <w:sz w:val="15"/>
                <w:szCs w:val="15"/>
                <w:color w:val="auto"/>
              </w:rPr>
            </w:pPr>
          </w:p>
        </w:tc>
        <w:tc>
          <w:tcPr>
            <w:tcW w:w="1300" w:type="dxa"/>
            <w:vAlign w:val="bottom"/>
            <w:tcBorders>
              <w:bottom w:val="single" w:sz="8" w:color="F2F2F2"/>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F2F2F2"/>
            </w:tcBorders>
          </w:tcPr>
          <w:p>
            <w:pPr>
              <w:spacing w:after="0"/>
              <w:rPr>
                <w:sz w:val="15"/>
                <w:szCs w:val="15"/>
                <w:color w:val="auto"/>
              </w:rPr>
            </w:pPr>
          </w:p>
        </w:tc>
        <w:tc>
          <w:tcPr>
            <w:tcW w:w="80" w:type="dxa"/>
            <w:vAlign w:val="bottom"/>
            <w:tcBorders>
              <w:bottom w:val="single" w:sz="8" w:color="F2F2F2"/>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F2F2F2"/>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F2F2F2"/>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F2F2F2"/>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F2F2F2"/>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F2F2F2"/>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F2F2F2"/>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780" w:type="dxa"/>
            <w:vAlign w:val="bottom"/>
            <w:shd w:val="clear" w:color="auto" w:fill="F2F2F2"/>
          </w:tcPr>
          <w:p>
            <w:pPr>
              <w:spacing w:after="0" w:line="155" w:lineRule="exact"/>
              <w:rPr>
                <w:sz w:val="20"/>
                <w:szCs w:val="20"/>
                <w:color w:val="auto"/>
              </w:rPr>
            </w:pPr>
            <w:r>
              <w:rPr>
                <w:rFonts w:ascii="Arial" w:cs="Arial" w:eastAsia="Arial" w:hAnsi="Arial"/>
                <w:sz w:val="14"/>
                <w:szCs w:val="14"/>
                <w:color w:val="auto"/>
              </w:rPr>
              <w:t>Net income (loss)</w:t>
            </w:r>
          </w:p>
        </w:tc>
        <w:tc>
          <w:tcPr>
            <w:tcW w:w="1460" w:type="dxa"/>
            <w:vAlign w:val="bottom"/>
            <w:gridSpan w:val="2"/>
            <w:shd w:val="clear" w:color="auto" w:fill="F2F2F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F2F2F2"/>
          </w:tcPr>
          <w:p>
            <w:pPr>
              <w:jc w:val="right"/>
              <w:spacing w:after="0" w:line="155" w:lineRule="exact"/>
              <w:rPr>
                <w:sz w:val="20"/>
                <w:szCs w:val="20"/>
                <w:color w:val="auto"/>
              </w:rPr>
            </w:pPr>
            <w:r>
              <w:rPr>
                <w:rFonts w:ascii="Arial" w:cs="Arial" w:eastAsia="Arial" w:hAnsi="Arial"/>
                <w:sz w:val="14"/>
                <w:szCs w:val="14"/>
                <w:color w:val="auto"/>
              </w:rPr>
              <w:t>361</w:t>
            </w:r>
          </w:p>
        </w:tc>
        <w:tc>
          <w:tcPr>
            <w:tcW w:w="100" w:type="dxa"/>
            <w:vAlign w:val="bottom"/>
            <w:shd w:val="clear" w:color="auto" w:fill="F2F2F2"/>
          </w:tcPr>
          <w:p>
            <w:pPr>
              <w:spacing w:after="0"/>
              <w:rPr>
                <w:sz w:val="13"/>
                <w:szCs w:val="13"/>
                <w:color w:val="auto"/>
              </w:rPr>
            </w:pPr>
          </w:p>
        </w:tc>
        <w:tc>
          <w:tcPr>
            <w:tcW w:w="220" w:type="dxa"/>
            <w:vAlign w:val="bottom"/>
            <w:gridSpan w:val="2"/>
            <w:shd w:val="clear" w:color="auto" w:fill="F2F2F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420" w:type="dxa"/>
            <w:vAlign w:val="bottom"/>
            <w:shd w:val="clear" w:color="auto" w:fill="F2F2F2"/>
          </w:tcPr>
          <w:p>
            <w:pPr>
              <w:jc w:val="right"/>
              <w:spacing w:after="0" w:line="155" w:lineRule="exact"/>
              <w:rPr>
                <w:sz w:val="20"/>
                <w:szCs w:val="20"/>
                <w:color w:val="auto"/>
              </w:rPr>
            </w:pPr>
            <w:r>
              <w:rPr>
                <w:rFonts w:ascii="Arial" w:cs="Arial" w:eastAsia="Arial" w:hAnsi="Arial"/>
                <w:sz w:val="14"/>
                <w:szCs w:val="14"/>
                <w:color w:val="auto"/>
              </w:rPr>
              <w:t>163</w:t>
            </w:r>
          </w:p>
        </w:tc>
        <w:tc>
          <w:tcPr>
            <w:tcW w:w="300" w:type="dxa"/>
            <w:vAlign w:val="bottom"/>
            <w:gridSpan w:val="2"/>
            <w:shd w:val="clear" w:color="auto" w:fill="F2F2F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420" w:type="dxa"/>
            <w:vAlign w:val="bottom"/>
            <w:shd w:val="clear" w:color="auto" w:fill="F2F2F2"/>
          </w:tcPr>
          <w:p>
            <w:pPr>
              <w:jc w:val="right"/>
              <w:spacing w:after="0" w:line="155" w:lineRule="exact"/>
              <w:rPr>
                <w:sz w:val="20"/>
                <w:szCs w:val="20"/>
                <w:color w:val="auto"/>
              </w:rPr>
            </w:pPr>
            <w:r>
              <w:rPr>
                <w:rFonts w:ascii="Arial" w:cs="Arial" w:eastAsia="Arial" w:hAnsi="Arial"/>
                <w:sz w:val="14"/>
                <w:szCs w:val="14"/>
                <w:color w:val="auto"/>
              </w:rPr>
              <w:t>313</w:t>
            </w:r>
          </w:p>
        </w:tc>
        <w:tc>
          <w:tcPr>
            <w:tcW w:w="300" w:type="dxa"/>
            <w:vAlign w:val="bottom"/>
            <w:gridSpan w:val="2"/>
            <w:shd w:val="clear" w:color="auto" w:fill="F2F2F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F2F2F2"/>
          </w:tcPr>
          <w:p>
            <w:pPr>
              <w:jc w:val="right"/>
              <w:spacing w:after="0" w:line="155" w:lineRule="exact"/>
              <w:rPr>
                <w:sz w:val="20"/>
                <w:szCs w:val="20"/>
                <w:color w:val="auto"/>
              </w:rPr>
            </w:pPr>
            <w:r>
              <w:rPr>
                <w:rFonts w:ascii="Arial" w:cs="Arial" w:eastAsia="Arial" w:hAnsi="Arial"/>
                <w:sz w:val="14"/>
                <w:szCs w:val="14"/>
                <w:color w:val="auto"/>
              </w:rPr>
              <w:t>245</w:t>
            </w:r>
          </w:p>
        </w:tc>
        <w:tc>
          <w:tcPr>
            <w:tcW w:w="320" w:type="dxa"/>
            <w:vAlign w:val="bottom"/>
            <w:gridSpan w:val="2"/>
            <w:shd w:val="clear" w:color="auto" w:fill="F2F2F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F2F2F2"/>
          </w:tcPr>
          <w:p>
            <w:pPr>
              <w:jc w:val="right"/>
              <w:spacing w:after="0" w:line="155" w:lineRule="exact"/>
              <w:rPr>
                <w:sz w:val="20"/>
                <w:szCs w:val="20"/>
                <w:color w:val="auto"/>
              </w:rPr>
            </w:pPr>
            <w:r>
              <w:rPr>
                <w:rFonts w:ascii="Arial" w:cs="Arial" w:eastAsia="Arial" w:hAnsi="Arial"/>
                <w:sz w:val="14"/>
                <w:szCs w:val="14"/>
                <w:color w:val="auto"/>
              </w:rPr>
              <w:t>16</w:t>
            </w:r>
          </w:p>
        </w:tc>
        <w:tc>
          <w:tcPr>
            <w:tcW w:w="320" w:type="dxa"/>
            <w:vAlign w:val="bottom"/>
            <w:gridSpan w:val="2"/>
            <w:shd w:val="clear" w:color="auto" w:fill="F2F2F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F2F2F2"/>
          </w:tcPr>
          <w:p>
            <w:pPr>
              <w:jc w:val="right"/>
              <w:spacing w:after="0" w:line="155" w:lineRule="exact"/>
              <w:rPr>
                <w:sz w:val="20"/>
                <w:szCs w:val="20"/>
                <w:color w:val="auto"/>
              </w:rPr>
            </w:pPr>
            <w:r>
              <w:rPr>
                <w:rFonts w:ascii="Arial" w:cs="Arial" w:eastAsia="Arial" w:hAnsi="Arial"/>
                <w:sz w:val="14"/>
                <w:szCs w:val="14"/>
                <w:color w:val="auto"/>
              </w:rPr>
              <w:t>290</w:t>
            </w:r>
          </w:p>
        </w:tc>
        <w:tc>
          <w:tcPr>
            <w:tcW w:w="300" w:type="dxa"/>
            <w:vAlign w:val="bottom"/>
            <w:gridSpan w:val="2"/>
            <w:shd w:val="clear" w:color="auto" w:fill="F2F2F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F2F2F2"/>
          </w:tcPr>
          <w:p>
            <w:pPr>
              <w:jc w:val="right"/>
              <w:ind w:right="20"/>
              <w:spacing w:after="0" w:line="155" w:lineRule="exact"/>
              <w:rPr>
                <w:sz w:val="20"/>
                <w:szCs w:val="20"/>
                <w:color w:val="auto"/>
              </w:rPr>
            </w:pPr>
            <w:r>
              <w:rPr>
                <w:rFonts w:ascii="Arial" w:cs="Arial" w:eastAsia="Arial" w:hAnsi="Arial"/>
                <w:sz w:val="14"/>
                <w:szCs w:val="14"/>
                <w:color w:val="auto"/>
              </w:rPr>
              <w:t>(29)</w:t>
            </w:r>
          </w:p>
        </w:tc>
      </w:tr>
      <w:tr>
        <w:trPr>
          <w:trHeight w:val="169"/>
        </w:trPr>
        <w:tc>
          <w:tcPr>
            <w:tcW w:w="4800" w:type="dxa"/>
            <w:vAlign w:val="bottom"/>
            <w:gridSpan w:val="2"/>
          </w:tcPr>
          <w:p>
            <w:pPr>
              <w:spacing w:after="0"/>
              <w:rPr>
                <w:sz w:val="20"/>
                <w:szCs w:val="20"/>
                <w:color w:val="auto"/>
              </w:rPr>
            </w:pPr>
            <w:r>
              <w:rPr>
                <w:rFonts w:ascii="Arial" w:cs="Arial" w:eastAsia="Arial" w:hAnsi="Arial"/>
                <w:sz w:val="14"/>
                <w:szCs w:val="14"/>
                <w:color w:val="auto"/>
              </w:rPr>
              <w:t>Provision for (benefit from) income taxes</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65</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F2F2F2"/>
          </w:tcPr>
          <w:p>
            <w:pPr>
              <w:spacing w:after="0"/>
              <w:rPr>
                <w:sz w:val="20"/>
                <w:szCs w:val="20"/>
                <w:color w:val="auto"/>
              </w:rPr>
            </w:pPr>
            <w:r>
              <w:rPr>
                <w:rFonts w:ascii="Arial" w:cs="Arial" w:eastAsia="Arial" w:hAnsi="Arial"/>
                <w:sz w:val="14"/>
                <w:szCs w:val="14"/>
                <w:color w:val="auto"/>
              </w:rPr>
              <w:t>Income before income taxes</w:t>
            </w:r>
          </w:p>
        </w:tc>
        <w:tc>
          <w:tcPr>
            <w:tcW w:w="1300" w:type="dxa"/>
            <w:vAlign w:val="bottom"/>
            <w:shd w:val="clear" w:color="auto" w:fill="F2F2F2"/>
          </w:tcPr>
          <w:p>
            <w:pPr>
              <w:spacing w:after="0"/>
              <w:rPr>
                <w:sz w:val="14"/>
                <w:szCs w:val="14"/>
                <w:color w:val="auto"/>
              </w:rPr>
            </w:pPr>
          </w:p>
        </w:tc>
        <w:tc>
          <w:tcPr>
            <w:tcW w:w="160" w:type="dxa"/>
            <w:vAlign w:val="bottom"/>
            <w:tcBorders>
              <w:top w:val="single" w:sz="8" w:color="auto"/>
            </w:tcBorders>
            <w:shd w:val="clear" w:color="auto" w:fill="F2F2F2"/>
          </w:tcPr>
          <w:p>
            <w:pPr>
              <w:spacing w:after="0"/>
              <w:rPr>
                <w:sz w:val="14"/>
                <w:szCs w:val="14"/>
                <w:color w:val="auto"/>
              </w:rPr>
            </w:pPr>
          </w:p>
        </w:tc>
        <w:tc>
          <w:tcPr>
            <w:tcW w:w="400" w:type="dxa"/>
            <w:vAlign w:val="bottom"/>
            <w:tcBorders>
              <w:top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140" w:type="dxa"/>
            <w:vAlign w:val="bottom"/>
            <w:tcBorders>
              <w:top w:val="single" w:sz="8" w:color="auto"/>
            </w:tcBorders>
            <w:shd w:val="clear" w:color="auto" w:fill="F2F2F2"/>
          </w:tcPr>
          <w:p>
            <w:pPr>
              <w:spacing w:after="0"/>
              <w:rPr>
                <w:sz w:val="14"/>
                <w:szCs w:val="14"/>
                <w:color w:val="auto"/>
              </w:rPr>
            </w:pPr>
          </w:p>
        </w:tc>
        <w:tc>
          <w:tcPr>
            <w:tcW w:w="420" w:type="dxa"/>
            <w:vAlign w:val="bottom"/>
            <w:tcBorders>
              <w:top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279</w:t>
            </w:r>
          </w:p>
        </w:tc>
        <w:tc>
          <w:tcPr>
            <w:tcW w:w="140" w:type="dxa"/>
            <w:vAlign w:val="bottom"/>
            <w:shd w:val="clear" w:color="auto" w:fill="F2F2F2"/>
          </w:tcPr>
          <w:p>
            <w:pPr>
              <w:spacing w:after="0"/>
              <w:rPr>
                <w:sz w:val="14"/>
                <w:szCs w:val="14"/>
                <w:color w:val="auto"/>
              </w:rPr>
            </w:pPr>
          </w:p>
        </w:tc>
        <w:tc>
          <w:tcPr>
            <w:tcW w:w="160" w:type="dxa"/>
            <w:vAlign w:val="bottom"/>
            <w:tcBorders>
              <w:top w:val="single" w:sz="8" w:color="auto"/>
            </w:tcBorders>
            <w:shd w:val="clear" w:color="auto" w:fill="F2F2F2"/>
          </w:tcPr>
          <w:p>
            <w:pPr>
              <w:spacing w:after="0"/>
              <w:rPr>
                <w:sz w:val="14"/>
                <w:szCs w:val="14"/>
                <w:color w:val="auto"/>
              </w:rPr>
            </w:pPr>
          </w:p>
        </w:tc>
        <w:tc>
          <w:tcPr>
            <w:tcW w:w="420" w:type="dxa"/>
            <w:vAlign w:val="bottom"/>
            <w:tcBorders>
              <w:top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382</w:t>
            </w:r>
          </w:p>
        </w:tc>
        <w:tc>
          <w:tcPr>
            <w:tcW w:w="140" w:type="dxa"/>
            <w:vAlign w:val="bottom"/>
            <w:shd w:val="clear" w:color="auto" w:fill="F2F2F2"/>
          </w:tcPr>
          <w:p>
            <w:pPr>
              <w:spacing w:after="0"/>
              <w:rPr>
                <w:sz w:val="14"/>
                <w:szCs w:val="14"/>
                <w:color w:val="auto"/>
              </w:rPr>
            </w:pPr>
          </w:p>
        </w:tc>
        <w:tc>
          <w:tcPr>
            <w:tcW w:w="160" w:type="dxa"/>
            <w:vAlign w:val="bottom"/>
            <w:tcBorders>
              <w:top w:val="single" w:sz="8" w:color="auto"/>
            </w:tcBorders>
            <w:shd w:val="clear" w:color="auto" w:fill="F2F2F2"/>
          </w:tcPr>
          <w:p>
            <w:pPr>
              <w:spacing w:after="0"/>
              <w:rPr>
                <w:sz w:val="14"/>
                <w:szCs w:val="14"/>
                <w:color w:val="auto"/>
              </w:rPr>
            </w:pPr>
          </w:p>
        </w:tc>
        <w:tc>
          <w:tcPr>
            <w:tcW w:w="400" w:type="dxa"/>
            <w:vAlign w:val="bottom"/>
            <w:tcBorders>
              <w:top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392</w:t>
            </w:r>
          </w:p>
        </w:tc>
        <w:tc>
          <w:tcPr>
            <w:tcW w:w="160" w:type="dxa"/>
            <w:vAlign w:val="bottom"/>
            <w:shd w:val="clear" w:color="auto" w:fill="F2F2F2"/>
          </w:tcPr>
          <w:p>
            <w:pPr>
              <w:spacing w:after="0"/>
              <w:rPr>
                <w:sz w:val="14"/>
                <w:szCs w:val="14"/>
                <w:color w:val="auto"/>
              </w:rPr>
            </w:pPr>
          </w:p>
        </w:tc>
        <w:tc>
          <w:tcPr>
            <w:tcW w:w="160" w:type="dxa"/>
            <w:vAlign w:val="bottom"/>
            <w:tcBorders>
              <w:top w:val="single" w:sz="8" w:color="auto"/>
            </w:tcBorders>
            <w:shd w:val="clear" w:color="auto" w:fill="F2F2F2"/>
          </w:tcPr>
          <w:p>
            <w:pPr>
              <w:spacing w:after="0"/>
              <w:rPr>
                <w:sz w:val="14"/>
                <w:szCs w:val="14"/>
                <w:color w:val="auto"/>
              </w:rPr>
            </w:pPr>
          </w:p>
        </w:tc>
        <w:tc>
          <w:tcPr>
            <w:tcW w:w="400" w:type="dxa"/>
            <w:vAlign w:val="bottom"/>
            <w:tcBorders>
              <w:top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97</w:t>
            </w:r>
          </w:p>
        </w:tc>
        <w:tc>
          <w:tcPr>
            <w:tcW w:w="160" w:type="dxa"/>
            <w:vAlign w:val="bottom"/>
            <w:shd w:val="clear" w:color="auto" w:fill="F2F2F2"/>
          </w:tcPr>
          <w:p>
            <w:pPr>
              <w:spacing w:after="0"/>
              <w:rPr>
                <w:sz w:val="14"/>
                <w:szCs w:val="14"/>
                <w:color w:val="auto"/>
              </w:rPr>
            </w:pPr>
          </w:p>
        </w:tc>
        <w:tc>
          <w:tcPr>
            <w:tcW w:w="160" w:type="dxa"/>
            <w:vAlign w:val="bottom"/>
            <w:tcBorders>
              <w:top w:val="single" w:sz="8" w:color="auto"/>
            </w:tcBorders>
            <w:shd w:val="clear" w:color="auto" w:fill="F2F2F2"/>
          </w:tcPr>
          <w:p>
            <w:pPr>
              <w:spacing w:after="0"/>
              <w:rPr>
                <w:sz w:val="14"/>
                <w:szCs w:val="14"/>
                <w:color w:val="auto"/>
              </w:rPr>
            </w:pPr>
          </w:p>
        </w:tc>
        <w:tc>
          <w:tcPr>
            <w:tcW w:w="400" w:type="dxa"/>
            <w:vAlign w:val="bottom"/>
            <w:tcBorders>
              <w:top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300</w:t>
            </w:r>
          </w:p>
        </w:tc>
        <w:tc>
          <w:tcPr>
            <w:tcW w:w="140" w:type="dxa"/>
            <w:vAlign w:val="bottom"/>
            <w:shd w:val="clear" w:color="auto" w:fill="F2F2F2"/>
          </w:tcPr>
          <w:p>
            <w:pPr>
              <w:spacing w:after="0"/>
              <w:rPr>
                <w:sz w:val="14"/>
                <w:szCs w:val="14"/>
                <w:color w:val="auto"/>
              </w:rPr>
            </w:pPr>
          </w:p>
        </w:tc>
        <w:tc>
          <w:tcPr>
            <w:tcW w:w="160" w:type="dxa"/>
            <w:vAlign w:val="bottom"/>
            <w:tcBorders>
              <w:top w:val="single" w:sz="8" w:color="auto"/>
            </w:tcBorders>
            <w:shd w:val="clear" w:color="auto" w:fill="F2F2F2"/>
          </w:tcPr>
          <w:p>
            <w:pPr>
              <w:spacing w:after="0"/>
              <w:rPr>
                <w:sz w:val="14"/>
                <w:szCs w:val="14"/>
                <w:color w:val="auto"/>
              </w:rPr>
            </w:pPr>
          </w:p>
        </w:tc>
        <w:tc>
          <w:tcPr>
            <w:tcW w:w="420" w:type="dxa"/>
            <w:vAlign w:val="bottom"/>
            <w:tcBorders>
              <w:top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36</w:t>
            </w:r>
          </w:p>
        </w:tc>
        <w:tc>
          <w:tcPr>
            <w:tcW w:w="60" w:type="dxa"/>
            <w:vAlign w:val="bottom"/>
            <w:shd w:val="clear" w:color="auto" w:fill="F2F2F2"/>
          </w:tcPr>
          <w:p>
            <w:pPr>
              <w:spacing w:after="0"/>
              <w:rPr>
                <w:sz w:val="14"/>
                <w:szCs w:val="14"/>
                <w:color w:val="auto"/>
              </w:rPr>
            </w:pPr>
          </w:p>
        </w:tc>
      </w:tr>
      <w:tr>
        <w:trPr>
          <w:trHeight w:val="162"/>
        </w:trPr>
        <w:tc>
          <w:tcPr>
            <w:tcW w:w="4800" w:type="dxa"/>
            <w:vAlign w:val="bottom"/>
            <w:gridSpan w:val="2"/>
          </w:tcPr>
          <w:p>
            <w:pPr>
              <w:spacing w:after="0"/>
              <w:rPr>
                <w:sz w:val="20"/>
                <w:szCs w:val="20"/>
                <w:color w:val="auto"/>
              </w:rPr>
            </w:pPr>
            <w:r>
              <w:rPr>
                <w:rFonts w:ascii="Arial" w:cs="Arial" w:eastAsia="Arial" w:hAnsi="Arial"/>
                <w:sz w:val="14"/>
                <w:szCs w:val="14"/>
                <w:color w:val="auto"/>
              </w:rPr>
              <w:t>Add: Non-vehicle related depreciation and amortization</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253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180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152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95</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F2F2F2"/>
          </w:tcPr>
          <w:p>
            <w:pPr>
              <w:ind w:left="360"/>
              <w:spacing w:after="0"/>
              <w:rPr>
                <w:sz w:val="20"/>
                <w:szCs w:val="20"/>
                <w:color w:val="auto"/>
              </w:rPr>
            </w:pPr>
            <w:r>
              <w:rPr>
                <w:rFonts w:ascii="Arial" w:cs="Arial" w:eastAsia="Arial" w:hAnsi="Arial"/>
                <w:sz w:val="14"/>
                <w:szCs w:val="14"/>
                <w:color w:val="auto"/>
              </w:rPr>
              <w:t>Interest expense related to corporate debt, net</w:t>
            </w:r>
          </w:p>
        </w:tc>
        <w:tc>
          <w:tcPr>
            <w:tcW w:w="130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203</w:t>
            </w:r>
          </w:p>
        </w:tc>
        <w:tc>
          <w:tcPr>
            <w:tcW w:w="14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194</w:t>
            </w:r>
          </w:p>
        </w:tc>
        <w:tc>
          <w:tcPr>
            <w:tcW w:w="14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209</w:t>
            </w:r>
          </w:p>
        </w:tc>
        <w:tc>
          <w:tcPr>
            <w:tcW w:w="16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228</w:t>
            </w:r>
          </w:p>
        </w:tc>
        <w:tc>
          <w:tcPr>
            <w:tcW w:w="16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268</w:t>
            </w:r>
          </w:p>
        </w:tc>
        <w:tc>
          <w:tcPr>
            <w:tcW w:w="14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219</w:t>
            </w:r>
          </w:p>
        </w:tc>
        <w:tc>
          <w:tcPr>
            <w:tcW w:w="60" w:type="dxa"/>
            <w:vAlign w:val="bottom"/>
            <w:shd w:val="clear" w:color="auto" w:fill="F2F2F2"/>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360"/>
              <w:spacing w:after="0"/>
              <w:rPr>
                <w:sz w:val="20"/>
                <w:szCs w:val="20"/>
                <w:color w:val="auto"/>
              </w:rPr>
            </w:pPr>
            <w:r>
              <w:rPr>
                <w:rFonts w:ascii="Arial" w:cs="Arial" w:eastAsia="Arial" w:hAnsi="Arial"/>
                <w:sz w:val="14"/>
                <w:szCs w:val="14"/>
                <w:color w:val="auto"/>
              </w:rPr>
              <w:t>Restructuring and other related charges</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F2F2F2"/>
          </w:tcPr>
          <w:p>
            <w:pPr>
              <w:ind w:left="340"/>
              <w:spacing w:after="0"/>
              <w:rPr>
                <w:sz w:val="20"/>
                <w:szCs w:val="20"/>
                <w:color w:val="auto"/>
              </w:rPr>
            </w:pPr>
            <w:r>
              <w:rPr>
                <w:rFonts w:ascii="Arial" w:cs="Arial" w:eastAsia="Arial" w:hAnsi="Arial"/>
                <w:sz w:val="14"/>
                <w:szCs w:val="14"/>
                <w:color w:val="auto"/>
              </w:rPr>
              <w:t>Transaction-related costs, net</w:t>
            </w:r>
          </w:p>
        </w:tc>
        <w:tc>
          <w:tcPr>
            <w:tcW w:w="130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21</w:t>
            </w:r>
          </w:p>
        </w:tc>
        <w:tc>
          <w:tcPr>
            <w:tcW w:w="14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68</w:t>
            </w:r>
          </w:p>
        </w:tc>
        <w:tc>
          <w:tcPr>
            <w:tcW w:w="14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13</w:t>
            </w:r>
          </w:p>
        </w:tc>
        <w:tc>
          <w:tcPr>
            <w:tcW w:w="16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51</w:t>
            </w:r>
          </w:p>
        </w:tc>
        <w:tc>
          <w:tcPr>
            <w:tcW w:w="16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34</w:t>
            </w:r>
          </w:p>
        </w:tc>
        <w:tc>
          <w:tcPr>
            <w:tcW w:w="14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255</w:t>
            </w:r>
          </w:p>
        </w:tc>
        <w:tc>
          <w:tcPr>
            <w:tcW w:w="60" w:type="dxa"/>
            <w:vAlign w:val="bottom"/>
            <w:shd w:val="clear" w:color="auto" w:fill="F2F2F2"/>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360"/>
              <w:spacing w:after="0"/>
              <w:rPr>
                <w:sz w:val="20"/>
                <w:szCs w:val="20"/>
                <w:color w:val="auto"/>
              </w:rPr>
            </w:pPr>
            <w:r>
              <w:rPr>
                <w:rFonts w:ascii="Arial" w:cs="Arial" w:eastAsia="Arial" w:hAnsi="Arial"/>
                <w:sz w:val="14"/>
                <w:szCs w:val="14"/>
                <w:color w:val="auto"/>
              </w:rPr>
              <w:t>Early extinguishment of corporate debt</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780" w:type="dxa"/>
            <w:vAlign w:val="bottom"/>
            <w:shd w:val="clear" w:color="auto" w:fill="F2F2F2"/>
          </w:tcPr>
          <w:p>
            <w:pPr>
              <w:ind w:left="360"/>
              <w:spacing w:after="0"/>
              <w:rPr>
                <w:sz w:val="20"/>
                <w:szCs w:val="20"/>
                <w:color w:val="auto"/>
              </w:rPr>
            </w:pPr>
            <w:r>
              <w:rPr>
                <w:rFonts w:ascii="Arial" w:cs="Arial" w:eastAsia="Arial" w:hAnsi="Arial"/>
                <w:sz w:val="14"/>
                <w:szCs w:val="14"/>
                <w:color w:val="auto"/>
              </w:rPr>
              <w:t>Impairment</w:t>
            </w:r>
          </w:p>
        </w:tc>
        <w:tc>
          <w:tcPr>
            <w:tcW w:w="130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33</w:t>
            </w:r>
          </w:p>
        </w:tc>
        <w:tc>
          <w:tcPr>
            <w:tcW w:w="16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480" w:type="dxa"/>
            <w:vAlign w:val="bottom"/>
            <w:gridSpan w:val="2"/>
            <w:shd w:val="clear" w:color="auto" w:fill="F2F2F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780" w:type="dxa"/>
            <w:vAlign w:val="bottom"/>
          </w:tcPr>
          <w:p>
            <w:pPr>
              <w:ind w:left="360"/>
              <w:spacing w:after="0"/>
              <w:rPr>
                <w:sz w:val="20"/>
                <w:szCs w:val="20"/>
                <w:color w:val="auto"/>
              </w:rPr>
            </w:pPr>
            <w:r>
              <w:rPr>
                <w:rFonts w:ascii="Arial" w:cs="Arial" w:eastAsia="Arial" w:hAnsi="Arial"/>
                <w:sz w:val="14"/>
                <w:szCs w:val="14"/>
                <w:color w:val="auto"/>
              </w:rPr>
              <w:t>Charges for legal matter, net</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F2F2F2"/>
          </w:tcPr>
          <w:p>
            <w:pPr>
              <w:spacing w:after="0"/>
              <w:rPr>
                <w:sz w:val="20"/>
                <w:szCs w:val="20"/>
                <w:color w:val="auto"/>
              </w:rPr>
            </w:pPr>
            <w:r>
              <w:rPr>
                <w:rFonts w:ascii="Arial" w:cs="Arial" w:eastAsia="Arial" w:hAnsi="Arial"/>
                <w:sz w:val="14"/>
                <w:szCs w:val="14"/>
                <w:color w:val="auto"/>
              </w:rPr>
              <w:t>Adjusted EBITDA</w:t>
            </w:r>
          </w:p>
        </w:tc>
        <w:tc>
          <w:tcPr>
            <w:tcW w:w="1460" w:type="dxa"/>
            <w:vAlign w:val="bottom"/>
            <w:gridSpan w:val="2"/>
            <w:shd w:val="clear" w:color="auto" w:fill="F2F2F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735</w:t>
            </w:r>
          </w:p>
        </w:tc>
        <w:tc>
          <w:tcPr>
            <w:tcW w:w="100" w:type="dxa"/>
            <w:vAlign w:val="bottom"/>
            <w:shd w:val="clear" w:color="auto" w:fill="F2F2F2"/>
          </w:tcPr>
          <w:p>
            <w:pPr>
              <w:spacing w:after="0"/>
              <w:rPr>
                <w:sz w:val="14"/>
                <w:szCs w:val="14"/>
                <w:color w:val="auto"/>
              </w:rPr>
            </w:pPr>
          </w:p>
        </w:tc>
        <w:tc>
          <w:tcPr>
            <w:tcW w:w="220" w:type="dxa"/>
            <w:vAlign w:val="bottom"/>
            <w:gridSpan w:val="2"/>
            <w:shd w:val="clear" w:color="auto" w:fill="F2F2F2"/>
          </w:tcPr>
          <w:p>
            <w:pPr>
              <w:jc w:val="right"/>
              <w:ind w:right="80"/>
              <w:spacing w:after="0"/>
              <w:rPr>
                <w:sz w:val="20"/>
                <w:szCs w:val="20"/>
                <w:color w:val="auto"/>
              </w:rPr>
            </w:pPr>
            <w:r>
              <w:rPr>
                <w:rFonts w:ascii="Arial" w:cs="Arial" w:eastAsia="Arial" w:hAnsi="Arial"/>
                <w:sz w:val="14"/>
                <w:szCs w:val="14"/>
                <w:color w:val="auto"/>
              </w:rPr>
              <w:t>$</w:t>
            </w:r>
          </w:p>
        </w:tc>
        <w:tc>
          <w:tcPr>
            <w:tcW w:w="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838</w:t>
            </w:r>
          </w:p>
        </w:tc>
        <w:tc>
          <w:tcPr>
            <w:tcW w:w="300" w:type="dxa"/>
            <w:vAlign w:val="bottom"/>
            <w:gridSpan w:val="2"/>
            <w:shd w:val="clear" w:color="auto" w:fill="F2F2F2"/>
          </w:tcPr>
          <w:p>
            <w:pPr>
              <w:jc w:val="right"/>
              <w:ind w:right="80"/>
              <w:spacing w:after="0"/>
              <w:rPr>
                <w:sz w:val="20"/>
                <w:szCs w:val="20"/>
                <w:color w:val="auto"/>
              </w:rPr>
            </w:pPr>
            <w:r>
              <w:rPr>
                <w:rFonts w:ascii="Arial" w:cs="Arial" w:eastAsia="Arial" w:hAnsi="Arial"/>
                <w:sz w:val="14"/>
                <w:szCs w:val="14"/>
                <w:color w:val="auto"/>
              </w:rPr>
              <w:t>$</w:t>
            </w:r>
          </w:p>
        </w:tc>
        <w:tc>
          <w:tcPr>
            <w:tcW w:w="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903</w:t>
            </w:r>
          </w:p>
        </w:tc>
        <w:tc>
          <w:tcPr>
            <w:tcW w:w="300" w:type="dxa"/>
            <w:vAlign w:val="bottom"/>
            <w:gridSpan w:val="2"/>
            <w:shd w:val="clear" w:color="auto" w:fill="F2F2F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876</w:t>
            </w:r>
          </w:p>
        </w:tc>
        <w:tc>
          <w:tcPr>
            <w:tcW w:w="320" w:type="dxa"/>
            <w:vAlign w:val="bottom"/>
            <w:gridSpan w:val="2"/>
            <w:shd w:val="clear" w:color="auto" w:fill="F2F2F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769</w:t>
            </w:r>
          </w:p>
        </w:tc>
        <w:tc>
          <w:tcPr>
            <w:tcW w:w="320" w:type="dxa"/>
            <w:vAlign w:val="bottom"/>
            <w:gridSpan w:val="2"/>
            <w:shd w:val="clear" w:color="auto" w:fill="F2F2F2"/>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840</w:t>
            </w:r>
          </w:p>
        </w:tc>
        <w:tc>
          <w:tcPr>
            <w:tcW w:w="300" w:type="dxa"/>
            <w:vAlign w:val="bottom"/>
            <w:gridSpan w:val="2"/>
            <w:shd w:val="clear" w:color="auto" w:fill="F2F2F2"/>
          </w:tcPr>
          <w:p>
            <w:pPr>
              <w:jc w:val="right"/>
              <w:ind w:right="80"/>
              <w:spacing w:after="0"/>
              <w:rPr>
                <w:sz w:val="20"/>
                <w:szCs w:val="20"/>
                <w:color w:val="auto"/>
              </w:rPr>
            </w:pPr>
            <w:r>
              <w:rPr>
                <w:rFonts w:ascii="Arial" w:cs="Arial" w:eastAsia="Arial" w:hAnsi="Arial"/>
                <w:sz w:val="14"/>
                <w:szCs w:val="14"/>
                <w:color w:val="auto"/>
              </w:rPr>
              <w:t>$</w:t>
            </w:r>
          </w:p>
        </w:tc>
        <w:tc>
          <w:tcPr>
            <w:tcW w:w="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610</w:t>
            </w:r>
          </w:p>
        </w:tc>
        <w:tc>
          <w:tcPr>
            <w:tcW w:w="60" w:type="dxa"/>
            <w:vAlign w:val="bottom"/>
            <w:shd w:val="clear" w:color="auto" w:fill="F2F2F2"/>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We believe Adjusted EBITDA is useful as a supplemental measure in evaluating the aggregate performance of our operating businesses and in comparing our results from period to period. We believe Adjusted EBITDA is useful to investors because it allows investors to assess our financial condition and results of operations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 titled measures used by other companies.</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Long-Term Incentive Awards</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Regular Long-Term Incentive Program for 2017</w:t>
      </w:r>
    </w:p>
    <w:p>
      <w:pPr>
        <w:spacing w:after="0" w:line="122"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Grant date values for awards under the Company’s 2017 regular Long-Term Incentive Program (the “2017 LTIP”) were as described above for our CEO and our Chairman, and following its annual executive compensation review, the Committee increased the value of the 2017 LTIP awards granted to our Regional Presidents by $200,000. No long-term equity award was granted to our interim CFO due to the interim nature of his appointment.</w:t>
      </w:r>
    </w:p>
    <w:p>
      <w:pPr>
        <w:spacing w:after="0" w:line="94"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The following factors were reviewed to determine the appropriate type of equity to be granted: perceived value to award recipients to effect retention and incentive goals, peer practices, the degree of alignment with shareholder interests, potential dilution and projected expense balanced with the value delivered to award recipients. Based on an analysis of these factors, the Committee determined that (a) for our CEO and our former CFO, a mix of 60% PSUs and 40% time-based restricted stock units (“RSUs”) and (b) for our Regional Presidents, an equal mix, at target, of PSUs and RSUs, would:</w:t>
      </w:r>
    </w:p>
    <w:p>
      <w:pPr>
        <w:spacing w:after="0" w:line="108" w:lineRule="exact"/>
        <w:rPr>
          <w:sz w:val="20"/>
          <w:szCs w:val="20"/>
          <w:color w:val="auto"/>
        </w:rPr>
      </w:pPr>
    </w:p>
    <w:p>
      <w:pPr>
        <w:ind w:left="640" w:hanging="4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align incentives with shareholders’ focus on profitability and financial performance;</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 the relevant decision-making impact of the individual and the impact of those decisions on the Company; and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incentivize retention of key employees over the longer term.</w:t>
      </w:r>
    </w:p>
    <w:p>
      <w:pPr>
        <w:spacing w:after="0" w:line="117"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As discussed above, the 2017 LTIP award for our Chairman was time-based and reflected a 50% decrease in value compared to the 2016 award, which was comprised of 50% RSUs and 50% PSUs. This reduction in value was offset by our Chairman’s participation in the 2017 annual incentive program, which is 100% performance-based and under which our Chairman received no payout.</w:t>
      </w:r>
    </w:p>
    <w:p>
      <w:pPr>
        <w:spacing w:after="0" w:line="95"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During 2016, the Committee undertook a full review of the performance metrics included in the Company’s annual and long-term incentive programs, which included one-year Adjusted EBITDA goals and three-year cumulative Adjusted EBITDA goals with a relative total shareholder return modifier, respectively. Following such review, the Committee determined that in light of the Company’s updated strategic goals, which included a significant focus on margin improvement, that Adjusted EBITDA margin, defined as Adjusted EBITDA divided by Revenue, would be the appropriate performance metric for the 2017 LTIP, with a three-year performance period.</w:t>
      </w:r>
    </w:p>
    <w:p>
      <w:pPr>
        <w:spacing w:after="0" w:line="95"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Maximum vesting was increased to 200% of target, from 150% under the 2016 long-term incentive program, to align to general market practices and the Company’s annual incentive program, and to recognize the challenging nature of the performance goals included in the 2017 LTIP, which were expected to have a higher degree of difficulty to achieve than the three-year cumulative Adjusted EBITDA goals included in prior long-term incentive awards.</w:t>
      </w:r>
    </w:p>
    <w:p>
      <w:pPr>
        <w:spacing w:after="0" w:line="94"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The target goal represents a 50 basis-point improvement in 2016 Adjusted EBITDA margin, of 9.66%, for each year included in the performance period or a 150 basis-point improvement at the end of the performance period. In the first two years of the performance period, a “lock-in” feature provides an opportunity to satisfy a portion of the performance goals for up to one-third of the target units of the total award, with the entire award remaining generally subject to continued service through the scheduled vesting date in 2020. The lock-in feature was provided to recognize the challenging nature of the performance goals, as discussed above, and that pressures can significantly impact margin fluctuation, including changes in the used car market, which can be outside of management’s control.</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Adjusted EBITDA margin improvement goals for the 2017 LTIP are as follows: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2500" w:type="dxa"/>
            <w:vAlign w:val="bottom"/>
          </w:tcPr>
          <w:p>
            <w:pPr>
              <w:spacing w:after="0"/>
              <w:rPr>
                <w:sz w:val="20"/>
                <w:szCs w:val="20"/>
                <w:color w:val="auto"/>
              </w:rPr>
            </w:pPr>
            <w:r>
              <w:rPr>
                <w:rFonts w:ascii="Arial" w:cs="Arial" w:eastAsia="Arial" w:hAnsi="Arial"/>
                <w:sz w:val="14"/>
                <w:szCs w:val="14"/>
                <w:b w:val="1"/>
                <w:bCs w:val="1"/>
                <w:color w:val="auto"/>
              </w:rPr>
              <w:t>Achievement Level</w:t>
            </w:r>
          </w:p>
        </w:tc>
        <w:tc>
          <w:tcPr>
            <w:tcW w:w="4900" w:type="dxa"/>
            <w:vAlign w:val="bottom"/>
          </w:tcPr>
          <w:p>
            <w:pPr>
              <w:jc w:val="center"/>
              <w:ind w:left="474"/>
              <w:spacing w:after="0"/>
              <w:rPr>
                <w:sz w:val="20"/>
                <w:szCs w:val="20"/>
                <w:color w:val="auto"/>
              </w:rPr>
            </w:pPr>
            <w:r>
              <w:rPr>
                <w:rFonts w:ascii="Arial" w:cs="Arial" w:eastAsia="Arial" w:hAnsi="Arial"/>
                <w:sz w:val="14"/>
                <w:szCs w:val="14"/>
                <w:b w:val="1"/>
                <w:bCs w:val="1"/>
                <w:color w:val="auto"/>
              </w:rPr>
              <w:t>Adjusted EBITDA Margin Improvement Goals</w:t>
            </w:r>
          </w:p>
        </w:tc>
        <w:tc>
          <w:tcPr>
            <w:tcW w:w="2060" w:type="dxa"/>
            <w:vAlign w:val="bottom"/>
          </w:tcPr>
          <w:p>
            <w:pPr>
              <w:jc w:val="center"/>
              <w:ind w:left="534"/>
              <w:spacing w:after="0"/>
              <w:rPr>
                <w:sz w:val="20"/>
                <w:szCs w:val="20"/>
                <w:color w:val="auto"/>
              </w:rPr>
            </w:pPr>
            <w:r>
              <w:rPr>
                <w:rFonts w:ascii="Arial" w:cs="Arial" w:eastAsia="Arial" w:hAnsi="Arial"/>
                <w:sz w:val="14"/>
                <w:szCs w:val="14"/>
                <w:b w:val="1"/>
                <w:bCs w:val="1"/>
                <w:color w:val="auto"/>
              </w:rPr>
              <w:t>% Vesting/Lock-in of</w:t>
            </w:r>
          </w:p>
        </w:tc>
      </w:tr>
      <w:tr>
        <w:trPr>
          <w:trHeight w:val="189"/>
        </w:trPr>
        <w:tc>
          <w:tcPr>
            <w:tcW w:w="2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tcPr>
          <w:p>
            <w:pPr>
              <w:jc w:val="center"/>
              <w:ind w:left="474"/>
              <w:spacing w:after="0"/>
              <w:rPr>
                <w:sz w:val="20"/>
                <w:szCs w:val="20"/>
                <w:color w:val="auto"/>
              </w:rPr>
            </w:pPr>
            <w:r>
              <w:rPr>
                <w:rFonts w:ascii="Arial" w:cs="Arial" w:eastAsia="Arial" w:hAnsi="Arial"/>
                <w:sz w:val="14"/>
                <w:szCs w:val="14"/>
                <w:b w:val="1"/>
                <w:bCs w:val="1"/>
                <w:color w:val="auto"/>
              </w:rPr>
              <w:t>(from 2016 Adjusted EBITDA margin)</w:t>
            </w:r>
          </w:p>
        </w:tc>
        <w:tc>
          <w:tcPr>
            <w:tcW w:w="2060" w:type="dxa"/>
            <w:vAlign w:val="bottom"/>
            <w:tcBorders>
              <w:bottom w:val="single" w:sz="8" w:color="auto"/>
            </w:tcBorders>
          </w:tcPr>
          <w:p>
            <w:pPr>
              <w:jc w:val="center"/>
              <w:ind w:left="514"/>
              <w:spacing w:after="0"/>
              <w:rPr>
                <w:sz w:val="20"/>
                <w:szCs w:val="20"/>
                <w:color w:val="auto"/>
              </w:rPr>
            </w:pPr>
            <w:r>
              <w:rPr>
                <w:rFonts w:ascii="Arial" w:cs="Arial" w:eastAsia="Arial" w:hAnsi="Arial"/>
                <w:sz w:val="14"/>
                <w:szCs w:val="14"/>
                <w:b w:val="1"/>
                <w:bCs w:val="1"/>
                <w:color w:val="auto"/>
              </w:rPr>
              <w:t>total awards (Up to)</w:t>
            </w:r>
          </w:p>
        </w:tc>
      </w:tr>
      <w:tr>
        <w:trPr>
          <w:trHeight w:val="196"/>
        </w:trPr>
        <w:tc>
          <w:tcPr>
            <w:tcW w:w="20" w:type="dxa"/>
            <w:vAlign w:val="bottom"/>
          </w:tcPr>
          <w:p>
            <w:pPr>
              <w:spacing w:after="0"/>
              <w:rPr>
                <w:sz w:val="17"/>
                <w:szCs w:val="17"/>
                <w:color w:val="auto"/>
              </w:rPr>
            </w:pPr>
          </w:p>
        </w:tc>
        <w:tc>
          <w:tcPr>
            <w:tcW w:w="1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2019</w:t>
            </w:r>
          </w:p>
        </w:tc>
        <w:tc>
          <w:tcPr>
            <w:tcW w:w="2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Maximum</w:t>
            </w:r>
          </w:p>
        </w:tc>
        <w:tc>
          <w:tcPr>
            <w:tcW w:w="4900" w:type="dxa"/>
            <w:vAlign w:val="bottom"/>
            <w:tcBorders>
              <w:bottom w:val="single" w:sz="8" w:color="auto"/>
            </w:tcBorders>
          </w:tcPr>
          <w:p>
            <w:pPr>
              <w:jc w:val="center"/>
              <w:ind w:left="474"/>
              <w:spacing w:after="0" w:line="196" w:lineRule="exact"/>
              <w:rPr>
                <w:sz w:val="20"/>
                <w:szCs w:val="20"/>
                <w:color w:val="auto"/>
              </w:rPr>
            </w:pPr>
            <w:r>
              <w:rPr>
                <w:rFonts w:ascii="Arial" w:cs="Arial" w:eastAsia="Arial" w:hAnsi="Arial"/>
                <w:sz w:val="18"/>
                <w:szCs w:val="18"/>
                <w:color w:val="auto"/>
                <w:w w:val="99"/>
              </w:rPr>
              <w:t>+3.0 percentage points</w:t>
            </w:r>
          </w:p>
        </w:tc>
        <w:tc>
          <w:tcPr>
            <w:tcW w:w="2060" w:type="dxa"/>
            <w:vAlign w:val="bottom"/>
            <w:tcBorders>
              <w:bottom w:val="single" w:sz="8" w:color="auto"/>
            </w:tcBorders>
          </w:tcPr>
          <w:p>
            <w:pPr>
              <w:jc w:val="center"/>
              <w:ind w:left="514"/>
              <w:spacing w:after="0" w:line="196" w:lineRule="exact"/>
              <w:rPr>
                <w:sz w:val="20"/>
                <w:szCs w:val="20"/>
                <w:color w:val="auto"/>
              </w:rPr>
            </w:pPr>
            <w:r>
              <w:rPr>
                <w:rFonts w:ascii="Arial" w:cs="Arial" w:eastAsia="Arial" w:hAnsi="Arial"/>
                <w:sz w:val="18"/>
                <w:szCs w:val="18"/>
                <w:color w:val="auto"/>
                <w:w w:val="99"/>
              </w:rPr>
              <w:t>200%</w:t>
            </w:r>
          </w:p>
        </w:tc>
      </w:tr>
      <w:tr>
        <w:trPr>
          <w:trHeight w:val="196"/>
        </w:trPr>
        <w:tc>
          <w:tcPr>
            <w:tcW w:w="2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Target</w:t>
            </w:r>
          </w:p>
        </w:tc>
        <w:tc>
          <w:tcPr>
            <w:tcW w:w="4900" w:type="dxa"/>
            <w:vAlign w:val="bottom"/>
            <w:tcBorders>
              <w:bottom w:val="single" w:sz="8" w:color="auto"/>
            </w:tcBorders>
          </w:tcPr>
          <w:p>
            <w:pPr>
              <w:jc w:val="center"/>
              <w:ind w:left="474"/>
              <w:spacing w:after="0" w:line="196" w:lineRule="exact"/>
              <w:rPr>
                <w:sz w:val="20"/>
                <w:szCs w:val="20"/>
                <w:color w:val="auto"/>
              </w:rPr>
            </w:pPr>
            <w:r>
              <w:rPr>
                <w:rFonts w:ascii="Arial" w:cs="Arial" w:eastAsia="Arial" w:hAnsi="Arial"/>
                <w:sz w:val="18"/>
                <w:szCs w:val="18"/>
                <w:color w:val="auto"/>
                <w:w w:val="99"/>
              </w:rPr>
              <w:t>+1.5 percentage points</w:t>
            </w:r>
          </w:p>
        </w:tc>
        <w:tc>
          <w:tcPr>
            <w:tcW w:w="2060" w:type="dxa"/>
            <w:vAlign w:val="bottom"/>
            <w:tcBorders>
              <w:bottom w:val="single" w:sz="8" w:color="auto"/>
            </w:tcBorders>
          </w:tcPr>
          <w:p>
            <w:pPr>
              <w:jc w:val="center"/>
              <w:ind w:left="514"/>
              <w:spacing w:after="0" w:line="196" w:lineRule="exact"/>
              <w:rPr>
                <w:sz w:val="20"/>
                <w:szCs w:val="20"/>
                <w:color w:val="auto"/>
              </w:rPr>
            </w:pPr>
            <w:r>
              <w:rPr>
                <w:rFonts w:ascii="Arial" w:cs="Arial" w:eastAsia="Arial" w:hAnsi="Arial"/>
                <w:sz w:val="18"/>
                <w:szCs w:val="18"/>
                <w:color w:val="auto"/>
                <w:w w:val="99"/>
              </w:rPr>
              <w:t>100%</w:t>
            </w:r>
          </w:p>
        </w:tc>
      </w:tr>
      <w:tr>
        <w:trPr>
          <w:trHeight w:val="196"/>
        </w:trPr>
        <w:tc>
          <w:tcPr>
            <w:tcW w:w="2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Threshold</w:t>
            </w:r>
          </w:p>
        </w:tc>
        <w:tc>
          <w:tcPr>
            <w:tcW w:w="4900" w:type="dxa"/>
            <w:vAlign w:val="bottom"/>
            <w:tcBorders>
              <w:bottom w:val="single" w:sz="8" w:color="auto"/>
            </w:tcBorders>
          </w:tcPr>
          <w:p>
            <w:pPr>
              <w:jc w:val="center"/>
              <w:ind w:left="474"/>
              <w:spacing w:after="0" w:line="196" w:lineRule="exact"/>
              <w:rPr>
                <w:sz w:val="20"/>
                <w:szCs w:val="20"/>
                <w:color w:val="auto"/>
              </w:rPr>
            </w:pPr>
            <w:r>
              <w:rPr>
                <w:rFonts w:ascii="Arial" w:cs="Arial" w:eastAsia="Arial" w:hAnsi="Arial"/>
                <w:sz w:val="18"/>
                <w:szCs w:val="18"/>
                <w:color w:val="auto"/>
              </w:rPr>
              <w:t>+0.75 percentage points</w:t>
            </w:r>
          </w:p>
        </w:tc>
        <w:tc>
          <w:tcPr>
            <w:tcW w:w="2060" w:type="dxa"/>
            <w:vAlign w:val="bottom"/>
            <w:tcBorders>
              <w:bottom w:val="single" w:sz="8" w:color="auto"/>
            </w:tcBorders>
          </w:tcPr>
          <w:p>
            <w:pPr>
              <w:jc w:val="center"/>
              <w:ind w:left="534"/>
              <w:spacing w:after="0" w:line="196" w:lineRule="exact"/>
              <w:rPr>
                <w:sz w:val="20"/>
                <w:szCs w:val="20"/>
                <w:color w:val="auto"/>
              </w:rPr>
            </w:pPr>
            <w:r>
              <w:rPr>
                <w:rFonts w:ascii="Arial" w:cs="Arial" w:eastAsia="Arial" w:hAnsi="Arial"/>
                <w:sz w:val="18"/>
                <w:szCs w:val="18"/>
                <w:color w:val="auto"/>
                <w:w w:val="99"/>
              </w:rPr>
              <w:t>50%</w:t>
            </w:r>
          </w:p>
        </w:tc>
      </w:tr>
      <w:tr>
        <w:trPr>
          <w:trHeight w:val="196"/>
        </w:trPr>
        <w:tc>
          <w:tcPr>
            <w:tcW w:w="20" w:type="dxa"/>
            <w:vAlign w:val="bottom"/>
          </w:tcPr>
          <w:p>
            <w:pPr>
              <w:spacing w:after="0"/>
              <w:rPr>
                <w:sz w:val="17"/>
                <w:szCs w:val="17"/>
                <w:color w:val="auto"/>
              </w:rPr>
            </w:pPr>
          </w:p>
        </w:tc>
        <w:tc>
          <w:tcPr>
            <w:tcW w:w="1560" w:type="dxa"/>
            <w:vAlign w:val="bottom"/>
            <w:tcBorders>
              <w:bottom w:val="single" w:sz="8" w:color="auto"/>
            </w:tcBorders>
            <w:shd w:val="clear" w:color="auto" w:fill="F2F2F2"/>
          </w:tcPr>
          <w:p>
            <w:pPr>
              <w:spacing w:after="0" w:line="196" w:lineRule="exact"/>
              <w:rPr>
                <w:sz w:val="20"/>
                <w:szCs w:val="20"/>
                <w:color w:val="auto"/>
              </w:rPr>
            </w:pPr>
            <w:r>
              <w:rPr>
                <w:rFonts w:ascii="Arial" w:cs="Arial" w:eastAsia="Arial" w:hAnsi="Arial"/>
                <w:sz w:val="18"/>
                <w:szCs w:val="18"/>
                <w:color w:val="auto"/>
                <w:w w:val="98"/>
              </w:rPr>
              <w:t>Lock-in Opportunity</w:t>
            </w:r>
          </w:p>
        </w:tc>
        <w:tc>
          <w:tcPr>
            <w:tcW w:w="2500" w:type="dxa"/>
            <w:vAlign w:val="bottom"/>
            <w:tcBorders>
              <w:bottom w:val="single" w:sz="8" w:color="auto"/>
            </w:tcBorders>
            <w:shd w:val="clear" w:color="auto" w:fill="F2F2F2"/>
          </w:tcPr>
          <w:p>
            <w:pPr>
              <w:spacing w:after="0"/>
              <w:rPr>
                <w:sz w:val="17"/>
                <w:szCs w:val="17"/>
                <w:color w:val="auto"/>
              </w:rPr>
            </w:pPr>
          </w:p>
        </w:tc>
        <w:tc>
          <w:tcPr>
            <w:tcW w:w="4900" w:type="dxa"/>
            <w:vAlign w:val="bottom"/>
            <w:tcBorders>
              <w:bottom w:val="single" w:sz="8" w:color="auto"/>
            </w:tcBorders>
            <w:shd w:val="clear" w:color="auto" w:fill="F2F2F2"/>
          </w:tcPr>
          <w:p>
            <w:pPr>
              <w:spacing w:after="0"/>
              <w:rPr>
                <w:sz w:val="17"/>
                <w:szCs w:val="17"/>
                <w:color w:val="auto"/>
              </w:rPr>
            </w:pPr>
          </w:p>
        </w:tc>
        <w:tc>
          <w:tcPr>
            <w:tcW w:w="2060" w:type="dxa"/>
            <w:vAlign w:val="bottom"/>
            <w:tcBorders>
              <w:bottom w:val="single" w:sz="8" w:color="auto"/>
            </w:tcBorders>
            <w:shd w:val="clear" w:color="auto" w:fill="F2F2F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2018</w:t>
            </w:r>
          </w:p>
        </w:tc>
        <w:tc>
          <w:tcPr>
            <w:tcW w:w="2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Target</w:t>
            </w:r>
          </w:p>
        </w:tc>
        <w:tc>
          <w:tcPr>
            <w:tcW w:w="4900" w:type="dxa"/>
            <w:vAlign w:val="bottom"/>
            <w:tcBorders>
              <w:bottom w:val="single" w:sz="8" w:color="auto"/>
            </w:tcBorders>
          </w:tcPr>
          <w:p>
            <w:pPr>
              <w:jc w:val="center"/>
              <w:ind w:left="474"/>
              <w:spacing w:after="0" w:line="196" w:lineRule="exact"/>
              <w:rPr>
                <w:sz w:val="20"/>
                <w:szCs w:val="20"/>
                <w:color w:val="auto"/>
              </w:rPr>
            </w:pPr>
            <w:r>
              <w:rPr>
                <w:rFonts w:ascii="Arial" w:cs="Arial" w:eastAsia="Arial" w:hAnsi="Arial"/>
                <w:sz w:val="18"/>
                <w:szCs w:val="18"/>
                <w:color w:val="auto"/>
                <w:w w:val="99"/>
              </w:rPr>
              <w:t>+1.0 percentage points</w:t>
            </w:r>
          </w:p>
        </w:tc>
        <w:tc>
          <w:tcPr>
            <w:tcW w:w="2060" w:type="dxa"/>
            <w:vAlign w:val="bottom"/>
            <w:tcBorders>
              <w:bottom w:val="single" w:sz="8" w:color="auto"/>
            </w:tcBorders>
          </w:tcPr>
          <w:p>
            <w:pPr>
              <w:jc w:val="center"/>
              <w:ind w:left="534"/>
              <w:spacing w:after="0" w:line="196" w:lineRule="exact"/>
              <w:rPr>
                <w:sz w:val="20"/>
                <w:szCs w:val="20"/>
                <w:color w:val="auto"/>
              </w:rPr>
            </w:pPr>
            <w:r>
              <w:rPr>
                <w:rFonts w:ascii="Arial" w:cs="Arial" w:eastAsia="Arial" w:hAnsi="Arial"/>
                <w:sz w:val="18"/>
                <w:szCs w:val="18"/>
                <w:color w:val="auto"/>
              </w:rPr>
              <w:t>33.3%</w:t>
            </w:r>
          </w:p>
        </w:tc>
      </w:tr>
      <w:tr>
        <w:trPr>
          <w:trHeight w:val="196"/>
        </w:trPr>
        <w:tc>
          <w:tcPr>
            <w:tcW w:w="2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Threshold</w:t>
            </w:r>
          </w:p>
        </w:tc>
        <w:tc>
          <w:tcPr>
            <w:tcW w:w="4900" w:type="dxa"/>
            <w:vAlign w:val="bottom"/>
            <w:tcBorders>
              <w:bottom w:val="single" w:sz="8" w:color="auto"/>
            </w:tcBorders>
          </w:tcPr>
          <w:p>
            <w:pPr>
              <w:jc w:val="center"/>
              <w:ind w:left="474"/>
              <w:spacing w:after="0" w:line="196" w:lineRule="exact"/>
              <w:rPr>
                <w:sz w:val="20"/>
                <w:szCs w:val="20"/>
                <w:color w:val="auto"/>
              </w:rPr>
            </w:pPr>
            <w:r>
              <w:rPr>
                <w:rFonts w:ascii="Arial" w:cs="Arial" w:eastAsia="Arial" w:hAnsi="Arial"/>
                <w:sz w:val="18"/>
                <w:szCs w:val="18"/>
                <w:color w:val="auto"/>
              </w:rPr>
              <w:t>+0.50 percentage points</w:t>
            </w:r>
          </w:p>
        </w:tc>
        <w:tc>
          <w:tcPr>
            <w:tcW w:w="2060" w:type="dxa"/>
            <w:vAlign w:val="bottom"/>
            <w:tcBorders>
              <w:bottom w:val="single" w:sz="8" w:color="auto"/>
            </w:tcBorders>
          </w:tcPr>
          <w:p>
            <w:pPr>
              <w:jc w:val="center"/>
              <w:ind w:left="534"/>
              <w:spacing w:after="0" w:line="196" w:lineRule="exact"/>
              <w:rPr>
                <w:sz w:val="20"/>
                <w:szCs w:val="20"/>
                <w:color w:val="auto"/>
              </w:rPr>
            </w:pPr>
            <w:r>
              <w:rPr>
                <w:rFonts w:ascii="Arial" w:cs="Arial" w:eastAsia="Arial" w:hAnsi="Arial"/>
                <w:sz w:val="18"/>
                <w:szCs w:val="18"/>
                <w:color w:val="auto"/>
              </w:rPr>
              <w:t>16.6%</w:t>
            </w:r>
          </w:p>
        </w:tc>
      </w:tr>
      <w:tr>
        <w:trPr>
          <w:trHeight w:val="196"/>
        </w:trPr>
        <w:tc>
          <w:tcPr>
            <w:tcW w:w="20" w:type="dxa"/>
            <w:vAlign w:val="bottom"/>
          </w:tcPr>
          <w:p>
            <w:pPr>
              <w:spacing w:after="0"/>
              <w:rPr>
                <w:sz w:val="17"/>
                <w:szCs w:val="17"/>
                <w:color w:val="auto"/>
              </w:rPr>
            </w:pPr>
          </w:p>
        </w:tc>
        <w:tc>
          <w:tcPr>
            <w:tcW w:w="1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2017</w:t>
            </w:r>
          </w:p>
        </w:tc>
        <w:tc>
          <w:tcPr>
            <w:tcW w:w="2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Target</w:t>
            </w:r>
          </w:p>
        </w:tc>
        <w:tc>
          <w:tcPr>
            <w:tcW w:w="4900" w:type="dxa"/>
            <w:vAlign w:val="bottom"/>
            <w:tcBorders>
              <w:bottom w:val="single" w:sz="8" w:color="auto"/>
            </w:tcBorders>
          </w:tcPr>
          <w:p>
            <w:pPr>
              <w:jc w:val="center"/>
              <w:ind w:left="474"/>
              <w:spacing w:after="0" w:line="196" w:lineRule="exact"/>
              <w:rPr>
                <w:sz w:val="20"/>
                <w:szCs w:val="20"/>
                <w:color w:val="auto"/>
              </w:rPr>
            </w:pPr>
            <w:r>
              <w:rPr>
                <w:rFonts w:ascii="Arial" w:cs="Arial" w:eastAsia="Arial" w:hAnsi="Arial"/>
                <w:sz w:val="18"/>
                <w:szCs w:val="18"/>
                <w:color w:val="auto"/>
              </w:rPr>
              <w:t>+0.50 percentage points</w:t>
            </w:r>
          </w:p>
        </w:tc>
        <w:tc>
          <w:tcPr>
            <w:tcW w:w="2060" w:type="dxa"/>
            <w:vAlign w:val="bottom"/>
            <w:tcBorders>
              <w:bottom w:val="single" w:sz="8" w:color="auto"/>
            </w:tcBorders>
          </w:tcPr>
          <w:p>
            <w:pPr>
              <w:jc w:val="center"/>
              <w:ind w:left="534"/>
              <w:spacing w:after="0" w:line="196" w:lineRule="exact"/>
              <w:rPr>
                <w:sz w:val="20"/>
                <w:szCs w:val="20"/>
                <w:color w:val="auto"/>
              </w:rPr>
            </w:pPr>
            <w:r>
              <w:rPr>
                <w:rFonts w:ascii="Arial" w:cs="Arial" w:eastAsia="Arial" w:hAnsi="Arial"/>
                <w:sz w:val="18"/>
                <w:szCs w:val="18"/>
                <w:color w:val="auto"/>
              </w:rPr>
              <w:t>33.3%</w:t>
            </w:r>
          </w:p>
        </w:tc>
      </w:tr>
      <w:tr>
        <w:trPr>
          <w:trHeight w:val="196"/>
        </w:trPr>
        <w:tc>
          <w:tcPr>
            <w:tcW w:w="2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Threshold</w:t>
            </w:r>
          </w:p>
        </w:tc>
        <w:tc>
          <w:tcPr>
            <w:tcW w:w="4900" w:type="dxa"/>
            <w:vAlign w:val="bottom"/>
            <w:tcBorders>
              <w:bottom w:val="single" w:sz="8" w:color="auto"/>
            </w:tcBorders>
          </w:tcPr>
          <w:p>
            <w:pPr>
              <w:jc w:val="center"/>
              <w:ind w:left="474"/>
              <w:spacing w:after="0" w:line="196" w:lineRule="exact"/>
              <w:rPr>
                <w:sz w:val="20"/>
                <w:szCs w:val="20"/>
                <w:color w:val="auto"/>
              </w:rPr>
            </w:pPr>
            <w:r>
              <w:rPr>
                <w:rFonts w:ascii="Arial" w:cs="Arial" w:eastAsia="Arial" w:hAnsi="Arial"/>
                <w:sz w:val="18"/>
                <w:szCs w:val="18"/>
                <w:color w:val="auto"/>
              </w:rPr>
              <w:t>+0.25 percentage points</w:t>
            </w:r>
          </w:p>
        </w:tc>
        <w:tc>
          <w:tcPr>
            <w:tcW w:w="2060" w:type="dxa"/>
            <w:vAlign w:val="bottom"/>
            <w:tcBorders>
              <w:bottom w:val="single" w:sz="8" w:color="auto"/>
            </w:tcBorders>
          </w:tcPr>
          <w:p>
            <w:pPr>
              <w:jc w:val="center"/>
              <w:ind w:left="534"/>
              <w:spacing w:after="0" w:line="196" w:lineRule="exact"/>
              <w:rPr>
                <w:sz w:val="20"/>
                <w:szCs w:val="20"/>
                <w:color w:val="auto"/>
              </w:rPr>
            </w:pPr>
            <w:r>
              <w:rPr>
                <w:rFonts w:ascii="Arial" w:cs="Arial" w:eastAsia="Arial" w:hAnsi="Arial"/>
                <w:sz w:val="18"/>
                <w:szCs w:val="18"/>
                <w:color w:val="auto"/>
              </w:rPr>
              <w:t>16.6%</w:t>
            </w:r>
          </w:p>
        </w:tc>
      </w:tr>
    </w:tbl>
    <w:p>
      <w:pPr>
        <w:spacing w:after="0" w:line="215"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Adjusted EBITDA margin for 2017 was below the threshold lock-in achievement level. Accordingly, no lock-in vesting has been achieved. Given the amount by which the Company’s 2017 Adjusted EBITDA margin was below 2017 threshold achievement level, the Company believes these awards are unlikely to vest.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Incentives — Philosophy and Rationale</w:t>
      </w:r>
    </w:p>
    <w:p>
      <w:pPr>
        <w:spacing w:after="0" w:line="122" w:lineRule="exact"/>
        <w:rPr>
          <w:sz w:val="20"/>
          <w:szCs w:val="20"/>
          <w:color w:val="auto"/>
        </w:rPr>
      </w:pPr>
    </w:p>
    <w:p>
      <w:pPr>
        <w:jc w:val="both"/>
        <w:ind w:left="200" w:right="20"/>
        <w:spacing w:after="0" w:line="235" w:lineRule="auto"/>
        <w:rPr>
          <w:sz w:val="20"/>
          <w:szCs w:val="20"/>
          <w:color w:val="auto"/>
        </w:rPr>
      </w:pPr>
      <w:r>
        <w:rPr>
          <w:rFonts w:ascii="Arial" w:cs="Arial" w:eastAsia="Arial" w:hAnsi="Arial"/>
          <w:sz w:val="18"/>
          <w:szCs w:val="18"/>
          <w:color w:val="auto"/>
        </w:rPr>
        <w:t>The Committee believes that special one-time equity awards should be used sparingly outside of situations involving promotions and/or new hires, and only where individual performance and other circumstances warrant. In September 2017, each of our Regional Presidents was awarded a special, one-time RSU award, scheduled to vest 50% on the first and second anniversaries of the date of grant, subject to continued service through each scheduled vesting date. Grant date values for these awards were $1.7 million for our President, Americas, and $650,000 for our President, International. These awards were designed to recognize that in 2016 and 2017 management, including our Regional Presidents, successfully offset, in part, challenging industry headwinds with both cost reduction and strategic initiatives, and to recognize the importance of maintaining experienced management in a highly competitive and cyclical industry. Both of our Regional Presidents have long tenure with the Company and were involved in navigating the Company through the significant downturn we experienced in 2008-2009 as a result of the global economic crisis, and were instrumental in the Company’s 2017 achievements in workforce planning and shuttling, fleet optimization, driving additional direct bookings and prepaid rentals, and the continued roll-out of the Demand-Fleet-Pricing system. In approving these awards, the Committee considered the Company’s performance for 2017, which included improving results in the second half of 2017, and the retention value of prior incentive awards given both past and expected payouts under such awards. The Committee took into consideration below-target payouts under the 2015 and 2016 annual incentive programs, that the 2015 PSU awards were not expected to vest in 2017, and that it was unlikely that there would be any payouts under the 2016-2017 PSU awards or the 2017 annual incentive program (other than with respect to a below-target payout for the International region). However, the values of these special one-time awards were significantly less than the target award levels that were, or were expected to be, unearned.</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Setting CEO and Other NEO Compensation</w:t>
      </w:r>
    </w:p>
    <w:p>
      <w:pPr>
        <w:spacing w:after="0" w:line="126"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Our Board has assigned to the Committee the responsibility to approve compensation for all NEOs, including our CEO. The roles and duties of participants in the decision-making process for our executive program and their duties are summarized below.</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Role of the Independent Compensation Consultant</w:t>
      </w:r>
    </w:p>
    <w:p>
      <w:pPr>
        <w:spacing w:after="0" w:line="126"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Consistent with its charter, the Committee continued its engagement of Pay Governance LLC, a compensation consulting firm, to work with the Committee and the Company as an adviser on executive compensation matters in 2017. The compensation consultant reports to, and is directed by, the Committee, which has the authority to retain or terminate compensation advisers. In early 2017, the Committee reviewed information regarding the independence and potential conflicts of interest of Pay Governance, taking into account, among other things, the factors set forth in the NASDAQ listing standards.</w:t>
      </w:r>
    </w:p>
    <w:p>
      <w:pPr>
        <w:spacing w:after="0" w:line="9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Based on this review, the Committee concluded that the engagement of Pay Governance did not raise any conflict of interest. Outside of services provided for the Committee and advice to the Corporate Governance Committee related to compensation of non-employee directors, the compensation consultant did not provide additional services to the Company in 2017.</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Decisions</w:t>
      </w:r>
    </w:p>
    <w:p>
      <w:pPr>
        <w:spacing w:after="0" w:line="126"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In the case of NEOs other than the CEO, our Human Resources staff develops recommendations as to the level of compensation for each pay component generally based on position scope (defined as the executive’s relative responsibilities compared to others within the Company and the individual’s potential impact on Company operations), and the individual’s experience level and performance in addition to the factors discussed under “Analysis of 2017 Pay Decisions” above. Performance criteria and goals are recommended by our Human Resources staff based on the Company’s business plan and goals, with input from the CFO and his staff. Recommendations related to the elements generally reflect a review of practices of our Peer Group and Survey Data (as defined below), and are typically designed to take into consideration past practice and our strategy to tie a greater portion of total target compensation to variable versus fixed compensation.</w:t>
      </w:r>
    </w:p>
    <w:p>
      <w:pPr>
        <w:spacing w:after="0" w:line="100"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Each recommendation is then discussed with our CEO for feedback and final approval. Final recommendations are reviewed with the compensation consultant and the Chairman of the Committee to ensure that they are consistent with the Committee’s expectations and the Company’s compensation philosophy, and ultimately submitted to the Committee for consideration. The Committee has the ultimate right and authority to revise and/or approve recommendations of management.</w:t>
      </w:r>
    </w:p>
    <w:p>
      <w:pPr>
        <w:spacing w:after="0" w:line="94"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Our CEO’s compensation is determined by the Committee, working directly with the compensation consultant. The Committee determines each component of our CEO’s compensation, taking into consideration our CEO’s performance as well as market and Peer Group data and other factors such as level of experience and responsibilities, leadership, skill, contributions to the Company and the size and complexity of the Company’s balance sheet and operations.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Assessment</w:t>
      </w:r>
    </w:p>
    <w:p>
      <w:pPr>
        <w:spacing w:after="0" w:line="126"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In approving annual and long-term incentive awards for our NEOs, the Committee assesses the risks associated with the adoption of these awards, including the performance measures and goals for the awards, and for 2016, concluded that the incentive awards approved would not be likely to encourage excessive risk-taking. Consistent with past practice, management also reviewed the Company’s compensation policies and practices for employees generally with the chairmen of the Audit and Compensation committees and the Company’s compensation consultant to determine whether these programs create incentives that might motivate inappropriate or excessive risk-taking. For additional information, please see “Functions and Meetings of the Board of Directors-Risk Management and Risk Assessment.”</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Consideration of Peer Groups and Survey Data</w:t>
      </w:r>
    </w:p>
    <w:p>
      <w:pPr>
        <w:spacing w:after="0" w:line="126"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Given that there is just one other U.S.-based publicly traded car rental company, peer companies are selected to supplement that company with additional companies from industry sectors that are viewed as most relevant to our business based on the following criteria: company size based on revenue as the primary factor, headcount, market capitalization, enterprise value, and debt and assets. Given our capital structure, we place a greater emphasis on enterprise value than market capitalization when developing the peer group. For 2017 pay decisions, the Company’s peer group consisted of the following 16 companies (the “Peer Group”):</w:t>
      </w:r>
    </w:p>
    <w:p>
      <w:pPr>
        <w:sectPr>
          <w:pgSz w:w="11900" w:h="16838" w:orient="portrait"/>
          <w:cols w:equalWidth="0" w:num="1">
            <w:col w:w="11220"/>
          </w:cols>
          <w:pgMar w:left="240" w:top="459" w:right="439" w:bottom="1440" w:gutter="0" w:footer="0" w:header="0"/>
        </w:sectPr>
      </w:pP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AutoNation Inc.</w:t>
      </w:r>
    </w:p>
    <w:p>
      <w:pPr>
        <w:ind w:left="380"/>
        <w:spacing w:after="0" w:line="234" w:lineRule="auto"/>
        <w:rPr>
          <w:sz w:val="20"/>
          <w:szCs w:val="20"/>
          <w:color w:val="auto"/>
        </w:rPr>
      </w:pPr>
      <w:r>
        <w:rPr>
          <w:rFonts w:ascii="Arial" w:cs="Arial" w:eastAsia="Arial" w:hAnsi="Arial"/>
          <w:sz w:val="18"/>
          <w:szCs w:val="18"/>
          <w:color w:val="auto"/>
        </w:rPr>
        <w:t>Carmax, Inc.</w:t>
      </w:r>
    </w:p>
    <w:p>
      <w:pPr>
        <w:ind w:left="380"/>
        <w:spacing w:after="0" w:line="235" w:lineRule="auto"/>
        <w:rPr>
          <w:sz w:val="20"/>
          <w:szCs w:val="20"/>
          <w:color w:val="auto"/>
        </w:rPr>
      </w:pPr>
      <w:r>
        <w:rPr>
          <w:rFonts w:ascii="Arial" w:cs="Arial" w:eastAsia="Arial" w:hAnsi="Arial"/>
          <w:sz w:val="18"/>
          <w:szCs w:val="18"/>
          <w:color w:val="auto"/>
        </w:rPr>
        <w:t>Carnival Corporation</w:t>
      </w:r>
    </w:p>
    <w:p>
      <w:pPr>
        <w:ind w:left="380"/>
        <w:spacing w:after="0" w:line="235" w:lineRule="auto"/>
        <w:rPr>
          <w:sz w:val="20"/>
          <w:szCs w:val="20"/>
          <w:color w:val="auto"/>
        </w:rPr>
      </w:pPr>
      <w:r>
        <w:rPr>
          <w:rFonts w:ascii="Arial" w:cs="Arial" w:eastAsia="Arial" w:hAnsi="Arial"/>
          <w:sz w:val="18"/>
          <w:szCs w:val="18"/>
          <w:color w:val="auto"/>
        </w:rPr>
        <w:t>Cintas Corporation</w:t>
      </w:r>
    </w:p>
    <w:p>
      <w:pPr>
        <w:ind w:left="380"/>
        <w:spacing w:after="0" w:line="235" w:lineRule="auto"/>
        <w:rPr>
          <w:sz w:val="20"/>
          <w:szCs w:val="20"/>
          <w:color w:val="auto"/>
        </w:rPr>
      </w:pPr>
      <w:r>
        <w:rPr>
          <w:rFonts w:ascii="Arial" w:cs="Arial" w:eastAsia="Arial" w:hAnsi="Arial"/>
          <w:sz w:val="18"/>
          <w:szCs w:val="18"/>
          <w:color w:val="auto"/>
        </w:rPr>
        <w:t>Hertz Global Holdings, Inc.</w:t>
      </w:r>
    </w:p>
    <w:p>
      <w:pPr>
        <w:ind w:left="380"/>
        <w:spacing w:after="0"/>
        <w:rPr>
          <w:sz w:val="20"/>
          <w:szCs w:val="20"/>
          <w:color w:val="auto"/>
        </w:rPr>
      </w:pPr>
      <w:r>
        <w:rPr>
          <w:rFonts w:ascii="Arial" w:cs="Arial" w:eastAsia="Arial" w:hAnsi="Arial"/>
          <w:sz w:val="17"/>
          <w:szCs w:val="17"/>
          <w:color w:val="auto"/>
        </w:rPr>
        <w:t>J.B. Hunt Transport Services, Inc.</w:t>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Marriott International, Inc.</w:t>
      </w:r>
    </w:p>
    <w:p>
      <w:pPr>
        <w:ind w:left="380"/>
        <w:spacing w:after="0"/>
        <w:rPr>
          <w:sz w:val="20"/>
          <w:szCs w:val="20"/>
          <w:color w:val="auto"/>
        </w:rPr>
      </w:pPr>
      <w:r>
        <w:rPr>
          <w:rFonts w:ascii="Arial" w:cs="Arial" w:eastAsia="Arial" w:hAnsi="Arial"/>
          <w:sz w:val="18"/>
          <w:szCs w:val="18"/>
          <w:color w:val="auto"/>
        </w:rPr>
        <w:t>Norfolk Southern Corporation</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Norwegian Cruise Line Holdings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Office Depot, Inc.</w:t>
      </w:r>
    </w:p>
    <w:p>
      <w:pPr>
        <w:spacing w:after="0" w:line="234" w:lineRule="auto"/>
        <w:rPr>
          <w:sz w:val="20"/>
          <w:szCs w:val="20"/>
          <w:color w:val="auto"/>
        </w:rPr>
      </w:pPr>
      <w:r>
        <w:rPr>
          <w:rFonts w:ascii="Arial" w:cs="Arial" w:eastAsia="Arial" w:hAnsi="Arial"/>
          <w:sz w:val="18"/>
          <w:szCs w:val="18"/>
          <w:color w:val="auto"/>
        </w:rPr>
        <w:t>Pitney Bowes Inc.</w:t>
      </w:r>
    </w:p>
    <w:p>
      <w:pPr>
        <w:spacing w:after="0" w:line="235" w:lineRule="auto"/>
        <w:rPr>
          <w:sz w:val="20"/>
          <w:szCs w:val="20"/>
          <w:color w:val="auto"/>
        </w:rPr>
      </w:pPr>
      <w:r>
        <w:rPr>
          <w:rFonts w:ascii="Arial" w:cs="Arial" w:eastAsia="Arial" w:hAnsi="Arial"/>
          <w:sz w:val="18"/>
          <w:szCs w:val="18"/>
          <w:color w:val="auto"/>
        </w:rPr>
        <w:t>RR Donnelley &amp; Sons Company</w:t>
      </w:r>
    </w:p>
    <w:p>
      <w:pPr>
        <w:spacing w:after="0" w:line="235" w:lineRule="auto"/>
        <w:rPr>
          <w:sz w:val="20"/>
          <w:szCs w:val="20"/>
          <w:color w:val="auto"/>
        </w:rPr>
      </w:pPr>
      <w:r>
        <w:rPr>
          <w:rFonts w:ascii="Arial" w:cs="Arial" w:eastAsia="Arial" w:hAnsi="Arial"/>
          <w:sz w:val="18"/>
          <w:szCs w:val="18"/>
          <w:color w:val="auto"/>
        </w:rPr>
        <w:t>Royal Caribbean Cruises Ltd.</w:t>
      </w:r>
    </w:p>
    <w:p>
      <w:pPr>
        <w:spacing w:after="0" w:line="235" w:lineRule="auto"/>
        <w:rPr>
          <w:sz w:val="20"/>
          <w:szCs w:val="20"/>
          <w:color w:val="auto"/>
        </w:rPr>
      </w:pPr>
      <w:r>
        <w:rPr>
          <w:rFonts w:ascii="Arial" w:cs="Arial" w:eastAsia="Arial" w:hAnsi="Arial"/>
          <w:sz w:val="18"/>
          <w:szCs w:val="18"/>
          <w:color w:val="auto"/>
        </w:rPr>
        <w:t>Ryder System, Inc.</w:t>
      </w:r>
    </w:p>
    <w:p>
      <w:pPr>
        <w:spacing w:after="0" w:line="235" w:lineRule="auto"/>
        <w:rPr>
          <w:sz w:val="20"/>
          <w:szCs w:val="20"/>
          <w:color w:val="auto"/>
        </w:rPr>
      </w:pPr>
      <w:r>
        <w:rPr>
          <w:rFonts w:ascii="Arial" w:cs="Arial" w:eastAsia="Arial" w:hAnsi="Arial"/>
          <w:sz w:val="18"/>
          <w:szCs w:val="18"/>
          <w:color w:val="auto"/>
        </w:rPr>
        <w:t>Waste Management, Inc.</w:t>
      </w:r>
    </w:p>
    <w:p>
      <w:pPr>
        <w:spacing w:after="0"/>
        <w:rPr>
          <w:sz w:val="20"/>
          <w:szCs w:val="20"/>
          <w:color w:val="auto"/>
        </w:rPr>
      </w:pPr>
      <w:r>
        <w:rPr>
          <w:rFonts w:ascii="Arial" w:cs="Arial" w:eastAsia="Arial" w:hAnsi="Arial"/>
          <w:sz w:val="18"/>
          <w:szCs w:val="18"/>
          <w:color w:val="auto"/>
        </w:rPr>
        <w:t>Wyndham Worldwide Corporation</w:t>
      </w:r>
    </w:p>
    <w:p>
      <w:pPr>
        <w:spacing w:after="0" w:line="117" w:lineRule="exact"/>
        <w:rPr>
          <w:sz w:val="20"/>
          <w:szCs w:val="20"/>
          <w:color w:val="auto"/>
        </w:rPr>
      </w:pPr>
    </w:p>
    <w:p>
      <w:pPr>
        <w:sectPr>
          <w:pgSz w:w="11900" w:h="16838" w:orient="portrait"/>
          <w:cols w:equalWidth="0" w:num="2">
            <w:col w:w="5480" w:space="720"/>
            <w:col w:w="5020"/>
          </w:cols>
          <w:pgMar w:left="240" w:top="459" w:right="439" w:bottom="1440" w:gutter="0" w:footer="0" w:header="0"/>
          <w:type w:val="continuous"/>
        </w:sectPr>
      </w:pPr>
    </w:p>
    <w:p>
      <w:pPr>
        <w:jc w:val="both"/>
        <w:ind w:left="200"/>
        <w:spacing w:after="0" w:line="236" w:lineRule="auto"/>
        <w:rPr>
          <w:sz w:val="20"/>
          <w:szCs w:val="20"/>
          <w:color w:val="auto"/>
        </w:rPr>
      </w:pPr>
      <w:r>
        <w:rPr>
          <w:rFonts w:ascii="Arial" w:cs="Arial" w:eastAsia="Arial" w:hAnsi="Arial"/>
          <w:sz w:val="18"/>
          <w:szCs w:val="18"/>
          <w:color w:val="auto"/>
        </w:rPr>
        <w:t>The current Peer Group was initially approved in 2011 and reviewed in subsequent years. For 2017, the Committee removed Starwood Hotels &amp; Resorts Worldwide from the Peer Group as a result of its merger with Marriott International. The Committee reviewed pay data of the Peer Group, as previously discussed, applying regression analysis as needed that adjusts for the differences in revenue size within the Peer Group to ensure reasonable comparability of the pay packages of our NEOs. The Committee does not specifically target any percentile within the Peer Group when setting overall compensation, any individual element of compensation or the relative pay mix among different elements of compensation. The Committee expects to review the Peer Group from time to time in order to ensure that the component companies continue to meet the criteria for which they were selected, as well as to identify other companies that may become appropriate for inclusion.</w:t>
      </w:r>
    </w:p>
    <w:p>
      <w:pPr>
        <w:spacing w:after="0" w:line="100"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The Committee recognizes that our executives have opportunities available to them in a range of industries and that any peer group for the Company will have some inherent limitations given the absence of a large sample of public companies in the vehicle rental business. In order to compare ourselves to a broad set of general industry market data available, the Committee also reviews widely-used survey data from consulting firms such as Aon Hewitt and Willis Towers Watson for companies that have revenue comparable to ours (the “Survey Data”) as another data point. The Survey Data</w:t>
      </w:r>
      <w:r>
        <w:rPr>
          <w:rFonts w:ascii="Arial" w:cs="Arial" w:eastAsia="Arial" w:hAnsi="Arial"/>
          <w:sz w:val="15"/>
          <w:szCs w:val="15"/>
          <w:color w:val="auto"/>
        </w:rPr>
        <w:t>1</w:t>
      </w:r>
      <w:r>
        <w:rPr>
          <w:rFonts w:ascii="Arial" w:cs="Arial" w:eastAsia="Arial" w:hAnsi="Arial"/>
          <w:sz w:val="18"/>
          <w:szCs w:val="18"/>
          <w:color w:val="auto"/>
        </w:rPr>
        <w:t xml:space="preserve"> represents data from over 1,000 companies sized according to revenue, assets and number of employees.</w:t>
      </w:r>
    </w:p>
    <w:p>
      <w:pPr>
        <w:spacing w:after="0" w:line="97"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In 2017, the Committee considered the Survey Data for each element of the 2017 compensation and benefits package as a general check and to ensure reasonable comparability. Consideration of the Peer Group and the Survey Data represented just two factors considered in setting executive compensation for 2017. Please refer to “Analysis of 2017 Pay Decisions” for the other factors considered in setting executive compensation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154305</wp:posOffset>
            </wp:positionV>
            <wp:extent cx="6946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98" w:lineRule="exact"/>
        <w:rPr>
          <w:sz w:val="20"/>
          <w:szCs w:val="20"/>
          <w:color w:val="auto"/>
        </w:rPr>
      </w:pPr>
    </w:p>
    <w:p>
      <w:pPr>
        <w:jc w:val="both"/>
        <w:ind w:left="520" w:hanging="316"/>
        <w:spacing w:after="0" w:line="228"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While the Survey Data include a general list of participating companies, each survey provides information on a “no-names” basis-i.e., for each position comparison, it does not identify by name which companies comparable in revenue size to our Company produced results for each position matched, and thus we are unable to list the comparable companies that are included in the Survey Data utilized.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 Consideration of the Company’s 2017 Shareholder Vote on Executive Compensation</w:t>
      </w:r>
    </w:p>
    <w:p>
      <w:pPr>
        <w:spacing w:after="0" w:line="126"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The Committee reviewed the results of the Company’s shareholder advisory vote on executive compensation (“Say on Pay”) in 2017. At the 2017 annual meeting of shareholders, over 99% of the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votes cast were in support of the Company’s Say on Pay proposal. Based on the 2017 Say on Pay results and feedback from shareholders, the Committee concluded that the Company’s overall compensation program as it relates to its NEOs enjoys the support of the Company’s shareholders and does not require revision to address any broad shareholder concerns.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Policy Related to Equity Awards</w:t>
      </w:r>
    </w:p>
    <w:p>
      <w:pPr>
        <w:spacing w:after="0" w:line="126"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Our practice has been to grant long-term incentive awards at pre-established meetings of the Committee. Annual long-term incentive awards, which typically include the awards granted to all of the NEOs, have usually been approved on the date of the first regularly scheduled Committee meeting each year. However, the Committee retains the ability to determine, and has in the past determined, that another grant date may be appropriate in certain circumstances. For 2017 and future years, the Company granted, and expects to grant, awards at a subsequent meeting in March. Awards may also be approved at other Committee meetings typically for executives hired or promoted since the prior meeting. In connection with valuing the grants of stock-based awards, it is our policy generally to use, as the grant or strike price for any stock-based compensation vehicle, the closing price of our Common Stock on the date the Committee approves the award. The Committee typically approves a dollar amount for each restricted unit award, which is then divided by the closing price of our Common Stock on the date of grant to arrive at the number of restricted units to be granted.</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Stock Ownership and Retention Guidelines</w:t>
      </w:r>
    </w:p>
    <w:p>
      <w:pPr>
        <w:spacing w:after="0" w:line="126"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Our executive stock ownership guidelines require senior officers to acquire and hold designated levels of Avis Budget Common Stock. Under these guidelines, our CEO is required to retain 100%, and other NEOs are required to retain a minimum of 50% of the net shares (net of taxes) obtained upon the vesting of restricted stock awards and of vested stock options, until reaching the following specified ownership thresholds: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Officer(s)</w:t>
            </w:r>
          </w:p>
        </w:tc>
        <w:tc>
          <w:tcPr>
            <w:tcW w:w="7620" w:type="dxa"/>
            <w:vAlign w:val="bottom"/>
          </w:tcPr>
          <w:p>
            <w:pPr>
              <w:ind w:left="2440"/>
              <w:spacing w:after="0"/>
              <w:rPr>
                <w:sz w:val="20"/>
                <w:szCs w:val="20"/>
                <w:color w:val="auto"/>
              </w:rPr>
            </w:pPr>
            <w:r>
              <w:rPr>
                <w:rFonts w:ascii="Arial" w:cs="Arial" w:eastAsia="Arial" w:hAnsi="Arial"/>
                <w:sz w:val="14"/>
                <w:szCs w:val="14"/>
                <w:b w:val="1"/>
                <w:bCs w:val="1"/>
                <w:color w:val="auto"/>
              </w:rPr>
              <w:t>Threshold</w:t>
            </w:r>
          </w:p>
        </w:tc>
      </w:tr>
      <w:tr>
        <w:trPr>
          <w:trHeight w:val="196"/>
        </w:trPr>
        <w:tc>
          <w:tcPr>
            <w:tcW w:w="20" w:type="dxa"/>
            <w:vAlign w:val="bottom"/>
          </w:tcPr>
          <w:p>
            <w:pPr>
              <w:spacing w:after="0"/>
              <w:rPr>
                <w:sz w:val="17"/>
                <w:szCs w:val="17"/>
                <w:color w:val="auto"/>
              </w:rPr>
            </w:pPr>
          </w:p>
        </w:tc>
        <w:tc>
          <w:tcPr>
            <w:tcW w:w="3400" w:type="dxa"/>
            <w:vAlign w:val="bottom"/>
            <w:tcBorders>
              <w:top w:val="single" w:sz="8" w:color="auto"/>
              <w:bottom w:val="single" w:sz="8" w:color="CCCCCC"/>
            </w:tcBorders>
            <w:shd w:val="clear" w:color="auto" w:fill="F2F2F2"/>
          </w:tcPr>
          <w:p>
            <w:pPr>
              <w:spacing w:after="0" w:line="196" w:lineRule="exact"/>
              <w:rPr>
                <w:sz w:val="20"/>
                <w:szCs w:val="20"/>
                <w:color w:val="auto"/>
              </w:rPr>
            </w:pPr>
            <w:r>
              <w:rPr>
                <w:rFonts w:ascii="Arial" w:cs="Arial" w:eastAsia="Arial" w:hAnsi="Arial"/>
                <w:sz w:val="18"/>
                <w:szCs w:val="18"/>
                <w:color w:val="auto"/>
              </w:rPr>
              <w:t>CEO</w:t>
            </w:r>
          </w:p>
        </w:tc>
        <w:tc>
          <w:tcPr>
            <w:tcW w:w="7620" w:type="dxa"/>
            <w:vAlign w:val="bottom"/>
            <w:tcBorders>
              <w:top w:val="single" w:sz="8" w:color="auto"/>
              <w:bottom w:val="single" w:sz="8" w:color="CCCCCC"/>
            </w:tcBorders>
            <w:shd w:val="clear" w:color="auto" w:fill="F2F2F2"/>
          </w:tcPr>
          <w:p>
            <w:pPr>
              <w:ind w:left="2440"/>
              <w:spacing w:after="0" w:line="196" w:lineRule="exact"/>
              <w:rPr>
                <w:sz w:val="20"/>
                <w:szCs w:val="20"/>
                <w:color w:val="auto"/>
              </w:rPr>
            </w:pPr>
            <w:r>
              <w:rPr>
                <w:rFonts w:ascii="Arial" w:cs="Arial" w:eastAsia="Arial" w:hAnsi="Arial"/>
                <w:sz w:val="18"/>
                <w:szCs w:val="18"/>
                <w:color w:val="auto"/>
              </w:rPr>
              <w:t>Five times base salary</w:t>
            </w:r>
          </w:p>
        </w:tc>
      </w:tr>
      <w:tr>
        <w:trPr>
          <w:trHeight w:val="196"/>
        </w:trPr>
        <w:tc>
          <w:tcPr>
            <w:tcW w:w="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Other NEOs</w:t>
            </w:r>
          </w:p>
        </w:tc>
        <w:tc>
          <w:tcPr>
            <w:tcW w:w="7620" w:type="dxa"/>
            <w:vAlign w:val="bottom"/>
            <w:tcBorders>
              <w:bottom w:val="single" w:sz="8" w:color="auto"/>
            </w:tcBorders>
          </w:tcPr>
          <w:p>
            <w:pPr>
              <w:ind w:left="2440"/>
              <w:spacing w:after="0" w:line="196" w:lineRule="exact"/>
              <w:rPr>
                <w:sz w:val="20"/>
                <w:szCs w:val="20"/>
                <w:color w:val="auto"/>
              </w:rPr>
            </w:pPr>
            <w:r>
              <w:rPr>
                <w:rFonts w:ascii="Arial" w:cs="Arial" w:eastAsia="Arial" w:hAnsi="Arial"/>
                <w:sz w:val="18"/>
                <w:szCs w:val="18"/>
                <w:color w:val="auto"/>
              </w:rPr>
              <w:t>Three times base salary</w:t>
            </w:r>
          </w:p>
        </w:tc>
      </w:tr>
    </w:tbl>
    <w:p>
      <w:pPr>
        <w:spacing w:after="0" w:line="215"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Given the mandatory hold provision until thresholds are obtained, there is no specified deadline for achieving designated thresholds. For purposes of the executive stock ownership guidelines, stock ownership is defined to include stock owned by the executive directly, stock owned indirectly through the Company’s savings plan, and the “in-the-money” portion of vested stock options. Our current NEOs have exceeded the applicable specified ownership threshold, with the exception of our interim CFO.</w:t>
      </w:r>
    </w:p>
    <w:p>
      <w:pPr>
        <w:spacing w:after="0" w:line="94"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Following attainment of ownership thresholds, our NEOs are required, for a period of one year, to hold an amount equal to 50% of the net shares obtained upon the vesting of any equity award and 50% of all stock options that vest.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and Change of Control Agreements; Severance Arrangements</w:t>
      </w:r>
    </w:p>
    <w:p>
      <w:pPr>
        <w:spacing w:after="0" w:line="126"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To foster the retention of our key management team and in accordance with past practice, we entered into an employment agreement with our CEO in connection with his assumption of the role in 2016. Effective December 31, 2017, the employment agreement with our Chairman expired and was not extended or renewed and his employment continues “at will.”</w:t>
      </w:r>
    </w:p>
    <w:p>
      <w:pPr>
        <w:spacing w:after="0" w:line="95"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In June 2017, our Former CFO, who had held the role of chief financial officer since 2006, separated from the Company. In connection with this separation, we entered into a separation agreement which provided for post-separation severance and benefits in accordance with the terms of our Former CFO’s employment agreement, which was amended March 2016 to (i) reduce the cash severance payable in connection with a separation without cause or as a result of a constructive discharge from 299% to</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200% of the sum of base salary plus target bonus, and to (ii) reduce accelerated vesting of stock-based awards from 100% of all awards to vesting of only those awards scheduled to vest less than two years following separation, with vesting of performance-based awards to be based solely on the actual achievement of the applicable performance goals. In consideration of these recent changes, the Committee approved an additional cash severance payment of $1.25 million, which was meaningfully less than the reduction in severance that was agreed to in 2016. The Separation Agreement also provided for non-competition, non-solicit and cooperation covenants.</w:t>
      </w:r>
    </w:p>
    <w:p>
      <w:pPr>
        <w:spacing w:after="0" w:line="9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We have also entered into agreements with our President, Americas and our President, International, under which the Company seeks to provide these officers with appropriate protections consistent with prevailing market practices. In addition, we entered into an agreement with our interim CFO in 2017 setting forth the terms of an anticipated short-term assignment.</w:t>
      </w:r>
    </w:p>
    <w:p>
      <w:pPr>
        <w:spacing w:after="0" w:line="9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A more detailed description of the Company’s current agreements with our NEOs is set forth below under the heading “Employment Agreements and Other Arrangements,” and the benefits that would be received by our NEOs in the event of termination without cause or a change in control are set forth below under the heading “Termination, Severance and Change of Control Arrangements.”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Perquisites and Benefits</w:t>
      </w:r>
    </w:p>
    <w:p>
      <w:pPr>
        <w:spacing w:after="0" w:line="126"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We seek to provide perquisites to our executives that are consistent with those provided by Peer Group companies. Our perquisites currently consist primarily of financial planning services, auto use or allowance, discounted auto insurance, auto leasing through the employee lease program and limited personal use of Company-leased aircraft services. In 2017, Mr. Servodidio, who was based in the United Kingdom, and Mr. De Shon, who was based in the United Kingdom from October 2011 through October 2015, were also provided with expatriate benefits associated with a Company-requested long-term assignment to the United Kingdom. The Company does not provide tax reimbursements on perquisites for any of our NEOs other than relocation and expatriate benefits in accordance with the Company’s standard policies.</w:t>
      </w:r>
    </w:p>
    <w:p>
      <w:pPr>
        <w:spacing w:after="0" w:line="95"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The Company pays annual dues for a membership in a private, not-for-profit dining club for use by our CEO primarily for Company-sponsored meetings. Employees, including our NEOs, may also receive tickets for professional baseball games held at Yankee Stadium, which are part of the Company’s season ticket subscription, and do not result in an associated incremental cost to our Company. Our ticket allocation policy is generally seniority-based, with a valid business purpose superseding any personal use. We will continue to review our compensation and benefit programs to ensure that we remain competitive with comparable companies and are able to attract and retain highly qualified senior executives.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Anti-Hedging Policy</w:t>
      </w:r>
    </w:p>
    <w:p>
      <w:pPr>
        <w:spacing w:after="0" w:line="126"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The Company’s insider trading policy prohibits executive officers and directors from, among other things, (i) engaging in hedging transactions with respect to Company securities, including through the use of financial instruments such as prepaid variable forwards, equity swaps, collars and exchange funds, and (ii) holding Company securities in a margin account or otherwise pledging Company securities as collateral for a loan. Short sales of the Company’s securities are also prohibited under such policy.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Recoupment (Clawback) Policy</w:t>
      </w:r>
    </w:p>
    <w:p>
      <w:pPr>
        <w:spacing w:after="0" w:line="126"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Our Board of Directors has adopted a policy that provides that if the Board learns of any intentional misconduct by an “executive officer” (as defined under Section 16 of the Exchange Act) that resulted in an increase to incentive income awarded to that officer, the Board will, to the full extent permitted by applicable law, in all appropriate cases, require reimbursement of the increased portion of incentive income awarded to that officer. We intend to amend our clawback policy, if necessary, to comply with any rules adopted by the SEC.</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Deductibility of Compensation</w:t>
      </w:r>
    </w:p>
    <w:p>
      <w:pPr>
        <w:spacing w:after="0" w:line="126"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Section 162(m) of the Code limits our ability to deduct certain compensation in excess of $1.0 million per year paid to the Company’s chief executive officer and to certain of our other named executive officers (the “covered NEOs”). Prior to the passage of the Tax Cuts and Jobs Act of 2017, this limitation did not apply to compensation that qualifies under applicable regulations as “performance-based.” For 2017 and prior years, it has been our intent to design the performance-based compensation we awarded to our NEOs to satisfy the requirements for deductibility under Section 162(m); however, the Committee is authorized to exercise discretion in determining payments in relation to levels of achievement of performance goals and believes that the total compensation program for executive officers should be managed in accordance with the objectives outlined in our compensation philosophy and in the best overall interests of our shareholders. For this reason, some compensation intended to be performance-based may exceed the limitations or not meet the requirements for deductibility under Section 162(m).</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Report</w:t>
      </w:r>
    </w:p>
    <w:p>
      <w:pPr>
        <w:spacing w:after="0" w:line="126"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Avis Budget Compensation Committee has reviewed and discussed the Compensation Discussion and Analysis required by Item 402(b) of Regulation S-K with management and, based on this review and discussion, the Compensation Committee recommended to the Board that the Compensation Discussion and Analysis be included in this Proxy Statement.</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COMPENSATION COMMITTEE</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John D. Hardy, Jr., Chairman</w:t>
      </w:r>
    </w:p>
    <w:p>
      <w:pPr>
        <w:jc w:val="center"/>
        <w:ind w:right="-199"/>
        <w:spacing w:after="0" w:line="234" w:lineRule="auto"/>
        <w:rPr>
          <w:sz w:val="20"/>
          <w:szCs w:val="20"/>
          <w:color w:val="auto"/>
        </w:rPr>
      </w:pPr>
      <w:r>
        <w:rPr>
          <w:rFonts w:ascii="Arial" w:cs="Arial" w:eastAsia="Arial" w:hAnsi="Arial"/>
          <w:sz w:val="18"/>
          <w:szCs w:val="18"/>
          <w:i w:val="1"/>
          <w:iCs w:val="1"/>
          <w:color w:val="auto"/>
        </w:rPr>
        <w:t>Brian J. Choi</w:t>
      </w:r>
    </w:p>
    <w:p>
      <w:pPr>
        <w:jc w:val="center"/>
        <w:ind w:right="-199"/>
        <w:spacing w:after="0" w:line="235" w:lineRule="auto"/>
        <w:rPr>
          <w:sz w:val="20"/>
          <w:szCs w:val="20"/>
          <w:color w:val="auto"/>
        </w:rPr>
      </w:pPr>
      <w:r>
        <w:rPr>
          <w:rFonts w:ascii="Arial" w:cs="Arial" w:eastAsia="Arial" w:hAnsi="Arial"/>
          <w:sz w:val="18"/>
          <w:szCs w:val="18"/>
          <w:i w:val="1"/>
          <w:iCs w:val="1"/>
          <w:color w:val="auto"/>
        </w:rPr>
        <w:t>Leonard S. Coleman</w:t>
      </w:r>
    </w:p>
    <w:p>
      <w:pPr>
        <w:jc w:val="center"/>
        <w:ind w:right="-199"/>
        <w:spacing w:after="0" w:line="235" w:lineRule="auto"/>
        <w:rPr>
          <w:sz w:val="20"/>
          <w:szCs w:val="20"/>
          <w:color w:val="auto"/>
        </w:rPr>
      </w:pPr>
      <w:r>
        <w:rPr>
          <w:rFonts w:ascii="Arial" w:cs="Arial" w:eastAsia="Arial" w:hAnsi="Arial"/>
          <w:sz w:val="18"/>
          <w:szCs w:val="18"/>
          <w:i w:val="1"/>
          <w:iCs w:val="1"/>
          <w:color w:val="auto"/>
        </w:rPr>
        <w:t>Jeffrey H. Fox</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Lynn Krominga</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Summary Compensation Table</w:t>
      </w:r>
    </w:p>
    <w:p>
      <w:pPr>
        <w:spacing w:after="0" w:line="1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9"/>
              </w:rPr>
              <w:t>Value and</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900" w:type="dxa"/>
            <w:vAlign w:val="bottom"/>
          </w:tcPr>
          <w:p>
            <w:pPr>
              <w:jc w:val="center"/>
              <w:ind w:right="8"/>
              <w:spacing w:after="0"/>
              <w:rPr>
                <w:sz w:val="20"/>
                <w:szCs w:val="20"/>
                <w:color w:val="auto"/>
              </w:rPr>
            </w:pPr>
            <w:r>
              <w:rPr>
                <w:rFonts w:ascii="Arial" w:cs="Arial" w:eastAsia="Arial" w:hAnsi="Arial"/>
                <w:sz w:val="14"/>
                <w:szCs w:val="14"/>
                <w:b w:val="1"/>
                <w:bCs w:val="1"/>
                <w:color w:val="auto"/>
              </w:rPr>
              <w:t>All</w:t>
            </w:r>
          </w:p>
        </w:tc>
        <w:tc>
          <w:tcPr>
            <w:tcW w:w="9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900" w:type="dxa"/>
            <w:vAlign w:val="bottom"/>
          </w:tcPr>
          <w:p>
            <w:pPr>
              <w:jc w:val="center"/>
              <w:ind w:right="8"/>
              <w:spacing w:after="0"/>
              <w:rPr>
                <w:sz w:val="20"/>
                <w:szCs w:val="20"/>
                <w:color w:val="auto"/>
              </w:rPr>
            </w:pPr>
            <w:r>
              <w:rPr>
                <w:rFonts w:ascii="Arial" w:cs="Arial" w:eastAsia="Arial" w:hAnsi="Arial"/>
                <w:sz w:val="14"/>
                <w:szCs w:val="14"/>
                <w:b w:val="1"/>
                <w:bCs w:val="1"/>
                <w:color w:val="auto"/>
              </w:rPr>
              <w:t>Other</w:t>
            </w:r>
          </w:p>
        </w:tc>
        <w:tc>
          <w:tcPr>
            <w:tcW w:w="900" w:type="dxa"/>
            <w:vAlign w:val="bottom"/>
          </w:tcPr>
          <w:p>
            <w:pPr>
              <w:spacing w:after="0"/>
              <w:rPr>
                <w:sz w:val="14"/>
                <w:szCs w:val="14"/>
                <w:color w:val="auto"/>
              </w:rPr>
            </w:pPr>
          </w:p>
        </w:tc>
      </w:tr>
      <w:tr>
        <w:trPr>
          <w:trHeight w:val="162"/>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Name and</w:t>
            </w:r>
          </w:p>
        </w:tc>
        <w:tc>
          <w:tcPr>
            <w:tcW w:w="640" w:type="dxa"/>
            <w:vAlign w:val="bottom"/>
          </w:tcPr>
          <w:p>
            <w:pPr>
              <w:spacing w:after="0"/>
              <w:rPr>
                <w:sz w:val="14"/>
                <w:szCs w:val="14"/>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b w:val="1"/>
                <w:bCs w:val="1"/>
                <w:color w:val="auto"/>
              </w:rPr>
              <w:t>Salary</w:t>
            </w: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Bonus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900" w:type="dxa"/>
            <w:vAlign w:val="bottom"/>
          </w:tcPr>
          <w:p>
            <w:pPr>
              <w:jc w:val="center"/>
              <w:ind w:right="8"/>
              <w:spacing w:after="0"/>
              <w:rPr>
                <w:sz w:val="20"/>
                <w:szCs w:val="20"/>
                <w:color w:val="auto"/>
              </w:rPr>
            </w:pPr>
            <w:r>
              <w:rPr>
                <w:rFonts w:ascii="Arial" w:cs="Arial" w:eastAsia="Arial" w:hAnsi="Arial"/>
                <w:sz w:val="14"/>
                <w:szCs w:val="14"/>
                <w:b w:val="1"/>
                <w:bCs w:val="1"/>
                <w:color w:val="auto"/>
              </w:rPr>
              <w:t>Comp</w:t>
            </w: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r>
      <w:tr>
        <w:trPr>
          <w:trHeight w:val="175"/>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Principal Position</w:t>
            </w:r>
          </w:p>
        </w:tc>
        <w:tc>
          <w:tcPr>
            <w:tcW w:w="640" w:type="dxa"/>
            <w:vAlign w:val="bottom"/>
          </w:tcPr>
          <w:p>
            <w:pPr>
              <w:ind w:left="180"/>
              <w:spacing w:after="0"/>
              <w:rPr>
                <w:sz w:val="20"/>
                <w:szCs w:val="20"/>
                <w:color w:val="auto"/>
              </w:rPr>
            </w:pPr>
            <w:r>
              <w:rPr>
                <w:rFonts w:ascii="Arial" w:cs="Arial" w:eastAsia="Arial" w:hAnsi="Arial"/>
                <w:sz w:val="14"/>
                <w:szCs w:val="14"/>
                <w:b w:val="1"/>
                <w:bCs w:val="1"/>
                <w:color w:val="auto"/>
              </w:rPr>
              <w:t>Year</w:t>
            </w: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($)(a)</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900" w:type="dxa"/>
            <w:vAlign w:val="bottom"/>
          </w:tcPr>
          <w:p>
            <w:pPr>
              <w:jc w:val="center"/>
              <w:ind w:right="8"/>
              <w:spacing w:after="0"/>
              <w:rPr>
                <w:sz w:val="20"/>
                <w:szCs w:val="20"/>
                <w:color w:val="auto"/>
              </w:rPr>
            </w:pPr>
            <w:r>
              <w:rPr>
                <w:rFonts w:ascii="Arial" w:cs="Arial" w:eastAsia="Arial" w:hAnsi="Arial"/>
                <w:sz w:val="14"/>
                <w:szCs w:val="14"/>
                <w:b w:val="1"/>
                <w:bCs w:val="1"/>
                <w:color w:val="auto"/>
                <w:w w:val="99"/>
              </w:rPr>
              <w:t>($)(e)</w:t>
            </w:r>
          </w:p>
        </w:tc>
        <w:tc>
          <w:tcPr>
            <w:tcW w:w="90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r>
      <w:tr>
        <w:trPr>
          <w:trHeight w:val="156"/>
        </w:trPr>
        <w:tc>
          <w:tcPr>
            <w:tcW w:w="20" w:type="dxa"/>
            <w:vAlign w:val="bottom"/>
          </w:tcPr>
          <w:p>
            <w:pPr>
              <w:spacing w:after="0"/>
              <w:rPr>
                <w:sz w:val="13"/>
                <w:szCs w:val="13"/>
                <w:color w:val="auto"/>
              </w:rPr>
            </w:pPr>
          </w:p>
        </w:tc>
        <w:tc>
          <w:tcPr>
            <w:tcW w:w="3100" w:type="dxa"/>
            <w:vAlign w:val="bottom"/>
            <w:tcBorders>
              <w:top w:val="single" w:sz="8" w:color="auto"/>
            </w:tcBorders>
            <w:shd w:val="clear" w:color="auto" w:fill="F4F9F9"/>
          </w:tcPr>
          <w:p>
            <w:pPr>
              <w:spacing w:after="0" w:line="155" w:lineRule="exact"/>
              <w:rPr>
                <w:sz w:val="20"/>
                <w:szCs w:val="20"/>
                <w:color w:val="auto"/>
              </w:rPr>
            </w:pPr>
            <w:r>
              <w:rPr>
                <w:rFonts w:ascii="Arial" w:cs="Arial" w:eastAsia="Arial" w:hAnsi="Arial"/>
                <w:sz w:val="14"/>
                <w:szCs w:val="14"/>
                <w:color w:val="auto"/>
              </w:rPr>
              <w:t>De Shon, Larry D.</w:t>
            </w:r>
          </w:p>
        </w:tc>
        <w:tc>
          <w:tcPr>
            <w:tcW w:w="640" w:type="dxa"/>
            <w:vAlign w:val="bottom"/>
            <w:tcBorders>
              <w:top w:val="single" w:sz="8" w:color="auto"/>
            </w:tcBorders>
            <w:shd w:val="clear" w:color="auto" w:fill="F4F9F9"/>
          </w:tcPr>
          <w:p>
            <w:pPr>
              <w:ind w:left="200"/>
              <w:spacing w:after="0" w:line="155" w:lineRule="exact"/>
              <w:rPr>
                <w:sz w:val="20"/>
                <w:szCs w:val="20"/>
                <w:color w:val="auto"/>
              </w:rPr>
            </w:pPr>
            <w:r>
              <w:rPr>
                <w:rFonts w:ascii="Arial" w:cs="Arial" w:eastAsia="Arial" w:hAnsi="Arial"/>
                <w:sz w:val="14"/>
                <w:szCs w:val="14"/>
                <w:color w:val="auto"/>
              </w:rPr>
              <w:t>2017</w:t>
            </w:r>
          </w:p>
        </w:tc>
        <w:tc>
          <w:tcPr>
            <w:tcW w:w="880" w:type="dxa"/>
            <w:vAlign w:val="bottom"/>
            <w:tcBorders>
              <w:top w:val="single" w:sz="8" w:color="auto"/>
            </w:tcBorders>
            <w:shd w:val="clear" w:color="auto" w:fill="F4F9F9"/>
          </w:tcPr>
          <w:p>
            <w:pPr>
              <w:jc w:val="right"/>
              <w:ind w:right="48"/>
              <w:spacing w:after="0" w:line="155" w:lineRule="exact"/>
              <w:rPr>
                <w:sz w:val="20"/>
                <w:szCs w:val="20"/>
                <w:color w:val="auto"/>
              </w:rPr>
            </w:pPr>
            <w:r>
              <w:rPr>
                <w:rFonts w:ascii="Arial" w:cs="Arial" w:eastAsia="Arial" w:hAnsi="Arial"/>
                <w:sz w:val="14"/>
                <w:szCs w:val="14"/>
                <w:color w:val="auto"/>
              </w:rPr>
              <w:t>1,095,068</w:t>
            </w:r>
          </w:p>
        </w:tc>
        <w:tc>
          <w:tcPr>
            <w:tcW w:w="660" w:type="dxa"/>
            <w:vAlign w:val="bottom"/>
            <w:tcBorders>
              <w:top w:val="single" w:sz="8" w:color="auto"/>
            </w:tcBorders>
            <w:shd w:val="clear" w:color="auto" w:fill="F4F9F9"/>
          </w:tcPr>
          <w:p>
            <w:pPr>
              <w:jc w:val="cente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F4F9F9"/>
          </w:tcPr>
          <w:p>
            <w:pPr>
              <w:jc w:val="right"/>
              <w:ind w:right="28"/>
              <w:spacing w:after="0" w:line="155" w:lineRule="exact"/>
              <w:rPr>
                <w:sz w:val="20"/>
                <w:szCs w:val="20"/>
                <w:color w:val="auto"/>
              </w:rPr>
            </w:pPr>
            <w:r>
              <w:rPr>
                <w:rFonts w:ascii="Arial" w:cs="Arial" w:eastAsia="Arial" w:hAnsi="Arial"/>
                <w:sz w:val="14"/>
                <w:szCs w:val="14"/>
                <w:color w:val="auto"/>
              </w:rPr>
              <w:t>5,499,991</w:t>
            </w:r>
          </w:p>
        </w:tc>
        <w:tc>
          <w:tcPr>
            <w:tcW w:w="720" w:type="dxa"/>
            <w:vAlign w:val="bottom"/>
            <w:tcBorders>
              <w:top w:val="single" w:sz="8" w:color="auto"/>
            </w:tcBorders>
            <w:shd w:val="clear" w:color="auto" w:fill="F4F9F9"/>
          </w:tcPr>
          <w:p>
            <w:pPr>
              <w:jc w:val="center"/>
              <w:spacing w:after="0" w:line="155" w:lineRule="exact"/>
              <w:rPr>
                <w:sz w:val="20"/>
                <w:szCs w:val="20"/>
                <w:color w:val="auto"/>
              </w:rPr>
            </w:pPr>
            <w:r>
              <w:rPr>
                <w:rFonts w:ascii="Arial" w:cs="Arial" w:eastAsia="Arial" w:hAnsi="Arial"/>
                <w:sz w:val="14"/>
                <w:szCs w:val="14"/>
                <w:color w:val="auto"/>
                <w:w w:val="99"/>
              </w:rPr>
              <w:t>—</w:t>
            </w:r>
          </w:p>
        </w:tc>
        <w:tc>
          <w:tcPr>
            <w:tcW w:w="1180" w:type="dxa"/>
            <w:vAlign w:val="bottom"/>
            <w:tcBorders>
              <w:top w:val="single" w:sz="8" w:color="auto"/>
            </w:tcBorders>
            <w:shd w:val="clear" w:color="auto" w:fill="F4F9F9"/>
          </w:tcPr>
          <w:p>
            <w:pPr>
              <w:jc w:val="center"/>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F4F9F9"/>
          </w:tcPr>
          <w:p>
            <w:pPr>
              <w:jc w:val="center"/>
              <w:spacing w:after="0" w:line="155" w:lineRule="exact"/>
              <w:rPr>
                <w:sz w:val="20"/>
                <w:szCs w:val="20"/>
                <w:color w:val="auto"/>
              </w:rPr>
            </w:pPr>
            <w:r>
              <w:rPr>
                <w:rFonts w:ascii="Arial" w:cs="Arial" w:eastAsia="Arial" w:hAnsi="Arial"/>
                <w:sz w:val="14"/>
                <w:szCs w:val="14"/>
                <w:color w:val="auto"/>
                <w:w w:val="99"/>
              </w:rPr>
              <w:t>—</w:t>
            </w:r>
          </w:p>
        </w:tc>
        <w:tc>
          <w:tcPr>
            <w:tcW w:w="900" w:type="dxa"/>
            <w:vAlign w:val="bottom"/>
            <w:tcBorders>
              <w:top w:val="single" w:sz="8" w:color="auto"/>
            </w:tcBorders>
            <w:shd w:val="clear" w:color="auto" w:fill="F4F9F9"/>
          </w:tcPr>
          <w:p>
            <w:pPr>
              <w:jc w:val="right"/>
              <w:ind w:right="68"/>
              <w:spacing w:after="0" w:line="155" w:lineRule="exact"/>
              <w:rPr>
                <w:sz w:val="20"/>
                <w:szCs w:val="20"/>
                <w:color w:val="auto"/>
              </w:rPr>
            </w:pPr>
            <w:r>
              <w:rPr>
                <w:rFonts w:ascii="Arial" w:cs="Arial" w:eastAsia="Arial" w:hAnsi="Arial"/>
                <w:sz w:val="14"/>
                <w:szCs w:val="14"/>
                <w:color w:val="auto"/>
              </w:rPr>
              <w:t>339,018</w:t>
            </w:r>
          </w:p>
        </w:tc>
        <w:tc>
          <w:tcPr>
            <w:tcW w:w="900" w:type="dxa"/>
            <w:vAlign w:val="bottom"/>
            <w:tcBorders>
              <w:top w:val="single" w:sz="8" w:color="auto"/>
            </w:tcBorders>
            <w:shd w:val="clear" w:color="auto" w:fill="F4F9F9"/>
          </w:tcPr>
          <w:p>
            <w:pPr>
              <w:jc w:val="right"/>
              <w:spacing w:after="0" w:line="155" w:lineRule="exact"/>
              <w:rPr>
                <w:sz w:val="20"/>
                <w:szCs w:val="20"/>
                <w:color w:val="auto"/>
              </w:rPr>
            </w:pPr>
            <w:r>
              <w:rPr>
                <w:rFonts w:ascii="Arial" w:cs="Arial" w:eastAsia="Arial" w:hAnsi="Arial"/>
                <w:sz w:val="14"/>
                <w:szCs w:val="14"/>
                <w:color w:val="auto"/>
              </w:rPr>
              <w:t>6,934,077</w:t>
            </w:r>
          </w:p>
        </w:tc>
      </w:tr>
      <w:tr>
        <w:trPr>
          <w:trHeight w:val="162"/>
        </w:trPr>
        <w:tc>
          <w:tcPr>
            <w:tcW w:w="20" w:type="dxa"/>
            <w:vAlign w:val="bottom"/>
          </w:tcPr>
          <w:p>
            <w:pPr>
              <w:spacing w:after="0"/>
              <w:rPr>
                <w:sz w:val="14"/>
                <w:szCs w:val="14"/>
                <w:color w:val="auto"/>
              </w:rPr>
            </w:pPr>
          </w:p>
        </w:tc>
        <w:tc>
          <w:tcPr>
            <w:tcW w:w="3100" w:type="dxa"/>
            <w:vAlign w:val="bottom"/>
            <w:shd w:val="clear" w:color="auto" w:fill="F4F9F9"/>
          </w:tcPr>
          <w:p>
            <w:pPr>
              <w:spacing w:after="0"/>
              <w:rPr>
                <w:sz w:val="20"/>
                <w:szCs w:val="20"/>
                <w:color w:val="auto"/>
              </w:rPr>
            </w:pPr>
            <w:r>
              <w:rPr>
                <w:rFonts w:ascii="Arial" w:cs="Arial" w:eastAsia="Arial" w:hAnsi="Arial"/>
                <w:sz w:val="14"/>
                <w:szCs w:val="14"/>
                <w:color w:val="auto"/>
              </w:rPr>
              <w:t>CEO and Chief Operating</w:t>
            </w:r>
          </w:p>
        </w:tc>
        <w:tc>
          <w:tcPr>
            <w:tcW w:w="640" w:type="dxa"/>
            <w:vAlign w:val="bottom"/>
            <w:shd w:val="clear" w:color="auto" w:fill="F4F9F9"/>
          </w:tcPr>
          <w:p>
            <w:pPr>
              <w:ind w:left="200"/>
              <w:spacing w:after="0"/>
              <w:rPr>
                <w:sz w:val="20"/>
                <w:szCs w:val="20"/>
                <w:color w:val="auto"/>
              </w:rPr>
            </w:pPr>
            <w:r>
              <w:rPr>
                <w:rFonts w:ascii="Arial" w:cs="Arial" w:eastAsia="Arial" w:hAnsi="Arial"/>
                <w:sz w:val="14"/>
                <w:szCs w:val="14"/>
                <w:color w:val="auto"/>
              </w:rPr>
              <w:t>2016</w:t>
            </w:r>
          </w:p>
        </w:tc>
        <w:tc>
          <w:tcPr>
            <w:tcW w:w="880" w:type="dxa"/>
            <w:vAlign w:val="bottom"/>
            <w:shd w:val="clear" w:color="auto" w:fill="F4F9F9"/>
          </w:tcPr>
          <w:p>
            <w:pPr>
              <w:jc w:val="right"/>
              <w:ind w:right="48"/>
              <w:spacing w:after="0"/>
              <w:rPr>
                <w:sz w:val="20"/>
                <w:szCs w:val="20"/>
                <w:color w:val="auto"/>
              </w:rPr>
            </w:pPr>
            <w:r>
              <w:rPr>
                <w:rFonts w:ascii="Arial" w:cs="Arial" w:eastAsia="Arial" w:hAnsi="Arial"/>
                <w:sz w:val="14"/>
                <w:szCs w:val="14"/>
                <w:color w:val="auto"/>
              </w:rPr>
              <w:t>1,000,000</w:t>
            </w:r>
          </w:p>
        </w:tc>
        <w:tc>
          <w:tcPr>
            <w:tcW w:w="660" w:type="dxa"/>
            <w:vAlign w:val="bottom"/>
            <w:shd w:val="clear" w:color="auto" w:fill="F4F9F9"/>
          </w:tcPr>
          <w:p>
            <w:pPr>
              <w:jc w:val="center"/>
              <w:spacing w:after="0"/>
              <w:rPr>
                <w:sz w:val="20"/>
                <w:szCs w:val="20"/>
                <w:color w:val="auto"/>
              </w:rPr>
            </w:pPr>
            <w:r>
              <w:rPr>
                <w:rFonts w:ascii="Arial" w:cs="Arial" w:eastAsia="Arial" w:hAnsi="Arial"/>
                <w:sz w:val="14"/>
                <w:szCs w:val="14"/>
                <w:color w:val="auto"/>
              </w:rPr>
              <w:t>—</w:t>
            </w:r>
          </w:p>
        </w:tc>
        <w:tc>
          <w:tcPr>
            <w:tcW w:w="840" w:type="dxa"/>
            <w:vAlign w:val="bottom"/>
            <w:shd w:val="clear" w:color="auto" w:fill="F4F9F9"/>
          </w:tcPr>
          <w:p>
            <w:pPr>
              <w:jc w:val="right"/>
              <w:ind w:right="28"/>
              <w:spacing w:after="0"/>
              <w:rPr>
                <w:sz w:val="20"/>
                <w:szCs w:val="20"/>
                <w:color w:val="auto"/>
              </w:rPr>
            </w:pPr>
            <w:r>
              <w:rPr>
                <w:rFonts w:ascii="Arial" w:cs="Arial" w:eastAsia="Arial" w:hAnsi="Arial"/>
                <w:sz w:val="14"/>
                <w:szCs w:val="14"/>
                <w:color w:val="auto"/>
              </w:rPr>
              <w:t>3,745,723</w:t>
            </w:r>
          </w:p>
        </w:tc>
        <w:tc>
          <w:tcPr>
            <w:tcW w:w="720" w:type="dxa"/>
            <w:vAlign w:val="bottom"/>
            <w:shd w:val="clear" w:color="auto" w:fill="F4F9F9"/>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F4F9F9"/>
          </w:tcPr>
          <w:p>
            <w:pPr>
              <w:jc w:val="center"/>
              <w:spacing w:after="0"/>
              <w:rPr>
                <w:sz w:val="20"/>
                <w:szCs w:val="20"/>
                <w:color w:val="auto"/>
              </w:rPr>
            </w:pPr>
            <w:r>
              <w:rPr>
                <w:rFonts w:ascii="Arial" w:cs="Arial" w:eastAsia="Arial" w:hAnsi="Arial"/>
                <w:sz w:val="14"/>
                <w:szCs w:val="14"/>
                <w:color w:val="auto"/>
              </w:rPr>
              <w:t>675,000</w:t>
            </w:r>
          </w:p>
        </w:tc>
        <w:tc>
          <w:tcPr>
            <w:tcW w:w="1200" w:type="dxa"/>
            <w:vAlign w:val="bottom"/>
            <w:shd w:val="clear" w:color="auto" w:fill="F4F9F9"/>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4F9F9"/>
          </w:tcPr>
          <w:p>
            <w:pPr>
              <w:jc w:val="right"/>
              <w:ind w:right="68"/>
              <w:spacing w:after="0"/>
              <w:rPr>
                <w:sz w:val="20"/>
                <w:szCs w:val="20"/>
                <w:color w:val="auto"/>
              </w:rPr>
            </w:pPr>
            <w:r>
              <w:rPr>
                <w:rFonts w:ascii="Arial" w:cs="Arial" w:eastAsia="Arial" w:hAnsi="Arial"/>
                <w:sz w:val="14"/>
                <w:szCs w:val="14"/>
                <w:color w:val="auto"/>
              </w:rPr>
              <w:t>1,108,743</w:t>
            </w:r>
          </w:p>
        </w:tc>
        <w:tc>
          <w:tcPr>
            <w:tcW w:w="900" w:type="dxa"/>
            <w:vAlign w:val="bottom"/>
            <w:shd w:val="clear" w:color="auto" w:fill="F4F9F9"/>
          </w:tcPr>
          <w:p>
            <w:pPr>
              <w:jc w:val="right"/>
              <w:spacing w:after="0"/>
              <w:rPr>
                <w:sz w:val="20"/>
                <w:szCs w:val="20"/>
                <w:color w:val="auto"/>
              </w:rPr>
            </w:pPr>
            <w:r>
              <w:rPr>
                <w:rFonts w:ascii="Arial" w:cs="Arial" w:eastAsia="Arial" w:hAnsi="Arial"/>
                <w:sz w:val="14"/>
                <w:szCs w:val="14"/>
                <w:color w:val="auto"/>
              </w:rPr>
              <w:t>6,529,466</w:t>
            </w:r>
          </w:p>
        </w:tc>
      </w:tr>
      <w:tr>
        <w:trPr>
          <w:trHeight w:val="162"/>
        </w:trPr>
        <w:tc>
          <w:tcPr>
            <w:tcW w:w="20" w:type="dxa"/>
            <w:vAlign w:val="bottom"/>
          </w:tcPr>
          <w:p>
            <w:pPr>
              <w:spacing w:after="0"/>
              <w:rPr>
                <w:sz w:val="14"/>
                <w:szCs w:val="14"/>
                <w:color w:val="auto"/>
              </w:rPr>
            </w:pPr>
          </w:p>
        </w:tc>
        <w:tc>
          <w:tcPr>
            <w:tcW w:w="3100" w:type="dxa"/>
            <w:vAlign w:val="bottom"/>
            <w:tcBorders>
              <w:bottom w:val="single" w:sz="8" w:color="C1CECC"/>
            </w:tcBorders>
            <w:shd w:val="clear" w:color="auto" w:fill="F4F9F9"/>
          </w:tcPr>
          <w:p>
            <w:pPr>
              <w:spacing w:after="0"/>
              <w:rPr>
                <w:sz w:val="20"/>
                <w:szCs w:val="20"/>
                <w:color w:val="auto"/>
              </w:rPr>
            </w:pPr>
            <w:r>
              <w:rPr>
                <w:rFonts w:ascii="Arial" w:cs="Arial" w:eastAsia="Arial" w:hAnsi="Arial"/>
                <w:sz w:val="14"/>
                <w:szCs w:val="14"/>
                <w:color w:val="auto"/>
              </w:rPr>
              <w:t>Officer</w:t>
            </w:r>
          </w:p>
        </w:tc>
        <w:tc>
          <w:tcPr>
            <w:tcW w:w="640" w:type="dxa"/>
            <w:vAlign w:val="bottom"/>
            <w:tcBorders>
              <w:bottom w:val="single" w:sz="8" w:color="C1CECC"/>
            </w:tcBorders>
            <w:shd w:val="clear" w:color="auto" w:fill="F4F9F9"/>
          </w:tcPr>
          <w:p>
            <w:pPr>
              <w:ind w:left="200"/>
              <w:spacing w:after="0"/>
              <w:rPr>
                <w:sz w:val="20"/>
                <w:szCs w:val="20"/>
                <w:color w:val="auto"/>
              </w:rPr>
            </w:pPr>
            <w:r>
              <w:rPr>
                <w:rFonts w:ascii="Arial" w:cs="Arial" w:eastAsia="Arial" w:hAnsi="Arial"/>
                <w:sz w:val="14"/>
                <w:szCs w:val="14"/>
                <w:color w:val="auto"/>
              </w:rPr>
              <w:t>2015</w:t>
            </w:r>
          </w:p>
        </w:tc>
        <w:tc>
          <w:tcPr>
            <w:tcW w:w="880" w:type="dxa"/>
            <w:vAlign w:val="bottom"/>
            <w:tcBorders>
              <w:bottom w:val="single" w:sz="8" w:color="C1CECC"/>
            </w:tcBorders>
            <w:shd w:val="clear" w:color="auto" w:fill="F4F9F9"/>
          </w:tcPr>
          <w:p>
            <w:pPr>
              <w:jc w:val="right"/>
              <w:ind w:right="48"/>
              <w:spacing w:after="0"/>
              <w:rPr>
                <w:sz w:val="20"/>
                <w:szCs w:val="20"/>
                <w:color w:val="auto"/>
              </w:rPr>
            </w:pPr>
            <w:r>
              <w:rPr>
                <w:rFonts w:ascii="Arial" w:cs="Arial" w:eastAsia="Arial" w:hAnsi="Arial"/>
                <w:sz w:val="14"/>
                <w:szCs w:val="14"/>
                <w:color w:val="auto"/>
              </w:rPr>
              <w:t>748,836</w:t>
            </w:r>
          </w:p>
        </w:tc>
        <w:tc>
          <w:tcPr>
            <w:tcW w:w="66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1CECC"/>
            </w:tcBorders>
            <w:shd w:val="clear" w:color="auto" w:fill="F4F9F9"/>
          </w:tcPr>
          <w:p>
            <w:pPr>
              <w:jc w:val="right"/>
              <w:ind w:right="28"/>
              <w:spacing w:after="0"/>
              <w:rPr>
                <w:sz w:val="20"/>
                <w:szCs w:val="20"/>
                <w:color w:val="auto"/>
              </w:rPr>
            </w:pPr>
            <w:r>
              <w:rPr>
                <w:rFonts w:ascii="Arial" w:cs="Arial" w:eastAsia="Arial" w:hAnsi="Arial"/>
                <w:sz w:val="14"/>
                <w:szCs w:val="14"/>
                <w:color w:val="auto"/>
              </w:rPr>
              <w:t>4,445,440</w:t>
            </w:r>
          </w:p>
        </w:tc>
        <w:tc>
          <w:tcPr>
            <w:tcW w:w="72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4"/>
                <w:szCs w:val="14"/>
                <w:color w:val="auto"/>
              </w:rPr>
              <w:t>815,769</w:t>
            </w:r>
          </w:p>
        </w:tc>
        <w:tc>
          <w:tcPr>
            <w:tcW w:w="120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C1CECC"/>
            </w:tcBorders>
            <w:shd w:val="clear" w:color="auto" w:fill="F4F9F9"/>
          </w:tcPr>
          <w:p>
            <w:pPr>
              <w:jc w:val="right"/>
              <w:ind w:right="68"/>
              <w:spacing w:after="0"/>
              <w:rPr>
                <w:sz w:val="20"/>
                <w:szCs w:val="20"/>
                <w:color w:val="auto"/>
              </w:rPr>
            </w:pPr>
            <w:r>
              <w:rPr>
                <w:rFonts w:ascii="Arial" w:cs="Arial" w:eastAsia="Arial" w:hAnsi="Arial"/>
                <w:sz w:val="14"/>
                <w:szCs w:val="14"/>
                <w:color w:val="auto"/>
              </w:rPr>
              <w:t>2,878,218</w:t>
            </w:r>
          </w:p>
        </w:tc>
        <w:tc>
          <w:tcPr>
            <w:tcW w:w="900" w:type="dxa"/>
            <w:vAlign w:val="bottom"/>
            <w:tcBorders>
              <w:bottom w:val="single" w:sz="8" w:color="C1CECC"/>
            </w:tcBorders>
            <w:shd w:val="clear" w:color="auto" w:fill="F4F9F9"/>
          </w:tcPr>
          <w:p>
            <w:pPr>
              <w:jc w:val="right"/>
              <w:spacing w:after="0"/>
              <w:rPr>
                <w:sz w:val="20"/>
                <w:szCs w:val="20"/>
                <w:color w:val="auto"/>
              </w:rPr>
            </w:pPr>
            <w:r>
              <w:rPr>
                <w:rFonts w:ascii="Arial" w:cs="Arial" w:eastAsia="Arial" w:hAnsi="Arial"/>
                <w:sz w:val="14"/>
                <w:szCs w:val="14"/>
                <w:color w:val="auto"/>
              </w:rPr>
              <w:t>8,888,263</w:t>
            </w:r>
          </w:p>
        </w:tc>
      </w:tr>
      <w:tr>
        <w:trPr>
          <w:trHeight w:val="156"/>
        </w:trPr>
        <w:tc>
          <w:tcPr>
            <w:tcW w:w="3120" w:type="dxa"/>
            <w:vAlign w:val="bottom"/>
            <w:gridSpan w:val="2"/>
          </w:tcPr>
          <w:p>
            <w:pPr>
              <w:spacing w:after="0" w:line="155" w:lineRule="exact"/>
              <w:rPr>
                <w:sz w:val="20"/>
                <w:szCs w:val="20"/>
                <w:color w:val="auto"/>
              </w:rPr>
            </w:pPr>
            <w:r>
              <w:rPr>
                <w:rFonts w:ascii="Arial" w:cs="Arial" w:eastAsia="Arial" w:hAnsi="Arial"/>
                <w:sz w:val="14"/>
                <w:szCs w:val="14"/>
                <w:color w:val="auto"/>
              </w:rPr>
              <w:t>Smith, Martyn Interim CFO</w:t>
            </w:r>
          </w:p>
        </w:tc>
        <w:tc>
          <w:tcPr>
            <w:tcW w:w="640" w:type="dxa"/>
            <w:vAlign w:val="bottom"/>
          </w:tcPr>
          <w:p>
            <w:pPr>
              <w:ind w:left="200"/>
              <w:spacing w:after="0" w:line="155" w:lineRule="exact"/>
              <w:rPr>
                <w:sz w:val="20"/>
                <w:szCs w:val="20"/>
                <w:color w:val="auto"/>
              </w:rPr>
            </w:pPr>
            <w:r>
              <w:rPr>
                <w:rFonts w:ascii="Arial" w:cs="Arial" w:eastAsia="Arial" w:hAnsi="Arial"/>
                <w:sz w:val="14"/>
                <w:szCs w:val="14"/>
                <w:color w:val="auto"/>
              </w:rPr>
              <w:t>2017</w:t>
            </w:r>
          </w:p>
        </w:tc>
        <w:tc>
          <w:tcPr>
            <w:tcW w:w="8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386,132</w:t>
            </w:r>
          </w:p>
        </w:tc>
        <w:tc>
          <w:tcPr>
            <w:tcW w:w="660" w:type="dxa"/>
            <w:vAlign w:val="bottom"/>
          </w:tcPr>
          <w:p>
            <w:pPr>
              <w:jc w:val="center"/>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center"/>
              <w:spacing w:after="0" w:line="155" w:lineRule="exact"/>
              <w:rPr>
                <w:sz w:val="20"/>
                <w:szCs w:val="20"/>
                <w:color w:val="auto"/>
              </w:rPr>
            </w:pPr>
            <w:r>
              <w:rPr>
                <w:rFonts w:ascii="Arial" w:cs="Arial" w:eastAsia="Arial" w:hAnsi="Arial"/>
                <w:sz w:val="14"/>
                <w:szCs w:val="14"/>
                <w:color w:val="auto"/>
                <w:w w:val="99"/>
              </w:rPr>
              <w:t>—</w:t>
            </w:r>
          </w:p>
        </w:tc>
        <w:tc>
          <w:tcPr>
            <w:tcW w:w="720" w:type="dxa"/>
            <w:vAlign w:val="bottom"/>
          </w:tcPr>
          <w:p>
            <w:pPr>
              <w:jc w:val="center"/>
              <w:spacing w:after="0" w:line="155" w:lineRule="exact"/>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center"/>
              <w:spacing w:after="0" w:line="155" w:lineRule="exact"/>
              <w:rPr>
                <w:sz w:val="20"/>
                <w:szCs w:val="20"/>
                <w:color w:val="auto"/>
              </w:rPr>
            </w:pPr>
            <w:r>
              <w:rPr>
                <w:rFonts w:ascii="Arial" w:cs="Arial" w:eastAsia="Arial" w:hAnsi="Arial"/>
                <w:sz w:val="14"/>
                <w:szCs w:val="14"/>
                <w:color w:val="auto"/>
                <w:w w:val="99"/>
              </w:rPr>
              <w:t>—</w:t>
            </w:r>
          </w:p>
        </w:tc>
        <w:tc>
          <w:tcPr>
            <w:tcW w:w="900" w:type="dxa"/>
            <w:vAlign w:val="bottom"/>
          </w:tcPr>
          <w:p>
            <w:pPr>
              <w:jc w:val="right"/>
              <w:ind w:right="68"/>
              <w:spacing w:after="0" w:line="155" w:lineRule="exact"/>
              <w:rPr>
                <w:sz w:val="20"/>
                <w:szCs w:val="20"/>
                <w:color w:val="auto"/>
              </w:rPr>
            </w:pPr>
            <w:r>
              <w:rPr>
                <w:rFonts w:ascii="Arial" w:cs="Arial" w:eastAsia="Arial" w:hAnsi="Arial"/>
                <w:sz w:val="14"/>
                <w:szCs w:val="14"/>
                <w:color w:val="auto"/>
              </w:rPr>
              <w:t>88,731</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474,863</w:t>
            </w:r>
          </w:p>
        </w:tc>
      </w:tr>
      <w:tr>
        <w:trPr>
          <w:trHeight w:val="156"/>
        </w:trPr>
        <w:tc>
          <w:tcPr>
            <w:tcW w:w="20" w:type="dxa"/>
            <w:vAlign w:val="bottom"/>
          </w:tcPr>
          <w:p>
            <w:pPr>
              <w:spacing w:after="0"/>
              <w:rPr>
                <w:sz w:val="13"/>
                <w:szCs w:val="13"/>
                <w:color w:val="auto"/>
              </w:rPr>
            </w:pPr>
          </w:p>
        </w:tc>
        <w:tc>
          <w:tcPr>
            <w:tcW w:w="3100" w:type="dxa"/>
            <w:vAlign w:val="bottom"/>
            <w:tcBorders>
              <w:top w:val="single" w:sz="8" w:color="C1CECC"/>
            </w:tcBorders>
            <w:shd w:val="clear" w:color="auto" w:fill="F4F9F9"/>
          </w:tcPr>
          <w:p>
            <w:pPr>
              <w:spacing w:after="0" w:line="155" w:lineRule="exact"/>
              <w:rPr>
                <w:sz w:val="20"/>
                <w:szCs w:val="20"/>
                <w:color w:val="auto"/>
              </w:rPr>
            </w:pPr>
            <w:r>
              <w:rPr>
                <w:rFonts w:ascii="Arial" w:cs="Arial" w:eastAsia="Arial" w:hAnsi="Arial"/>
                <w:sz w:val="14"/>
                <w:szCs w:val="14"/>
                <w:color w:val="auto"/>
              </w:rPr>
              <w:t>Nelson, Ronald L.</w:t>
            </w:r>
          </w:p>
        </w:tc>
        <w:tc>
          <w:tcPr>
            <w:tcW w:w="640" w:type="dxa"/>
            <w:vAlign w:val="bottom"/>
            <w:tcBorders>
              <w:top w:val="single" w:sz="8" w:color="C1CECC"/>
            </w:tcBorders>
            <w:shd w:val="clear" w:color="auto" w:fill="F4F9F9"/>
          </w:tcPr>
          <w:p>
            <w:pPr>
              <w:ind w:left="200"/>
              <w:spacing w:after="0" w:line="155" w:lineRule="exact"/>
              <w:rPr>
                <w:sz w:val="20"/>
                <w:szCs w:val="20"/>
                <w:color w:val="auto"/>
              </w:rPr>
            </w:pPr>
            <w:r>
              <w:rPr>
                <w:rFonts w:ascii="Arial" w:cs="Arial" w:eastAsia="Arial" w:hAnsi="Arial"/>
                <w:sz w:val="14"/>
                <w:szCs w:val="14"/>
                <w:color w:val="auto"/>
              </w:rPr>
              <w:t>2017</w:t>
            </w:r>
          </w:p>
        </w:tc>
        <w:tc>
          <w:tcPr>
            <w:tcW w:w="880" w:type="dxa"/>
            <w:vAlign w:val="bottom"/>
            <w:tcBorders>
              <w:top w:val="single" w:sz="8" w:color="C1CECC"/>
            </w:tcBorders>
            <w:shd w:val="clear" w:color="auto" w:fill="F4F9F9"/>
          </w:tcPr>
          <w:p>
            <w:pPr>
              <w:jc w:val="right"/>
              <w:ind w:right="48"/>
              <w:spacing w:after="0" w:line="155" w:lineRule="exact"/>
              <w:rPr>
                <w:sz w:val="20"/>
                <w:szCs w:val="20"/>
                <w:color w:val="auto"/>
              </w:rPr>
            </w:pPr>
            <w:r>
              <w:rPr>
                <w:rFonts w:ascii="Arial" w:cs="Arial" w:eastAsia="Arial" w:hAnsi="Arial"/>
                <w:sz w:val="14"/>
                <w:szCs w:val="14"/>
                <w:color w:val="auto"/>
              </w:rPr>
              <w:t>800,000</w:t>
            </w:r>
          </w:p>
        </w:tc>
        <w:tc>
          <w:tcPr>
            <w:tcW w:w="660" w:type="dxa"/>
            <w:vAlign w:val="bottom"/>
            <w:tcBorders>
              <w:top w:val="single" w:sz="8" w:color="C1CECC"/>
            </w:tcBorders>
            <w:shd w:val="clear" w:color="auto" w:fill="F4F9F9"/>
          </w:tcPr>
          <w:p>
            <w:pPr>
              <w:jc w:val="cente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C1CECC"/>
            </w:tcBorders>
            <w:shd w:val="clear" w:color="auto" w:fill="F4F9F9"/>
          </w:tcPr>
          <w:p>
            <w:pPr>
              <w:jc w:val="right"/>
              <w:ind w:right="28"/>
              <w:spacing w:after="0" w:line="155" w:lineRule="exact"/>
              <w:rPr>
                <w:sz w:val="20"/>
                <w:szCs w:val="20"/>
                <w:color w:val="auto"/>
              </w:rPr>
            </w:pPr>
            <w:r>
              <w:rPr>
                <w:rFonts w:ascii="Arial" w:cs="Arial" w:eastAsia="Arial" w:hAnsi="Arial"/>
                <w:sz w:val="14"/>
                <w:szCs w:val="14"/>
                <w:color w:val="auto"/>
              </w:rPr>
              <w:t>999,989</w:t>
            </w:r>
          </w:p>
        </w:tc>
        <w:tc>
          <w:tcPr>
            <w:tcW w:w="720" w:type="dxa"/>
            <w:vAlign w:val="bottom"/>
            <w:tcBorders>
              <w:top w:val="single" w:sz="8" w:color="C1CECC"/>
            </w:tcBorders>
            <w:shd w:val="clear" w:color="auto" w:fill="F4F9F9"/>
          </w:tcPr>
          <w:p>
            <w:pPr>
              <w:jc w:val="center"/>
              <w:spacing w:after="0" w:line="155" w:lineRule="exact"/>
              <w:rPr>
                <w:sz w:val="20"/>
                <w:szCs w:val="20"/>
                <w:color w:val="auto"/>
              </w:rPr>
            </w:pPr>
            <w:r>
              <w:rPr>
                <w:rFonts w:ascii="Arial" w:cs="Arial" w:eastAsia="Arial" w:hAnsi="Arial"/>
                <w:sz w:val="14"/>
                <w:szCs w:val="14"/>
                <w:color w:val="auto"/>
                <w:w w:val="99"/>
              </w:rPr>
              <w:t>—</w:t>
            </w:r>
          </w:p>
        </w:tc>
        <w:tc>
          <w:tcPr>
            <w:tcW w:w="1180" w:type="dxa"/>
            <w:vAlign w:val="bottom"/>
            <w:tcBorders>
              <w:top w:val="single" w:sz="8" w:color="C1CECC"/>
            </w:tcBorders>
            <w:shd w:val="clear" w:color="auto" w:fill="F4F9F9"/>
          </w:tcPr>
          <w:p>
            <w:pPr>
              <w:jc w:val="center"/>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C1CECC"/>
            </w:tcBorders>
            <w:shd w:val="clear" w:color="auto" w:fill="F4F9F9"/>
          </w:tcPr>
          <w:p>
            <w:pPr>
              <w:jc w:val="center"/>
              <w:spacing w:after="0" w:line="155" w:lineRule="exact"/>
              <w:rPr>
                <w:sz w:val="20"/>
                <w:szCs w:val="20"/>
                <w:color w:val="auto"/>
              </w:rPr>
            </w:pPr>
            <w:r>
              <w:rPr>
                <w:rFonts w:ascii="Arial" w:cs="Arial" w:eastAsia="Arial" w:hAnsi="Arial"/>
                <w:sz w:val="14"/>
                <w:szCs w:val="14"/>
                <w:color w:val="auto"/>
                <w:w w:val="99"/>
              </w:rPr>
              <w:t>—</w:t>
            </w:r>
          </w:p>
        </w:tc>
        <w:tc>
          <w:tcPr>
            <w:tcW w:w="900" w:type="dxa"/>
            <w:vAlign w:val="bottom"/>
            <w:tcBorders>
              <w:top w:val="single" w:sz="8" w:color="C1CECC"/>
            </w:tcBorders>
            <w:shd w:val="clear" w:color="auto" w:fill="F4F9F9"/>
          </w:tcPr>
          <w:p>
            <w:pPr>
              <w:jc w:val="right"/>
              <w:ind w:right="68"/>
              <w:spacing w:after="0" w:line="155" w:lineRule="exact"/>
              <w:rPr>
                <w:sz w:val="20"/>
                <w:szCs w:val="20"/>
                <w:color w:val="auto"/>
              </w:rPr>
            </w:pPr>
            <w:r>
              <w:rPr>
                <w:rFonts w:ascii="Arial" w:cs="Arial" w:eastAsia="Arial" w:hAnsi="Arial"/>
                <w:sz w:val="14"/>
                <w:szCs w:val="14"/>
                <w:color w:val="auto"/>
              </w:rPr>
              <w:t>103,974</w:t>
            </w:r>
          </w:p>
        </w:tc>
        <w:tc>
          <w:tcPr>
            <w:tcW w:w="900" w:type="dxa"/>
            <w:vAlign w:val="bottom"/>
            <w:tcBorders>
              <w:top w:val="single" w:sz="8" w:color="C1CECC"/>
            </w:tcBorders>
            <w:shd w:val="clear" w:color="auto" w:fill="F4F9F9"/>
          </w:tcPr>
          <w:p>
            <w:pPr>
              <w:jc w:val="right"/>
              <w:spacing w:after="0" w:line="155" w:lineRule="exact"/>
              <w:rPr>
                <w:sz w:val="20"/>
                <w:szCs w:val="20"/>
                <w:color w:val="auto"/>
              </w:rPr>
            </w:pPr>
            <w:r>
              <w:rPr>
                <w:rFonts w:ascii="Arial" w:cs="Arial" w:eastAsia="Arial" w:hAnsi="Arial"/>
                <w:sz w:val="14"/>
                <w:szCs w:val="14"/>
                <w:color w:val="auto"/>
              </w:rPr>
              <w:t>1,903,963</w:t>
            </w:r>
          </w:p>
        </w:tc>
      </w:tr>
      <w:tr>
        <w:trPr>
          <w:trHeight w:val="162"/>
        </w:trPr>
        <w:tc>
          <w:tcPr>
            <w:tcW w:w="20" w:type="dxa"/>
            <w:vAlign w:val="bottom"/>
          </w:tcPr>
          <w:p>
            <w:pPr>
              <w:spacing w:after="0"/>
              <w:rPr>
                <w:sz w:val="14"/>
                <w:szCs w:val="14"/>
                <w:color w:val="auto"/>
              </w:rPr>
            </w:pPr>
          </w:p>
        </w:tc>
        <w:tc>
          <w:tcPr>
            <w:tcW w:w="3100" w:type="dxa"/>
            <w:vAlign w:val="bottom"/>
            <w:shd w:val="clear" w:color="auto" w:fill="F4F9F9"/>
          </w:tcPr>
          <w:p>
            <w:pPr>
              <w:spacing w:after="0"/>
              <w:rPr>
                <w:sz w:val="20"/>
                <w:szCs w:val="20"/>
                <w:color w:val="auto"/>
              </w:rPr>
            </w:pPr>
            <w:r>
              <w:rPr>
                <w:rFonts w:ascii="Arial" w:cs="Arial" w:eastAsia="Arial" w:hAnsi="Arial"/>
                <w:sz w:val="14"/>
                <w:szCs w:val="14"/>
                <w:color w:val="auto"/>
              </w:rPr>
              <w:t>Executive Chairman</w:t>
            </w:r>
          </w:p>
        </w:tc>
        <w:tc>
          <w:tcPr>
            <w:tcW w:w="640" w:type="dxa"/>
            <w:vAlign w:val="bottom"/>
            <w:shd w:val="clear" w:color="auto" w:fill="F4F9F9"/>
          </w:tcPr>
          <w:p>
            <w:pPr>
              <w:ind w:left="200"/>
              <w:spacing w:after="0"/>
              <w:rPr>
                <w:sz w:val="20"/>
                <w:szCs w:val="20"/>
                <w:color w:val="auto"/>
              </w:rPr>
            </w:pPr>
            <w:r>
              <w:rPr>
                <w:rFonts w:ascii="Arial" w:cs="Arial" w:eastAsia="Arial" w:hAnsi="Arial"/>
                <w:sz w:val="14"/>
                <w:szCs w:val="14"/>
                <w:color w:val="auto"/>
              </w:rPr>
              <w:t>2016</w:t>
            </w:r>
          </w:p>
        </w:tc>
        <w:tc>
          <w:tcPr>
            <w:tcW w:w="880" w:type="dxa"/>
            <w:vAlign w:val="bottom"/>
            <w:shd w:val="clear" w:color="auto" w:fill="F4F9F9"/>
          </w:tcPr>
          <w:p>
            <w:pPr>
              <w:jc w:val="right"/>
              <w:ind w:right="48"/>
              <w:spacing w:after="0"/>
              <w:rPr>
                <w:sz w:val="20"/>
                <w:szCs w:val="20"/>
                <w:color w:val="auto"/>
              </w:rPr>
            </w:pPr>
            <w:r>
              <w:rPr>
                <w:rFonts w:ascii="Arial" w:cs="Arial" w:eastAsia="Arial" w:hAnsi="Arial"/>
                <w:sz w:val="14"/>
                <w:szCs w:val="14"/>
                <w:color w:val="auto"/>
              </w:rPr>
              <w:t>800,000</w:t>
            </w:r>
          </w:p>
        </w:tc>
        <w:tc>
          <w:tcPr>
            <w:tcW w:w="660" w:type="dxa"/>
            <w:vAlign w:val="bottom"/>
            <w:shd w:val="clear" w:color="auto" w:fill="F4F9F9"/>
          </w:tcPr>
          <w:p>
            <w:pPr>
              <w:jc w:val="center"/>
              <w:spacing w:after="0"/>
              <w:rPr>
                <w:sz w:val="20"/>
                <w:szCs w:val="20"/>
                <w:color w:val="auto"/>
              </w:rPr>
            </w:pPr>
            <w:r>
              <w:rPr>
                <w:rFonts w:ascii="Arial" w:cs="Arial" w:eastAsia="Arial" w:hAnsi="Arial"/>
                <w:sz w:val="14"/>
                <w:szCs w:val="14"/>
                <w:color w:val="auto"/>
              </w:rPr>
              <w:t>—</w:t>
            </w:r>
          </w:p>
        </w:tc>
        <w:tc>
          <w:tcPr>
            <w:tcW w:w="840" w:type="dxa"/>
            <w:vAlign w:val="bottom"/>
            <w:shd w:val="clear" w:color="auto" w:fill="F4F9F9"/>
          </w:tcPr>
          <w:p>
            <w:pPr>
              <w:jc w:val="right"/>
              <w:ind w:right="28"/>
              <w:spacing w:after="0"/>
              <w:rPr>
                <w:sz w:val="20"/>
                <w:szCs w:val="20"/>
                <w:color w:val="auto"/>
              </w:rPr>
            </w:pPr>
            <w:r>
              <w:rPr>
                <w:rFonts w:ascii="Arial" w:cs="Arial" w:eastAsia="Arial" w:hAnsi="Arial"/>
                <w:sz w:val="14"/>
                <w:szCs w:val="14"/>
                <w:color w:val="auto"/>
              </w:rPr>
              <w:t>2,305,842</w:t>
            </w:r>
          </w:p>
        </w:tc>
        <w:tc>
          <w:tcPr>
            <w:tcW w:w="720" w:type="dxa"/>
            <w:vAlign w:val="bottom"/>
            <w:shd w:val="clear" w:color="auto" w:fill="F4F9F9"/>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F4F9F9"/>
          </w:tcPr>
          <w:p>
            <w:pPr>
              <w:jc w:val="center"/>
              <w:spacing w:after="0"/>
              <w:rPr>
                <w:sz w:val="20"/>
                <w:szCs w:val="20"/>
                <w:color w:val="auto"/>
              </w:rPr>
            </w:pPr>
            <w:r>
              <w:rPr>
                <w:rFonts w:ascii="Arial" w:cs="Arial" w:eastAsia="Arial" w:hAnsi="Arial"/>
                <w:sz w:val="14"/>
                <w:szCs w:val="14"/>
                <w:color w:val="auto"/>
              </w:rPr>
              <w:t>—</w:t>
            </w:r>
          </w:p>
        </w:tc>
        <w:tc>
          <w:tcPr>
            <w:tcW w:w="1200" w:type="dxa"/>
            <w:vAlign w:val="bottom"/>
            <w:shd w:val="clear" w:color="auto" w:fill="F4F9F9"/>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4F9F9"/>
          </w:tcPr>
          <w:p>
            <w:pPr>
              <w:jc w:val="right"/>
              <w:ind w:right="68"/>
              <w:spacing w:after="0"/>
              <w:rPr>
                <w:sz w:val="20"/>
                <w:szCs w:val="20"/>
                <w:color w:val="auto"/>
              </w:rPr>
            </w:pPr>
            <w:r>
              <w:rPr>
                <w:rFonts w:ascii="Arial" w:cs="Arial" w:eastAsia="Arial" w:hAnsi="Arial"/>
                <w:sz w:val="14"/>
                <w:szCs w:val="14"/>
                <w:color w:val="auto"/>
              </w:rPr>
              <w:t>224,229</w:t>
            </w:r>
          </w:p>
        </w:tc>
        <w:tc>
          <w:tcPr>
            <w:tcW w:w="900" w:type="dxa"/>
            <w:vAlign w:val="bottom"/>
            <w:shd w:val="clear" w:color="auto" w:fill="F4F9F9"/>
          </w:tcPr>
          <w:p>
            <w:pPr>
              <w:jc w:val="right"/>
              <w:spacing w:after="0"/>
              <w:rPr>
                <w:sz w:val="20"/>
                <w:szCs w:val="20"/>
                <w:color w:val="auto"/>
              </w:rPr>
            </w:pPr>
            <w:r>
              <w:rPr>
                <w:rFonts w:ascii="Arial" w:cs="Arial" w:eastAsia="Arial" w:hAnsi="Arial"/>
                <w:sz w:val="14"/>
                <w:szCs w:val="14"/>
                <w:color w:val="auto"/>
              </w:rPr>
              <w:t>3,330,071</w:t>
            </w:r>
          </w:p>
        </w:tc>
      </w:tr>
      <w:tr>
        <w:trPr>
          <w:trHeight w:val="162"/>
        </w:trPr>
        <w:tc>
          <w:tcPr>
            <w:tcW w:w="20" w:type="dxa"/>
            <w:vAlign w:val="bottom"/>
          </w:tcPr>
          <w:p>
            <w:pPr>
              <w:spacing w:after="0"/>
              <w:rPr>
                <w:sz w:val="14"/>
                <w:szCs w:val="14"/>
                <w:color w:val="auto"/>
              </w:rPr>
            </w:pPr>
          </w:p>
        </w:tc>
        <w:tc>
          <w:tcPr>
            <w:tcW w:w="3100" w:type="dxa"/>
            <w:vAlign w:val="bottom"/>
            <w:tcBorders>
              <w:bottom w:val="single" w:sz="8" w:color="C1CECC"/>
            </w:tcBorders>
            <w:shd w:val="clear" w:color="auto" w:fill="F4F9F9"/>
          </w:tcPr>
          <w:p>
            <w:pPr>
              <w:spacing w:after="0"/>
              <w:rPr>
                <w:sz w:val="14"/>
                <w:szCs w:val="14"/>
                <w:color w:val="auto"/>
              </w:rPr>
            </w:pPr>
          </w:p>
        </w:tc>
        <w:tc>
          <w:tcPr>
            <w:tcW w:w="640" w:type="dxa"/>
            <w:vAlign w:val="bottom"/>
            <w:tcBorders>
              <w:bottom w:val="single" w:sz="8" w:color="C1CECC"/>
            </w:tcBorders>
            <w:shd w:val="clear" w:color="auto" w:fill="F4F9F9"/>
          </w:tcPr>
          <w:p>
            <w:pPr>
              <w:ind w:left="200"/>
              <w:spacing w:after="0"/>
              <w:rPr>
                <w:sz w:val="20"/>
                <w:szCs w:val="20"/>
                <w:color w:val="auto"/>
              </w:rPr>
            </w:pPr>
            <w:r>
              <w:rPr>
                <w:rFonts w:ascii="Arial" w:cs="Arial" w:eastAsia="Arial" w:hAnsi="Arial"/>
                <w:sz w:val="14"/>
                <w:szCs w:val="14"/>
                <w:color w:val="auto"/>
              </w:rPr>
              <w:t>2015</w:t>
            </w:r>
          </w:p>
        </w:tc>
        <w:tc>
          <w:tcPr>
            <w:tcW w:w="880" w:type="dxa"/>
            <w:vAlign w:val="bottom"/>
            <w:tcBorders>
              <w:bottom w:val="single" w:sz="8" w:color="C1CECC"/>
            </w:tcBorders>
            <w:shd w:val="clear" w:color="auto" w:fill="F4F9F9"/>
          </w:tcPr>
          <w:p>
            <w:pPr>
              <w:jc w:val="right"/>
              <w:ind w:right="48"/>
              <w:spacing w:after="0"/>
              <w:rPr>
                <w:sz w:val="20"/>
                <w:szCs w:val="20"/>
                <w:color w:val="auto"/>
              </w:rPr>
            </w:pPr>
            <w:r>
              <w:rPr>
                <w:rFonts w:ascii="Arial" w:cs="Arial" w:eastAsia="Arial" w:hAnsi="Arial"/>
                <w:sz w:val="14"/>
                <w:szCs w:val="14"/>
                <w:color w:val="auto"/>
              </w:rPr>
              <w:t>1,244,521</w:t>
            </w:r>
          </w:p>
        </w:tc>
        <w:tc>
          <w:tcPr>
            <w:tcW w:w="66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1CECC"/>
            </w:tcBorders>
            <w:shd w:val="clear" w:color="auto" w:fill="F4F9F9"/>
          </w:tcPr>
          <w:p>
            <w:pPr>
              <w:jc w:val="right"/>
              <w:ind w:right="28"/>
              <w:spacing w:after="0"/>
              <w:rPr>
                <w:sz w:val="20"/>
                <w:szCs w:val="20"/>
                <w:color w:val="auto"/>
              </w:rPr>
            </w:pPr>
            <w:r>
              <w:rPr>
                <w:rFonts w:ascii="Arial" w:cs="Arial" w:eastAsia="Arial" w:hAnsi="Arial"/>
                <w:sz w:val="14"/>
                <w:szCs w:val="14"/>
                <w:color w:val="auto"/>
              </w:rPr>
              <w:t>7,982,712</w:t>
            </w:r>
          </w:p>
        </w:tc>
        <w:tc>
          <w:tcPr>
            <w:tcW w:w="72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4"/>
                <w:szCs w:val="14"/>
                <w:color w:val="auto"/>
              </w:rPr>
              <w:t>1,678,933</w:t>
            </w:r>
          </w:p>
        </w:tc>
        <w:tc>
          <w:tcPr>
            <w:tcW w:w="120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C1CECC"/>
            </w:tcBorders>
            <w:shd w:val="clear" w:color="auto" w:fill="F4F9F9"/>
          </w:tcPr>
          <w:p>
            <w:pPr>
              <w:jc w:val="right"/>
              <w:ind w:right="68"/>
              <w:spacing w:after="0"/>
              <w:rPr>
                <w:sz w:val="20"/>
                <w:szCs w:val="20"/>
                <w:color w:val="auto"/>
              </w:rPr>
            </w:pPr>
            <w:r>
              <w:rPr>
                <w:rFonts w:ascii="Arial" w:cs="Arial" w:eastAsia="Arial" w:hAnsi="Arial"/>
                <w:sz w:val="14"/>
                <w:szCs w:val="14"/>
                <w:color w:val="auto"/>
              </w:rPr>
              <w:t>250,797</w:t>
            </w:r>
          </w:p>
        </w:tc>
        <w:tc>
          <w:tcPr>
            <w:tcW w:w="900" w:type="dxa"/>
            <w:vAlign w:val="bottom"/>
            <w:tcBorders>
              <w:bottom w:val="single" w:sz="8" w:color="C1CECC"/>
            </w:tcBorders>
            <w:shd w:val="clear" w:color="auto" w:fill="F4F9F9"/>
          </w:tcPr>
          <w:p>
            <w:pPr>
              <w:jc w:val="right"/>
              <w:spacing w:after="0"/>
              <w:rPr>
                <w:sz w:val="20"/>
                <w:szCs w:val="20"/>
                <w:color w:val="auto"/>
              </w:rPr>
            </w:pPr>
            <w:r>
              <w:rPr>
                <w:rFonts w:ascii="Arial" w:cs="Arial" w:eastAsia="Arial" w:hAnsi="Arial"/>
                <w:sz w:val="14"/>
                <w:szCs w:val="14"/>
                <w:color w:val="auto"/>
              </w:rPr>
              <w:t>11,156,963</w:t>
            </w:r>
          </w:p>
        </w:tc>
      </w:tr>
      <w:tr>
        <w:trPr>
          <w:trHeight w:val="160"/>
        </w:trPr>
        <w:tc>
          <w:tcPr>
            <w:tcW w:w="3120" w:type="dxa"/>
            <w:vAlign w:val="bottom"/>
            <w:gridSpan w:val="2"/>
          </w:tcPr>
          <w:p>
            <w:pPr>
              <w:spacing w:after="0"/>
              <w:rPr>
                <w:sz w:val="20"/>
                <w:szCs w:val="20"/>
                <w:color w:val="auto"/>
              </w:rPr>
            </w:pPr>
            <w:r>
              <w:rPr>
                <w:rFonts w:ascii="Arial" w:cs="Arial" w:eastAsia="Arial" w:hAnsi="Arial"/>
                <w:sz w:val="14"/>
                <w:szCs w:val="14"/>
                <w:color w:val="auto"/>
              </w:rPr>
              <w:t>Ferraro, Joseph A.</w:t>
            </w:r>
          </w:p>
        </w:tc>
        <w:tc>
          <w:tcPr>
            <w:tcW w:w="640" w:type="dxa"/>
            <w:vAlign w:val="bottom"/>
          </w:tcPr>
          <w:p>
            <w:pPr>
              <w:ind w:left="200"/>
              <w:spacing w:after="0"/>
              <w:rPr>
                <w:sz w:val="20"/>
                <w:szCs w:val="20"/>
                <w:color w:val="auto"/>
              </w:rPr>
            </w:pPr>
            <w:r>
              <w:rPr>
                <w:rFonts w:ascii="Arial" w:cs="Arial" w:eastAsia="Arial" w:hAnsi="Arial"/>
                <w:sz w:val="14"/>
                <w:szCs w:val="14"/>
                <w:color w:val="auto"/>
              </w:rPr>
              <w:t>2017</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648,767</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2,900,000</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1200" w:type="dxa"/>
            <w:vAlign w:val="bottom"/>
          </w:tcPr>
          <w:p>
            <w:pPr>
              <w:jc w:val="center"/>
              <w:spacing w:after="0"/>
              <w:rPr>
                <w:sz w:val="20"/>
                <w:szCs w:val="20"/>
                <w:color w:val="auto"/>
              </w:rPr>
            </w:pPr>
            <w:r>
              <w:rPr>
                <w:rFonts w:ascii="Arial" w:cs="Arial" w:eastAsia="Arial" w:hAnsi="Arial"/>
                <w:sz w:val="14"/>
                <w:szCs w:val="14"/>
                <w:color w:val="auto"/>
              </w:rPr>
              <w:t>31,450</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38,540</w:t>
            </w:r>
          </w:p>
        </w:tc>
        <w:tc>
          <w:tcPr>
            <w:tcW w:w="900" w:type="dxa"/>
            <w:vAlign w:val="bottom"/>
          </w:tcPr>
          <w:p>
            <w:pPr>
              <w:jc w:val="right"/>
              <w:spacing w:after="0"/>
              <w:rPr>
                <w:sz w:val="20"/>
                <w:szCs w:val="20"/>
                <w:color w:val="auto"/>
              </w:rPr>
            </w:pPr>
            <w:r>
              <w:rPr>
                <w:rFonts w:ascii="Arial" w:cs="Arial" w:eastAsia="Arial" w:hAnsi="Arial"/>
                <w:sz w:val="14"/>
                <w:szCs w:val="14"/>
                <w:color w:val="auto"/>
              </w:rPr>
              <w:t>3,618,757</w:t>
            </w:r>
          </w:p>
        </w:tc>
      </w:tr>
      <w:tr>
        <w:trPr>
          <w:trHeight w:val="162"/>
        </w:trPr>
        <w:tc>
          <w:tcPr>
            <w:tcW w:w="3120" w:type="dxa"/>
            <w:vAlign w:val="bottom"/>
            <w:gridSpan w:val="2"/>
          </w:tcPr>
          <w:p>
            <w:pPr>
              <w:spacing w:after="0"/>
              <w:rPr>
                <w:sz w:val="20"/>
                <w:szCs w:val="20"/>
                <w:color w:val="auto"/>
              </w:rPr>
            </w:pPr>
            <w:r>
              <w:rPr>
                <w:rFonts w:ascii="Arial" w:cs="Arial" w:eastAsia="Arial" w:hAnsi="Arial"/>
                <w:sz w:val="14"/>
                <w:szCs w:val="14"/>
                <w:color w:val="auto"/>
              </w:rPr>
              <w:t>President, Americas</w:t>
            </w:r>
          </w:p>
        </w:tc>
        <w:tc>
          <w:tcPr>
            <w:tcW w:w="640" w:type="dxa"/>
            <w:vAlign w:val="bottom"/>
          </w:tcPr>
          <w:p>
            <w:pPr>
              <w:ind w:left="200"/>
              <w:spacing w:after="0"/>
              <w:rPr>
                <w:sz w:val="20"/>
                <w:szCs w:val="20"/>
                <w:color w:val="auto"/>
              </w:rPr>
            </w:pPr>
            <w:r>
              <w:rPr>
                <w:rFonts w:ascii="Arial" w:cs="Arial" w:eastAsia="Arial" w:hAnsi="Arial"/>
                <w:sz w:val="14"/>
                <w:szCs w:val="14"/>
                <w:color w:val="auto"/>
              </w:rPr>
              <w:t>2016</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623,269</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1,177,554</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275,797</w:t>
            </w:r>
          </w:p>
        </w:tc>
        <w:tc>
          <w:tcPr>
            <w:tcW w:w="1200" w:type="dxa"/>
            <w:vAlign w:val="bottom"/>
          </w:tcPr>
          <w:p>
            <w:pPr>
              <w:jc w:val="center"/>
              <w:spacing w:after="0"/>
              <w:rPr>
                <w:sz w:val="20"/>
                <w:szCs w:val="20"/>
                <w:color w:val="auto"/>
              </w:rPr>
            </w:pPr>
            <w:r>
              <w:rPr>
                <w:rFonts w:ascii="Arial" w:cs="Arial" w:eastAsia="Arial" w:hAnsi="Arial"/>
                <w:sz w:val="14"/>
                <w:szCs w:val="14"/>
                <w:color w:val="auto"/>
              </w:rPr>
              <w:t>25,896</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34,077</w:t>
            </w:r>
          </w:p>
        </w:tc>
        <w:tc>
          <w:tcPr>
            <w:tcW w:w="900" w:type="dxa"/>
            <w:vAlign w:val="bottom"/>
          </w:tcPr>
          <w:p>
            <w:pPr>
              <w:jc w:val="right"/>
              <w:spacing w:after="0"/>
              <w:rPr>
                <w:sz w:val="20"/>
                <w:szCs w:val="20"/>
                <w:color w:val="auto"/>
              </w:rPr>
            </w:pPr>
            <w:r>
              <w:rPr>
                <w:rFonts w:ascii="Arial" w:cs="Arial" w:eastAsia="Arial" w:hAnsi="Arial"/>
                <w:sz w:val="14"/>
                <w:szCs w:val="14"/>
                <w:color w:val="auto"/>
              </w:rPr>
              <w:t>2,136,593</w:t>
            </w:r>
          </w:p>
        </w:tc>
      </w:tr>
      <w:tr>
        <w:trPr>
          <w:trHeight w:val="157"/>
        </w:trPr>
        <w:tc>
          <w:tcPr>
            <w:tcW w:w="20" w:type="dxa"/>
            <w:vAlign w:val="bottom"/>
          </w:tcPr>
          <w:p>
            <w:pPr>
              <w:spacing w:after="0"/>
              <w:rPr>
                <w:sz w:val="13"/>
                <w:szCs w:val="13"/>
                <w:color w:val="auto"/>
              </w:rPr>
            </w:pPr>
          </w:p>
        </w:tc>
        <w:tc>
          <w:tcPr>
            <w:tcW w:w="3100" w:type="dxa"/>
            <w:vAlign w:val="bottom"/>
            <w:tcBorders>
              <w:bottom w:val="single" w:sz="8" w:color="C1CECC"/>
            </w:tcBorders>
          </w:tcPr>
          <w:p>
            <w:pPr>
              <w:spacing w:after="0"/>
              <w:rPr>
                <w:sz w:val="13"/>
                <w:szCs w:val="13"/>
                <w:color w:val="auto"/>
              </w:rPr>
            </w:pPr>
          </w:p>
        </w:tc>
        <w:tc>
          <w:tcPr>
            <w:tcW w:w="640" w:type="dxa"/>
            <w:vAlign w:val="bottom"/>
            <w:tcBorders>
              <w:bottom w:val="single" w:sz="8" w:color="C1CECC"/>
            </w:tcBorders>
          </w:tcPr>
          <w:p>
            <w:pPr>
              <w:ind w:left="200"/>
              <w:spacing w:after="0" w:line="157" w:lineRule="exact"/>
              <w:rPr>
                <w:sz w:val="20"/>
                <w:szCs w:val="20"/>
                <w:color w:val="auto"/>
              </w:rPr>
            </w:pPr>
            <w:r>
              <w:rPr>
                <w:rFonts w:ascii="Arial" w:cs="Arial" w:eastAsia="Arial" w:hAnsi="Arial"/>
                <w:sz w:val="14"/>
                <w:szCs w:val="14"/>
                <w:color w:val="auto"/>
              </w:rPr>
              <w:t>2015</w:t>
            </w:r>
          </w:p>
        </w:tc>
        <w:tc>
          <w:tcPr>
            <w:tcW w:w="880" w:type="dxa"/>
            <w:vAlign w:val="bottom"/>
            <w:tcBorders>
              <w:bottom w:val="single" w:sz="8" w:color="C1CECC"/>
            </w:tcBorders>
          </w:tcPr>
          <w:p>
            <w:pPr>
              <w:jc w:val="right"/>
              <w:ind w:right="48"/>
              <w:spacing w:after="0" w:line="157" w:lineRule="exact"/>
              <w:rPr>
                <w:sz w:val="20"/>
                <w:szCs w:val="20"/>
                <w:color w:val="auto"/>
              </w:rPr>
            </w:pPr>
            <w:r>
              <w:rPr>
                <w:rFonts w:ascii="Arial" w:cs="Arial" w:eastAsia="Arial" w:hAnsi="Arial"/>
                <w:sz w:val="14"/>
                <w:szCs w:val="14"/>
                <w:color w:val="auto"/>
              </w:rPr>
              <w:t>570,137</w:t>
            </w:r>
          </w:p>
        </w:tc>
        <w:tc>
          <w:tcPr>
            <w:tcW w:w="660" w:type="dxa"/>
            <w:vAlign w:val="bottom"/>
            <w:tcBorders>
              <w:bottom w:val="single" w:sz="8" w:color="C1CECC"/>
            </w:tcBorders>
          </w:tcPr>
          <w:p>
            <w:pPr>
              <w:jc w:val="center"/>
              <w:spacing w:after="0" w:line="157"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C1CECC"/>
            </w:tcBorders>
          </w:tcPr>
          <w:p>
            <w:pPr>
              <w:jc w:val="right"/>
              <w:ind w:right="28"/>
              <w:spacing w:after="0" w:line="157" w:lineRule="exact"/>
              <w:rPr>
                <w:sz w:val="20"/>
                <w:szCs w:val="20"/>
                <w:color w:val="auto"/>
              </w:rPr>
            </w:pPr>
            <w:r>
              <w:rPr>
                <w:rFonts w:ascii="Arial" w:cs="Arial" w:eastAsia="Arial" w:hAnsi="Arial"/>
                <w:sz w:val="14"/>
                <w:szCs w:val="14"/>
                <w:color w:val="auto"/>
              </w:rPr>
              <w:t>2,409,041</w:t>
            </w:r>
          </w:p>
        </w:tc>
        <w:tc>
          <w:tcPr>
            <w:tcW w:w="720" w:type="dxa"/>
            <w:vAlign w:val="bottom"/>
            <w:tcBorders>
              <w:bottom w:val="single" w:sz="8" w:color="C1CECC"/>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C1CECC"/>
            </w:tcBorders>
          </w:tcPr>
          <w:p>
            <w:pPr>
              <w:jc w:val="center"/>
              <w:spacing w:after="0" w:line="157" w:lineRule="exact"/>
              <w:rPr>
                <w:sz w:val="20"/>
                <w:szCs w:val="20"/>
                <w:color w:val="auto"/>
              </w:rPr>
            </w:pPr>
            <w:r>
              <w:rPr>
                <w:rFonts w:ascii="Arial" w:cs="Arial" w:eastAsia="Arial" w:hAnsi="Arial"/>
                <w:sz w:val="14"/>
                <w:szCs w:val="14"/>
                <w:color w:val="auto"/>
              </w:rPr>
              <w:t>382,716</w:t>
            </w:r>
          </w:p>
        </w:tc>
        <w:tc>
          <w:tcPr>
            <w:tcW w:w="1200" w:type="dxa"/>
            <w:vAlign w:val="bottom"/>
            <w:tcBorders>
              <w:bottom w:val="single" w:sz="8" w:color="C1CECC"/>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C1CECC"/>
            </w:tcBorders>
          </w:tcPr>
          <w:p>
            <w:pPr>
              <w:jc w:val="right"/>
              <w:ind w:right="68"/>
              <w:spacing w:after="0" w:line="157" w:lineRule="exact"/>
              <w:rPr>
                <w:sz w:val="20"/>
                <w:szCs w:val="20"/>
                <w:color w:val="auto"/>
              </w:rPr>
            </w:pPr>
            <w:r>
              <w:rPr>
                <w:rFonts w:ascii="Arial" w:cs="Arial" w:eastAsia="Arial" w:hAnsi="Arial"/>
                <w:sz w:val="14"/>
                <w:szCs w:val="14"/>
                <w:color w:val="auto"/>
              </w:rPr>
              <w:t>21,162</w:t>
            </w:r>
          </w:p>
        </w:tc>
        <w:tc>
          <w:tcPr>
            <w:tcW w:w="900" w:type="dxa"/>
            <w:vAlign w:val="bottom"/>
            <w:tcBorders>
              <w:bottom w:val="single" w:sz="8" w:color="C1CECC"/>
            </w:tcBorders>
          </w:tcPr>
          <w:p>
            <w:pPr>
              <w:jc w:val="right"/>
              <w:spacing w:after="0" w:line="157" w:lineRule="exact"/>
              <w:rPr>
                <w:sz w:val="20"/>
                <w:szCs w:val="20"/>
                <w:color w:val="auto"/>
              </w:rPr>
            </w:pPr>
            <w:r>
              <w:rPr>
                <w:rFonts w:ascii="Arial" w:cs="Arial" w:eastAsia="Arial" w:hAnsi="Arial"/>
                <w:sz w:val="14"/>
                <w:szCs w:val="14"/>
                <w:color w:val="auto"/>
              </w:rPr>
              <w:t>3,383,056</w:t>
            </w:r>
          </w:p>
        </w:tc>
      </w:tr>
      <w:tr>
        <w:trPr>
          <w:trHeight w:val="156"/>
        </w:trPr>
        <w:tc>
          <w:tcPr>
            <w:tcW w:w="20" w:type="dxa"/>
            <w:vAlign w:val="bottom"/>
          </w:tcPr>
          <w:p>
            <w:pPr>
              <w:spacing w:after="0"/>
              <w:rPr>
                <w:sz w:val="13"/>
                <w:szCs w:val="13"/>
                <w:color w:val="auto"/>
              </w:rPr>
            </w:pPr>
          </w:p>
        </w:tc>
        <w:tc>
          <w:tcPr>
            <w:tcW w:w="3100" w:type="dxa"/>
            <w:vAlign w:val="bottom"/>
            <w:shd w:val="clear" w:color="auto" w:fill="F4F9F9"/>
          </w:tcPr>
          <w:p>
            <w:pPr>
              <w:spacing w:after="0" w:line="155" w:lineRule="exact"/>
              <w:rPr>
                <w:sz w:val="20"/>
                <w:szCs w:val="20"/>
                <w:color w:val="auto"/>
              </w:rPr>
            </w:pPr>
            <w:r>
              <w:rPr>
                <w:rFonts w:ascii="Arial" w:cs="Arial" w:eastAsia="Arial" w:hAnsi="Arial"/>
                <w:sz w:val="14"/>
                <w:szCs w:val="14"/>
                <w:color w:val="auto"/>
              </w:rPr>
              <w:t>Servodidio, Mark J.</w:t>
            </w:r>
          </w:p>
        </w:tc>
        <w:tc>
          <w:tcPr>
            <w:tcW w:w="640" w:type="dxa"/>
            <w:vAlign w:val="bottom"/>
            <w:shd w:val="clear" w:color="auto" w:fill="F4F9F9"/>
          </w:tcPr>
          <w:p>
            <w:pPr>
              <w:ind w:left="200"/>
              <w:spacing w:after="0" w:line="155" w:lineRule="exact"/>
              <w:rPr>
                <w:sz w:val="20"/>
                <w:szCs w:val="20"/>
                <w:color w:val="auto"/>
              </w:rPr>
            </w:pPr>
            <w:r>
              <w:rPr>
                <w:rFonts w:ascii="Arial" w:cs="Arial" w:eastAsia="Arial" w:hAnsi="Arial"/>
                <w:sz w:val="14"/>
                <w:szCs w:val="14"/>
                <w:color w:val="auto"/>
              </w:rPr>
              <w:t>2017</w:t>
            </w:r>
          </w:p>
        </w:tc>
        <w:tc>
          <w:tcPr>
            <w:tcW w:w="880" w:type="dxa"/>
            <w:vAlign w:val="bottom"/>
            <w:shd w:val="clear" w:color="auto" w:fill="F4F9F9"/>
          </w:tcPr>
          <w:p>
            <w:pPr>
              <w:jc w:val="right"/>
              <w:ind w:right="48"/>
              <w:spacing w:after="0" w:line="155" w:lineRule="exact"/>
              <w:rPr>
                <w:sz w:val="20"/>
                <w:szCs w:val="20"/>
                <w:color w:val="auto"/>
              </w:rPr>
            </w:pPr>
            <w:r>
              <w:rPr>
                <w:rFonts w:ascii="Arial" w:cs="Arial" w:eastAsia="Arial" w:hAnsi="Arial"/>
                <w:sz w:val="14"/>
                <w:szCs w:val="14"/>
                <w:color w:val="auto"/>
              </w:rPr>
              <w:t>623,767</w:t>
            </w:r>
          </w:p>
        </w:tc>
        <w:tc>
          <w:tcPr>
            <w:tcW w:w="660" w:type="dxa"/>
            <w:vAlign w:val="bottom"/>
            <w:shd w:val="clear" w:color="auto" w:fill="F4F9F9"/>
          </w:tcPr>
          <w:p>
            <w:pPr>
              <w:jc w:val="center"/>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F4F9F9"/>
          </w:tcPr>
          <w:p>
            <w:pPr>
              <w:jc w:val="right"/>
              <w:ind w:right="28"/>
              <w:spacing w:after="0" w:line="155" w:lineRule="exact"/>
              <w:rPr>
                <w:sz w:val="20"/>
                <w:szCs w:val="20"/>
                <w:color w:val="auto"/>
              </w:rPr>
            </w:pPr>
            <w:r>
              <w:rPr>
                <w:rFonts w:ascii="Arial" w:cs="Arial" w:eastAsia="Arial" w:hAnsi="Arial"/>
                <w:sz w:val="14"/>
                <w:szCs w:val="14"/>
                <w:color w:val="auto"/>
              </w:rPr>
              <w:t>1,850,008</w:t>
            </w:r>
          </w:p>
        </w:tc>
        <w:tc>
          <w:tcPr>
            <w:tcW w:w="720" w:type="dxa"/>
            <w:vAlign w:val="bottom"/>
            <w:shd w:val="clear" w:color="auto" w:fill="F4F9F9"/>
          </w:tcPr>
          <w:p>
            <w:pPr>
              <w:jc w:val="center"/>
              <w:spacing w:after="0" w:line="155" w:lineRule="exact"/>
              <w:rPr>
                <w:sz w:val="20"/>
                <w:szCs w:val="20"/>
                <w:color w:val="auto"/>
              </w:rPr>
            </w:pPr>
            <w:r>
              <w:rPr>
                <w:rFonts w:ascii="Arial" w:cs="Arial" w:eastAsia="Arial" w:hAnsi="Arial"/>
                <w:sz w:val="14"/>
                <w:szCs w:val="14"/>
                <w:color w:val="auto"/>
                <w:w w:val="99"/>
              </w:rPr>
              <w:t>—</w:t>
            </w:r>
          </w:p>
        </w:tc>
        <w:tc>
          <w:tcPr>
            <w:tcW w:w="1180" w:type="dxa"/>
            <w:vAlign w:val="bottom"/>
            <w:shd w:val="clear" w:color="auto" w:fill="F4F9F9"/>
          </w:tcPr>
          <w:p>
            <w:pPr>
              <w:jc w:val="center"/>
              <w:spacing w:after="0" w:line="155" w:lineRule="exact"/>
              <w:rPr>
                <w:sz w:val="20"/>
                <w:szCs w:val="20"/>
                <w:color w:val="auto"/>
              </w:rPr>
            </w:pPr>
            <w:r>
              <w:rPr>
                <w:rFonts w:ascii="Arial" w:cs="Arial" w:eastAsia="Arial" w:hAnsi="Arial"/>
                <w:sz w:val="14"/>
                <w:szCs w:val="14"/>
                <w:color w:val="auto"/>
              </w:rPr>
              <w:t>302,950</w:t>
            </w:r>
          </w:p>
        </w:tc>
        <w:tc>
          <w:tcPr>
            <w:tcW w:w="1200" w:type="dxa"/>
            <w:vAlign w:val="bottom"/>
            <w:shd w:val="clear" w:color="auto" w:fill="F4F9F9"/>
          </w:tcPr>
          <w:p>
            <w:pPr>
              <w:jc w:val="center"/>
              <w:spacing w:after="0" w:line="155" w:lineRule="exact"/>
              <w:rPr>
                <w:sz w:val="20"/>
                <w:szCs w:val="20"/>
                <w:color w:val="auto"/>
              </w:rPr>
            </w:pPr>
            <w:r>
              <w:rPr>
                <w:rFonts w:ascii="Arial" w:cs="Arial" w:eastAsia="Arial" w:hAnsi="Arial"/>
                <w:sz w:val="14"/>
                <w:szCs w:val="14"/>
                <w:color w:val="auto"/>
                <w:w w:val="99"/>
              </w:rPr>
              <w:t>—</w:t>
            </w:r>
          </w:p>
        </w:tc>
        <w:tc>
          <w:tcPr>
            <w:tcW w:w="900" w:type="dxa"/>
            <w:vAlign w:val="bottom"/>
            <w:shd w:val="clear" w:color="auto" w:fill="F4F9F9"/>
          </w:tcPr>
          <w:p>
            <w:pPr>
              <w:jc w:val="right"/>
              <w:ind w:right="68"/>
              <w:spacing w:after="0" w:line="155" w:lineRule="exact"/>
              <w:rPr>
                <w:sz w:val="20"/>
                <w:szCs w:val="20"/>
                <w:color w:val="auto"/>
              </w:rPr>
            </w:pPr>
            <w:r>
              <w:rPr>
                <w:rFonts w:ascii="Arial" w:cs="Arial" w:eastAsia="Arial" w:hAnsi="Arial"/>
                <w:sz w:val="14"/>
                <w:szCs w:val="14"/>
                <w:color w:val="auto"/>
              </w:rPr>
              <w:t>1,020,757</w:t>
            </w:r>
          </w:p>
        </w:tc>
        <w:tc>
          <w:tcPr>
            <w:tcW w:w="900" w:type="dxa"/>
            <w:vAlign w:val="bottom"/>
            <w:shd w:val="clear" w:color="auto" w:fill="F4F9F9"/>
          </w:tcPr>
          <w:p>
            <w:pPr>
              <w:jc w:val="right"/>
              <w:spacing w:after="0" w:line="155" w:lineRule="exact"/>
              <w:rPr>
                <w:sz w:val="20"/>
                <w:szCs w:val="20"/>
                <w:color w:val="auto"/>
              </w:rPr>
            </w:pPr>
            <w:r>
              <w:rPr>
                <w:rFonts w:ascii="Arial" w:cs="Arial" w:eastAsia="Arial" w:hAnsi="Arial"/>
                <w:sz w:val="14"/>
                <w:szCs w:val="14"/>
                <w:color w:val="auto"/>
              </w:rPr>
              <w:t>3,797,482</w:t>
            </w:r>
          </w:p>
        </w:tc>
      </w:tr>
      <w:tr>
        <w:trPr>
          <w:trHeight w:val="162"/>
        </w:trPr>
        <w:tc>
          <w:tcPr>
            <w:tcW w:w="20" w:type="dxa"/>
            <w:vAlign w:val="bottom"/>
          </w:tcPr>
          <w:p>
            <w:pPr>
              <w:spacing w:after="0"/>
              <w:rPr>
                <w:sz w:val="14"/>
                <w:szCs w:val="14"/>
                <w:color w:val="auto"/>
              </w:rPr>
            </w:pPr>
          </w:p>
        </w:tc>
        <w:tc>
          <w:tcPr>
            <w:tcW w:w="3100" w:type="dxa"/>
            <w:vAlign w:val="bottom"/>
            <w:shd w:val="clear" w:color="auto" w:fill="F4F9F9"/>
          </w:tcPr>
          <w:p>
            <w:pPr>
              <w:spacing w:after="0"/>
              <w:rPr>
                <w:sz w:val="20"/>
                <w:szCs w:val="20"/>
                <w:color w:val="auto"/>
              </w:rPr>
            </w:pPr>
            <w:r>
              <w:rPr>
                <w:rFonts w:ascii="Arial" w:cs="Arial" w:eastAsia="Arial" w:hAnsi="Arial"/>
                <w:sz w:val="14"/>
                <w:szCs w:val="14"/>
                <w:color w:val="auto"/>
              </w:rPr>
              <w:t>President, International</w:t>
            </w:r>
          </w:p>
        </w:tc>
        <w:tc>
          <w:tcPr>
            <w:tcW w:w="640" w:type="dxa"/>
            <w:vAlign w:val="bottom"/>
            <w:shd w:val="clear" w:color="auto" w:fill="F4F9F9"/>
          </w:tcPr>
          <w:p>
            <w:pPr>
              <w:ind w:left="200"/>
              <w:spacing w:after="0"/>
              <w:rPr>
                <w:sz w:val="20"/>
                <w:szCs w:val="20"/>
                <w:color w:val="auto"/>
              </w:rPr>
            </w:pPr>
            <w:r>
              <w:rPr>
                <w:rFonts w:ascii="Arial" w:cs="Arial" w:eastAsia="Arial" w:hAnsi="Arial"/>
                <w:sz w:val="14"/>
                <w:szCs w:val="14"/>
                <w:color w:val="auto"/>
              </w:rPr>
              <w:t>2016</w:t>
            </w:r>
          </w:p>
        </w:tc>
        <w:tc>
          <w:tcPr>
            <w:tcW w:w="880" w:type="dxa"/>
            <w:vAlign w:val="bottom"/>
            <w:shd w:val="clear" w:color="auto" w:fill="F4F9F9"/>
          </w:tcPr>
          <w:p>
            <w:pPr>
              <w:jc w:val="right"/>
              <w:ind w:right="48"/>
              <w:spacing w:after="0"/>
              <w:rPr>
                <w:sz w:val="20"/>
                <w:szCs w:val="20"/>
                <w:color w:val="auto"/>
              </w:rPr>
            </w:pPr>
            <w:r>
              <w:rPr>
                <w:rFonts w:ascii="Arial" w:cs="Arial" w:eastAsia="Arial" w:hAnsi="Arial"/>
                <w:sz w:val="14"/>
                <w:szCs w:val="14"/>
                <w:color w:val="auto"/>
              </w:rPr>
              <w:t>596,538</w:t>
            </w:r>
          </w:p>
        </w:tc>
        <w:tc>
          <w:tcPr>
            <w:tcW w:w="660" w:type="dxa"/>
            <w:vAlign w:val="bottom"/>
            <w:shd w:val="clear" w:color="auto" w:fill="F4F9F9"/>
          </w:tcPr>
          <w:p>
            <w:pPr>
              <w:jc w:val="center"/>
              <w:spacing w:after="0"/>
              <w:rPr>
                <w:sz w:val="20"/>
                <w:szCs w:val="20"/>
                <w:color w:val="auto"/>
              </w:rPr>
            </w:pPr>
            <w:r>
              <w:rPr>
                <w:rFonts w:ascii="Arial" w:cs="Arial" w:eastAsia="Arial" w:hAnsi="Arial"/>
                <w:sz w:val="14"/>
                <w:szCs w:val="14"/>
                <w:color w:val="auto"/>
              </w:rPr>
              <w:t>—</w:t>
            </w:r>
          </w:p>
        </w:tc>
        <w:tc>
          <w:tcPr>
            <w:tcW w:w="840" w:type="dxa"/>
            <w:vAlign w:val="bottom"/>
            <w:shd w:val="clear" w:color="auto" w:fill="F4F9F9"/>
          </w:tcPr>
          <w:p>
            <w:pPr>
              <w:jc w:val="right"/>
              <w:ind w:right="28"/>
              <w:spacing w:after="0"/>
              <w:rPr>
                <w:sz w:val="20"/>
                <w:szCs w:val="20"/>
                <w:color w:val="auto"/>
              </w:rPr>
            </w:pPr>
            <w:r>
              <w:rPr>
                <w:rFonts w:ascii="Arial" w:cs="Arial" w:eastAsia="Arial" w:hAnsi="Arial"/>
                <w:sz w:val="14"/>
                <w:szCs w:val="14"/>
                <w:color w:val="auto"/>
              </w:rPr>
              <w:t>1,177,554</w:t>
            </w:r>
          </w:p>
        </w:tc>
        <w:tc>
          <w:tcPr>
            <w:tcW w:w="720" w:type="dxa"/>
            <w:vAlign w:val="bottom"/>
            <w:shd w:val="clear" w:color="auto" w:fill="F4F9F9"/>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F4F9F9"/>
          </w:tcPr>
          <w:p>
            <w:pPr>
              <w:jc w:val="center"/>
              <w:spacing w:after="0"/>
              <w:rPr>
                <w:sz w:val="20"/>
                <w:szCs w:val="20"/>
                <w:color w:val="auto"/>
              </w:rPr>
            </w:pPr>
            <w:r>
              <w:rPr>
                <w:rFonts w:ascii="Arial" w:cs="Arial" w:eastAsia="Arial" w:hAnsi="Arial"/>
                <w:sz w:val="14"/>
                <w:szCs w:val="14"/>
                <w:color w:val="auto"/>
              </w:rPr>
              <w:t>395,237</w:t>
            </w:r>
          </w:p>
        </w:tc>
        <w:tc>
          <w:tcPr>
            <w:tcW w:w="1200" w:type="dxa"/>
            <w:vAlign w:val="bottom"/>
            <w:shd w:val="clear" w:color="auto" w:fill="F4F9F9"/>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4F9F9"/>
          </w:tcPr>
          <w:p>
            <w:pPr>
              <w:jc w:val="right"/>
              <w:ind w:right="68"/>
              <w:spacing w:after="0"/>
              <w:rPr>
                <w:sz w:val="20"/>
                <w:szCs w:val="20"/>
                <w:color w:val="auto"/>
              </w:rPr>
            </w:pPr>
            <w:r>
              <w:rPr>
                <w:rFonts w:ascii="Arial" w:cs="Arial" w:eastAsia="Arial" w:hAnsi="Arial"/>
                <w:sz w:val="14"/>
                <w:szCs w:val="14"/>
                <w:color w:val="auto"/>
              </w:rPr>
              <w:t>2,108,324</w:t>
            </w:r>
          </w:p>
        </w:tc>
        <w:tc>
          <w:tcPr>
            <w:tcW w:w="900" w:type="dxa"/>
            <w:vAlign w:val="bottom"/>
            <w:shd w:val="clear" w:color="auto" w:fill="F4F9F9"/>
          </w:tcPr>
          <w:p>
            <w:pPr>
              <w:jc w:val="right"/>
              <w:spacing w:after="0"/>
              <w:rPr>
                <w:sz w:val="20"/>
                <w:szCs w:val="20"/>
                <w:color w:val="auto"/>
              </w:rPr>
            </w:pPr>
            <w:r>
              <w:rPr>
                <w:rFonts w:ascii="Arial" w:cs="Arial" w:eastAsia="Arial" w:hAnsi="Arial"/>
                <w:sz w:val="14"/>
                <w:szCs w:val="14"/>
                <w:color w:val="auto"/>
              </w:rPr>
              <w:t>4,277,653</w:t>
            </w:r>
          </w:p>
        </w:tc>
      </w:tr>
      <w:tr>
        <w:trPr>
          <w:trHeight w:val="162"/>
        </w:trPr>
        <w:tc>
          <w:tcPr>
            <w:tcW w:w="20" w:type="dxa"/>
            <w:vAlign w:val="bottom"/>
          </w:tcPr>
          <w:p>
            <w:pPr>
              <w:spacing w:after="0"/>
              <w:rPr>
                <w:sz w:val="14"/>
                <w:szCs w:val="14"/>
                <w:color w:val="auto"/>
              </w:rPr>
            </w:pPr>
          </w:p>
        </w:tc>
        <w:tc>
          <w:tcPr>
            <w:tcW w:w="3100" w:type="dxa"/>
            <w:vAlign w:val="bottom"/>
            <w:tcBorders>
              <w:bottom w:val="single" w:sz="8" w:color="C1CECC"/>
            </w:tcBorders>
            <w:shd w:val="clear" w:color="auto" w:fill="F4F9F9"/>
          </w:tcPr>
          <w:p>
            <w:pPr>
              <w:spacing w:after="0"/>
              <w:rPr>
                <w:sz w:val="14"/>
                <w:szCs w:val="14"/>
                <w:color w:val="auto"/>
              </w:rPr>
            </w:pPr>
          </w:p>
        </w:tc>
        <w:tc>
          <w:tcPr>
            <w:tcW w:w="640" w:type="dxa"/>
            <w:vAlign w:val="bottom"/>
            <w:tcBorders>
              <w:bottom w:val="single" w:sz="8" w:color="C1CECC"/>
            </w:tcBorders>
            <w:shd w:val="clear" w:color="auto" w:fill="F4F9F9"/>
          </w:tcPr>
          <w:p>
            <w:pPr>
              <w:ind w:left="200"/>
              <w:spacing w:after="0"/>
              <w:rPr>
                <w:sz w:val="20"/>
                <w:szCs w:val="20"/>
                <w:color w:val="auto"/>
              </w:rPr>
            </w:pPr>
            <w:r>
              <w:rPr>
                <w:rFonts w:ascii="Arial" w:cs="Arial" w:eastAsia="Arial" w:hAnsi="Arial"/>
                <w:sz w:val="14"/>
                <w:szCs w:val="14"/>
                <w:color w:val="auto"/>
              </w:rPr>
              <w:t>2015</w:t>
            </w:r>
          </w:p>
        </w:tc>
        <w:tc>
          <w:tcPr>
            <w:tcW w:w="880" w:type="dxa"/>
            <w:vAlign w:val="bottom"/>
            <w:tcBorders>
              <w:bottom w:val="single" w:sz="8" w:color="C1CECC"/>
            </w:tcBorders>
            <w:shd w:val="clear" w:color="auto" w:fill="F4F9F9"/>
          </w:tcPr>
          <w:p>
            <w:pPr>
              <w:jc w:val="right"/>
              <w:ind w:right="48"/>
              <w:spacing w:after="0"/>
              <w:rPr>
                <w:sz w:val="20"/>
                <w:szCs w:val="20"/>
                <w:color w:val="auto"/>
              </w:rPr>
            </w:pPr>
            <w:r>
              <w:rPr>
                <w:rFonts w:ascii="Arial" w:cs="Arial" w:eastAsia="Arial" w:hAnsi="Arial"/>
                <w:sz w:val="14"/>
                <w:szCs w:val="14"/>
                <w:color w:val="auto"/>
              </w:rPr>
              <w:t>512,603</w:t>
            </w:r>
          </w:p>
        </w:tc>
        <w:tc>
          <w:tcPr>
            <w:tcW w:w="66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1CECC"/>
            </w:tcBorders>
            <w:shd w:val="clear" w:color="auto" w:fill="F4F9F9"/>
          </w:tcPr>
          <w:p>
            <w:pPr>
              <w:jc w:val="right"/>
              <w:ind w:right="28"/>
              <w:spacing w:after="0"/>
              <w:rPr>
                <w:sz w:val="20"/>
                <w:szCs w:val="20"/>
                <w:color w:val="auto"/>
              </w:rPr>
            </w:pPr>
            <w:r>
              <w:rPr>
                <w:rFonts w:ascii="Arial" w:cs="Arial" w:eastAsia="Arial" w:hAnsi="Arial"/>
                <w:sz w:val="14"/>
                <w:szCs w:val="14"/>
                <w:color w:val="auto"/>
              </w:rPr>
              <w:t>842,029</w:t>
            </w:r>
          </w:p>
        </w:tc>
        <w:tc>
          <w:tcPr>
            <w:tcW w:w="72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4"/>
                <w:szCs w:val="14"/>
                <w:color w:val="auto"/>
              </w:rPr>
              <w:t>357,663</w:t>
            </w:r>
          </w:p>
        </w:tc>
        <w:tc>
          <w:tcPr>
            <w:tcW w:w="120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C1CECC"/>
            </w:tcBorders>
            <w:shd w:val="clear" w:color="auto" w:fill="F4F9F9"/>
          </w:tcPr>
          <w:p>
            <w:pPr>
              <w:jc w:val="right"/>
              <w:ind w:right="68"/>
              <w:spacing w:after="0"/>
              <w:rPr>
                <w:sz w:val="20"/>
                <w:szCs w:val="20"/>
                <w:color w:val="auto"/>
              </w:rPr>
            </w:pPr>
            <w:r>
              <w:rPr>
                <w:rFonts w:ascii="Arial" w:cs="Arial" w:eastAsia="Arial" w:hAnsi="Arial"/>
                <w:sz w:val="14"/>
                <w:szCs w:val="14"/>
                <w:color w:val="auto"/>
              </w:rPr>
              <w:t>1,168,530</w:t>
            </w:r>
          </w:p>
        </w:tc>
        <w:tc>
          <w:tcPr>
            <w:tcW w:w="900" w:type="dxa"/>
            <w:vAlign w:val="bottom"/>
            <w:tcBorders>
              <w:bottom w:val="single" w:sz="8" w:color="C1CECC"/>
            </w:tcBorders>
            <w:shd w:val="clear" w:color="auto" w:fill="F4F9F9"/>
          </w:tcPr>
          <w:p>
            <w:pPr>
              <w:jc w:val="right"/>
              <w:spacing w:after="0"/>
              <w:rPr>
                <w:sz w:val="20"/>
                <w:szCs w:val="20"/>
                <w:color w:val="auto"/>
              </w:rPr>
            </w:pPr>
            <w:r>
              <w:rPr>
                <w:rFonts w:ascii="Arial" w:cs="Arial" w:eastAsia="Arial" w:hAnsi="Arial"/>
                <w:sz w:val="14"/>
                <w:szCs w:val="14"/>
                <w:color w:val="auto"/>
              </w:rPr>
              <w:t>2,880,825</w:t>
            </w:r>
          </w:p>
        </w:tc>
      </w:tr>
      <w:tr>
        <w:trPr>
          <w:trHeight w:val="160"/>
        </w:trPr>
        <w:tc>
          <w:tcPr>
            <w:tcW w:w="3120" w:type="dxa"/>
            <w:vAlign w:val="bottom"/>
            <w:gridSpan w:val="2"/>
          </w:tcPr>
          <w:p>
            <w:pPr>
              <w:spacing w:after="0"/>
              <w:rPr>
                <w:sz w:val="20"/>
                <w:szCs w:val="20"/>
                <w:color w:val="auto"/>
              </w:rPr>
            </w:pPr>
            <w:r>
              <w:rPr>
                <w:rFonts w:ascii="Arial" w:cs="Arial" w:eastAsia="Arial" w:hAnsi="Arial"/>
                <w:sz w:val="14"/>
                <w:szCs w:val="14"/>
                <w:color w:val="auto"/>
              </w:rPr>
              <w:t>Wyshner, David B.</w:t>
            </w:r>
          </w:p>
        </w:tc>
        <w:tc>
          <w:tcPr>
            <w:tcW w:w="640" w:type="dxa"/>
            <w:vAlign w:val="bottom"/>
          </w:tcPr>
          <w:p>
            <w:pPr>
              <w:ind w:left="200"/>
              <w:spacing w:after="0"/>
              <w:rPr>
                <w:sz w:val="20"/>
                <w:szCs w:val="20"/>
                <w:color w:val="auto"/>
              </w:rPr>
            </w:pPr>
            <w:r>
              <w:rPr>
                <w:rFonts w:ascii="Arial" w:cs="Arial" w:eastAsia="Arial" w:hAnsi="Arial"/>
                <w:sz w:val="14"/>
                <w:szCs w:val="14"/>
                <w:color w:val="auto"/>
              </w:rPr>
              <w:t>2017</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353,846</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2,000,012</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12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4,935,843</w:t>
            </w:r>
          </w:p>
        </w:tc>
        <w:tc>
          <w:tcPr>
            <w:tcW w:w="900" w:type="dxa"/>
            <w:vAlign w:val="bottom"/>
          </w:tcPr>
          <w:p>
            <w:pPr>
              <w:jc w:val="right"/>
              <w:spacing w:after="0"/>
              <w:rPr>
                <w:sz w:val="20"/>
                <w:szCs w:val="20"/>
                <w:color w:val="auto"/>
              </w:rPr>
            </w:pPr>
            <w:r>
              <w:rPr>
                <w:rFonts w:ascii="Arial" w:cs="Arial" w:eastAsia="Arial" w:hAnsi="Arial"/>
                <w:sz w:val="14"/>
                <w:szCs w:val="14"/>
                <w:color w:val="auto"/>
              </w:rPr>
              <w:t>7,289,701</w:t>
            </w:r>
          </w:p>
        </w:tc>
      </w:tr>
      <w:tr>
        <w:trPr>
          <w:trHeight w:val="162"/>
        </w:trPr>
        <w:tc>
          <w:tcPr>
            <w:tcW w:w="3120" w:type="dxa"/>
            <w:vAlign w:val="bottom"/>
            <w:gridSpan w:val="2"/>
          </w:tcPr>
          <w:p>
            <w:pPr>
              <w:spacing w:after="0"/>
              <w:rPr>
                <w:sz w:val="20"/>
                <w:szCs w:val="20"/>
                <w:color w:val="auto"/>
              </w:rPr>
            </w:pPr>
            <w:r>
              <w:rPr>
                <w:rFonts w:ascii="Arial" w:cs="Arial" w:eastAsia="Arial" w:hAnsi="Arial"/>
                <w:sz w:val="14"/>
                <w:szCs w:val="14"/>
                <w:color w:val="auto"/>
              </w:rPr>
              <w:t>Former President and CFO</w:t>
            </w:r>
          </w:p>
        </w:tc>
        <w:tc>
          <w:tcPr>
            <w:tcW w:w="640" w:type="dxa"/>
            <w:vAlign w:val="bottom"/>
          </w:tcPr>
          <w:p>
            <w:pPr>
              <w:ind w:left="200"/>
              <w:spacing w:after="0"/>
              <w:rPr>
                <w:sz w:val="20"/>
                <w:szCs w:val="20"/>
                <w:color w:val="auto"/>
              </w:rPr>
            </w:pPr>
            <w:r>
              <w:rPr>
                <w:rFonts w:ascii="Arial" w:cs="Arial" w:eastAsia="Arial" w:hAnsi="Arial"/>
                <w:sz w:val="14"/>
                <w:szCs w:val="14"/>
                <w:color w:val="auto"/>
              </w:rPr>
              <w:t>2016</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800,000</w:t>
            </w: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2,497,149</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450,000</w:t>
            </w:r>
          </w:p>
        </w:tc>
        <w:tc>
          <w:tcPr>
            <w:tcW w:w="12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121,144</w:t>
            </w:r>
          </w:p>
        </w:tc>
        <w:tc>
          <w:tcPr>
            <w:tcW w:w="900" w:type="dxa"/>
            <w:vAlign w:val="bottom"/>
          </w:tcPr>
          <w:p>
            <w:pPr>
              <w:jc w:val="right"/>
              <w:spacing w:after="0"/>
              <w:rPr>
                <w:sz w:val="20"/>
                <w:szCs w:val="20"/>
                <w:color w:val="auto"/>
              </w:rPr>
            </w:pPr>
            <w:r>
              <w:rPr>
                <w:rFonts w:ascii="Arial" w:cs="Arial" w:eastAsia="Arial" w:hAnsi="Arial"/>
                <w:sz w:val="14"/>
                <w:szCs w:val="14"/>
                <w:color w:val="auto"/>
              </w:rPr>
              <w:t>3,868,293</w:t>
            </w:r>
          </w:p>
        </w:tc>
      </w:tr>
      <w:tr>
        <w:trPr>
          <w:trHeight w:val="157"/>
        </w:trPr>
        <w:tc>
          <w:tcPr>
            <w:tcW w:w="20" w:type="dxa"/>
            <w:vAlign w:val="bottom"/>
          </w:tcPr>
          <w:p>
            <w:pPr>
              <w:spacing w:after="0"/>
              <w:rPr>
                <w:sz w:val="13"/>
                <w:szCs w:val="13"/>
                <w:color w:val="auto"/>
              </w:rPr>
            </w:pPr>
          </w:p>
        </w:tc>
        <w:tc>
          <w:tcPr>
            <w:tcW w:w="3100" w:type="dxa"/>
            <w:vAlign w:val="bottom"/>
            <w:tcBorders>
              <w:bottom w:val="single" w:sz="8" w:color="C1CECC"/>
            </w:tcBorders>
          </w:tcPr>
          <w:p>
            <w:pPr>
              <w:spacing w:after="0"/>
              <w:rPr>
                <w:sz w:val="13"/>
                <w:szCs w:val="13"/>
                <w:color w:val="auto"/>
              </w:rPr>
            </w:pPr>
          </w:p>
        </w:tc>
        <w:tc>
          <w:tcPr>
            <w:tcW w:w="640" w:type="dxa"/>
            <w:vAlign w:val="bottom"/>
            <w:tcBorders>
              <w:bottom w:val="single" w:sz="8" w:color="C1CECC"/>
            </w:tcBorders>
          </w:tcPr>
          <w:p>
            <w:pPr>
              <w:ind w:left="200"/>
              <w:spacing w:after="0" w:line="157" w:lineRule="exact"/>
              <w:rPr>
                <w:sz w:val="20"/>
                <w:szCs w:val="20"/>
                <w:color w:val="auto"/>
              </w:rPr>
            </w:pPr>
            <w:r>
              <w:rPr>
                <w:rFonts w:ascii="Arial" w:cs="Arial" w:eastAsia="Arial" w:hAnsi="Arial"/>
                <w:sz w:val="14"/>
                <w:szCs w:val="14"/>
                <w:color w:val="auto"/>
              </w:rPr>
              <w:t>2015</w:t>
            </w:r>
          </w:p>
        </w:tc>
        <w:tc>
          <w:tcPr>
            <w:tcW w:w="880" w:type="dxa"/>
            <w:vAlign w:val="bottom"/>
            <w:tcBorders>
              <w:bottom w:val="single" w:sz="8" w:color="C1CECC"/>
            </w:tcBorders>
          </w:tcPr>
          <w:p>
            <w:pPr>
              <w:jc w:val="right"/>
              <w:ind w:right="48"/>
              <w:spacing w:after="0" w:line="157" w:lineRule="exact"/>
              <w:rPr>
                <w:sz w:val="20"/>
                <w:szCs w:val="20"/>
                <w:color w:val="auto"/>
              </w:rPr>
            </w:pPr>
            <w:r>
              <w:rPr>
                <w:rFonts w:ascii="Arial" w:cs="Arial" w:eastAsia="Arial" w:hAnsi="Arial"/>
                <w:sz w:val="14"/>
                <w:szCs w:val="14"/>
                <w:color w:val="auto"/>
              </w:rPr>
              <w:t>723,630</w:t>
            </w:r>
          </w:p>
        </w:tc>
        <w:tc>
          <w:tcPr>
            <w:tcW w:w="660" w:type="dxa"/>
            <w:vAlign w:val="bottom"/>
            <w:tcBorders>
              <w:bottom w:val="single" w:sz="8" w:color="C1CECC"/>
            </w:tcBorders>
          </w:tcPr>
          <w:p>
            <w:pPr>
              <w:jc w:val="center"/>
              <w:spacing w:after="0" w:line="157"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C1CECC"/>
            </w:tcBorders>
          </w:tcPr>
          <w:p>
            <w:pPr>
              <w:jc w:val="right"/>
              <w:ind w:right="28"/>
              <w:spacing w:after="0" w:line="157" w:lineRule="exact"/>
              <w:rPr>
                <w:sz w:val="20"/>
                <w:szCs w:val="20"/>
                <w:color w:val="auto"/>
              </w:rPr>
            </w:pPr>
            <w:r>
              <w:rPr>
                <w:rFonts w:ascii="Arial" w:cs="Arial" w:eastAsia="Arial" w:hAnsi="Arial"/>
                <w:sz w:val="14"/>
                <w:szCs w:val="14"/>
                <w:color w:val="auto"/>
              </w:rPr>
              <w:t>4,565,861</w:t>
            </w:r>
          </w:p>
        </w:tc>
        <w:tc>
          <w:tcPr>
            <w:tcW w:w="720" w:type="dxa"/>
            <w:vAlign w:val="bottom"/>
            <w:tcBorders>
              <w:bottom w:val="single" w:sz="8" w:color="C1CECC"/>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C1CECC"/>
            </w:tcBorders>
          </w:tcPr>
          <w:p>
            <w:pPr>
              <w:jc w:val="center"/>
              <w:spacing w:after="0" w:line="157" w:lineRule="exact"/>
              <w:rPr>
                <w:sz w:val="20"/>
                <w:szCs w:val="20"/>
                <w:color w:val="auto"/>
              </w:rPr>
            </w:pPr>
            <w:r>
              <w:rPr>
                <w:rFonts w:ascii="Arial" w:cs="Arial" w:eastAsia="Arial" w:hAnsi="Arial"/>
                <w:sz w:val="14"/>
                <w:szCs w:val="14"/>
                <w:color w:val="auto"/>
              </w:rPr>
              <w:t>652,500</w:t>
            </w:r>
          </w:p>
        </w:tc>
        <w:tc>
          <w:tcPr>
            <w:tcW w:w="1200" w:type="dxa"/>
            <w:vAlign w:val="bottom"/>
            <w:tcBorders>
              <w:bottom w:val="single" w:sz="8" w:color="C1CECC"/>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C1CECC"/>
            </w:tcBorders>
          </w:tcPr>
          <w:p>
            <w:pPr>
              <w:jc w:val="right"/>
              <w:ind w:right="68"/>
              <w:spacing w:after="0" w:line="157" w:lineRule="exact"/>
              <w:rPr>
                <w:sz w:val="20"/>
                <w:szCs w:val="20"/>
                <w:color w:val="auto"/>
              </w:rPr>
            </w:pPr>
            <w:r>
              <w:rPr>
                <w:rFonts w:ascii="Arial" w:cs="Arial" w:eastAsia="Arial" w:hAnsi="Arial"/>
                <w:sz w:val="14"/>
                <w:szCs w:val="14"/>
                <w:color w:val="auto"/>
              </w:rPr>
              <w:t>116,296</w:t>
            </w:r>
          </w:p>
        </w:tc>
        <w:tc>
          <w:tcPr>
            <w:tcW w:w="900" w:type="dxa"/>
            <w:vAlign w:val="bottom"/>
            <w:tcBorders>
              <w:bottom w:val="single" w:sz="8" w:color="C1CECC"/>
            </w:tcBorders>
          </w:tcPr>
          <w:p>
            <w:pPr>
              <w:jc w:val="right"/>
              <w:spacing w:after="0" w:line="157" w:lineRule="exact"/>
              <w:rPr>
                <w:sz w:val="20"/>
                <w:szCs w:val="20"/>
                <w:color w:val="auto"/>
              </w:rPr>
            </w:pPr>
            <w:r>
              <w:rPr>
                <w:rFonts w:ascii="Arial" w:cs="Arial" w:eastAsia="Arial" w:hAnsi="Arial"/>
                <w:sz w:val="14"/>
                <w:szCs w:val="14"/>
                <w:color w:val="auto"/>
              </w:rPr>
              <w:t>6,058,287</w:t>
            </w:r>
          </w:p>
        </w:tc>
      </w:tr>
    </w:tbl>
    <w:p>
      <w:pPr>
        <w:spacing w:after="0" w:line="200" w:lineRule="exact"/>
        <w:rPr>
          <w:sz w:val="20"/>
          <w:szCs w:val="20"/>
          <w:color w:val="auto"/>
        </w:rPr>
      </w:pPr>
    </w:p>
    <w:p>
      <w:pPr>
        <w:spacing w:after="0" w:line="299" w:lineRule="exact"/>
        <w:rPr>
          <w:sz w:val="20"/>
          <w:szCs w:val="20"/>
          <w:color w:val="auto"/>
        </w:rPr>
      </w:pPr>
    </w:p>
    <w:p>
      <w:pPr>
        <w:ind w:left="520" w:right="20" w:hanging="316"/>
        <w:spacing w:after="0" w:line="231"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Salary includes amounts deferred under the Company’s Deferred Compensation Plan or 401(k) Plan. For Mr. Smith, amount includes 2017 salary earned in the United Kingdom prior to assuming the interim CFO position, and reflects a £/$ exchange rate for the respective month in which the amounts were paid.</w:t>
      </w:r>
    </w:p>
    <w:p>
      <w:pPr>
        <w:spacing w:after="0" w:line="108" w:lineRule="exact"/>
        <w:rPr>
          <w:rFonts w:ascii="Arial" w:cs="Arial" w:eastAsia="Arial" w:hAnsi="Arial"/>
          <w:sz w:val="14"/>
          <w:szCs w:val="14"/>
          <w:color w:val="auto"/>
        </w:rPr>
      </w:pPr>
    </w:p>
    <w:p>
      <w:pPr>
        <w:jc w:val="both"/>
        <w:ind w:left="520" w:right="20" w:hanging="316"/>
        <w:spacing w:after="0" w:line="225"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the aggregate grant date fair value computed in accordance with Financial Accounting Standards Board (“FASB”) Accounting Standards Codification (“ASC”) Topic 718, Compensation—Stock Compensation. Assumptions used in the calculation of the grant date fair value of the 2017 stock awards are included in Note 16 to our audited financial statements for the fiscal year ended December 31, 2017, included in our 2017 Form 10-K. The grant date value of the 2017 stock awards assuming achievement of the highest level of performance conditions are: for Mr. De Shon, $8,799,979; Mr. Nelson, $999,989; Mr. Ferraro, $3,500,008; Mr. Servodidio, $2,450,015 and Mr. Wyshner, $3,200,027. Awards granted in 2017 are further discussed in the Compensation Discussion and Analysis (the “CD&amp;A”).</w:t>
      </w:r>
    </w:p>
    <w:p>
      <w:pPr>
        <w:spacing w:after="0" w:line="109" w:lineRule="exact"/>
        <w:rPr>
          <w:rFonts w:ascii="Arial" w:cs="Arial" w:eastAsia="Arial" w:hAnsi="Arial"/>
          <w:sz w:val="14"/>
          <w:szCs w:val="14"/>
          <w:color w:val="auto"/>
        </w:rPr>
      </w:pPr>
    </w:p>
    <w:p>
      <w:pPr>
        <w:ind w:left="520" w:right="20" w:hanging="316"/>
        <w:spacing w:after="0" w:line="231"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Amounts reflected were earned based on achievement of annual performance goals established for each year, pursuant to the Company’s Amended and Restated Equity and Incentive Plan and include deferrals under the Company’s Deferred Compensation Plan.</w:t>
      </w:r>
    </w:p>
    <w:p>
      <w:pPr>
        <w:spacing w:after="0" w:line="108" w:lineRule="exact"/>
        <w:rPr>
          <w:rFonts w:ascii="Arial" w:cs="Arial" w:eastAsia="Arial" w:hAnsi="Arial"/>
          <w:sz w:val="14"/>
          <w:szCs w:val="14"/>
          <w:color w:val="auto"/>
        </w:rPr>
      </w:pPr>
    </w:p>
    <w:p>
      <w:pPr>
        <w:jc w:val="both"/>
        <w:ind w:left="520" w:right="20" w:hanging="316"/>
        <w:spacing w:after="0" w:line="268" w:lineRule="auto"/>
        <w:tabs>
          <w:tab w:leader="none" w:pos="5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For Mr. Ferraro, the reported change in pension value during the year represents the increased value accumulated in the Avis Rent A Car System, LLC Pension Plan. During 2017, such value increased by $31,450, primarily driven by a decrease in the discount rate. Avis froze this qualified defined benefit pension plan to new participation and future benefit accruals as of December 31, 1998. For Mr. Smith, the reported change in pension value during the year represents the increased value accumulated in the Avis UK Pension Plan. During 2017, such value decreased by $10,960 primarily due to payment distributions of $53,929 during the year based on the applicable calculation formula. Pension values for Mr. Smith reflect a £/$ exchange rate as of the date paid, received, or allocated. Please see the “Pension Benefits Table” for further information regarding these plans.</w:t>
      </w:r>
    </w:p>
    <w:p>
      <w:pPr>
        <w:spacing w:after="0" w:line="93" w:lineRule="exact"/>
        <w:rPr>
          <w:rFonts w:ascii="Arial" w:cs="Arial" w:eastAsia="Arial" w:hAnsi="Arial"/>
          <w:sz w:val="12"/>
          <w:szCs w:val="12"/>
          <w:color w:val="auto"/>
        </w:rPr>
      </w:pPr>
    </w:p>
    <w:p>
      <w:pPr>
        <w:ind w:left="520" w:right="20" w:hanging="316"/>
        <w:spacing w:after="0" w:line="231"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All Other Compensation is comprised of the benefits and perquisites presented in the following tables, and for our Former CFO includes cash severance as further described under “Employment and Change of Control Agreements; Severance Agreements.”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All Other Compensation Table</w:t>
      </w:r>
    </w:p>
    <w:p>
      <w:pPr>
        <w:spacing w:after="0" w:line="26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Company</w:t>
            </w:r>
          </w:p>
        </w:tc>
        <w:tc>
          <w:tcPr>
            <w:tcW w:w="1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Expatriate,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9"/>
              </w:rPr>
              <w:t>Tax</w:t>
            </w:r>
          </w:p>
        </w:tc>
        <w:tc>
          <w:tcPr>
            <w:tcW w:w="12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To Deferred</w:t>
            </w:r>
          </w:p>
        </w:tc>
        <w:tc>
          <w:tcPr>
            <w:tcW w:w="1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Relocation</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Equalization</w:t>
            </w:r>
          </w:p>
        </w:tc>
        <w:tc>
          <w:tcPr>
            <w:tcW w:w="12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and Other</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6"/>
              </w:rPr>
              <w:t>and</w:t>
            </w:r>
          </w:p>
        </w:tc>
        <w:tc>
          <w:tcPr>
            <w:tcW w:w="1280" w:type="dxa"/>
            <w:vAlign w:val="bottom"/>
          </w:tcPr>
          <w:p>
            <w:pPr>
              <w:jc w:val="center"/>
              <w:ind w:left="68"/>
              <w:spacing w:after="0"/>
              <w:rPr>
                <w:sz w:val="20"/>
                <w:szCs w:val="20"/>
                <w:color w:val="auto"/>
              </w:rPr>
            </w:pPr>
            <w:r>
              <w:rPr>
                <w:rFonts w:ascii="Arial" w:cs="Arial" w:eastAsia="Arial" w:hAnsi="Arial"/>
                <w:sz w:val="14"/>
                <w:szCs w:val="14"/>
                <w:b w:val="1"/>
                <w:bCs w:val="1"/>
                <w:color w:val="auto"/>
              </w:rPr>
              <w:t>Total All Other</w:t>
            </w:r>
          </w:p>
        </w:tc>
      </w:tr>
      <w:tr>
        <w:trPr>
          <w:trHeight w:val="16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Plans</w:t>
            </w:r>
          </w:p>
        </w:tc>
        <w:tc>
          <w:tcPr>
            <w:tcW w:w="1220" w:type="dxa"/>
            <w:vAlign w:val="bottom"/>
          </w:tcPr>
          <w:p>
            <w:pPr>
              <w:jc w:val="right"/>
              <w:ind w:right="148"/>
              <w:spacing w:after="0"/>
              <w:rPr>
                <w:sz w:val="20"/>
                <w:szCs w:val="20"/>
                <w:color w:val="auto"/>
              </w:rPr>
            </w:pPr>
            <w:r>
              <w:rPr>
                <w:rFonts w:ascii="Arial" w:cs="Arial" w:eastAsia="Arial" w:hAnsi="Arial"/>
                <w:sz w:val="14"/>
                <w:szCs w:val="14"/>
                <w:b w:val="1"/>
                <w:bCs w:val="1"/>
                <w:color w:val="auto"/>
              </w:rPr>
              <w:t>Perquisites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Benefits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Reimbursement</w:t>
            </w:r>
          </w:p>
        </w:tc>
        <w:tc>
          <w:tcPr>
            <w:tcW w:w="1280" w:type="dxa"/>
            <w:vAlign w:val="bottom"/>
          </w:tcPr>
          <w:p>
            <w:pPr>
              <w:jc w:val="center"/>
              <w:ind w:left="88"/>
              <w:spacing w:after="0"/>
              <w:rPr>
                <w:sz w:val="20"/>
                <w:szCs w:val="20"/>
                <w:color w:val="auto"/>
              </w:rPr>
            </w:pPr>
            <w:r>
              <w:rPr>
                <w:rFonts w:ascii="Arial" w:cs="Arial" w:eastAsia="Arial" w:hAnsi="Arial"/>
                <w:sz w:val="14"/>
                <w:szCs w:val="14"/>
                <w:b w:val="1"/>
                <w:bCs w:val="1"/>
                <w:color w:val="auto"/>
              </w:rPr>
              <w:t>Compensation</w:t>
            </w:r>
          </w:p>
        </w:tc>
      </w:tr>
      <w:tr>
        <w:trPr>
          <w:trHeight w:val="175"/>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tcPr>
          <w:p>
            <w:pPr>
              <w:ind w:left="400"/>
              <w:spacing w:after="0"/>
              <w:rPr>
                <w:sz w:val="20"/>
                <w:szCs w:val="20"/>
                <w:color w:val="auto"/>
              </w:rPr>
            </w:pPr>
            <w:r>
              <w:rPr>
                <w:rFonts w:ascii="Arial" w:cs="Arial" w:eastAsia="Arial" w:hAnsi="Arial"/>
                <w:sz w:val="14"/>
                <w:szCs w:val="14"/>
                <w:b w:val="1"/>
                <w:bCs w:val="1"/>
                <w:color w:val="auto"/>
              </w:rPr>
              <w:t>Year</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20" w:type="dxa"/>
            <w:vAlign w:val="bottom"/>
          </w:tcPr>
          <w:p>
            <w:pPr>
              <w:jc w:val="right"/>
              <w:ind w:right="348"/>
              <w:spacing w:after="0"/>
              <w:rPr>
                <w:sz w:val="20"/>
                <w:szCs w:val="20"/>
                <w:color w:val="auto"/>
              </w:rPr>
            </w:pPr>
            <w:r>
              <w:rPr>
                <w:rFonts w:ascii="Arial" w:cs="Arial" w:eastAsia="Arial" w:hAnsi="Arial"/>
                <w:sz w:val="14"/>
                <w:szCs w:val="14"/>
                <w:b w:val="1"/>
                <w:bCs w:val="1"/>
                <w:color w:val="auto"/>
              </w:rPr>
              <w:t>($)(b)</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9"/>
              </w:rPr>
              <w:t>($)(c)</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1280" w:type="dxa"/>
            <w:vAlign w:val="bottom"/>
          </w:tcPr>
          <w:p>
            <w:pPr>
              <w:jc w:val="center"/>
              <w:ind w:left="68"/>
              <w:spacing w:after="0"/>
              <w:rPr>
                <w:sz w:val="20"/>
                <w:szCs w:val="20"/>
                <w:color w:val="auto"/>
              </w:rPr>
            </w:pPr>
            <w:r>
              <w:rPr>
                <w:rFonts w:ascii="Arial" w:cs="Arial" w:eastAsia="Arial" w:hAnsi="Arial"/>
                <w:sz w:val="14"/>
                <w:szCs w:val="14"/>
                <w:b w:val="1"/>
                <w:bCs w:val="1"/>
                <w:color w:val="auto"/>
              </w:rPr>
              <w:t>($)</w:t>
            </w:r>
          </w:p>
        </w:tc>
      </w:tr>
      <w:tr>
        <w:trPr>
          <w:trHeight w:val="156"/>
        </w:trPr>
        <w:tc>
          <w:tcPr>
            <w:tcW w:w="20" w:type="dxa"/>
            <w:vAlign w:val="bottom"/>
          </w:tcPr>
          <w:p>
            <w:pPr>
              <w:spacing w:after="0"/>
              <w:rPr>
                <w:sz w:val="13"/>
                <w:szCs w:val="13"/>
                <w:color w:val="auto"/>
              </w:rPr>
            </w:pPr>
          </w:p>
        </w:tc>
        <w:tc>
          <w:tcPr>
            <w:tcW w:w="3400" w:type="dxa"/>
            <w:vAlign w:val="bottom"/>
            <w:tcBorders>
              <w:top w:val="single" w:sz="8" w:color="auto"/>
            </w:tcBorders>
            <w:shd w:val="clear" w:color="auto" w:fill="F4F9F9"/>
          </w:tcPr>
          <w:p>
            <w:pPr>
              <w:spacing w:after="0" w:line="155" w:lineRule="exact"/>
              <w:rPr>
                <w:sz w:val="20"/>
                <w:szCs w:val="20"/>
                <w:color w:val="auto"/>
              </w:rPr>
            </w:pPr>
            <w:r>
              <w:rPr>
                <w:rFonts w:ascii="Arial" w:cs="Arial" w:eastAsia="Arial" w:hAnsi="Arial"/>
                <w:sz w:val="14"/>
                <w:szCs w:val="14"/>
                <w:color w:val="auto"/>
              </w:rPr>
              <w:t>Mr. De Shon</w:t>
            </w:r>
          </w:p>
        </w:tc>
        <w:tc>
          <w:tcPr>
            <w:tcW w:w="960" w:type="dxa"/>
            <w:vAlign w:val="bottom"/>
            <w:tcBorders>
              <w:top w:val="single" w:sz="8" w:color="auto"/>
            </w:tcBorders>
            <w:shd w:val="clear" w:color="auto" w:fill="F4F9F9"/>
          </w:tcPr>
          <w:p>
            <w:pPr>
              <w:ind w:left="420"/>
              <w:spacing w:after="0" w:line="155" w:lineRule="exact"/>
              <w:rPr>
                <w:sz w:val="20"/>
                <w:szCs w:val="20"/>
                <w:color w:val="auto"/>
              </w:rPr>
            </w:pPr>
            <w:r>
              <w:rPr>
                <w:rFonts w:ascii="Arial" w:cs="Arial" w:eastAsia="Arial" w:hAnsi="Arial"/>
                <w:sz w:val="14"/>
                <w:szCs w:val="14"/>
                <w:color w:val="auto"/>
              </w:rPr>
              <w:t>2017</w:t>
            </w:r>
          </w:p>
        </w:tc>
        <w:tc>
          <w:tcPr>
            <w:tcW w:w="1440" w:type="dxa"/>
            <w:vAlign w:val="bottom"/>
            <w:tcBorders>
              <w:top w:val="single" w:sz="8" w:color="auto"/>
            </w:tcBorders>
            <w:shd w:val="clear" w:color="auto" w:fill="F4F9F9"/>
          </w:tcPr>
          <w:p>
            <w:pPr>
              <w:jc w:val="right"/>
              <w:ind w:right="148"/>
              <w:spacing w:after="0" w:line="155" w:lineRule="exact"/>
              <w:rPr>
                <w:sz w:val="20"/>
                <w:szCs w:val="20"/>
                <w:color w:val="auto"/>
              </w:rPr>
            </w:pPr>
            <w:r>
              <w:rPr>
                <w:rFonts w:ascii="Arial" w:cs="Arial" w:eastAsia="Arial" w:hAnsi="Arial"/>
                <w:sz w:val="14"/>
                <w:szCs w:val="14"/>
                <w:color w:val="auto"/>
              </w:rPr>
              <w:t>104,769</w:t>
            </w:r>
          </w:p>
        </w:tc>
        <w:tc>
          <w:tcPr>
            <w:tcW w:w="1220" w:type="dxa"/>
            <w:vAlign w:val="bottom"/>
            <w:tcBorders>
              <w:top w:val="single" w:sz="8" w:color="auto"/>
            </w:tcBorders>
            <w:shd w:val="clear" w:color="auto" w:fill="F4F9F9"/>
          </w:tcPr>
          <w:p>
            <w:pPr>
              <w:jc w:val="right"/>
              <w:ind w:right="148"/>
              <w:spacing w:after="0" w:line="155" w:lineRule="exact"/>
              <w:rPr>
                <w:sz w:val="20"/>
                <w:szCs w:val="20"/>
                <w:color w:val="auto"/>
              </w:rPr>
            </w:pPr>
            <w:r>
              <w:rPr>
                <w:rFonts w:ascii="Arial" w:cs="Arial" w:eastAsia="Arial" w:hAnsi="Arial"/>
                <w:sz w:val="14"/>
                <w:szCs w:val="14"/>
                <w:color w:val="auto"/>
              </w:rPr>
              <w:t>43,977</w:t>
            </w:r>
          </w:p>
        </w:tc>
        <w:tc>
          <w:tcPr>
            <w:tcW w:w="1180" w:type="dxa"/>
            <w:vAlign w:val="bottom"/>
            <w:tcBorders>
              <w:top w:val="single" w:sz="8" w:color="auto"/>
            </w:tcBorders>
            <w:shd w:val="clear" w:color="auto" w:fill="F4F9F9"/>
          </w:tcPr>
          <w:p>
            <w:pPr>
              <w:jc w:val="right"/>
              <w:ind w:right="148"/>
              <w:spacing w:after="0" w:line="155" w:lineRule="exact"/>
              <w:rPr>
                <w:sz w:val="20"/>
                <w:szCs w:val="20"/>
                <w:color w:val="auto"/>
              </w:rPr>
            </w:pPr>
            <w:r>
              <w:rPr>
                <w:rFonts w:ascii="Arial" w:cs="Arial" w:eastAsia="Arial" w:hAnsi="Arial"/>
                <w:sz w:val="14"/>
                <w:szCs w:val="14"/>
                <w:color w:val="auto"/>
              </w:rPr>
              <w:t>756</w:t>
            </w:r>
          </w:p>
        </w:tc>
        <w:tc>
          <w:tcPr>
            <w:tcW w:w="1540" w:type="dxa"/>
            <w:vAlign w:val="bottom"/>
            <w:tcBorders>
              <w:top w:val="single" w:sz="8" w:color="auto"/>
            </w:tcBorders>
            <w:shd w:val="clear" w:color="auto" w:fill="F4F9F9"/>
          </w:tcPr>
          <w:p>
            <w:pPr>
              <w:jc w:val="right"/>
              <w:ind w:right="168"/>
              <w:spacing w:after="0" w:line="155" w:lineRule="exact"/>
              <w:rPr>
                <w:sz w:val="20"/>
                <w:szCs w:val="20"/>
                <w:color w:val="auto"/>
              </w:rPr>
            </w:pPr>
            <w:r>
              <w:rPr>
                <w:rFonts w:ascii="Arial" w:cs="Arial" w:eastAsia="Arial" w:hAnsi="Arial"/>
                <w:sz w:val="14"/>
                <w:szCs w:val="14"/>
                <w:color w:val="auto"/>
              </w:rPr>
              <w:t>189,516</w:t>
            </w:r>
          </w:p>
        </w:tc>
        <w:tc>
          <w:tcPr>
            <w:tcW w:w="1280" w:type="dxa"/>
            <w:vAlign w:val="bottom"/>
            <w:tcBorders>
              <w:top w:val="single" w:sz="8" w:color="auto"/>
            </w:tcBorders>
            <w:shd w:val="clear" w:color="auto" w:fill="F4F9F9"/>
          </w:tcPr>
          <w:p>
            <w:pPr>
              <w:jc w:val="right"/>
              <w:spacing w:after="0" w:line="155" w:lineRule="exact"/>
              <w:rPr>
                <w:sz w:val="20"/>
                <w:szCs w:val="20"/>
                <w:color w:val="auto"/>
              </w:rPr>
            </w:pPr>
            <w:r>
              <w:rPr>
                <w:rFonts w:ascii="Arial" w:cs="Arial" w:eastAsia="Arial" w:hAnsi="Arial"/>
                <w:sz w:val="14"/>
                <w:szCs w:val="14"/>
                <w:color w:val="auto"/>
              </w:rPr>
              <w:t>339,018</w:t>
            </w:r>
          </w:p>
        </w:tc>
      </w:tr>
      <w:tr>
        <w:trPr>
          <w:trHeight w:val="162"/>
        </w:trPr>
        <w:tc>
          <w:tcPr>
            <w:tcW w:w="20" w:type="dxa"/>
            <w:vAlign w:val="bottom"/>
          </w:tcPr>
          <w:p>
            <w:pPr>
              <w:spacing w:after="0"/>
              <w:rPr>
                <w:sz w:val="14"/>
                <w:szCs w:val="14"/>
                <w:color w:val="auto"/>
              </w:rPr>
            </w:pPr>
          </w:p>
        </w:tc>
        <w:tc>
          <w:tcPr>
            <w:tcW w:w="3400" w:type="dxa"/>
            <w:vAlign w:val="bottom"/>
            <w:shd w:val="clear" w:color="auto" w:fill="F4F9F9"/>
          </w:tcPr>
          <w:p>
            <w:pPr>
              <w:spacing w:after="0"/>
              <w:rPr>
                <w:sz w:val="14"/>
                <w:szCs w:val="14"/>
                <w:color w:val="auto"/>
              </w:rPr>
            </w:pPr>
          </w:p>
        </w:tc>
        <w:tc>
          <w:tcPr>
            <w:tcW w:w="960" w:type="dxa"/>
            <w:vAlign w:val="bottom"/>
            <w:shd w:val="clear" w:color="auto" w:fill="F4F9F9"/>
          </w:tcPr>
          <w:p>
            <w:pPr>
              <w:ind w:left="420"/>
              <w:spacing w:after="0"/>
              <w:rPr>
                <w:sz w:val="20"/>
                <w:szCs w:val="20"/>
                <w:color w:val="auto"/>
              </w:rPr>
            </w:pPr>
            <w:r>
              <w:rPr>
                <w:rFonts w:ascii="Arial" w:cs="Arial" w:eastAsia="Arial" w:hAnsi="Arial"/>
                <w:sz w:val="14"/>
                <w:szCs w:val="14"/>
                <w:color w:val="auto"/>
              </w:rPr>
              <w:t>2016</w:t>
            </w:r>
          </w:p>
        </w:tc>
        <w:tc>
          <w:tcPr>
            <w:tcW w:w="1440" w:type="dxa"/>
            <w:vAlign w:val="bottom"/>
            <w:shd w:val="clear" w:color="auto" w:fill="F4F9F9"/>
          </w:tcPr>
          <w:p>
            <w:pPr>
              <w:jc w:val="right"/>
              <w:ind w:right="148"/>
              <w:spacing w:after="0"/>
              <w:rPr>
                <w:sz w:val="20"/>
                <w:szCs w:val="20"/>
                <w:color w:val="auto"/>
              </w:rPr>
            </w:pPr>
            <w:r>
              <w:rPr>
                <w:rFonts w:ascii="Arial" w:cs="Arial" w:eastAsia="Arial" w:hAnsi="Arial"/>
                <w:sz w:val="14"/>
                <w:szCs w:val="14"/>
                <w:color w:val="auto"/>
              </w:rPr>
              <w:t>108,924</w:t>
            </w:r>
          </w:p>
        </w:tc>
        <w:tc>
          <w:tcPr>
            <w:tcW w:w="1220" w:type="dxa"/>
            <w:vAlign w:val="bottom"/>
            <w:shd w:val="clear" w:color="auto" w:fill="F4F9F9"/>
          </w:tcPr>
          <w:p>
            <w:pPr>
              <w:jc w:val="right"/>
              <w:ind w:right="148"/>
              <w:spacing w:after="0"/>
              <w:rPr>
                <w:sz w:val="20"/>
                <w:szCs w:val="20"/>
                <w:color w:val="auto"/>
              </w:rPr>
            </w:pPr>
            <w:r>
              <w:rPr>
                <w:rFonts w:ascii="Arial" w:cs="Arial" w:eastAsia="Arial" w:hAnsi="Arial"/>
                <w:sz w:val="14"/>
                <w:szCs w:val="14"/>
                <w:color w:val="auto"/>
              </w:rPr>
              <w:t>104,603</w:t>
            </w:r>
          </w:p>
        </w:tc>
        <w:tc>
          <w:tcPr>
            <w:tcW w:w="1180" w:type="dxa"/>
            <w:vAlign w:val="bottom"/>
            <w:shd w:val="clear" w:color="auto" w:fill="F4F9F9"/>
          </w:tcPr>
          <w:p>
            <w:pPr>
              <w:jc w:val="right"/>
              <w:ind w:right="148"/>
              <w:spacing w:after="0"/>
              <w:rPr>
                <w:sz w:val="20"/>
                <w:szCs w:val="20"/>
                <w:color w:val="auto"/>
              </w:rPr>
            </w:pPr>
            <w:r>
              <w:rPr>
                <w:rFonts w:ascii="Arial" w:cs="Arial" w:eastAsia="Arial" w:hAnsi="Arial"/>
                <w:sz w:val="14"/>
                <w:szCs w:val="14"/>
                <w:color w:val="auto"/>
              </w:rPr>
              <w:t>16,825</w:t>
            </w:r>
          </w:p>
        </w:tc>
        <w:tc>
          <w:tcPr>
            <w:tcW w:w="1540" w:type="dxa"/>
            <w:vAlign w:val="bottom"/>
            <w:shd w:val="clear" w:color="auto" w:fill="F4F9F9"/>
          </w:tcPr>
          <w:p>
            <w:pPr>
              <w:jc w:val="right"/>
              <w:ind w:right="168"/>
              <w:spacing w:after="0"/>
              <w:rPr>
                <w:sz w:val="20"/>
                <w:szCs w:val="20"/>
                <w:color w:val="auto"/>
              </w:rPr>
            </w:pPr>
            <w:r>
              <w:rPr>
                <w:rFonts w:ascii="Arial" w:cs="Arial" w:eastAsia="Arial" w:hAnsi="Arial"/>
                <w:sz w:val="14"/>
                <w:szCs w:val="14"/>
                <w:color w:val="auto"/>
              </w:rPr>
              <w:t>878,391</w:t>
            </w:r>
          </w:p>
        </w:tc>
        <w:tc>
          <w:tcPr>
            <w:tcW w:w="1280" w:type="dxa"/>
            <w:vAlign w:val="bottom"/>
            <w:shd w:val="clear" w:color="auto" w:fill="F4F9F9"/>
          </w:tcPr>
          <w:p>
            <w:pPr>
              <w:jc w:val="right"/>
              <w:spacing w:after="0"/>
              <w:rPr>
                <w:sz w:val="20"/>
                <w:szCs w:val="20"/>
                <w:color w:val="auto"/>
              </w:rPr>
            </w:pPr>
            <w:r>
              <w:rPr>
                <w:rFonts w:ascii="Arial" w:cs="Arial" w:eastAsia="Arial" w:hAnsi="Arial"/>
                <w:sz w:val="14"/>
                <w:szCs w:val="14"/>
                <w:color w:val="auto"/>
              </w:rPr>
              <w:t>1,108,743</w:t>
            </w:r>
          </w:p>
        </w:tc>
      </w:tr>
      <w:tr>
        <w:trPr>
          <w:trHeight w:val="162"/>
        </w:trPr>
        <w:tc>
          <w:tcPr>
            <w:tcW w:w="20" w:type="dxa"/>
            <w:vAlign w:val="bottom"/>
          </w:tcPr>
          <w:p>
            <w:pPr>
              <w:spacing w:after="0"/>
              <w:rPr>
                <w:sz w:val="14"/>
                <w:szCs w:val="14"/>
                <w:color w:val="auto"/>
              </w:rPr>
            </w:pPr>
          </w:p>
        </w:tc>
        <w:tc>
          <w:tcPr>
            <w:tcW w:w="3400" w:type="dxa"/>
            <w:vAlign w:val="bottom"/>
            <w:tcBorders>
              <w:bottom w:val="single" w:sz="8" w:color="C1CECC"/>
            </w:tcBorders>
            <w:shd w:val="clear" w:color="auto" w:fill="F4F9F9"/>
          </w:tcPr>
          <w:p>
            <w:pPr>
              <w:spacing w:after="0"/>
              <w:rPr>
                <w:sz w:val="14"/>
                <w:szCs w:val="14"/>
                <w:color w:val="auto"/>
              </w:rPr>
            </w:pPr>
          </w:p>
        </w:tc>
        <w:tc>
          <w:tcPr>
            <w:tcW w:w="960" w:type="dxa"/>
            <w:vAlign w:val="bottom"/>
            <w:tcBorders>
              <w:bottom w:val="single" w:sz="8" w:color="C1CECC"/>
            </w:tcBorders>
            <w:shd w:val="clear" w:color="auto" w:fill="F4F9F9"/>
          </w:tcPr>
          <w:p>
            <w:pPr>
              <w:ind w:left="420"/>
              <w:spacing w:after="0"/>
              <w:rPr>
                <w:sz w:val="20"/>
                <w:szCs w:val="20"/>
                <w:color w:val="auto"/>
              </w:rPr>
            </w:pPr>
            <w:r>
              <w:rPr>
                <w:rFonts w:ascii="Arial" w:cs="Arial" w:eastAsia="Arial" w:hAnsi="Arial"/>
                <w:sz w:val="14"/>
                <w:szCs w:val="14"/>
                <w:color w:val="auto"/>
              </w:rPr>
              <w:t>2015</w:t>
            </w:r>
          </w:p>
        </w:tc>
        <w:tc>
          <w:tcPr>
            <w:tcW w:w="1440" w:type="dxa"/>
            <w:vAlign w:val="bottom"/>
            <w:tcBorders>
              <w:bottom w:val="single" w:sz="8" w:color="C1CECC"/>
            </w:tcBorders>
            <w:shd w:val="clear" w:color="auto" w:fill="F4F9F9"/>
          </w:tcPr>
          <w:p>
            <w:pPr>
              <w:jc w:val="right"/>
              <w:ind w:right="148"/>
              <w:spacing w:after="0"/>
              <w:rPr>
                <w:sz w:val="20"/>
                <w:szCs w:val="20"/>
                <w:color w:val="auto"/>
              </w:rPr>
            </w:pPr>
            <w:r>
              <w:rPr>
                <w:rFonts w:ascii="Arial" w:cs="Arial" w:eastAsia="Arial" w:hAnsi="Arial"/>
                <w:sz w:val="14"/>
                <w:szCs w:val="14"/>
                <w:color w:val="auto"/>
              </w:rPr>
              <w:t>93,876</w:t>
            </w:r>
          </w:p>
        </w:tc>
        <w:tc>
          <w:tcPr>
            <w:tcW w:w="1220" w:type="dxa"/>
            <w:vAlign w:val="bottom"/>
            <w:tcBorders>
              <w:bottom w:val="single" w:sz="8" w:color="C1CECC"/>
            </w:tcBorders>
            <w:shd w:val="clear" w:color="auto" w:fill="F4F9F9"/>
          </w:tcPr>
          <w:p>
            <w:pPr>
              <w:jc w:val="right"/>
              <w:ind w:right="148"/>
              <w:spacing w:after="0"/>
              <w:rPr>
                <w:sz w:val="20"/>
                <w:szCs w:val="20"/>
                <w:color w:val="auto"/>
              </w:rPr>
            </w:pPr>
            <w:r>
              <w:rPr>
                <w:rFonts w:ascii="Arial" w:cs="Arial" w:eastAsia="Arial" w:hAnsi="Arial"/>
                <w:sz w:val="14"/>
                <w:szCs w:val="14"/>
                <w:color w:val="auto"/>
              </w:rPr>
              <w:t>39,038</w:t>
            </w:r>
          </w:p>
        </w:tc>
        <w:tc>
          <w:tcPr>
            <w:tcW w:w="1180" w:type="dxa"/>
            <w:vAlign w:val="bottom"/>
            <w:tcBorders>
              <w:bottom w:val="single" w:sz="8" w:color="C1CECC"/>
            </w:tcBorders>
            <w:shd w:val="clear" w:color="auto" w:fill="F4F9F9"/>
          </w:tcPr>
          <w:p>
            <w:pPr>
              <w:jc w:val="right"/>
              <w:ind w:right="148"/>
              <w:spacing w:after="0"/>
              <w:rPr>
                <w:sz w:val="20"/>
                <w:szCs w:val="20"/>
                <w:color w:val="auto"/>
              </w:rPr>
            </w:pPr>
            <w:r>
              <w:rPr>
                <w:rFonts w:ascii="Arial" w:cs="Arial" w:eastAsia="Arial" w:hAnsi="Arial"/>
                <w:sz w:val="14"/>
                <w:szCs w:val="14"/>
                <w:color w:val="auto"/>
              </w:rPr>
              <w:t>278,690</w:t>
            </w:r>
          </w:p>
        </w:tc>
        <w:tc>
          <w:tcPr>
            <w:tcW w:w="1540" w:type="dxa"/>
            <w:vAlign w:val="bottom"/>
            <w:tcBorders>
              <w:bottom w:val="single" w:sz="8" w:color="C1CECC"/>
            </w:tcBorders>
            <w:shd w:val="clear" w:color="auto" w:fill="F4F9F9"/>
          </w:tcPr>
          <w:p>
            <w:pPr>
              <w:jc w:val="right"/>
              <w:ind w:right="168"/>
              <w:spacing w:after="0"/>
              <w:rPr>
                <w:sz w:val="20"/>
                <w:szCs w:val="20"/>
                <w:color w:val="auto"/>
              </w:rPr>
            </w:pPr>
            <w:r>
              <w:rPr>
                <w:rFonts w:ascii="Arial" w:cs="Arial" w:eastAsia="Arial" w:hAnsi="Arial"/>
                <w:sz w:val="14"/>
                <w:szCs w:val="14"/>
                <w:color w:val="auto"/>
              </w:rPr>
              <w:t>2,466,614</w:t>
            </w:r>
          </w:p>
        </w:tc>
        <w:tc>
          <w:tcPr>
            <w:tcW w:w="1280" w:type="dxa"/>
            <w:vAlign w:val="bottom"/>
            <w:tcBorders>
              <w:bottom w:val="single" w:sz="8" w:color="C1CECC"/>
            </w:tcBorders>
            <w:shd w:val="clear" w:color="auto" w:fill="F4F9F9"/>
          </w:tcPr>
          <w:p>
            <w:pPr>
              <w:jc w:val="right"/>
              <w:spacing w:after="0"/>
              <w:rPr>
                <w:sz w:val="20"/>
                <w:szCs w:val="20"/>
                <w:color w:val="auto"/>
              </w:rPr>
            </w:pPr>
            <w:r>
              <w:rPr>
                <w:rFonts w:ascii="Arial" w:cs="Arial" w:eastAsia="Arial" w:hAnsi="Arial"/>
                <w:sz w:val="14"/>
                <w:szCs w:val="14"/>
                <w:color w:val="auto"/>
              </w:rPr>
              <w:t>2,878,218</w:t>
            </w:r>
          </w:p>
        </w:tc>
      </w:tr>
      <w:tr>
        <w:trPr>
          <w:trHeight w:val="156"/>
        </w:trPr>
        <w:tc>
          <w:tcPr>
            <w:tcW w:w="3420" w:type="dxa"/>
            <w:vAlign w:val="bottom"/>
            <w:gridSpan w:val="2"/>
          </w:tcPr>
          <w:p>
            <w:pPr>
              <w:spacing w:after="0" w:line="155" w:lineRule="exact"/>
              <w:rPr>
                <w:sz w:val="20"/>
                <w:szCs w:val="20"/>
                <w:color w:val="auto"/>
              </w:rPr>
            </w:pPr>
            <w:r>
              <w:rPr>
                <w:rFonts w:ascii="Arial" w:cs="Arial" w:eastAsia="Arial" w:hAnsi="Arial"/>
                <w:sz w:val="14"/>
                <w:szCs w:val="14"/>
                <w:color w:val="auto"/>
              </w:rPr>
              <w:t>Mr. Smith</w:t>
            </w:r>
          </w:p>
        </w:tc>
        <w:tc>
          <w:tcPr>
            <w:tcW w:w="960" w:type="dxa"/>
            <w:vAlign w:val="bottom"/>
          </w:tcPr>
          <w:p>
            <w:pPr>
              <w:ind w:left="420"/>
              <w:spacing w:after="0" w:line="155" w:lineRule="exact"/>
              <w:rPr>
                <w:sz w:val="20"/>
                <w:szCs w:val="20"/>
                <w:color w:val="auto"/>
              </w:rPr>
            </w:pPr>
            <w:r>
              <w:rPr>
                <w:rFonts w:ascii="Arial" w:cs="Arial" w:eastAsia="Arial" w:hAnsi="Arial"/>
                <w:sz w:val="14"/>
                <w:szCs w:val="14"/>
                <w:color w:val="auto"/>
              </w:rPr>
              <w:t>2017</w:t>
            </w:r>
          </w:p>
        </w:tc>
        <w:tc>
          <w:tcPr>
            <w:tcW w:w="144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13,853</w:t>
            </w:r>
          </w:p>
        </w:tc>
        <w:tc>
          <w:tcPr>
            <w:tcW w:w="118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74,878</w:t>
            </w:r>
          </w:p>
        </w:tc>
        <w:tc>
          <w:tcPr>
            <w:tcW w:w="154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55" w:lineRule="exact"/>
              <w:rPr>
                <w:sz w:val="20"/>
                <w:szCs w:val="20"/>
                <w:color w:val="auto"/>
              </w:rPr>
            </w:pPr>
            <w:r>
              <w:rPr>
                <w:rFonts w:ascii="Arial" w:cs="Arial" w:eastAsia="Arial" w:hAnsi="Arial"/>
                <w:sz w:val="14"/>
                <w:szCs w:val="14"/>
                <w:color w:val="auto"/>
              </w:rPr>
              <w:t>88,731</w:t>
            </w:r>
          </w:p>
        </w:tc>
      </w:tr>
      <w:tr>
        <w:trPr>
          <w:trHeight w:val="156"/>
        </w:trPr>
        <w:tc>
          <w:tcPr>
            <w:tcW w:w="20" w:type="dxa"/>
            <w:vAlign w:val="bottom"/>
          </w:tcPr>
          <w:p>
            <w:pPr>
              <w:spacing w:after="0"/>
              <w:rPr>
                <w:sz w:val="13"/>
                <w:szCs w:val="13"/>
                <w:color w:val="auto"/>
              </w:rPr>
            </w:pPr>
          </w:p>
        </w:tc>
        <w:tc>
          <w:tcPr>
            <w:tcW w:w="3400" w:type="dxa"/>
            <w:vAlign w:val="bottom"/>
            <w:tcBorders>
              <w:top w:val="single" w:sz="8" w:color="C1CECC"/>
            </w:tcBorders>
            <w:shd w:val="clear" w:color="auto" w:fill="F4F9F9"/>
          </w:tcPr>
          <w:p>
            <w:pPr>
              <w:spacing w:after="0" w:line="155" w:lineRule="exact"/>
              <w:rPr>
                <w:sz w:val="20"/>
                <w:szCs w:val="20"/>
                <w:color w:val="auto"/>
              </w:rPr>
            </w:pPr>
            <w:r>
              <w:rPr>
                <w:rFonts w:ascii="Arial" w:cs="Arial" w:eastAsia="Arial" w:hAnsi="Arial"/>
                <w:sz w:val="14"/>
                <w:szCs w:val="14"/>
                <w:color w:val="auto"/>
              </w:rPr>
              <w:t>Mr. Nelson</w:t>
            </w:r>
          </w:p>
        </w:tc>
        <w:tc>
          <w:tcPr>
            <w:tcW w:w="960" w:type="dxa"/>
            <w:vAlign w:val="bottom"/>
            <w:tcBorders>
              <w:top w:val="single" w:sz="8" w:color="C1CECC"/>
            </w:tcBorders>
            <w:shd w:val="clear" w:color="auto" w:fill="F4F9F9"/>
          </w:tcPr>
          <w:p>
            <w:pPr>
              <w:ind w:left="420"/>
              <w:spacing w:after="0" w:line="155" w:lineRule="exact"/>
              <w:rPr>
                <w:sz w:val="20"/>
                <w:szCs w:val="20"/>
                <w:color w:val="auto"/>
              </w:rPr>
            </w:pPr>
            <w:r>
              <w:rPr>
                <w:rFonts w:ascii="Arial" w:cs="Arial" w:eastAsia="Arial" w:hAnsi="Arial"/>
                <w:sz w:val="14"/>
                <w:szCs w:val="14"/>
                <w:color w:val="auto"/>
              </w:rPr>
              <w:t>2017</w:t>
            </w:r>
          </w:p>
        </w:tc>
        <w:tc>
          <w:tcPr>
            <w:tcW w:w="1440" w:type="dxa"/>
            <w:vAlign w:val="bottom"/>
            <w:tcBorders>
              <w:top w:val="single" w:sz="8" w:color="C1CECC"/>
            </w:tcBorders>
            <w:shd w:val="clear" w:color="auto" w:fill="F4F9F9"/>
          </w:tcPr>
          <w:p>
            <w:pPr>
              <w:jc w:val="right"/>
              <w:ind w:right="148"/>
              <w:spacing w:after="0" w:line="155" w:lineRule="exact"/>
              <w:rPr>
                <w:sz w:val="20"/>
                <w:szCs w:val="20"/>
                <w:color w:val="auto"/>
              </w:rPr>
            </w:pPr>
            <w:r>
              <w:rPr>
                <w:rFonts w:ascii="Arial" w:cs="Arial" w:eastAsia="Arial" w:hAnsi="Arial"/>
                <w:sz w:val="14"/>
                <w:szCs w:val="14"/>
                <w:color w:val="auto"/>
              </w:rPr>
              <w:t>47,077</w:t>
            </w:r>
          </w:p>
        </w:tc>
        <w:tc>
          <w:tcPr>
            <w:tcW w:w="1220" w:type="dxa"/>
            <w:vAlign w:val="bottom"/>
            <w:tcBorders>
              <w:top w:val="single" w:sz="8" w:color="C1CECC"/>
            </w:tcBorders>
            <w:shd w:val="clear" w:color="auto" w:fill="F4F9F9"/>
          </w:tcPr>
          <w:p>
            <w:pPr>
              <w:jc w:val="right"/>
              <w:ind w:right="148"/>
              <w:spacing w:after="0" w:line="155" w:lineRule="exact"/>
              <w:rPr>
                <w:sz w:val="20"/>
                <w:szCs w:val="20"/>
                <w:color w:val="auto"/>
              </w:rPr>
            </w:pPr>
            <w:r>
              <w:rPr>
                <w:rFonts w:ascii="Arial" w:cs="Arial" w:eastAsia="Arial" w:hAnsi="Arial"/>
                <w:sz w:val="14"/>
                <w:szCs w:val="14"/>
                <w:color w:val="auto"/>
              </w:rPr>
              <w:t>56,141</w:t>
            </w:r>
          </w:p>
        </w:tc>
        <w:tc>
          <w:tcPr>
            <w:tcW w:w="1180" w:type="dxa"/>
            <w:vAlign w:val="bottom"/>
            <w:tcBorders>
              <w:top w:val="single" w:sz="8" w:color="C1CECC"/>
            </w:tcBorders>
            <w:shd w:val="clear" w:color="auto" w:fill="F4F9F9"/>
          </w:tcPr>
          <w:p>
            <w:pPr>
              <w:jc w:val="right"/>
              <w:ind w:right="148"/>
              <w:spacing w:after="0" w:line="155" w:lineRule="exact"/>
              <w:rPr>
                <w:sz w:val="20"/>
                <w:szCs w:val="20"/>
                <w:color w:val="auto"/>
              </w:rPr>
            </w:pPr>
            <w:r>
              <w:rPr>
                <w:rFonts w:ascii="Arial" w:cs="Arial" w:eastAsia="Arial" w:hAnsi="Arial"/>
                <w:sz w:val="14"/>
                <w:szCs w:val="14"/>
                <w:color w:val="auto"/>
              </w:rPr>
              <w:t>756</w:t>
            </w:r>
          </w:p>
        </w:tc>
        <w:tc>
          <w:tcPr>
            <w:tcW w:w="1540" w:type="dxa"/>
            <w:vAlign w:val="bottom"/>
            <w:tcBorders>
              <w:top w:val="single" w:sz="8" w:color="C1CECC"/>
            </w:tcBorders>
            <w:shd w:val="clear" w:color="auto" w:fill="F4F9F9"/>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280" w:type="dxa"/>
            <w:vAlign w:val="bottom"/>
            <w:tcBorders>
              <w:top w:val="single" w:sz="8" w:color="C1CECC"/>
            </w:tcBorders>
            <w:shd w:val="clear" w:color="auto" w:fill="F4F9F9"/>
          </w:tcPr>
          <w:p>
            <w:pPr>
              <w:jc w:val="right"/>
              <w:spacing w:after="0" w:line="155" w:lineRule="exact"/>
              <w:rPr>
                <w:sz w:val="20"/>
                <w:szCs w:val="20"/>
                <w:color w:val="auto"/>
              </w:rPr>
            </w:pPr>
            <w:r>
              <w:rPr>
                <w:rFonts w:ascii="Arial" w:cs="Arial" w:eastAsia="Arial" w:hAnsi="Arial"/>
                <w:sz w:val="14"/>
                <w:szCs w:val="14"/>
                <w:color w:val="auto"/>
              </w:rPr>
              <w:t>103,974</w:t>
            </w:r>
          </w:p>
        </w:tc>
      </w:tr>
      <w:tr>
        <w:trPr>
          <w:trHeight w:val="162"/>
        </w:trPr>
        <w:tc>
          <w:tcPr>
            <w:tcW w:w="20" w:type="dxa"/>
            <w:vAlign w:val="bottom"/>
          </w:tcPr>
          <w:p>
            <w:pPr>
              <w:spacing w:after="0"/>
              <w:rPr>
                <w:sz w:val="14"/>
                <w:szCs w:val="14"/>
                <w:color w:val="auto"/>
              </w:rPr>
            </w:pPr>
          </w:p>
        </w:tc>
        <w:tc>
          <w:tcPr>
            <w:tcW w:w="3400" w:type="dxa"/>
            <w:vAlign w:val="bottom"/>
            <w:shd w:val="clear" w:color="auto" w:fill="F4F9F9"/>
          </w:tcPr>
          <w:p>
            <w:pPr>
              <w:spacing w:after="0"/>
              <w:rPr>
                <w:sz w:val="14"/>
                <w:szCs w:val="14"/>
                <w:color w:val="auto"/>
              </w:rPr>
            </w:pPr>
          </w:p>
        </w:tc>
        <w:tc>
          <w:tcPr>
            <w:tcW w:w="960" w:type="dxa"/>
            <w:vAlign w:val="bottom"/>
            <w:shd w:val="clear" w:color="auto" w:fill="F4F9F9"/>
          </w:tcPr>
          <w:p>
            <w:pPr>
              <w:ind w:left="420"/>
              <w:spacing w:after="0"/>
              <w:rPr>
                <w:sz w:val="20"/>
                <w:szCs w:val="20"/>
                <w:color w:val="auto"/>
              </w:rPr>
            </w:pPr>
            <w:r>
              <w:rPr>
                <w:rFonts w:ascii="Arial" w:cs="Arial" w:eastAsia="Arial" w:hAnsi="Arial"/>
                <w:sz w:val="14"/>
                <w:szCs w:val="14"/>
                <w:color w:val="auto"/>
              </w:rPr>
              <w:t>2016</w:t>
            </w:r>
          </w:p>
        </w:tc>
        <w:tc>
          <w:tcPr>
            <w:tcW w:w="1440" w:type="dxa"/>
            <w:vAlign w:val="bottom"/>
            <w:shd w:val="clear" w:color="auto" w:fill="F4F9F9"/>
          </w:tcPr>
          <w:p>
            <w:pPr>
              <w:jc w:val="right"/>
              <w:ind w:right="148"/>
              <w:spacing w:after="0"/>
              <w:rPr>
                <w:sz w:val="20"/>
                <w:szCs w:val="20"/>
                <w:color w:val="auto"/>
              </w:rPr>
            </w:pPr>
            <w:r>
              <w:rPr>
                <w:rFonts w:ascii="Arial" w:cs="Arial" w:eastAsia="Arial" w:hAnsi="Arial"/>
                <w:sz w:val="14"/>
                <w:szCs w:val="14"/>
                <w:color w:val="auto"/>
              </w:rPr>
              <w:t>148,736</w:t>
            </w:r>
          </w:p>
        </w:tc>
        <w:tc>
          <w:tcPr>
            <w:tcW w:w="1220" w:type="dxa"/>
            <w:vAlign w:val="bottom"/>
            <w:shd w:val="clear" w:color="auto" w:fill="F4F9F9"/>
          </w:tcPr>
          <w:p>
            <w:pPr>
              <w:jc w:val="right"/>
              <w:ind w:right="148"/>
              <w:spacing w:after="0"/>
              <w:rPr>
                <w:sz w:val="20"/>
                <w:szCs w:val="20"/>
                <w:color w:val="auto"/>
              </w:rPr>
            </w:pPr>
            <w:r>
              <w:rPr>
                <w:rFonts w:ascii="Arial" w:cs="Arial" w:eastAsia="Arial" w:hAnsi="Arial"/>
                <w:sz w:val="14"/>
                <w:szCs w:val="14"/>
                <w:color w:val="auto"/>
              </w:rPr>
              <w:t>74,737</w:t>
            </w:r>
          </w:p>
        </w:tc>
        <w:tc>
          <w:tcPr>
            <w:tcW w:w="1180" w:type="dxa"/>
            <w:vAlign w:val="bottom"/>
            <w:shd w:val="clear" w:color="auto" w:fill="F4F9F9"/>
          </w:tcPr>
          <w:p>
            <w:pPr>
              <w:jc w:val="right"/>
              <w:ind w:right="148"/>
              <w:spacing w:after="0"/>
              <w:rPr>
                <w:sz w:val="20"/>
                <w:szCs w:val="20"/>
                <w:color w:val="auto"/>
              </w:rPr>
            </w:pPr>
            <w:r>
              <w:rPr>
                <w:rFonts w:ascii="Arial" w:cs="Arial" w:eastAsia="Arial" w:hAnsi="Arial"/>
                <w:sz w:val="14"/>
                <w:szCs w:val="14"/>
                <w:color w:val="auto"/>
              </w:rPr>
              <w:t>756</w:t>
            </w:r>
          </w:p>
        </w:tc>
        <w:tc>
          <w:tcPr>
            <w:tcW w:w="1540" w:type="dxa"/>
            <w:vAlign w:val="bottom"/>
            <w:shd w:val="clear" w:color="auto" w:fill="F4F9F9"/>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F4F9F9"/>
          </w:tcPr>
          <w:p>
            <w:pPr>
              <w:jc w:val="right"/>
              <w:spacing w:after="0"/>
              <w:rPr>
                <w:sz w:val="20"/>
                <w:szCs w:val="20"/>
                <w:color w:val="auto"/>
              </w:rPr>
            </w:pPr>
            <w:r>
              <w:rPr>
                <w:rFonts w:ascii="Arial" w:cs="Arial" w:eastAsia="Arial" w:hAnsi="Arial"/>
                <w:sz w:val="14"/>
                <w:szCs w:val="14"/>
                <w:color w:val="auto"/>
              </w:rPr>
              <w:t>224,229</w:t>
            </w:r>
          </w:p>
        </w:tc>
      </w:tr>
      <w:tr>
        <w:trPr>
          <w:trHeight w:val="162"/>
        </w:trPr>
        <w:tc>
          <w:tcPr>
            <w:tcW w:w="20" w:type="dxa"/>
            <w:vAlign w:val="bottom"/>
          </w:tcPr>
          <w:p>
            <w:pPr>
              <w:spacing w:after="0"/>
              <w:rPr>
                <w:sz w:val="14"/>
                <w:szCs w:val="14"/>
                <w:color w:val="auto"/>
              </w:rPr>
            </w:pPr>
          </w:p>
        </w:tc>
        <w:tc>
          <w:tcPr>
            <w:tcW w:w="3400" w:type="dxa"/>
            <w:vAlign w:val="bottom"/>
            <w:tcBorders>
              <w:bottom w:val="single" w:sz="8" w:color="C1CECC"/>
            </w:tcBorders>
            <w:shd w:val="clear" w:color="auto" w:fill="F4F9F9"/>
          </w:tcPr>
          <w:p>
            <w:pPr>
              <w:spacing w:after="0"/>
              <w:rPr>
                <w:sz w:val="14"/>
                <w:szCs w:val="14"/>
                <w:color w:val="auto"/>
              </w:rPr>
            </w:pPr>
          </w:p>
        </w:tc>
        <w:tc>
          <w:tcPr>
            <w:tcW w:w="960" w:type="dxa"/>
            <w:vAlign w:val="bottom"/>
            <w:tcBorders>
              <w:bottom w:val="single" w:sz="8" w:color="C1CECC"/>
            </w:tcBorders>
            <w:shd w:val="clear" w:color="auto" w:fill="F4F9F9"/>
          </w:tcPr>
          <w:p>
            <w:pPr>
              <w:ind w:left="420"/>
              <w:spacing w:after="0"/>
              <w:rPr>
                <w:sz w:val="20"/>
                <w:szCs w:val="20"/>
                <w:color w:val="auto"/>
              </w:rPr>
            </w:pPr>
            <w:r>
              <w:rPr>
                <w:rFonts w:ascii="Arial" w:cs="Arial" w:eastAsia="Arial" w:hAnsi="Arial"/>
                <w:sz w:val="14"/>
                <w:szCs w:val="14"/>
                <w:color w:val="auto"/>
              </w:rPr>
              <w:t>2015</w:t>
            </w:r>
          </w:p>
        </w:tc>
        <w:tc>
          <w:tcPr>
            <w:tcW w:w="1440" w:type="dxa"/>
            <w:vAlign w:val="bottom"/>
            <w:tcBorders>
              <w:bottom w:val="single" w:sz="8" w:color="C1CECC"/>
            </w:tcBorders>
            <w:shd w:val="clear" w:color="auto" w:fill="F4F9F9"/>
          </w:tcPr>
          <w:p>
            <w:pPr>
              <w:jc w:val="right"/>
              <w:ind w:right="148"/>
              <w:spacing w:after="0"/>
              <w:rPr>
                <w:sz w:val="20"/>
                <w:szCs w:val="20"/>
                <w:color w:val="auto"/>
              </w:rPr>
            </w:pPr>
            <w:r>
              <w:rPr>
                <w:rFonts w:ascii="Arial" w:cs="Arial" w:eastAsia="Arial" w:hAnsi="Arial"/>
                <w:sz w:val="14"/>
                <w:szCs w:val="14"/>
                <w:color w:val="auto"/>
              </w:rPr>
              <w:t>175,407</w:t>
            </w:r>
          </w:p>
        </w:tc>
        <w:tc>
          <w:tcPr>
            <w:tcW w:w="1220" w:type="dxa"/>
            <w:vAlign w:val="bottom"/>
            <w:tcBorders>
              <w:bottom w:val="single" w:sz="8" w:color="C1CECC"/>
            </w:tcBorders>
            <w:shd w:val="clear" w:color="auto" w:fill="F4F9F9"/>
          </w:tcPr>
          <w:p>
            <w:pPr>
              <w:jc w:val="right"/>
              <w:ind w:right="148"/>
              <w:spacing w:after="0"/>
              <w:rPr>
                <w:sz w:val="20"/>
                <w:szCs w:val="20"/>
                <w:color w:val="auto"/>
              </w:rPr>
            </w:pPr>
            <w:r>
              <w:rPr>
                <w:rFonts w:ascii="Arial" w:cs="Arial" w:eastAsia="Arial" w:hAnsi="Arial"/>
                <w:sz w:val="14"/>
                <w:szCs w:val="14"/>
                <w:color w:val="auto"/>
              </w:rPr>
              <w:t>74,634</w:t>
            </w:r>
          </w:p>
        </w:tc>
        <w:tc>
          <w:tcPr>
            <w:tcW w:w="1180" w:type="dxa"/>
            <w:vAlign w:val="bottom"/>
            <w:tcBorders>
              <w:bottom w:val="single" w:sz="8" w:color="C1CECC"/>
            </w:tcBorders>
            <w:shd w:val="clear" w:color="auto" w:fill="F4F9F9"/>
          </w:tcPr>
          <w:p>
            <w:pPr>
              <w:jc w:val="right"/>
              <w:ind w:right="148"/>
              <w:spacing w:after="0"/>
              <w:rPr>
                <w:sz w:val="20"/>
                <w:szCs w:val="20"/>
                <w:color w:val="auto"/>
              </w:rPr>
            </w:pPr>
            <w:r>
              <w:rPr>
                <w:rFonts w:ascii="Arial" w:cs="Arial" w:eastAsia="Arial" w:hAnsi="Arial"/>
                <w:sz w:val="14"/>
                <w:szCs w:val="14"/>
                <w:color w:val="auto"/>
              </w:rPr>
              <w:t>756</w:t>
            </w:r>
          </w:p>
        </w:tc>
        <w:tc>
          <w:tcPr>
            <w:tcW w:w="1540" w:type="dxa"/>
            <w:vAlign w:val="bottom"/>
            <w:tcBorders>
              <w:bottom w:val="single" w:sz="8" w:color="C1CECC"/>
            </w:tcBorders>
            <w:shd w:val="clear" w:color="auto" w:fill="F4F9F9"/>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1CECC"/>
            </w:tcBorders>
            <w:shd w:val="clear" w:color="auto" w:fill="F4F9F9"/>
          </w:tcPr>
          <w:p>
            <w:pPr>
              <w:jc w:val="right"/>
              <w:spacing w:after="0"/>
              <w:rPr>
                <w:sz w:val="20"/>
                <w:szCs w:val="20"/>
                <w:color w:val="auto"/>
              </w:rPr>
            </w:pPr>
            <w:r>
              <w:rPr>
                <w:rFonts w:ascii="Arial" w:cs="Arial" w:eastAsia="Arial" w:hAnsi="Arial"/>
                <w:sz w:val="14"/>
                <w:szCs w:val="14"/>
                <w:color w:val="auto"/>
              </w:rPr>
              <w:t>250,797</w:t>
            </w:r>
          </w:p>
        </w:tc>
      </w:tr>
      <w:tr>
        <w:trPr>
          <w:trHeight w:val="160"/>
        </w:trPr>
        <w:tc>
          <w:tcPr>
            <w:tcW w:w="3420" w:type="dxa"/>
            <w:vAlign w:val="bottom"/>
            <w:gridSpan w:val="2"/>
          </w:tcPr>
          <w:p>
            <w:pPr>
              <w:spacing w:after="0"/>
              <w:rPr>
                <w:sz w:val="20"/>
                <w:szCs w:val="20"/>
                <w:color w:val="auto"/>
              </w:rPr>
            </w:pPr>
            <w:r>
              <w:rPr>
                <w:rFonts w:ascii="Arial" w:cs="Arial" w:eastAsia="Arial" w:hAnsi="Arial"/>
                <w:sz w:val="14"/>
                <w:szCs w:val="14"/>
                <w:color w:val="auto"/>
              </w:rPr>
              <w:t>Mr. Ferraro</w:t>
            </w:r>
          </w:p>
        </w:tc>
        <w:tc>
          <w:tcPr>
            <w:tcW w:w="960" w:type="dxa"/>
            <w:vAlign w:val="bottom"/>
          </w:tcPr>
          <w:p>
            <w:pPr>
              <w:ind w:left="420"/>
              <w:spacing w:after="0"/>
              <w:rPr>
                <w:sz w:val="20"/>
                <w:szCs w:val="20"/>
                <w:color w:val="auto"/>
              </w:rPr>
            </w:pPr>
            <w:r>
              <w:rPr>
                <w:rFonts w:ascii="Arial" w:cs="Arial" w:eastAsia="Arial" w:hAnsi="Arial"/>
                <w:sz w:val="14"/>
                <w:szCs w:val="14"/>
                <w:color w:val="auto"/>
              </w:rPr>
              <w:t>2017</w:t>
            </w:r>
          </w:p>
        </w:tc>
        <w:tc>
          <w:tcPr>
            <w:tcW w:w="14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37,831</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709</w:t>
            </w:r>
          </w:p>
        </w:tc>
        <w:tc>
          <w:tcPr>
            <w:tcW w:w="15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38,540</w:t>
            </w:r>
          </w:p>
        </w:tc>
      </w:tr>
      <w:tr>
        <w:trPr>
          <w:trHeight w:val="16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60" w:type="dxa"/>
            <w:vAlign w:val="bottom"/>
          </w:tcPr>
          <w:p>
            <w:pPr>
              <w:ind w:left="420"/>
              <w:spacing w:after="0"/>
              <w:rPr>
                <w:sz w:val="20"/>
                <w:szCs w:val="20"/>
                <w:color w:val="auto"/>
              </w:rPr>
            </w:pPr>
            <w:r>
              <w:rPr>
                <w:rFonts w:ascii="Arial" w:cs="Arial" w:eastAsia="Arial" w:hAnsi="Arial"/>
                <w:sz w:val="14"/>
                <w:szCs w:val="14"/>
                <w:color w:val="auto"/>
              </w:rPr>
              <w:t>2016</w:t>
            </w:r>
          </w:p>
        </w:tc>
        <w:tc>
          <w:tcPr>
            <w:tcW w:w="14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33,374</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703</w:t>
            </w:r>
          </w:p>
        </w:tc>
        <w:tc>
          <w:tcPr>
            <w:tcW w:w="15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34,077</w:t>
            </w:r>
          </w:p>
        </w:tc>
      </w:tr>
      <w:tr>
        <w:trPr>
          <w:trHeight w:val="157"/>
        </w:trPr>
        <w:tc>
          <w:tcPr>
            <w:tcW w:w="20" w:type="dxa"/>
            <w:vAlign w:val="bottom"/>
          </w:tcPr>
          <w:p>
            <w:pPr>
              <w:spacing w:after="0"/>
              <w:rPr>
                <w:sz w:val="13"/>
                <w:szCs w:val="13"/>
                <w:color w:val="auto"/>
              </w:rPr>
            </w:pPr>
          </w:p>
        </w:tc>
        <w:tc>
          <w:tcPr>
            <w:tcW w:w="3400" w:type="dxa"/>
            <w:vAlign w:val="bottom"/>
            <w:tcBorders>
              <w:bottom w:val="single" w:sz="8" w:color="C1CECC"/>
            </w:tcBorders>
          </w:tcPr>
          <w:p>
            <w:pPr>
              <w:spacing w:after="0"/>
              <w:rPr>
                <w:sz w:val="13"/>
                <w:szCs w:val="13"/>
                <w:color w:val="auto"/>
              </w:rPr>
            </w:pPr>
          </w:p>
        </w:tc>
        <w:tc>
          <w:tcPr>
            <w:tcW w:w="960" w:type="dxa"/>
            <w:vAlign w:val="bottom"/>
            <w:tcBorders>
              <w:bottom w:val="single" w:sz="8" w:color="C1CECC"/>
            </w:tcBorders>
          </w:tcPr>
          <w:p>
            <w:pPr>
              <w:ind w:left="420"/>
              <w:spacing w:after="0" w:line="157" w:lineRule="exact"/>
              <w:rPr>
                <w:sz w:val="20"/>
                <w:szCs w:val="20"/>
                <w:color w:val="auto"/>
              </w:rPr>
            </w:pPr>
            <w:r>
              <w:rPr>
                <w:rFonts w:ascii="Arial" w:cs="Arial" w:eastAsia="Arial" w:hAnsi="Arial"/>
                <w:sz w:val="14"/>
                <w:szCs w:val="14"/>
                <w:color w:val="auto"/>
              </w:rPr>
              <w:t>2015</w:t>
            </w:r>
          </w:p>
        </w:tc>
        <w:tc>
          <w:tcPr>
            <w:tcW w:w="1440" w:type="dxa"/>
            <w:vAlign w:val="bottom"/>
            <w:tcBorders>
              <w:bottom w:val="single" w:sz="8" w:color="C1CECC"/>
            </w:tcBorders>
          </w:tcPr>
          <w:p>
            <w:pPr>
              <w:jc w:val="right"/>
              <w:ind w:right="148"/>
              <w:spacing w:after="0" w:line="157"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C1CECC"/>
            </w:tcBorders>
          </w:tcPr>
          <w:p>
            <w:pPr>
              <w:jc w:val="right"/>
              <w:ind w:right="148"/>
              <w:spacing w:after="0" w:line="157" w:lineRule="exact"/>
              <w:rPr>
                <w:sz w:val="20"/>
                <w:szCs w:val="20"/>
                <w:color w:val="auto"/>
              </w:rPr>
            </w:pPr>
            <w:r>
              <w:rPr>
                <w:rFonts w:ascii="Arial" w:cs="Arial" w:eastAsia="Arial" w:hAnsi="Arial"/>
                <w:sz w:val="14"/>
                <w:szCs w:val="14"/>
                <w:color w:val="auto"/>
              </w:rPr>
              <w:t>20,618</w:t>
            </w:r>
          </w:p>
        </w:tc>
        <w:tc>
          <w:tcPr>
            <w:tcW w:w="1180" w:type="dxa"/>
            <w:vAlign w:val="bottom"/>
            <w:tcBorders>
              <w:bottom w:val="single" w:sz="8" w:color="C1CECC"/>
            </w:tcBorders>
          </w:tcPr>
          <w:p>
            <w:pPr>
              <w:jc w:val="right"/>
              <w:ind w:right="148"/>
              <w:spacing w:after="0" w:line="157" w:lineRule="exact"/>
              <w:rPr>
                <w:sz w:val="20"/>
                <w:szCs w:val="20"/>
                <w:color w:val="auto"/>
              </w:rPr>
            </w:pPr>
            <w:r>
              <w:rPr>
                <w:rFonts w:ascii="Arial" w:cs="Arial" w:eastAsia="Arial" w:hAnsi="Arial"/>
                <w:sz w:val="14"/>
                <w:szCs w:val="14"/>
                <w:color w:val="auto"/>
              </w:rPr>
              <w:t>544</w:t>
            </w:r>
          </w:p>
        </w:tc>
        <w:tc>
          <w:tcPr>
            <w:tcW w:w="1540" w:type="dxa"/>
            <w:vAlign w:val="bottom"/>
            <w:tcBorders>
              <w:bottom w:val="single" w:sz="8" w:color="C1CECC"/>
            </w:tcBorders>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C1CECC"/>
            </w:tcBorders>
          </w:tcPr>
          <w:p>
            <w:pPr>
              <w:jc w:val="right"/>
              <w:spacing w:after="0" w:line="157" w:lineRule="exact"/>
              <w:rPr>
                <w:sz w:val="20"/>
                <w:szCs w:val="20"/>
                <w:color w:val="auto"/>
              </w:rPr>
            </w:pPr>
            <w:r>
              <w:rPr>
                <w:rFonts w:ascii="Arial" w:cs="Arial" w:eastAsia="Arial" w:hAnsi="Arial"/>
                <w:sz w:val="14"/>
                <w:szCs w:val="14"/>
                <w:color w:val="auto"/>
              </w:rPr>
              <w:t>21,162</w:t>
            </w:r>
          </w:p>
        </w:tc>
      </w:tr>
      <w:tr>
        <w:trPr>
          <w:trHeight w:val="156"/>
        </w:trPr>
        <w:tc>
          <w:tcPr>
            <w:tcW w:w="20" w:type="dxa"/>
            <w:vAlign w:val="bottom"/>
          </w:tcPr>
          <w:p>
            <w:pPr>
              <w:spacing w:after="0"/>
              <w:rPr>
                <w:sz w:val="13"/>
                <w:szCs w:val="13"/>
                <w:color w:val="auto"/>
              </w:rPr>
            </w:pPr>
          </w:p>
        </w:tc>
        <w:tc>
          <w:tcPr>
            <w:tcW w:w="3400" w:type="dxa"/>
            <w:vAlign w:val="bottom"/>
            <w:shd w:val="clear" w:color="auto" w:fill="F4F9F9"/>
          </w:tcPr>
          <w:p>
            <w:pPr>
              <w:spacing w:after="0" w:line="155" w:lineRule="exact"/>
              <w:rPr>
                <w:sz w:val="20"/>
                <w:szCs w:val="20"/>
                <w:color w:val="auto"/>
              </w:rPr>
            </w:pPr>
            <w:r>
              <w:rPr>
                <w:rFonts w:ascii="Arial" w:cs="Arial" w:eastAsia="Arial" w:hAnsi="Arial"/>
                <w:sz w:val="14"/>
                <w:szCs w:val="14"/>
                <w:color w:val="auto"/>
              </w:rPr>
              <w:t>Mr. Servodidio</w:t>
            </w:r>
          </w:p>
        </w:tc>
        <w:tc>
          <w:tcPr>
            <w:tcW w:w="960" w:type="dxa"/>
            <w:vAlign w:val="bottom"/>
            <w:shd w:val="clear" w:color="auto" w:fill="F4F9F9"/>
          </w:tcPr>
          <w:p>
            <w:pPr>
              <w:ind w:left="420"/>
              <w:spacing w:after="0" w:line="155" w:lineRule="exact"/>
              <w:rPr>
                <w:sz w:val="20"/>
                <w:szCs w:val="20"/>
                <w:color w:val="auto"/>
              </w:rPr>
            </w:pPr>
            <w:r>
              <w:rPr>
                <w:rFonts w:ascii="Arial" w:cs="Arial" w:eastAsia="Arial" w:hAnsi="Arial"/>
                <w:sz w:val="14"/>
                <w:szCs w:val="14"/>
                <w:color w:val="auto"/>
              </w:rPr>
              <w:t>2017</w:t>
            </w:r>
          </w:p>
        </w:tc>
        <w:tc>
          <w:tcPr>
            <w:tcW w:w="1440" w:type="dxa"/>
            <w:vAlign w:val="bottom"/>
            <w:shd w:val="clear" w:color="auto" w:fill="F4F9F9"/>
          </w:tcPr>
          <w:p>
            <w:pPr>
              <w:jc w:val="right"/>
              <w:ind w:right="148"/>
              <w:spacing w:after="0" w:line="155" w:lineRule="exact"/>
              <w:rPr>
                <w:sz w:val="20"/>
                <w:szCs w:val="20"/>
                <w:color w:val="auto"/>
              </w:rPr>
            </w:pPr>
            <w:r>
              <w:rPr>
                <w:rFonts w:ascii="Arial" w:cs="Arial" w:eastAsia="Arial" w:hAnsi="Arial"/>
                <w:sz w:val="14"/>
                <w:szCs w:val="14"/>
                <w:color w:val="auto"/>
              </w:rPr>
              <w:t>60,246</w:t>
            </w:r>
          </w:p>
        </w:tc>
        <w:tc>
          <w:tcPr>
            <w:tcW w:w="1220" w:type="dxa"/>
            <w:vAlign w:val="bottom"/>
            <w:shd w:val="clear" w:color="auto" w:fill="F4F9F9"/>
          </w:tcPr>
          <w:p>
            <w:pPr>
              <w:jc w:val="right"/>
              <w:ind w:right="148"/>
              <w:spacing w:after="0" w:line="155" w:lineRule="exact"/>
              <w:rPr>
                <w:sz w:val="20"/>
                <w:szCs w:val="20"/>
                <w:color w:val="auto"/>
              </w:rPr>
            </w:pPr>
            <w:r>
              <w:rPr>
                <w:rFonts w:ascii="Arial" w:cs="Arial" w:eastAsia="Arial" w:hAnsi="Arial"/>
                <w:sz w:val="14"/>
                <w:szCs w:val="14"/>
                <w:color w:val="auto"/>
              </w:rPr>
              <w:t>27,640</w:t>
            </w:r>
          </w:p>
        </w:tc>
        <w:tc>
          <w:tcPr>
            <w:tcW w:w="1180" w:type="dxa"/>
            <w:vAlign w:val="bottom"/>
            <w:shd w:val="clear" w:color="auto" w:fill="F4F9F9"/>
          </w:tcPr>
          <w:p>
            <w:pPr>
              <w:jc w:val="right"/>
              <w:ind w:right="148"/>
              <w:spacing w:after="0" w:line="155" w:lineRule="exact"/>
              <w:rPr>
                <w:sz w:val="20"/>
                <w:szCs w:val="20"/>
                <w:color w:val="auto"/>
              </w:rPr>
            </w:pPr>
            <w:r>
              <w:rPr>
                <w:rFonts w:ascii="Arial" w:cs="Arial" w:eastAsia="Arial" w:hAnsi="Arial"/>
                <w:sz w:val="14"/>
                <w:szCs w:val="14"/>
                <w:color w:val="auto"/>
              </w:rPr>
              <w:t>273,772</w:t>
            </w:r>
          </w:p>
        </w:tc>
        <w:tc>
          <w:tcPr>
            <w:tcW w:w="1540" w:type="dxa"/>
            <w:vAlign w:val="bottom"/>
            <w:shd w:val="clear" w:color="auto" w:fill="F4F9F9"/>
          </w:tcPr>
          <w:p>
            <w:pPr>
              <w:jc w:val="right"/>
              <w:ind w:right="168"/>
              <w:spacing w:after="0" w:line="155" w:lineRule="exact"/>
              <w:rPr>
                <w:sz w:val="20"/>
                <w:szCs w:val="20"/>
                <w:color w:val="auto"/>
              </w:rPr>
            </w:pPr>
            <w:r>
              <w:rPr>
                <w:rFonts w:ascii="Arial" w:cs="Arial" w:eastAsia="Arial" w:hAnsi="Arial"/>
                <w:sz w:val="14"/>
                <w:szCs w:val="14"/>
                <w:color w:val="auto"/>
              </w:rPr>
              <w:t>659,099</w:t>
            </w:r>
          </w:p>
        </w:tc>
        <w:tc>
          <w:tcPr>
            <w:tcW w:w="1280" w:type="dxa"/>
            <w:vAlign w:val="bottom"/>
            <w:shd w:val="clear" w:color="auto" w:fill="F4F9F9"/>
          </w:tcPr>
          <w:p>
            <w:pPr>
              <w:jc w:val="right"/>
              <w:spacing w:after="0" w:line="155" w:lineRule="exact"/>
              <w:rPr>
                <w:sz w:val="20"/>
                <w:szCs w:val="20"/>
                <w:color w:val="auto"/>
              </w:rPr>
            </w:pPr>
            <w:r>
              <w:rPr>
                <w:rFonts w:ascii="Arial" w:cs="Arial" w:eastAsia="Arial" w:hAnsi="Arial"/>
                <w:sz w:val="14"/>
                <w:szCs w:val="14"/>
                <w:color w:val="auto"/>
              </w:rPr>
              <w:t>1,020,757</w:t>
            </w:r>
          </w:p>
        </w:tc>
      </w:tr>
      <w:tr>
        <w:trPr>
          <w:trHeight w:val="162"/>
        </w:trPr>
        <w:tc>
          <w:tcPr>
            <w:tcW w:w="20" w:type="dxa"/>
            <w:vAlign w:val="bottom"/>
          </w:tcPr>
          <w:p>
            <w:pPr>
              <w:spacing w:after="0"/>
              <w:rPr>
                <w:sz w:val="14"/>
                <w:szCs w:val="14"/>
                <w:color w:val="auto"/>
              </w:rPr>
            </w:pPr>
          </w:p>
        </w:tc>
        <w:tc>
          <w:tcPr>
            <w:tcW w:w="3400" w:type="dxa"/>
            <w:vAlign w:val="bottom"/>
            <w:shd w:val="clear" w:color="auto" w:fill="F4F9F9"/>
          </w:tcPr>
          <w:p>
            <w:pPr>
              <w:spacing w:after="0"/>
              <w:rPr>
                <w:sz w:val="14"/>
                <w:szCs w:val="14"/>
                <w:color w:val="auto"/>
              </w:rPr>
            </w:pPr>
          </w:p>
        </w:tc>
        <w:tc>
          <w:tcPr>
            <w:tcW w:w="960" w:type="dxa"/>
            <w:vAlign w:val="bottom"/>
            <w:shd w:val="clear" w:color="auto" w:fill="F4F9F9"/>
          </w:tcPr>
          <w:p>
            <w:pPr>
              <w:ind w:left="420"/>
              <w:spacing w:after="0"/>
              <w:rPr>
                <w:sz w:val="20"/>
                <w:szCs w:val="20"/>
                <w:color w:val="auto"/>
              </w:rPr>
            </w:pPr>
            <w:r>
              <w:rPr>
                <w:rFonts w:ascii="Arial" w:cs="Arial" w:eastAsia="Arial" w:hAnsi="Arial"/>
                <w:sz w:val="14"/>
                <w:szCs w:val="14"/>
                <w:color w:val="auto"/>
              </w:rPr>
              <w:t>2016</w:t>
            </w:r>
          </w:p>
        </w:tc>
        <w:tc>
          <w:tcPr>
            <w:tcW w:w="1440" w:type="dxa"/>
            <w:vAlign w:val="bottom"/>
            <w:shd w:val="clear" w:color="auto" w:fill="F4F9F9"/>
          </w:tcPr>
          <w:p>
            <w:pPr>
              <w:jc w:val="right"/>
              <w:ind w:right="148"/>
              <w:spacing w:after="0"/>
              <w:rPr>
                <w:sz w:val="20"/>
                <w:szCs w:val="20"/>
                <w:color w:val="auto"/>
              </w:rPr>
            </w:pPr>
            <w:r>
              <w:rPr>
                <w:rFonts w:ascii="Arial" w:cs="Arial" w:eastAsia="Arial" w:hAnsi="Arial"/>
                <w:sz w:val="14"/>
                <w:szCs w:val="14"/>
                <w:color w:val="auto"/>
              </w:rPr>
              <w:t>52,407</w:t>
            </w:r>
          </w:p>
        </w:tc>
        <w:tc>
          <w:tcPr>
            <w:tcW w:w="1220" w:type="dxa"/>
            <w:vAlign w:val="bottom"/>
            <w:shd w:val="clear" w:color="auto" w:fill="F4F9F9"/>
          </w:tcPr>
          <w:p>
            <w:pPr>
              <w:jc w:val="right"/>
              <w:ind w:right="148"/>
              <w:spacing w:after="0"/>
              <w:rPr>
                <w:sz w:val="20"/>
                <w:szCs w:val="20"/>
                <w:color w:val="auto"/>
              </w:rPr>
            </w:pPr>
            <w:r>
              <w:rPr>
                <w:rFonts w:ascii="Arial" w:cs="Arial" w:eastAsia="Arial" w:hAnsi="Arial"/>
                <w:sz w:val="14"/>
                <w:szCs w:val="14"/>
                <w:color w:val="auto"/>
              </w:rPr>
              <w:t>33,518</w:t>
            </w:r>
          </w:p>
        </w:tc>
        <w:tc>
          <w:tcPr>
            <w:tcW w:w="1180" w:type="dxa"/>
            <w:vAlign w:val="bottom"/>
            <w:shd w:val="clear" w:color="auto" w:fill="F4F9F9"/>
          </w:tcPr>
          <w:p>
            <w:pPr>
              <w:jc w:val="right"/>
              <w:ind w:right="148"/>
              <w:spacing w:after="0"/>
              <w:rPr>
                <w:sz w:val="20"/>
                <w:szCs w:val="20"/>
                <w:color w:val="auto"/>
              </w:rPr>
            </w:pPr>
            <w:r>
              <w:rPr>
                <w:rFonts w:ascii="Arial" w:cs="Arial" w:eastAsia="Arial" w:hAnsi="Arial"/>
                <w:sz w:val="14"/>
                <w:szCs w:val="14"/>
                <w:color w:val="auto"/>
              </w:rPr>
              <w:t>263,002</w:t>
            </w:r>
          </w:p>
        </w:tc>
        <w:tc>
          <w:tcPr>
            <w:tcW w:w="1540" w:type="dxa"/>
            <w:vAlign w:val="bottom"/>
            <w:shd w:val="clear" w:color="auto" w:fill="F4F9F9"/>
          </w:tcPr>
          <w:p>
            <w:pPr>
              <w:jc w:val="right"/>
              <w:ind w:right="168"/>
              <w:spacing w:after="0"/>
              <w:rPr>
                <w:sz w:val="20"/>
                <w:szCs w:val="20"/>
                <w:color w:val="auto"/>
              </w:rPr>
            </w:pPr>
            <w:r>
              <w:rPr>
                <w:rFonts w:ascii="Arial" w:cs="Arial" w:eastAsia="Arial" w:hAnsi="Arial"/>
                <w:sz w:val="14"/>
                <w:szCs w:val="14"/>
                <w:color w:val="auto"/>
              </w:rPr>
              <w:t>1,759,397</w:t>
            </w:r>
          </w:p>
        </w:tc>
        <w:tc>
          <w:tcPr>
            <w:tcW w:w="1280" w:type="dxa"/>
            <w:vAlign w:val="bottom"/>
            <w:shd w:val="clear" w:color="auto" w:fill="F4F9F9"/>
          </w:tcPr>
          <w:p>
            <w:pPr>
              <w:jc w:val="right"/>
              <w:spacing w:after="0"/>
              <w:rPr>
                <w:sz w:val="20"/>
                <w:szCs w:val="20"/>
                <w:color w:val="auto"/>
              </w:rPr>
            </w:pPr>
            <w:r>
              <w:rPr>
                <w:rFonts w:ascii="Arial" w:cs="Arial" w:eastAsia="Arial" w:hAnsi="Arial"/>
                <w:sz w:val="14"/>
                <w:szCs w:val="14"/>
                <w:color w:val="auto"/>
              </w:rPr>
              <w:t>2,108,324</w:t>
            </w:r>
          </w:p>
        </w:tc>
      </w:tr>
      <w:tr>
        <w:trPr>
          <w:trHeight w:val="162"/>
        </w:trPr>
        <w:tc>
          <w:tcPr>
            <w:tcW w:w="20" w:type="dxa"/>
            <w:vAlign w:val="bottom"/>
          </w:tcPr>
          <w:p>
            <w:pPr>
              <w:spacing w:after="0"/>
              <w:rPr>
                <w:sz w:val="14"/>
                <w:szCs w:val="14"/>
                <w:color w:val="auto"/>
              </w:rPr>
            </w:pPr>
          </w:p>
        </w:tc>
        <w:tc>
          <w:tcPr>
            <w:tcW w:w="3400" w:type="dxa"/>
            <w:vAlign w:val="bottom"/>
            <w:tcBorders>
              <w:bottom w:val="single" w:sz="8" w:color="C1CECC"/>
            </w:tcBorders>
            <w:shd w:val="clear" w:color="auto" w:fill="F4F9F9"/>
          </w:tcPr>
          <w:p>
            <w:pPr>
              <w:spacing w:after="0"/>
              <w:rPr>
                <w:sz w:val="14"/>
                <w:szCs w:val="14"/>
                <w:color w:val="auto"/>
              </w:rPr>
            </w:pPr>
          </w:p>
        </w:tc>
        <w:tc>
          <w:tcPr>
            <w:tcW w:w="960" w:type="dxa"/>
            <w:vAlign w:val="bottom"/>
            <w:tcBorders>
              <w:bottom w:val="single" w:sz="8" w:color="C1CECC"/>
            </w:tcBorders>
            <w:shd w:val="clear" w:color="auto" w:fill="F4F9F9"/>
          </w:tcPr>
          <w:p>
            <w:pPr>
              <w:ind w:left="420"/>
              <w:spacing w:after="0"/>
              <w:rPr>
                <w:sz w:val="20"/>
                <w:szCs w:val="20"/>
                <w:color w:val="auto"/>
              </w:rPr>
            </w:pPr>
            <w:r>
              <w:rPr>
                <w:rFonts w:ascii="Arial" w:cs="Arial" w:eastAsia="Arial" w:hAnsi="Arial"/>
                <w:sz w:val="14"/>
                <w:szCs w:val="14"/>
                <w:color w:val="auto"/>
              </w:rPr>
              <w:t>2015</w:t>
            </w:r>
          </w:p>
        </w:tc>
        <w:tc>
          <w:tcPr>
            <w:tcW w:w="1440" w:type="dxa"/>
            <w:vAlign w:val="bottom"/>
            <w:tcBorders>
              <w:bottom w:val="single" w:sz="8" w:color="C1CECC"/>
            </w:tcBorders>
            <w:shd w:val="clear" w:color="auto" w:fill="F4F9F9"/>
          </w:tcPr>
          <w:p>
            <w:pPr>
              <w:jc w:val="right"/>
              <w:ind w:right="148"/>
              <w:spacing w:after="0"/>
              <w:rPr>
                <w:sz w:val="20"/>
                <w:szCs w:val="20"/>
                <w:color w:val="auto"/>
              </w:rPr>
            </w:pPr>
            <w:r>
              <w:rPr>
                <w:rFonts w:ascii="Arial" w:cs="Arial" w:eastAsia="Arial" w:hAnsi="Arial"/>
                <w:sz w:val="14"/>
                <w:szCs w:val="14"/>
                <w:color w:val="auto"/>
              </w:rPr>
              <w:t>52,216</w:t>
            </w:r>
          </w:p>
        </w:tc>
        <w:tc>
          <w:tcPr>
            <w:tcW w:w="1220" w:type="dxa"/>
            <w:vAlign w:val="bottom"/>
            <w:tcBorders>
              <w:bottom w:val="single" w:sz="8" w:color="C1CECC"/>
            </w:tcBorders>
            <w:shd w:val="clear" w:color="auto" w:fill="F4F9F9"/>
          </w:tcPr>
          <w:p>
            <w:pPr>
              <w:jc w:val="right"/>
              <w:ind w:right="148"/>
              <w:spacing w:after="0"/>
              <w:rPr>
                <w:sz w:val="20"/>
                <w:szCs w:val="20"/>
                <w:color w:val="auto"/>
              </w:rPr>
            </w:pPr>
            <w:r>
              <w:rPr>
                <w:rFonts w:ascii="Arial" w:cs="Arial" w:eastAsia="Arial" w:hAnsi="Arial"/>
                <w:sz w:val="14"/>
                <w:szCs w:val="14"/>
                <w:color w:val="auto"/>
              </w:rPr>
              <w:t>24,502</w:t>
            </w:r>
          </w:p>
        </w:tc>
        <w:tc>
          <w:tcPr>
            <w:tcW w:w="1180" w:type="dxa"/>
            <w:vAlign w:val="bottom"/>
            <w:tcBorders>
              <w:bottom w:val="single" w:sz="8" w:color="C1CECC"/>
            </w:tcBorders>
            <w:shd w:val="clear" w:color="auto" w:fill="F4F9F9"/>
          </w:tcPr>
          <w:p>
            <w:pPr>
              <w:jc w:val="right"/>
              <w:ind w:right="148"/>
              <w:spacing w:after="0"/>
              <w:rPr>
                <w:sz w:val="20"/>
                <w:szCs w:val="20"/>
                <w:color w:val="auto"/>
              </w:rPr>
            </w:pPr>
            <w:r>
              <w:rPr>
                <w:rFonts w:ascii="Arial" w:cs="Arial" w:eastAsia="Arial" w:hAnsi="Arial"/>
                <w:sz w:val="14"/>
                <w:szCs w:val="14"/>
                <w:color w:val="auto"/>
              </w:rPr>
              <w:t>300,748</w:t>
            </w:r>
          </w:p>
        </w:tc>
        <w:tc>
          <w:tcPr>
            <w:tcW w:w="1540" w:type="dxa"/>
            <w:vAlign w:val="bottom"/>
            <w:tcBorders>
              <w:bottom w:val="single" w:sz="8" w:color="C1CECC"/>
            </w:tcBorders>
            <w:shd w:val="clear" w:color="auto" w:fill="F4F9F9"/>
          </w:tcPr>
          <w:p>
            <w:pPr>
              <w:jc w:val="right"/>
              <w:ind w:right="168"/>
              <w:spacing w:after="0"/>
              <w:rPr>
                <w:sz w:val="20"/>
                <w:szCs w:val="20"/>
                <w:color w:val="auto"/>
              </w:rPr>
            </w:pPr>
            <w:r>
              <w:rPr>
                <w:rFonts w:ascii="Arial" w:cs="Arial" w:eastAsia="Arial" w:hAnsi="Arial"/>
                <w:sz w:val="14"/>
                <w:szCs w:val="14"/>
                <w:color w:val="auto"/>
              </w:rPr>
              <w:t>791,064</w:t>
            </w:r>
          </w:p>
        </w:tc>
        <w:tc>
          <w:tcPr>
            <w:tcW w:w="1280" w:type="dxa"/>
            <w:vAlign w:val="bottom"/>
            <w:tcBorders>
              <w:bottom w:val="single" w:sz="8" w:color="C1CECC"/>
            </w:tcBorders>
            <w:shd w:val="clear" w:color="auto" w:fill="F4F9F9"/>
          </w:tcPr>
          <w:p>
            <w:pPr>
              <w:jc w:val="right"/>
              <w:spacing w:after="0"/>
              <w:rPr>
                <w:sz w:val="20"/>
                <w:szCs w:val="20"/>
                <w:color w:val="auto"/>
              </w:rPr>
            </w:pPr>
            <w:r>
              <w:rPr>
                <w:rFonts w:ascii="Arial" w:cs="Arial" w:eastAsia="Arial" w:hAnsi="Arial"/>
                <w:sz w:val="14"/>
                <w:szCs w:val="14"/>
                <w:color w:val="auto"/>
              </w:rPr>
              <w:t>1,168,530</w:t>
            </w:r>
          </w:p>
        </w:tc>
      </w:tr>
      <w:tr>
        <w:trPr>
          <w:trHeight w:val="160"/>
        </w:trPr>
        <w:tc>
          <w:tcPr>
            <w:tcW w:w="3420" w:type="dxa"/>
            <w:vAlign w:val="bottom"/>
            <w:gridSpan w:val="2"/>
          </w:tcPr>
          <w:p>
            <w:pPr>
              <w:spacing w:after="0"/>
              <w:rPr>
                <w:sz w:val="20"/>
                <w:szCs w:val="20"/>
                <w:color w:val="auto"/>
              </w:rPr>
            </w:pPr>
            <w:r>
              <w:rPr>
                <w:rFonts w:ascii="Arial" w:cs="Arial" w:eastAsia="Arial" w:hAnsi="Arial"/>
                <w:sz w:val="14"/>
                <w:szCs w:val="14"/>
                <w:color w:val="auto"/>
              </w:rPr>
              <w:t>Mr. Wyshner</w:t>
            </w:r>
          </w:p>
        </w:tc>
        <w:tc>
          <w:tcPr>
            <w:tcW w:w="960" w:type="dxa"/>
            <w:vAlign w:val="bottom"/>
          </w:tcPr>
          <w:p>
            <w:pPr>
              <w:ind w:left="420"/>
              <w:spacing w:after="0"/>
              <w:rPr>
                <w:sz w:val="20"/>
                <w:szCs w:val="20"/>
                <w:color w:val="auto"/>
              </w:rPr>
            </w:pPr>
            <w:r>
              <w:rPr>
                <w:rFonts w:ascii="Arial" w:cs="Arial" w:eastAsia="Arial" w:hAnsi="Arial"/>
                <w:sz w:val="14"/>
                <w:szCs w:val="14"/>
                <w:color w:val="auto"/>
              </w:rPr>
              <w:t>2017</w:t>
            </w:r>
          </w:p>
        </w:tc>
        <w:tc>
          <w:tcPr>
            <w:tcW w:w="1440" w:type="dxa"/>
            <w:vAlign w:val="bottom"/>
          </w:tcPr>
          <w:p>
            <w:pPr>
              <w:jc w:val="right"/>
              <w:ind w:right="148"/>
              <w:spacing w:after="0"/>
              <w:rPr>
                <w:sz w:val="20"/>
                <w:szCs w:val="20"/>
                <w:color w:val="auto"/>
              </w:rPr>
            </w:pPr>
            <w:r>
              <w:rPr>
                <w:rFonts w:ascii="Arial" w:cs="Arial" w:eastAsia="Arial" w:hAnsi="Arial"/>
                <w:sz w:val="14"/>
                <w:szCs w:val="14"/>
                <w:color w:val="auto"/>
              </w:rPr>
              <w:t>48,231</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36,856</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4,850,756</w:t>
            </w:r>
          </w:p>
        </w:tc>
        <w:tc>
          <w:tcPr>
            <w:tcW w:w="15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4,935,843</w:t>
            </w:r>
          </w:p>
        </w:tc>
      </w:tr>
      <w:tr>
        <w:trPr>
          <w:trHeight w:val="16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60" w:type="dxa"/>
            <w:vAlign w:val="bottom"/>
          </w:tcPr>
          <w:p>
            <w:pPr>
              <w:ind w:left="420"/>
              <w:spacing w:after="0"/>
              <w:rPr>
                <w:sz w:val="20"/>
                <w:szCs w:val="20"/>
                <w:color w:val="auto"/>
              </w:rPr>
            </w:pPr>
            <w:r>
              <w:rPr>
                <w:rFonts w:ascii="Arial" w:cs="Arial" w:eastAsia="Arial" w:hAnsi="Arial"/>
                <w:sz w:val="14"/>
                <w:szCs w:val="14"/>
                <w:color w:val="auto"/>
              </w:rPr>
              <w:t>2016</w:t>
            </w:r>
          </w:p>
        </w:tc>
        <w:tc>
          <w:tcPr>
            <w:tcW w:w="1440" w:type="dxa"/>
            <w:vAlign w:val="bottom"/>
          </w:tcPr>
          <w:p>
            <w:pPr>
              <w:jc w:val="right"/>
              <w:ind w:right="148"/>
              <w:spacing w:after="0"/>
              <w:rPr>
                <w:sz w:val="20"/>
                <w:szCs w:val="20"/>
                <w:color w:val="auto"/>
              </w:rPr>
            </w:pPr>
            <w:r>
              <w:rPr>
                <w:rFonts w:ascii="Arial" w:cs="Arial" w:eastAsia="Arial" w:hAnsi="Arial"/>
                <w:sz w:val="14"/>
                <w:szCs w:val="14"/>
                <w:color w:val="auto"/>
              </w:rPr>
              <w:t>87,150</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33,238</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756</w:t>
            </w:r>
          </w:p>
        </w:tc>
        <w:tc>
          <w:tcPr>
            <w:tcW w:w="15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121,144</w:t>
            </w:r>
          </w:p>
        </w:tc>
      </w:tr>
      <w:tr>
        <w:trPr>
          <w:trHeight w:val="157"/>
        </w:trPr>
        <w:tc>
          <w:tcPr>
            <w:tcW w:w="20" w:type="dxa"/>
            <w:vAlign w:val="bottom"/>
          </w:tcPr>
          <w:p>
            <w:pPr>
              <w:spacing w:after="0"/>
              <w:rPr>
                <w:sz w:val="13"/>
                <w:szCs w:val="13"/>
                <w:color w:val="auto"/>
              </w:rPr>
            </w:pPr>
          </w:p>
        </w:tc>
        <w:tc>
          <w:tcPr>
            <w:tcW w:w="3400" w:type="dxa"/>
            <w:vAlign w:val="bottom"/>
            <w:tcBorders>
              <w:bottom w:val="single" w:sz="8" w:color="C1CECC"/>
            </w:tcBorders>
          </w:tcPr>
          <w:p>
            <w:pPr>
              <w:spacing w:after="0"/>
              <w:rPr>
                <w:sz w:val="13"/>
                <w:szCs w:val="13"/>
                <w:color w:val="auto"/>
              </w:rPr>
            </w:pPr>
          </w:p>
        </w:tc>
        <w:tc>
          <w:tcPr>
            <w:tcW w:w="960" w:type="dxa"/>
            <w:vAlign w:val="bottom"/>
            <w:tcBorders>
              <w:bottom w:val="single" w:sz="8" w:color="C1CECC"/>
            </w:tcBorders>
          </w:tcPr>
          <w:p>
            <w:pPr>
              <w:ind w:left="420"/>
              <w:spacing w:after="0" w:line="157" w:lineRule="exact"/>
              <w:rPr>
                <w:sz w:val="20"/>
                <w:szCs w:val="20"/>
                <w:color w:val="auto"/>
              </w:rPr>
            </w:pPr>
            <w:r>
              <w:rPr>
                <w:rFonts w:ascii="Arial" w:cs="Arial" w:eastAsia="Arial" w:hAnsi="Arial"/>
                <w:sz w:val="14"/>
                <w:szCs w:val="14"/>
                <w:color w:val="auto"/>
              </w:rPr>
              <w:t>2015</w:t>
            </w:r>
          </w:p>
        </w:tc>
        <w:tc>
          <w:tcPr>
            <w:tcW w:w="1440" w:type="dxa"/>
            <w:vAlign w:val="bottom"/>
            <w:tcBorders>
              <w:bottom w:val="single" w:sz="8" w:color="C1CECC"/>
            </w:tcBorders>
          </w:tcPr>
          <w:p>
            <w:pPr>
              <w:jc w:val="right"/>
              <w:ind w:right="148"/>
              <w:spacing w:after="0" w:line="157" w:lineRule="exact"/>
              <w:rPr>
                <w:sz w:val="20"/>
                <w:szCs w:val="20"/>
                <w:color w:val="auto"/>
              </w:rPr>
            </w:pPr>
            <w:r>
              <w:rPr>
                <w:rFonts w:ascii="Arial" w:cs="Arial" w:eastAsia="Arial" w:hAnsi="Arial"/>
                <w:sz w:val="14"/>
                <w:szCs w:val="14"/>
                <w:color w:val="auto"/>
              </w:rPr>
              <w:t>82,568</w:t>
            </w:r>
          </w:p>
        </w:tc>
        <w:tc>
          <w:tcPr>
            <w:tcW w:w="1220" w:type="dxa"/>
            <w:vAlign w:val="bottom"/>
            <w:tcBorders>
              <w:bottom w:val="single" w:sz="8" w:color="C1CECC"/>
            </w:tcBorders>
          </w:tcPr>
          <w:p>
            <w:pPr>
              <w:jc w:val="right"/>
              <w:ind w:right="148"/>
              <w:spacing w:after="0" w:line="157" w:lineRule="exact"/>
              <w:rPr>
                <w:sz w:val="20"/>
                <w:szCs w:val="20"/>
                <w:color w:val="auto"/>
              </w:rPr>
            </w:pPr>
            <w:r>
              <w:rPr>
                <w:rFonts w:ascii="Arial" w:cs="Arial" w:eastAsia="Arial" w:hAnsi="Arial"/>
                <w:sz w:val="14"/>
                <w:szCs w:val="14"/>
                <w:color w:val="auto"/>
              </w:rPr>
              <w:t>32,972</w:t>
            </w:r>
          </w:p>
        </w:tc>
        <w:tc>
          <w:tcPr>
            <w:tcW w:w="1180" w:type="dxa"/>
            <w:vAlign w:val="bottom"/>
            <w:tcBorders>
              <w:bottom w:val="single" w:sz="8" w:color="C1CECC"/>
            </w:tcBorders>
          </w:tcPr>
          <w:p>
            <w:pPr>
              <w:jc w:val="right"/>
              <w:ind w:right="148"/>
              <w:spacing w:after="0" w:line="157" w:lineRule="exact"/>
              <w:rPr>
                <w:sz w:val="20"/>
                <w:szCs w:val="20"/>
                <w:color w:val="auto"/>
              </w:rPr>
            </w:pPr>
            <w:r>
              <w:rPr>
                <w:rFonts w:ascii="Arial" w:cs="Arial" w:eastAsia="Arial" w:hAnsi="Arial"/>
                <w:sz w:val="14"/>
                <w:szCs w:val="14"/>
                <w:color w:val="auto"/>
              </w:rPr>
              <w:t>756</w:t>
            </w:r>
          </w:p>
        </w:tc>
        <w:tc>
          <w:tcPr>
            <w:tcW w:w="1540" w:type="dxa"/>
            <w:vAlign w:val="bottom"/>
            <w:tcBorders>
              <w:bottom w:val="single" w:sz="8" w:color="C1CECC"/>
            </w:tcBorders>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C1CECC"/>
            </w:tcBorders>
          </w:tcPr>
          <w:p>
            <w:pPr>
              <w:jc w:val="right"/>
              <w:spacing w:after="0" w:line="157" w:lineRule="exact"/>
              <w:rPr>
                <w:sz w:val="20"/>
                <w:szCs w:val="20"/>
                <w:color w:val="auto"/>
              </w:rPr>
            </w:pPr>
            <w:r>
              <w:rPr>
                <w:rFonts w:ascii="Arial" w:cs="Arial" w:eastAsia="Arial" w:hAnsi="Arial"/>
                <w:sz w:val="14"/>
                <w:szCs w:val="14"/>
                <w:color w:val="auto"/>
              </w:rPr>
              <w:t>116,296</w:t>
            </w:r>
          </w:p>
        </w:tc>
      </w:tr>
    </w:tbl>
    <w:p>
      <w:pPr>
        <w:spacing w:after="0" w:line="364" w:lineRule="exact"/>
        <w:rPr>
          <w:sz w:val="20"/>
          <w:szCs w:val="20"/>
          <w:color w:val="auto"/>
        </w:rPr>
      </w:pPr>
    </w:p>
    <w:p>
      <w:pPr>
        <w:ind w:left="520" w:right="20" w:hanging="316"/>
        <w:spacing w:after="0" w:line="231"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Company matching contributions to a non-qualified deferred compensation plan maintained by the Company for the benefit of certain of our executive officers. Under this plan, participants are permitted to defer compensation, with the Company matching contributions up to a 6% cap under the terms of the plan.</w:t>
      </w:r>
    </w:p>
    <w:p>
      <w:pPr>
        <w:spacing w:after="0" w:line="108" w:lineRule="exact"/>
        <w:rPr>
          <w:rFonts w:ascii="Arial" w:cs="Arial" w:eastAsia="Arial" w:hAnsi="Arial"/>
          <w:sz w:val="14"/>
          <w:szCs w:val="14"/>
          <w:color w:val="auto"/>
        </w:rPr>
      </w:pPr>
    </w:p>
    <w:p>
      <w:pPr>
        <w:ind w:left="520" w:hanging="316"/>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perquisites presented in the table below.</w:t>
      </w:r>
    </w:p>
    <w:p>
      <w:pPr>
        <w:spacing w:after="0" w:line="109" w:lineRule="exact"/>
        <w:rPr>
          <w:rFonts w:ascii="Arial" w:cs="Arial" w:eastAsia="Arial" w:hAnsi="Arial"/>
          <w:sz w:val="14"/>
          <w:szCs w:val="14"/>
          <w:color w:val="auto"/>
        </w:rPr>
      </w:pPr>
    </w:p>
    <w:p>
      <w:pPr>
        <w:jc w:val="both"/>
        <w:ind w:left="520" w:right="20" w:hanging="316"/>
        <w:spacing w:after="0" w:line="226"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value of insurance premiums paid by the Company for a broad-based life insurance benefit. For Mr. Wyshner, also includes a cash severance payment in the amount of $4,850,000 as further described under “Employment and Change of Control Agreements; Severance Agreements.” For Messrs. De Shon and Servodidio amounts also include expatriate and relocation benefits in connection with long-term assignments to the United Kingdom as set forth below. For Mr. Smith, amounts include relocation benefits in connection with his assignment to the United States as set forth below:</w:t>
      </w:r>
    </w:p>
    <w:p>
      <w:pPr>
        <w:spacing w:after="0" w:line="97"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1860" w:type="dxa"/>
            <w:vAlign w:val="bottom"/>
            <w:tcBorders>
              <w:bottom w:val="single" w:sz="8" w:color="F4F9F9"/>
            </w:tcBorders>
          </w:tcPr>
          <w:p>
            <w:pPr>
              <w:spacing w:after="0"/>
              <w:rPr>
                <w:sz w:val="15"/>
                <w:szCs w:val="15"/>
                <w:color w:val="auto"/>
              </w:rPr>
            </w:pPr>
          </w:p>
        </w:tc>
        <w:tc>
          <w:tcPr>
            <w:tcW w:w="25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jc w:val="center"/>
              <w:ind w:left="1428"/>
              <w:spacing w:after="0"/>
              <w:rPr>
                <w:sz w:val="20"/>
                <w:szCs w:val="20"/>
                <w:color w:val="auto"/>
              </w:rPr>
            </w:pPr>
            <w:r>
              <w:rPr>
                <w:rFonts w:ascii="Arial" w:cs="Arial" w:eastAsia="Arial" w:hAnsi="Arial"/>
                <w:sz w:val="14"/>
                <w:szCs w:val="14"/>
                <w:b w:val="1"/>
                <w:bCs w:val="1"/>
                <w:color w:val="auto"/>
              </w:rPr>
              <w:t>Mr. De Shon ($)*</w:t>
            </w:r>
          </w:p>
        </w:tc>
        <w:tc>
          <w:tcPr>
            <w:tcW w:w="19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r>
      <w:tr>
        <w:trPr>
          <w:trHeight w:val="156"/>
        </w:trPr>
        <w:tc>
          <w:tcPr>
            <w:tcW w:w="1860" w:type="dxa"/>
            <w:vAlign w:val="bottom"/>
            <w:tcBorders>
              <w:bottom w:val="single" w:sz="8" w:color="C1CECC"/>
            </w:tcBorders>
            <w:shd w:val="clear" w:color="auto" w:fill="F4F9F9"/>
          </w:tcPr>
          <w:p>
            <w:pPr>
              <w:ind w:left="780"/>
              <w:spacing w:after="0" w:line="155" w:lineRule="exact"/>
              <w:rPr>
                <w:sz w:val="20"/>
                <w:szCs w:val="20"/>
                <w:color w:val="auto"/>
              </w:rPr>
            </w:pPr>
            <w:r>
              <w:rPr>
                <w:rFonts w:ascii="Arial" w:cs="Arial" w:eastAsia="Arial" w:hAnsi="Arial"/>
                <w:sz w:val="14"/>
                <w:szCs w:val="14"/>
                <w:b w:val="1"/>
                <w:bCs w:val="1"/>
                <w:color w:val="auto"/>
              </w:rPr>
              <w:t>Year</w:t>
            </w:r>
          </w:p>
        </w:tc>
        <w:tc>
          <w:tcPr>
            <w:tcW w:w="2540" w:type="dxa"/>
            <w:vAlign w:val="bottom"/>
            <w:tcBorders>
              <w:bottom w:val="single" w:sz="8" w:color="C1CECC"/>
            </w:tcBorders>
            <w:shd w:val="clear" w:color="auto" w:fill="F4F9F9"/>
          </w:tcPr>
          <w:p>
            <w:pPr>
              <w:jc w:val="center"/>
              <w:ind w:left="48"/>
              <w:spacing w:after="0" w:line="155" w:lineRule="exact"/>
              <w:rPr>
                <w:sz w:val="20"/>
                <w:szCs w:val="20"/>
                <w:color w:val="auto"/>
              </w:rPr>
            </w:pPr>
            <w:r>
              <w:rPr>
                <w:rFonts w:ascii="Arial" w:cs="Arial" w:eastAsia="Arial" w:hAnsi="Arial"/>
                <w:sz w:val="14"/>
                <w:szCs w:val="14"/>
                <w:b w:val="1"/>
                <w:bCs w:val="1"/>
                <w:color w:val="auto"/>
              </w:rPr>
              <w:t>Housing Allowance</w:t>
            </w:r>
          </w:p>
        </w:tc>
        <w:tc>
          <w:tcPr>
            <w:tcW w:w="2680" w:type="dxa"/>
            <w:vAlign w:val="bottom"/>
            <w:tcBorders>
              <w:bottom w:val="single" w:sz="8" w:color="C1CECC"/>
            </w:tcBorders>
            <w:shd w:val="clear" w:color="auto" w:fill="F4F9F9"/>
          </w:tcPr>
          <w:p>
            <w:pPr>
              <w:jc w:val="center"/>
              <w:ind w:right="308"/>
              <w:spacing w:after="0" w:line="155" w:lineRule="exact"/>
              <w:rPr>
                <w:sz w:val="20"/>
                <w:szCs w:val="20"/>
                <w:color w:val="auto"/>
              </w:rPr>
            </w:pPr>
            <w:r>
              <w:rPr>
                <w:rFonts w:ascii="Arial" w:cs="Arial" w:eastAsia="Arial" w:hAnsi="Arial"/>
                <w:sz w:val="14"/>
                <w:szCs w:val="14"/>
                <w:b w:val="1"/>
                <w:bCs w:val="1"/>
                <w:color w:val="auto"/>
              </w:rPr>
              <w:t>Relocation Benefits</w:t>
            </w:r>
          </w:p>
        </w:tc>
        <w:tc>
          <w:tcPr>
            <w:tcW w:w="1980" w:type="dxa"/>
            <w:vAlign w:val="bottom"/>
            <w:tcBorders>
              <w:bottom w:val="single" w:sz="8" w:color="C1CECC"/>
            </w:tcBorders>
            <w:shd w:val="clear" w:color="auto" w:fill="F4F9F9"/>
          </w:tcPr>
          <w:p>
            <w:pPr>
              <w:ind w:left="20"/>
              <w:spacing w:after="0" w:line="155" w:lineRule="exact"/>
              <w:rPr>
                <w:sz w:val="20"/>
                <w:szCs w:val="20"/>
                <w:color w:val="auto"/>
              </w:rPr>
            </w:pPr>
            <w:r>
              <w:rPr>
                <w:rFonts w:ascii="Arial" w:cs="Arial" w:eastAsia="Arial" w:hAnsi="Arial"/>
                <w:sz w:val="14"/>
                <w:szCs w:val="14"/>
                <w:b w:val="1"/>
                <w:bCs w:val="1"/>
                <w:color w:val="auto"/>
              </w:rPr>
              <w:t>Other Allowances**</w:t>
            </w:r>
          </w:p>
        </w:tc>
        <w:tc>
          <w:tcPr>
            <w:tcW w:w="1960" w:type="dxa"/>
            <w:vAlign w:val="bottom"/>
            <w:tcBorders>
              <w:bottom w:val="single" w:sz="8" w:color="C1CECC"/>
            </w:tcBorders>
            <w:shd w:val="clear" w:color="auto" w:fill="F4F9F9"/>
          </w:tcPr>
          <w:p>
            <w:pPr>
              <w:ind w:left="74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1860" w:type="dxa"/>
            <w:vAlign w:val="bottom"/>
            <w:tcBorders>
              <w:bottom w:val="single" w:sz="8" w:color="C1CECC"/>
            </w:tcBorders>
          </w:tcPr>
          <w:p>
            <w:pPr>
              <w:ind w:left="760"/>
              <w:spacing w:after="0" w:line="155" w:lineRule="exact"/>
              <w:rPr>
                <w:sz w:val="20"/>
                <w:szCs w:val="20"/>
                <w:color w:val="auto"/>
              </w:rPr>
            </w:pPr>
            <w:r>
              <w:rPr>
                <w:rFonts w:ascii="Arial" w:cs="Arial" w:eastAsia="Arial" w:hAnsi="Arial"/>
                <w:sz w:val="14"/>
                <w:szCs w:val="14"/>
                <w:color w:val="auto"/>
              </w:rPr>
              <w:t>2016</w:t>
            </w:r>
          </w:p>
        </w:tc>
        <w:tc>
          <w:tcPr>
            <w:tcW w:w="2540" w:type="dxa"/>
            <w:vAlign w:val="bottom"/>
            <w:tcBorders>
              <w:bottom w:val="single" w:sz="8" w:color="C1CECC"/>
            </w:tcBorders>
          </w:tcPr>
          <w:p>
            <w:pPr>
              <w:jc w:val="center"/>
              <w:ind w:left="48"/>
              <w:spacing w:after="0" w:line="155" w:lineRule="exact"/>
              <w:rPr>
                <w:sz w:val="20"/>
                <w:szCs w:val="20"/>
                <w:color w:val="auto"/>
              </w:rPr>
            </w:pPr>
            <w:r>
              <w:rPr>
                <w:rFonts w:ascii="Arial" w:cs="Arial" w:eastAsia="Arial" w:hAnsi="Arial"/>
                <w:sz w:val="14"/>
                <w:szCs w:val="14"/>
                <w:color w:val="auto"/>
                <w:w w:val="99"/>
              </w:rPr>
              <w:t>—</w:t>
            </w:r>
          </w:p>
        </w:tc>
        <w:tc>
          <w:tcPr>
            <w:tcW w:w="2680" w:type="dxa"/>
            <w:vAlign w:val="bottom"/>
            <w:tcBorders>
              <w:bottom w:val="single" w:sz="8" w:color="C1CECC"/>
            </w:tcBorders>
          </w:tcPr>
          <w:p>
            <w:pPr>
              <w:jc w:val="center"/>
              <w:ind w:right="308"/>
              <w:spacing w:after="0" w:line="155" w:lineRule="exact"/>
              <w:rPr>
                <w:sz w:val="20"/>
                <w:szCs w:val="20"/>
                <w:color w:val="auto"/>
              </w:rPr>
            </w:pPr>
            <w:r>
              <w:rPr>
                <w:rFonts w:ascii="Arial" w:cs="Arial" w:eastAsia="Arial" w:hAnsi="Arial"/>
                <w:sz w:val="14"/>
                <w:szCs w:val="14"/>
                <w:color w:val="auto"/>
                <w:w w:val="99"/>
              </w:rPr>
              <w:t>—</w:t>
            </w:r>
          </w:p>
        </w:tc>
        <w:tc>
          <w:tcPr>
            <w:tcW w:w="1980" w:type="dxa"/>
            <w:vAlign w:val="bottom"/>
            <w:tcBorders>
              <w:bottom w:val="single" w:sz="8" w:color="C1CECC"/>
            </w:tcBorders>
          </w:tcPr>
          <w:p>
            <w:pPr>
              <w:jc w:val="center"/>
              <w:ind w:right="548"/>
              <w:spacing w:after="0" w:line="155" w:lineRule="exact"/>
              <w:rPr>
                <w:sz w:val="20"/>
                <w:szCs w:val="20"/>
                <w:color w:val="auto"/>
              </w:rPr>
            </w:pPr>
            <w:r>
              <w:rPr>
                <w:rFonts w:ascii="Arial" w:cs="Arial" w:eastAsia="Arial" w:hAnsi="Arial"/>
                <w:sz w:val="14"/>
                <w:szCs w:val="14"/>
                <w:color w:val="auto"/>
              </w:rPr>
              <w:t>16,069</w:t>
            </w:r>
          </w:p>
        </w:tc>
        <w:tc>
          <w:tcPr>
            <w:tcW w:w="1960" w:type="dxa"/>
            <w:vAlign w:val="bottom"/>
            <w:tcBorders>
              <w:bottom w:val="single" w:sz="8" w:color="C1CECC"/>
            </w:tcBorders>
          </w:tcPr>
          <w:p>
            <w:pPr>
              <w:jc w:val="center"/>
              <w:ind w:right="88"/>
              <w:spacing w:after="0" w:line="155" w:lineRule="exact"/>
              <w:rPr>
                <w:sz w:val="20"/>
                <w:szCs w:val="20"/>
                <w:color w:val="auto"/>
              </w:rPr>
            </w:pPr>
            <w:r>
              <w:rPr>
                <w:rFonts w:ascii="Arial" w:cs="Arial" w:eastAsia="Arial" w:hAnsi="Arial"/>
                <w:sz w:val="14"/>
                <w:szCs w:val="14"/>
                <w:color w:val="auto"/>
              </w:rPr>
              <w:t>16,069</w:t>
            </w:r>
          </w:p>
        </w:tc>
      </w:tr>
      <w:tr>
        <w:trPr>
          <w:trHeight w:val="156"/>
        </w:trPr>
        <w:tc>
          <w:tcPr>
            <w:tcW w:w="1860" w:type="dxa"/>
            <w:vAlign w:val="bottom"/>
            <w:tcBorders>
              <w:bottom w:val="single" w:sz="8" w:color="C1CECC"/>
            </w:tcBorders>
            <w:shd w:val="clear" w:color="auto" w:fill="F4F9F9"/>
          </w:tcPr>
          <w:p>
            <w:pPr>
              <w:ind w:left="760"/>
              <w:spacing w:after="0" w:line="155" w:lineRule="exact"/>
              <w:rPr>
                <w:sz w:val="20"/>
                <w:szCs w:val="20"/>
                <w:color w:val="auto"/>
              </w:rPr>
            </w:pPr>
            <w:r>
              <w:rPr>
                <w:rFonts w:ascii="Arial" w:cs="Arial" w:eastAsia="Arial" w:hAnsi="Arial"/>
                <w:sz w:val="14"/>
                <w:szCs w:val="14"/>
                <w:color w:val="auto"/>
              </w:rPr>
              <w:t>2015</w:t>
            </w:r>
          </w:p>
        </w:tc>
        <w:tc>
          <w:tcPr>
            <w:tcW w:w="2540" w:type="dxa"/>
            <w:vAlign w:val="bottom"/>
            <w:tcBorders>
              <w:bottom w:val="single" w:sz="8" w:color="C1CECC"/>
            </w:tcBorders>
            <w:shd w:val="clear" w:color="auto" w:fill="F4F9F9"/>
          </w:tcPr>
          <w:p>
            <w:pPr>
              <w:jc w:val="center"/>
              <w:ind w:left="68"/>
              <w:spacing w:after="0" w:line="155" w:lineRule="exact"/>
              <w:rPr>
                <w:sz w:val="20"/>
                <w:szCs w:val="20"/>
                <w:color w:val="auto"/>
              </w:rPr>
            </w:pPr>
            <w:r>
              <w:rPr>
                <w:rFonts w:ascii="Arial" w:cs="Arial" w:eastAsia="Arial" w:hAnsi="Arial"/>
                <w:sz w:val="14"/>
                <w:szCs w:val="14"/>
                <w:color w:val="auto"/>
              </w:rPr>
              <w:t>208,709</w:t>
            </w:r>
          </w:p>
        </w:tc>
        <w:tc>
          <w:tcPr>
            <w:tcW w:w="2680" w:type="dxa"/>
            <w:vAlign w:val="bottom"/>
            <w:tcBorders>
              <w:bottom w:val="single" w:sz="8" w:color="C1CECC"/>
            </w:tcBorders>
            <w:shd w:val="clear" w:color="auto" w:fill="F4F9F9"/>
          </w:tcPr>
          <w:p>
            <w:pPr>
              <w:jc w:val="center"/>
              <w:ind w:right="288"/>
              <w:spacing w:after="0" w:line="155" w:lineRule="exact"/>
              <w:rPr>
                <w:sz w:val="20"/>
                <w:szCs w:val="20"/>
                <w:color w:val="auto"/>
              </w:rPr>
            </w:pPr>
            <w:r>
              <w:rPr>
                <w:rFonts w:ascii="Arial" w:cs="Arial" w:eastAsia="Arial" w:hAnsi="Arial"/>
                <w:sz w:val="14"/>
                <w:szCs w:val="14"/>
                <w:color w:val="auto"/>
              </w:rPr>
              <w:t>12,866</w:t>
            </w:r>
          </w:p>
        </w:tc>
        <w:tc>
          <w:tcPr>
            <w:tcW w:w="1980" w:type="dxa"/>
            <w:vAlign w:val="bottom"/>
            <w:tcBorders>
              <w:bottom w:val="single" w:sz="8" w:color="C1CECC"/>
            </w:tcBorders>
            <w:shd w:val="clear" w:color="auto" w:fill="F4F9F9"/>
          </w:tcPr>
          <w:p>
            <w:pPr>
              <w:jc w:val="center"/>
              <w:ind w:right="548"/>
              <w:spacing w:after="0" w:line="155" w:lineRule="exact"/>
              <w:rPr>
                <w:sz w:val="20"/>
                <w:szCs w:val="20"/>
                <w:color w:val="auto"/>
              </w:rPr>
            </w:pPr>
            <w:r>
              <w:rPr>
                <w:rFonts w:ascii="Arial" w:cs="Arial" w:eastAsia="Arial" w:hAnsi="Arial"/>
                <w:sz w:val="14"/>
                <w:szCs w:val="14"/>
                <w:color w:val="auto"/>
              </w:rPr>
              <w:t>56,359</w:t>
            </w:r>
          </w:p>
        </w:tc>
        <w:tc>
          <w:tcPr>
            <w:tcW w:w="1960" w:type="dxa"/>
            <w:vAlign w:val="bottom"/>
            <w:tcBorders>
              <w:bottom w:val="single" w:sz="8" w:color="C1CECC"/>
            </w:tcBorders>
            <w:shd w:val="clear" w:color="auto" w:fill="F4F9F9"/>
          </w:tcPr>
          <w:p>
            <w:pPr>
              <w:jc w:val="center"/>
              <w:ind w:right="88"/>
              <w:spacing w:after="0" w:line="155" w:lineRule="exact"/>
              <w:rPr>
                <w:sz w:val="20"/>
                <w:szCs w:val="20"/>
                <w:color w:val="auto"/>
              </w:rPr>
            </w:pPr>
            <w:r>
              <w:rPr>
                <w:rFonts w:ascii="Arial" w:cs="Arial" w:eastAsia="Arial" w:hAnsi="Arial"/>
                <w:sz w:val="14"/>
                <w:szCs w:val="14"/>
                <w:color w:val="auto"/>
              </w:rPr>
              <w:t>277,934</w:t>
            </w:r>
          </w:p>
        </w:tc>
      </w:tr>
      <w:tr>
        <w:trPr>
          <w:trHeight w:val="156"/>
        </w:trPr>
        <w:tc>
          <w:tcPr>
            <w:tcW w:w="1860" w:type="dxa"/>
            <w:vAlign w:val="bottom"/>
            <w:tcBorders>
              <w:bottom w:val="single" w:sz="8" w:color="F4F9F9"/>
            </w:tcBorders>
          </w:tcPr>
          <w:p>
            <w:pPr>
              <w:spacing w:after="0"/>
              <w:rPr>
                <w:sz w:val="13"/>
                <w:szCs w:val="13"/>
                <w:color w:val="auto"/>
              </w:rPr>
            </w:pPr>
          </w:p>
        </w:tc>
        <w:tc>
          <w:tcPr>
            <w:tcW w:w="25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tcPr>
          <w:p>
            <w:pPr>
              <w:jc w:val="center"/>
              <w:ind w:left="1448"/>
              <w:spacing w:after="0" w:line="155" w:lineRule="exact"/>
              <w:rPr>
                <w:sz w:val="20"/>
                <w:szCs w:val="20"/>
                <w:color w:val="auto"/>
              </w:rPr>
            </w:pPr>
            <w:r>
              <w:rPr>
                <w:rFonts w:ascii="Arial" w:cs="Arial" w:eastAsia="Arial" w:hAnsi="Arial"/>
                <w:sz w:val="14"/>
                <w:szCs w:val="14"/>
                <w:b w:val="1"/>
                <w:bCs w:val="1"/>
                <w:color w:val="auto"/>
              </w:rPr>
              <w:t>Mr. Smith ($)*</w:t>
            </w:r>
          </w:p>
        </w:tc>
        <w:tc>
          <w:tcPr>
            <w:tcW w:w="19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r>
      <w:tr>
        <w:trPr>
          <w:trHeight w:val="156"/>
        </w:trPr>
        <w:tc>
          <w:tcPr>
            <w:tcW w:w="1860" w:type="dxa"/>
            <w:vAlign w:val="bottom"/>
            <w:tcBorders>
              <w:bottom w:val="single" w:sz="8" w:color="C1CECC"/>
            </w:tcBorders>
            <w:shd w:val="clear" w:color="auto" w:fill="F4F9F9"/>
          </w:tcPr>
          <w:p>
            <w:pPr>
              <w:ind w:left="780"/>
              <w:spacing w:after="0" w:line="155" w:lineRule="exact"/>
              <w:rPr>
                <w:sz w:val="20"/>
                <w:szCs w:val="20"/>
                <w:color w:val="auto"/>
              </w:rPr>
            </w:pPr>
            <w:r>
              <w:rPr>
                <w:rFonts w:ascii="Arial" w:cs="Arial" w:eastAsia="Arial" w:hAnsi="Arial"/>
                <w:sz w:val="14"/>
                <w:szCs w:val="14"/>
                <w:b w:val="1"/>
                <w:bCs w:val="1"/>
                <w:color w:val="auto"/>
              </w:rPr>
              <w:t>Year</w:t>
            </w:r>
          </w:p>
        </w:tc>
        <w:tc>
          <w:tcPr>
            <w:tcW w:w="2540" w:type="dxa"/>
            <w:vAlign w:val="bottom"/>
            <w:tcBorders>
              <w:bottom w:val="single" w:sz="8" w:color="C1CECC"/>
            </w:tcBorders>
            <w:shd w:val="clear" w:color="auto" w:fill="F4F9F9"/>
          </w:tcPr>
          <w:p>
            <w:pPr>
              <w:jc w:val="center"/>
              <w:ind w:left="48"/>
              <w:spacing w:after="0" w:line="155" w:lineRule="exact"/>
              <w:rPr>
                <w:sz w:val="20"/>
                <w:szCs w:val="20"/>
                <w:color w:val="auto"/>
              </w:rPr>
            </w:pPr>
            <w:r>
              <w:rPr>
                <w:rFonts w:ascii="Arial" w:cs="Arial" w:eastAsia="Arial" w:hAnsi="Arial"/>
                <w:sz w:val="14"/>
                <w:szCs w:val="14"/>
                <w:b w:val="1"/>
                <w:bCs w:val="1"/>
                <w:color w:val="auto"/>
              </w:rPr>
              <w:t>Company Paid Housing</w:t>
            </w:r>
          </w:p>
        </w:tc>
        <w:tc>
          <w:tcPr>
            <w:tcW w:w="2680" w:type="dxa"/>
            <w:vAlign w:val="bottom"/>
            <w:tcBorders>
              <w:bottom w:val="single" w:sz="8" w:color="C1CECC"/>
            </w:tcBorders>
            <w:shd w:val="clear" w:color="auto" w:fill="F4F9F9"/>
          </w:tcPr>
          <w:p>
            <w:pPr>
              <w:jc w:val="center"/>
              <w:ind w:right="288"/>
              <w:spacing w:after="0" w:line="155" w:lineRule="exact"/>
              <w:rPr>
                <w:sz w:val="20"/>
                <w:szCs w:val="20"/>
                <w:color w:val="auto"/>
              </w:rPr>
            </w:pPr>
            <w:r>
              <w:rPr>
                <w:rFonts w:ascii="Arial" w:cs="Arial" w:eastAsia="Arial" w:hAnsi="Arial"/>
                <w:sz w:val="14"/>
                <w:szCs w:val="14"/>
                <w:b w:val="1"/>
                <w:bCs w:val="1"/>
                <w:color w:val="auto"/>
              </w:rPr>
              <w:t>Relocation Benefits***</w:t>
            </w:r>
          </w:p>
        </w:tc>
        <w:tc>
          <w:tcPr>
            <w:tcW w:w="1980" w:type="dxa"/>
            <w:vAlign w:val="bottom"/>
            <w:tcBorders>
              <w:bottom w:val="single" w:sz="8" w:color="C1CECC"/>
            </w:tcBorders>
            <w:shd w:val="clear" w:color="auto" w:fill="F4F9F9"/>
          </w:tcPr>
          <w:p>
            <w:pPr>
              <w:ind w:left="20"/>
              <w:spacing w:after="0" w:line="155" w:lineRule="exact"/>
              <w:rPr>
                <w:sz w:val="20"/>
                <w:szCs w:val="20"/>
                <w:color w:val="auto"/>
              </w:rPr>
            </w:pPr>
            <w:r>
              <w:rPr>
                <w:rFonts w:ascii="Arial" w:cs="Arial" w:eastAsia="Arial" w:hAnsi="Arial"/>
                <w:sz w:val="14"/>
                <w:szCs w:val="14"/>
                <w:b w:val="1"/>
                <w:bCs w:val="1"/>
                <w:color w:val="auto"/>
              </w:rPr>
              <w:t>Other Allowances**</w:t>
            </w:r>
          </w:p>
        </w:tc>
        <w:tc>
          <w:tcPr>
            <w:tcW w:w="1960" w:type="dxa"/>
            <w:vAlign w:val="bottom"/>
            <w:tcBorders>
              <w:bottom w:val="single" w:sz="8" w:color="C1CECC"/>
            </w:tcBorders>
            <w:shd w:val="clear" w:color="auto" w:fill="F4F9F9"/>
          </w:tcPr>
          <w:p>
            <w:pPr>
              <w:ind w:left="74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1860" w:type="dxa"/>
            <w:vAlign w:val="bottom"/>
            <w:tcBorders>
              <w:bottom w:val="single" w:sz="8" w:color="C1CECC"/>
            </w:tcBorders>
          </w:tcPr>
          <w:p>
            <w:pPr>
              <w:ind w:left="760"/>
              <w:spacing w:after="0" w:line="155" w:lineRule="exact"/>
              <w:rPr>
                <w:sz w:val="20"/>
                <w:szCs w:val="20"/>
                <w:color w:val="auto"/>
              </w:rPr>
            </w:pPr>
            <w:r>
              <w:rPr>
                <w:rFonts w:ascii="Arial" w:cs="Arial" w:eastAsia="Arial" w:hAnsi="Arial"/>
                <w:sz w:val="14"/>
                <w:szCs w:val="14"/>
                <w:color w:val="auto"/>
              </w:rPr>
              <w:t>2017</w:t>
            </w:r>
          </w:p>
        </w:tc>
        <w:tc>
          <w:tcPr>
            <w:tcW w:w="2540" w:type="dxa"/>
            <w:vAlign w:val="bottom"/>
            <w:tcBorders>
              <w:bottom w:val="single" w:sz="8" w:color="C1CECC"/>
            </w:tcBorders>
          </w:tcPr>
          <w:p>
            <w:pPr>
              <w:jc w:val="center"/>
              <w:ind w:left="68"/>
              <w:spacing w:after="0" w:line="155" w:lineRule="exact"/>
              <w:rPr>
                <w:sz w:val="20"/>
                <w:szCs w:val="20"/>
                <w:color w:val="auto"/>
              </w:rPr>
            </w:pPr>
            <w:r>
              <w:rPr>
                <w:rFonts w:ascii="Arial" w:cs="Arial" w:eastAsia="Arial" w:hAnsi="Arial"/>
                <w:sz w:val="14"/>
                <w:szCs w:val="14"/>
                <w:color w:val="auto"/>
              </w:rPr>
              <w:t>37,212</w:t>
            </w:r>
          </w:p>
        </w:tc>
        <w:tc>
          <w:tcPr>
            <w:tcW w:w="2680" w:type="dxa"/>
            <w:vAlign w:val="bottom"/>
            <w:tcBorders>
              <w:bottom w:val="single" w:sz="8" w:color="C1CECC"/>
            </w:tcBorders>
          </w:tcPr>
          <w:p>
            <w:pPr>
              <w:jc w:val="center"/>
              <w:ind w:right="288"/>
              <w:spacing w:after="0" w:line="155" w:lineRule="exact"/>
              <w:rPr>
                <w:sz w:val="20"/>
                <w:szCs w:val="20"/>
                <w:color w:val="auto"/>
              </w:rPr>
            </w:pPr>
            <w:r>
              <w:rPr>
                <w:rFonts w:ascii="Arial" w:cs="Arial" w:eastAsia="Arial" w:hAnsi="Arial"/>
                <w:sz w:val="14"/>
                <w:szCs w:val="14"/>
                <w:color w:val="auto"/>
              </w:rPr>
              <w:t>3,225</w:t>
            </w:r>
          </w:p>
        </w:tc>
        <w:tc>
          <w:tcPr>
            <w:tcW w:w="1980" w:type="dxa"/>
            <w:vAlign w:val="bottom"/>
            <w:tcBorders>
              <w:bottom w:val="single" w:sz="8" w:color="C1CECC"/>
            </w:tcBorders>
          </w:tcPr>
          <w:p>
            <w:pPr>
              <w:jc w:val="center"/>
              <w:ind w:right="548"/>
              <w:spacing w:after="0" w:line="155" w:lineRule="exact"/>
              <w:rPr>
                <w:sz w:val="20"/>
                <w:szCs w:val="20"/>
                <w:color w:val="auto"/>
              </w:rPr>
            </w:pPr>
            <w:r>
              <w:rPr>
                <w:rFonts w:ascii="Arial" w:cs="Arial" w:eastAsia="Arial" w:hAnsi="Arial"/>
                <w:sz w:val="14"/>
                <w:szCs w:val="14"/>
                <w:color w:val="auto"/>
              </w:rPr>
              <w:t>34,014</w:t>
            </w:r>
          </w:p>
        </w:tc>
        <w:tc>
          <w:tcPr>
            <w:tcW w:w="1960" w:type="dxa"/>
            <w:vAlign w:val="bottom"/>
            <w:tcBorders>
              <w:bottom w:val="single" w:sz="8" w:color="C1CECC"/>
            </w:tcBorders>
          </w:tcPr>
          <w:p>
            <w:pPr>
              <w:jc w:val="center"/>
              <w:ind w:right="88"/>
              <w:spacing w:after="0" w:line="155" w:lineRule="exact"/>
              <w:rPr>
                <w:sz w:val="20"/>
                <w:szCs w:val="20"/>
                <w:color w:val="auto"/>
              </w:rPr>
            </w:pPr>
            <w:r>
              <w:rPr>
                <w:rFonts w:ascii="Arial" w:cs="Arial" w:eastAsia="Arial" w:hAnsi="Arial"/>
                <w:sz w:val="14"/>
                <w:szCs w:val="14"/>
                <w:color w:val="auto"/>
              </w:rPr>
              <w:t>74,451</w:t>
            </w:r>
          </w:p>
        </w:tc>
      </w:tr>
      <w:tr>
        <w:trPr>
          <w:trHeight w:val="156"/>
        </w:trPr>
        <w:tc>
          <w:tcPr>
            <w:tcW w:w="1860" w:type="dxa"/>
            <w:vAlign w:val="bottom"/>
            <w:tcBorders>
              <w:bottom w:val="single" w:sz="8" w:color="F4F9F9"/>
            </w:tcBorders>
          </w:tcPr>
          <w:p>
            <w:pPr>
              <w:spacing w:after="0"/>
              <w:rPr>
                <w:sz w:val="13"/>
                <w:szCs w:val="13"/>
                <w:color w:val="auto"/>
              </w:rPr>
            </w:pPr>
          </w:p>
        </w:tc>
        <w:tc>
          <w:tcPr>
            <w:tcW w:w="25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tcPr>
          <w:p>
            <w:pPr>
              <w:jc w:val="center"/>
              <w:ind w:left="1428"/>
              <w:spacing w:after="0" w:line="155" w:lineRule="exact"/>
              <w:rPr>
                <w:sz w:val="20"/>
                <w:szCs w:val="20"/>
                <w:color w:val="auto"/>
              </w:rPr>
            </w:pPr>
            <w:r>
              <w:rPr>
                <w:rFonts w:ascii="Arial" w:cs="Arial" w:eastAsia="Arial" w:hAnsi="Arial"/>
                <w:sz w:val="14"/>
                <w:szCs w:val="14"/>
                <w:b w:val="1"/>
                <w:bCs w:val="1"/>
                <w:color w:val="auto"/>
                <w:w w:val="95"/>
              </w:rPr>
              <w:t>Mr. Servodidio ($)*</w:t>
            </w:r>
          </w:p>
        </w:tc>
        <w:tc>
          <w:tcPr>
            <w:tcW w:w="19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r>
      <w:tr>
        <w:trPr>
          <w:trHeight w:val="156"/>
        </w:trPr>
        <w:tc>
          <w:tcPr>
            <w:tcW w:w="1860" w:type="dxa"/>
            <w:vAlign w:val="bottom"/>
            <w:tcBorders>
              <w:bottom w:val="single" w:sz="8" w:color="C1CECC"/>
            </w:tcBorders>
            <w:shd w:val="clear" w:color="auto" w:fill="F4F9F9"/>
          </w:tcPr>
          <w:p>
            <w:pPr>
              <w:ind w:left="780"/>
              <w:spacing w:after="0" w:line="155" w:lineRule="exact"/>
              <w:rPr>
                <w:sz w:val="20"/>
                <w:szCs w:val="20"/>
                <w:color w:val="auto"/>
              </w:rPr>
            </w:pPr>
            <w:r>
              <w:rPr>
                <w:rFonts w:ascii="Arial" w:cs="Arial" w:eastAsia="Arial" w:hAnsi="Arial"/>
                <w:sz w:val="14"/>
                <w:szCs w:val="14"/>
                <w:b w:val="1"/>
                <w:bCs w:val="1"/>
                <w:color w:val="auto"/>
              </w:rPr>
              <w:t>Year</w:t>
            </w:r>
          </w:p>
        </w:tc>
        <w:tc>
          <w:tcPr>
            <w:tcW w:w="2540" w:type="dxa"/>
            <w:vAlign w:val="bottom"/>
            <w:tcBorders>
              <w:bottom w:val="single" w:sz="8" w:color="C1CECC"/>
            </w:tcBorders>
            <w:shd w:val="clear" w:color="auto" w:fill="F4F9F9"/>
          </w:tcPr>
          <w:p>
            <w:pPr>
              <w:jc w:val="center"/>
              <w:ind w:left="48"/>
              <w:spacing w:after="0" w:line="155" w:lineRule="exact"/>
              <w:rPr>
                <w:sz w:val="20"/>
                <w:szCs w:val="20"/>
                <w:color w:val="auto"/>
              </w:rPr>
            </w:pPr>
            <w:r>
              <w:rPr>
                <w:rFonts w:ascii="Arial" w:cs="Arial" w:eastAsia="Arial" w:hAnsi="Arial"/>
                <w:sz w:val="14"/>
                <w:szCs w:val="14"/>
                <w:b w:val="1"/>
                <w:bCs w:val="1"/>
                <w:color w:val="auto"/>
              </w:rPr>
              <w:t>Housing Allowance</w:t>
            </w:r>
          </w:p>
        </w:tc>
        <w:tc>
          <w:tcPr>
            <w:tcW w:w="2680" w:type="dxa"/>
            <w:vAlign w:val="bottom"/>
            <w:tcBorders>
              <w:bottom w:val="single" w:sz="8" w:color="C1CECC"/>
            </w:tcBorders>
            <w:shd w:val="clear" w:color="auto" w:fill="F4F9F9"/>
          </w:tcPr>
          <w:p>
            <w:pPr>
              <w:jc w:val="center"/>
              <w:ind w:right="308"/>
              <w:spacing w:after="0" w:line="155" w:lineRule="exact"/>
              <w:rPr>
                <w:sz w:val="20"/>
                <w:szCs w:val="20"/>
                <w:color w:val="auto"/>
              </w:rPr>
            </w:pPr>
            <w:r>
              <w:rPr>
                <w:rFonts w:ascii="Arial" w:cs="Arial" w:eastAsia="Arial" w:hAnsi="Arial"/>
                <w:sz w:val="14"/>
                <w:szCs w:val="14"/>
                <w:b w:val="1"/>
                <w:bCs w:val="1"/>
                <w:color w:val="auto"/>
              </w:rPr>
              <w:t>Relocation Benefits</w:t>
            </w:r>
          </w:p>
        </w:tc>
        <w:tc>
          <w:tcPr>
            <w:tcW w:w="1980" w:type="dxa"/>
            <w:vAlign w:val="bottom"/>
            <w:tcBorders>
              <w:bottom w:val="single" w:sz="8" w:color="C1CECC"/>
            </w:tcBorders>
            <w:shd w:val="clear" w:color="auto" w:fill="F4F9F9"/>
          </w:tcPr>
          <w:p>
            <w:pPr>
              <w:ind w:left="20"/>
              <w:spacing w:after="0" w:line="155" w:lineRule="exact"/>
              <w:rPr>
                <w:sz w:val="20"/>
                <w:szCs w:val="20"/>
                <w:color w:val="auto"/>
              </w:rPr>
            </w:pPr>
            <w:r>
              <w:rPr>
                <w:rFonts w:ascii="Arial" w:cs="Arial" w:eastAsia="Arial" w:hAnsi="Arial"/>
                <w:sz w:val="14"/>
                <w:szCs w:val="14"/>
                <w:b w:val="1"/>
                <w:bCs w:val="1"/>
                <w:color w:val="auto"/>
              </w:rPr>
              <w:t>Other Allowances**</w:t>
            </w:r>
          </w:p>
        </w:tc>
        <w:tc>
          <w:tcPr>
            <w:tcW w:w="1960" w:type="dxa"/>
            <w:vAlign w:val="bottom"/>
            <w:tcBorders>
              <w:bottom w:val="single" w:sz="8" w:color="C1CECC"/>
            </w:tcBorders>
            <w:shd w:val="clear" w:color="auto" w:fill="F4F9F9"/>
          </w:tcPr>
          <w:p>
            <w:pPr>
              <w:ind w:left="74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1860" w:type="dxa"/>
            <w:vAlign w:val="bottom"/>
            <w:tcBorders>
              <w:bottom w:val="single" w:sz="8" w:color="C1CECC"/>
            </w:tcBorders>
          </w:tcPr>
          <w:p>
            <w:pPr>
              <w:ind w:left="760"/>
              <w:spacing w:after="0" w:line="155" w:lineRule="exact"/>
              <w:rPr>
                <w:sz w:val="20"/>
                <w:szCs w:val="20"/>
                <w:color w:val="auto"/>
              </w:rPr>
            </w:pPr>
            <w:r>
              <w:rPr>
                <w:rFonts w:ascii="Arial" w:cs="Arial" w:eastAsia="Arial" w:hAnsi="Arial"/>
                <w:sz w:val="14"/>
                <w:szCs w:val="14"/>
                <w:color w:val="auto"/>
              </w:rPr>
              <w:t>2017</w:t>
            </w:r>
          </w:p>
        </w:tc>
        <w:tc>
          <w:tcPr>
            <w:tcW w:w="2540" w:type="dxa"/>
            <w:vAlign w:val="bottom"/>
            <w:tcBorders>
              <w:bottom w:val="single" w:sz="8" w:color="C1CECC"/>
            </w:tcBorders>
          </w:tcPr>
          <w:p>
            <w:pPr>
              <w:jc w:val="center"/>
              <w:ind w:left="68"/>
              <w:spacing w:after="0" w:line="155" w:lineRule="exact"/>
              <w:rPr>
                <w:sz w:val="20"/>
                <w:szCs w:val="20"/>
                <w:color w:val="auto"/>
              </w:rPr>
            </w:pPr>
            <w:r>
              <w:rPr>
                <w:rFonts w:ascii="Arial" w:cs="Arial" w:eastAsia="Arial" w:hAnsi="Arial"/>
                <w:sz w:val="14"/>
                <w:szCs w:val="14"/>
                <w:color w:val="auto"/>
              </w:rPr>
              <w:t>166,588</w:t>
            </w:r>
          </w:p>
        </w:tc>
        <w:tc>
          <w:tcPr>
            <w:tcW w:w="2680" w:type="dxa"/>
            <w:vAlign w:val="bottom"/>
            <w:tcBorders>
              <w:bottom w:val="single" w:sz="8" w:color="C1CECC"/>
            </w:tcBorders>
          </w:tcPr>
          <w:p>
            <w:pPr>
              <w:jc w:val="center"/>
              <w:ind w:right="308"/>
              <w:spacing w:after="0" w:line="155" w:lineRule="exact"/>
              <w:rPr>
                <w:sz w:val="20"/>
                <w:szCs w:val="20"/>
                <w:color w:val="auto"/>
              </w:rPr>
            </w:pPr>
            <w:r>
              <w:rPr>
                <w:rFonts w:ascii="Arial" w:cs="Arial" w:eastAsia="Arial" w:hAnsi="Arial"/>
                <w:sz w:val="14"/>
                <w:szCs w:val="14"/>
                <w:color w:val="auto"/>
                <w:w w:val="99"/>
              </w:rPr>
              <w:t>—</w:t>
            </w:r>
          </w:p>
        </w:tc>
        <w:tc>
          <w:tcPr>
            <w:tcW w:w="1980" w:type="dxa"/>
            <w:vAlign w:val="bottom"/>
            <w:tcBorders>
              <w:bottom w:val="single" w:sz="8" w:color="C1CECC"/>
            </w:tcBorders>
          </w:tcPr>
          <w:p>
            <w:pPr>
              <w:jc w:val="center"/>
              <w:ind w:right="548"/>
              <w:spacing w:after="0" w:line="155" w:lineRule="exact"/>
              <w:rPr>
                <w:sz w:val="20"/>
                <w:szCs w:val="20"/>
                <w:color w:val="auto"/>
              </w:rPr>
            </w:pPr>
            <w:r>
              <w:rPr>
                <w:rFonts w:ascii="Arial" w:cs="Arial" w:eastAsia="Arial" w:hAnsi="Arial"/>
                <w:sz w:val="14"/>
                <w:szCs w:val="14"/>
                <w:color w:val="auto"/>
              </w:rPr>
              <w:t>106,504</w:t>
            </w:r>
          </w:p>
        </w:tc>
        <w:tc>
          <w:tcPr>
            <w:tcW w:w="1960" w:type="dxa"/>
            <w:vAlign w:val="bottom"/>
            <w:tcBorders>
              <w:bottom w:val="single" w:sz="8" w:color="C1CECC"/>
            </w:tcBorders>
          </w:tcPr>
          <w:p>
            <w:pPr>
              <w:jc w:val="center"/>
              <w:ind w:right="88"/>
              <w:spacing w:after="0" w:line="155" w:lineRule="exact"/>
              <w:rPr>
                <w:sz w:val="20"/>
                <w:szCs w:val="20"/>
                <w:color w:val="auto"/>
              </w:rPr>
            </w:pPr>
            <w:r>
              <w:rPr>
                <w:rFonts w:ascii="Arial" w:cs="Arial" w:eastAsia="Arial" w:hAnsi="Arial"/>
                <w:sz w:val="14"/>
                <w:szCs w:val="14"/>
                <w:color w:val="auto"/>
              </w:rPr>
              <w:t>273,092</w:t>
            </w:r>
          </w:p>
        </w:tc>
      </w:tr>
      <w:tr>
        <w:trPr>
          <w:trHeight w:val="156"/>
        </w:trPr>
        <w:tc>
          <w:tcPr>
            <w:tcW w:w="1860" w:type="dxa"/>
            <w:vAlign w:val="bottom"/>
            <w:tcBorders>
              <w:bottom w:val="single" w:sz="8" w:color="C1CECC"/>
            </w:tcBorders>
            <w:shd w:val="clear" w:color="auto" w:fill="F4F9F9"/>
          </w:tcPr>
          <w:p>
            <w:pPr>
              <w:ind w:left="760"/>
              <w:spacing w:after="0" w:line="155" w:lineRule="exact"/>
              <w:rPr>
                <w:sz w:val="20"/>
                <w:szCs w:val="20"/>
                <w:color w:val="auto"/>
              </w:rPr>
            </w:pPr>
            <w:r>
              <w:rPr>
                <w:rFonts w:ascii="Arial" w:cs="Arial" w:eastAsia="Arial" w:hAnsi="Arial"/>
                <w:sz w:val="14"/>
                <w:szCs w:val="14"/>
                <w:color w:val="auto"/>
              </w:rPr>
              <w:t>2016</w:t>
            </w:r>
          </w:p>
        </w:tc>
        <w:tc>
          <w:tcPr>
            <w:tcW w:w="2540" w:type="dxa"/>
            <w:vAlign w:val="bottom"/>
            <w:tcBorders>
              <w:bottom w:val="single" w:sz="8" w:color="C1CECC"/>
            </w:tcBorders>
            <w:shd w:val="clear" w:color="auto" w:fill="F4F9F9"/>
          </w:tcPr>
          <w:p>
            <w:pPr>
              <w:jc w:val="center"/>
              <w:ind w:left="68"/>
              <w:spacing w:after="0" w:line="155" w:lineRule="exact"/>
              <w:rPr>
                <w:sz w:val="20"/>
                <w:szCs w:val="20"/>
                <w:color w:val="auto"/>
              </w:rPr>
            </w:pPr>
            <w:r>
              <w:rPr>
                <w:rFonts w:ascii="Arial" w:cs="Arial" w:eastAsia="Arial" w:hAnsi="Arial"/>
                <w:sz w:val="14"/>
                <w:szCs w:val="14"/>
                <w:color w:val="auto"/>
              </w:rPr>
              <w:t>179,899</w:t>
            </w:r>
          </w:p>
        </w:tc>
        <w:tc>
          <w:tcPr>
            <w:tcW w:w="2680" w:type="dxa"/>
            <w:vAlign w:val="bottom"/>
            <w:tcBorders>
              <w:bottom w:val="single" w:sz="8" w:color="C1CECC"/>
            </w:tcBorders>
            <w:shd w:val="clear" w:color="auto" w:fill="F4F9F9"/>
          </w:tcPr>
          <w:p>
            <w:pPr>
              <w:jc w:val="center"/>
              <w:ind w:right="308"/>
              <w:spacing w:after="0" w:line="155" w:lineRule="exact"/>
              <w:rPr>
                <w:sz w:val="20"/>
                <w:szCs w:val="20"/>
                <w:color w:val="auto"/>
              </w:rPr>
            </w:pPr>
            <w:r>
              <w:rPr>
                <w:rFonts w:ascii="Arial" w:cs="Arial" w:eastAsia="Arial" w:hAnsi="Arial"/>
                <w:sz w:val="14"/>
                <w:szCs w:val="14"/>
                <w:color w:val="auto"/>
                <w:w w:val="99"/>
              </w:rPr>
              <w:t>—</w:t>
            </w:r>
          </w:p>
        </w:tc>
        <w:tc>
          <w:tcPr>
            <w:tcW w:w="1980" w:type="dxa"/>
            <w:vAlign w:val="bottom"/>
            <w:tcBorders>
              <w:bottom w:val="single" w:sz="8" w:color="C1CECC"/>
            </w:tcBorders>
            <w:shd w:val="clear" w:color="auto" w:fill="F4F9F9"/>
          </w:tcPr>
          <w:p>
            <w:pPr>
              <w:jc w:val="center"/>
              <w:ind w:right="548"/>
              <w:spacing w:after="0" w:line="155" w:lineRule="exact"/>
              <w:rPr>
                <w:sz w:val="20"/>
                <w:szCs w:val="20"/>
                <w:color w:val="auto"/>
              </w:rPr>
            </w:pPr>
            <w:r>
              <w:rPr>
                <w:rFonts w:ascii="Arial" w:cs="Arial" w:eastAsia="Arial" w:hAnsi="Arial"/>
                <w:sz w:val="14"/>
                <w:szCs w:val="14"/>
                <w:color w:val="auto"/>
              </w:rPr>
              <w:t>82,427</w:t>
            </w:r>
          </w:p>
        </w:tc>
        <w:tc>
          <w:tcPr>
            <w:tcW w:w="1960" w:type="dxa"/>
            <w:vAlign w:val="bottom"/>
            <w:tcBorders>
              <w:bottom w:val="single" w:sz="8" w:color="C1CECC"/>
            </w:tcBorders>
            <w:shd w:val="clear" w:color="auto" w:fill="F4F9F9"/>
          </w:tcPr>
          <w:p>
            <w:pPr>
              <w:jc w:val="center"/>
              <w:ind w:right="88"/>
              <w:spacing w:after="0" w:line="155" w:lineRule="exact"/>
              <w:rPr>
                <w:sz w:val="20"/>
                <w:szCs w:val="20"/>
                <w:color w:val="auto"/>
              </w:rPr>
            </w:pPr>
            <w:r>
              <w:rPr>
                <w:rFonts w:ascii="Arial" w:cs="Arial" w:eastAsia="Arial" w:hAnsi="Arial"/>
                <w:sz w:val="14"/>
                <w:szCs w:val="14"/>
                <w:color w:val="auto"/>
              </w:rPr>
              <w:t>262,326</w:t>
            </w:r>
          </w:p>
        </w:tc>
      </w:tr>
      <w:tr>
        <w:trPr>
          <w:trHeight w:val="156"/>
        </w:trPr>
        <w:tc>
          <w:tcPr>
            <w:tcW w:w="1860" w:type="dxa"/>
            <w:vAlign w:val="bottom"/>
            <w:tcBorders>
              <w:bottom w:val="single" w:sz="8" w:color="C1CECC"/>
            </w:tcBorders>
          </w:tcPr>
          <w:p>
            <w:pPr>
              <w:ind w:left="760"/>
              <w:spacing w:after="0" w:line="155" w:lineRule="exact"/>
              <w:rPr>
                <w:sz w:val="20"/>
                <w:szCs w:val="20"/>
                <w:color w:val="auto"/>
              </w:rPr>
            </w:pPr>
            <w:r>
              <w:rPr>
                <w:rFonts w:ascii="Arial" w:cs="Arial" w:eastAsia="Arial" w:hAnsi="Arial"/>
                <w:sz w:val="14"/>
                <w:szCs w:val="14"/>
                <w:color w:val="auto"/>
              </w:rPr>
              <w:t>2015</w:t>
            </w:r>
          </w:p>
        </w:tc>
        <w:tc>
          <w:tcPr>
            <w:tcW w:w="2540" w:type="dxa"/>
            <w:vAlign w:val="bottom"/>
            <w:tcBorders>
              <w:bottom w:val="single" w:sz="8" w:color="C1CECC"/>
            </w:tcBorders>
          </w:tcPr>
          <w:p>
            <w:pPr>
              <w:jc w:val="center"/>
              <w:ind w:left="68"/>
              <w:spacing w:after="0" w:line="155" w:lineRule="exact"/>
              <w:rPr>
                <w:sz w:val="20"/>
                <w:szCs w:val="20"/>
                <w:color w:val="auto"/>
              </w:rPr>
            </w:pPr>
            <w:r>
              <w:rPr>
                <w:rFonts w:ascii="Arial" w:cs="Arial" w:eastAsia="Arial" w:hAnsi="Arial"/>
                <w:sz w:val="14"/>
                <w:szCs w:val="14"/>
                <w:color w:val="auto"/>
              </w:rPr>
              <w:t>192,100</w:t>
            </w:r>
          </w:p>
        </w:tc>
        <w:tc>
          <w:tcPr>
            <w:tcW w:w="2680" w:type="dxa"/>
            <w:vAlign w:val="bottom"/>
            <w:tcBorders>
              <w:bottom w:val="single" w:sz="8" w:color="C1CECC"/>
            </w:tcBorders>
          </w:tcPr>
          <w:p>
            <w:pPr>
              <w:jc w:val="center"/>
              <w:ind w:right="308"/>
              <w:spacing w:after="0" w:line="155" w:lineRule="exact"/>
              <w:rPr>
                <w:sz w:val="20"/>
                <w:szCs w:val="20"/>
                <w:color w:val="auto"/>
              </w:rPr>
            </w:pPr>
            <w:r>
              <w:rPr>
                <w:rFonts w:ascii="Arial" w:cs="Arial" w:eastAsia="Arial" w:hAnsi="Arial"/>
                <w:sz w:val="14"/>
                <w:szCs w:val="14"/>
                <w:color w:val="auto"/>
                <w:w w:val="99"/>
              </w:rPr>
              <w:t>—</w:t>
            </w:r>
          </w:p>
        </w:tc>
        <w:tc>
          <w:tcPr>
            <w:tcW w:w="1980" w:type="dxa"/>
            <w:vAlign w:val="bottom"/>
            <w:tcBorders>
              <w:bottom w:val="single" w:sz="8" w:color="C1CECC"/>
            </w:tcBorders>
          </w:tcPr>
          <w:p>
            <w:pPr>
              <w:jc w:val="center"/>
              <w:ind w:right="548"/>
              <w:spacing w:after="0" w:line="155" w:lineRule="exact"/>
              <w:rPr>
                <w:sz w:val="20"/>
                <w:szCs w:val="20"/>
                <w:color w:val="auto"/>
              </w:rPr>
            </w:pPr>
            <w:r>
              <w:rPr>
                <w:rFonts w:ascii="Arial" w:cs="Arial" w:eastAsia="Arial" w:hAnsi="Arial"/>
                <w:sz w:val="14"/>
                <w:szCs w:val="14"/>
                <w:color w:val="auto"/>
              </w:rPr>
              <w:t>108,081</w:t>
            </w:r>
          </w:p>
        </w:tc>
        <w:tc>
          <w:tcPr>
            <w:tcW w:w="1960" w:type="dxa"/>
            <w:vAlign w:val="bottom"/>
            <w:tcBorders>
              <w:bottom w:val="single" w:sz="8" w:color="C1CECC"/>
            </w:tcBorders>
          </w:tcPr>
          <w:p>
            <w:pPr>
              <w:jc w:val="center"/>
              <w:ind w:right="88"/>
              <w:spacing w:after="0" w:line="155" w:lineRule="exact"/>
              <w:rPr>
                <w:sz w:val="20"/>
                <w:szCs w:val="20"/>
                <w:color w:val="auto"/>
              </w:rPr>
            </w:pPr>
            <w:r>
              <w:rPr>
                <w:rFonts w:ascii="Arial" w:cs="Arial" w:eastAsia="Arial" w:hAnsi="Arial"/>
                <w:sz w:val="14"/>
                <w:szCs w:val="14"/>
                <w:color w:val="auto"/>
              </w:rPr>
              <w:t>300,181</w:t>
            </w:r>
          </w:p>
        </w:tc>
      </w:tr>
    </w:tbl>
    <w:p>
      <w:pPr>
        <w:spacing w:after="0" w:line="10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*Reflects a £/$ exchange rate as of the date paid, received or allocated.</w:t>
      </w:r>
    </w:p>
    <w:p>
      <w:pPr>
        <w:spacing w:after="0" w:line="96" w:lineRule="exact"/>
        <w:rPr>
          <w:sz w:val="20"/>
          <w:szCs w:val="20"/>
          <w:color w:val="auto"/>
        </w:rPr>
      </w:pPr>
    </w:p>
    <w:p>
      <w:pPr>
        <w:jc w:val="both"/>
        <w:ind w:left="540" w:right="20"/>
        <w:spacing w:after="0" w:line="226" w:lineRule="auto"/>
        <w:rPr>
          <w:sz w:val="20"/>
          <w:szCs w:val="20"/>
          <w:color w:val="auto"/>
        </w:rPr>
      </w:pPr>
      <w:r>
        <w:rPr>
          <w:rFonts w:ascii="Arial" w:cs="Arial" w:eastAsia="Arial" w:hAnsi="Arial"/>
          <w:sz w:val="14"/>
          <w:szCs w:val="14"/>
          <w:color w:val="auto"/>
        </w:rPr>
        <w:t>**For Mr. De Shon and Mr. Servodidio, amount include allowances for home leave, utilities, and a goods and services differential to make up for the difference in prices between the home and host locations. For Mr. Servodidio, amounts also include reasonable car rental costs for his accompanying spouse while on assignment. For 2016, amounts for Mr. De Shon relate solely to return moving and shipment services in connection with the end of his assignment to the United Kingdom. For Mr. Smith, amount includes reimbursements for home leave to the United Kingdom.</w:t>
      </w:r>
    </w:p>
    <w:p>
      <w:pPr>
        <w:spacing w:after="0" w:line="9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***For Mr. Smith, amounts include destination services related to his relocation from the United Kingdom to the United States.</w:t>
      </w:r>
    </w:p>
    <w:p>
      <w:pPr>
        <w:spacing w:after="0" w:line="109" w:lineRule="exact"/>
        <w:rPr>
          <w:sz w:val="20"/>
          <w:szCs w:val="20"/>
          <w:color w:val="auto"/>
        </w:rPr>
      </w:pPr>
    </w:p>
    <w:p>
      <w:pPr>
        <w:jc w:val="both"/>
        <w:ind w:left="520" w:right="20" w:hanging="316"/>
        <w:spacing w:after="0" w:line="224"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For Mr. De Shon and Mr. Servodidio, amounts represent the incremental cost to the Company of tax equalization and other related payments associated with long-term assignments to the United Kingdom, all in accordance with the Company’s standard policies. For 2017, estimates of these values are reported, and are based on currently available information. Actual 2017 values may differ, and are subject to change based on additional credits due to the Company or liabilities incurred by the Company related to filings for the 2017/2018 tax year in the United Kingdom. For 2017, amounts for Mr. De Shon primarily represent trailing liabilities related to stock awards that vested in 2017. Per the Company’s standard policy, expatriate benefits and reimbursements are discontinued at the end of an assignment. However, tax equalization and other tax related payments may continue, but only to the extent that liabilities related to the foreign assignment are incurred.</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Perquisites Table</w:t>
      </w:r>
    </w:p>
    <w:p>
      <w:pPr>
        <w:spacing w:after="0" w:line="1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Personal</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Use of</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Company</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Financial</w:t>
            </w:r>
          </w:p>
        </w:tc>
        <w:tc>
          <w:tcPr>
            <w:tcW w:w="780" w:type="dxa"/>
            <w:vAlign w:val="bottom"/>
          </w:tcPr>
          <w:p>
            <w:pPr>
              <w:spacing w:after="0"/>
              <w:rPr>
                <w:sz w:val="14"/>
                <w:szCs w:val="14"/>
                <w:color w:val="auto"/>
              </w:rPr>
            </w:pPr>
          </w:p>
        </w:tc>
        <w:tc>
          <w:tcPr>
            <w:tcW w:w="960" w:type="dxa"/>
            <w:vAlign w:val="bottom"/>
          </w:tcPr>
          <w:p>
            <w:pPr>
              <w:jc w:val="center"/>
              <w:ind w:left="68"/>
              <w:spacing w:after="0"/>
              <w:rPr>
                <w:sz w:val="20"/>
                <w:szCs w:val="20"/>
                <w:color w:val="auto"/>
              </w:rPr>
            </w:pPr>
            <w:r>
              <w:rPr>
                <w:rFonts w:ascii="Arial" w:cs="Arial" w:eastAsia="Arial" w:hAnsi="Arial"/>
                <w:sz w:val="14"/>
                <w:szCs w:val="14"/>
                <w:b w:val="1"/>
                <w:bCs w:val="1"/>
                <w:color w:val="auto"/>
              </w:rPr>
              <w:t>Total</w:t>
            </w:r>
          </w:p>
        </w:tc>
      </w:tr>
      <w:tr>
        <w:trPr>
          <w:trHeight w:val="16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Aircraft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Services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Car</w:t>
            </w:r>
          </w:p>
        </w:tc>
        <w:tc>
          <w:tcPr>
            <w:tcW w:w="960" w:type="dxa"/>
            <w:vAlign w:val="bottom"/>
          </w:tcPr>
          <w:p>
            <w:pPr>
              <w:jc w:val="center"/>
              <w:ind w:left="68"/>
              <w:spacing w:after="0"/>
              <w:rPr>
                <w:sz w:val="20"/>
                <w:szCs w:val="20"/>
                <w:color w:val="auto"/>
              </w:rPr>
            </w:pPr>
            <w:r>
              <w:rPr>
                <w:rFonts w:ascii="Arial" w:cs="Arial" w:eastAsia="Arial" w:hAnsi="Arial"/>
                <w:sz w:val="14"/>
                <w:szCs w:val="14"/>
                <w:b w:val="1"/>
                <w:bCs w:val="1"/>
                <w:color w:val="auto"/>
              </w:rPr>
              <w:t>Perquisites</w:t>
            </w:r>
          </w:p>
        </w:tc>
      </w:tr>
      <w:tr>
        <w:trPr>
          <w:trHeight w:val="175"/>
        </w:trPr>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ind w:left="320"/>
              <w:spacing w:after="0"/>
              <w:rPr>
                <w:sz w:val="20"/>
                <w:szCs w:val="20"/>
                <w:color w:val="auto"/>
              </w:rPr>
            </w:pPr>
            <w:r>
              <w:rPr>
                <w:rFonts w:ascii="Arial" w:cs="Arial" w:eastAsia="Arial" w:hAnsi="Arial"/>
                <w:sz w:val="14"/>
                <w:szCs w:val="14"/>
                <w:b w:val="1"/>
                <w:bCs w:val="1"/>
                <w:color w:val="auto"/>
              </w:rPr>
              <w:t>Year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($)(c)</w:t>
            </w:r>
          </w:p>
        </w:tc>
        <w:tc>
          <w:tcPr>
            <w:tcW w:w="960" w:type="dxa"/>
            <w:vAlign w:val="bottom"/>
          </w:tcPr>
          <w:p>
            <w:pPr>
              <w:jc w:val="center"/>
              <w:ind w:left="68"/>
              <w:spacing w:after="0"/>
              <w:rPr>
                <w:sz w:val="20"/>
                <w:szCs w:val="20"/>
                <w:color w:val="auto"/>
              </w:rPr>
            </w:pPr>
            <w:r>
              <w:rPr>
                <w:rFonts w:ascii="Arial" w:cs="Arial" w:eastAsia="Arial" w:hAnsi="Arial"/>
                <w:sz w:val="14"/>
                <w:szCs w:val="14"/>
                <w:b w:val="1"/>
                <w:bCs w:val="1"/>
                <w:color w:val="auto"/>
              </w:rPr>
              <w:t>($)(d)(e)</w:t>
            </w:r>
          </w:p>
        </w:tc>
      </w:tr>
      <w:tr>
        <w:trPr>
          <w:trHeight w:val="156"/>
        </w:trPr>
        <w:tc>
          <w:tcPr>
            <w:tcW w:w="20" w:type="dxa"/>
            <w:vAlign w:val="bottom"/>
          </w:tcPr>
          <w:p>
            <w:pPr>
              <w:spacing w:after="0"/>
              <w:rPr>
                <w:sz w:val="13"/>
                <w:szCs w:val="13"/>
                <w:color w:val="auto"/>
              </w:rPr>
            </w:pPr>
          </w:p>
        </w:tc>
        <w:tc>
          <w:tcPr>
            <w:tcW w:w="6540" w:type="dxa"/>
            <w:vAlign w:val="bottom"/>
            <w:tcBorders>
              <w:top w:val="single" w:sz="8" w:color="auto"/>
            </w:tcBorders>
            <w:shd w:val="clear" w:color="auto" w:fill="F4F9F9"/>
          </w:tcPr>
          <w:p>
            <w:pPr>
              <w:spacing w:after="0" w:line="155" w:lineRule="exact"/>
              <w:rPr>
                <w:sz w:val="20"/>
                <w:szCs w:val="20"/>
                <w:color w:val="auto"/>
              </w:rPr>
            </w:pPr>
            <w:r>
              <w:rPr>
                <w:rFonts w:ascii="Arial" w:cs="Arial" w:eastAsia="Arial" w:hAnsi="Arial"/>
                <w:sz w:val="14"/>
                <w:szCs w:val="14"/>
                <w:color w:val="auto"/>
              </w:rPr>
              <w:t>Mr. De Shon</w:t>
            </w:r>
          </w:p>
        </w:tc>
        <w:tc>
          <w:tcPr>
            <w:tcW w:w="800" w:type="dxa"/>
            <w:vAlign w:val="bottom"/>
            <w:tcBorders>
              <w:top w:val="single" w:sz="8" w:color="auto"/>
            </w:tcBorders>
            <w:shd w:val="clear" w:color="auto" w:fill="F4F9F9"/>
          </w:tcPr>
          <w:p>
            <w:pPr>
              <w:ind w:left="320"/>
              <w:spacing w:after="0" w:line="155" w:lineRule="exact"/>
              <w:rPr>
                <w:sz w:val="20"/>
                <w:szCs w:val="20"/>
                <w:color w:val="auto"/>
              </w:rPr>
            </w:pPr>
            <w:r>
              <w:rPr>
                <w:rFonts w:ascii="Arial" w:cs="Arial" w:eastAsia="Arial" w:hAnsi="Arial"/>
                <w:sz w:val="14"/>
                <w:szCs w:val="14"/>
                <w:color w:val="auto"/>
              </w:rPr>
              <w:t>2017</w:t>
            </w:r>
          </w:p>
        </w:tc>
        <w:tc>
          <w:tcPr>
            <w:tcW w:w="1000" w:type="dxa"/>
            <w:vAlign w:val="bottom"/>
            <w:tcBorders>
              <w:top w:val="single" w:sz="8" w:color="auto"/>
            </w:tcBorders>
            <w:shd w:val="clear" w:color="auto" w:fill="F4F9F9"/>
          </w:tcPr>
          <w:p>
            <w:pPr>
              <w:jc w:val="center"/>
              <w:spacing w:after="0" w:line="155" w:lineRule="exact"/>
              <w:rPr>
                <w:sz w:val="20"/>
                <w:szCs w:val="20"/>
                <w:color w:val="auto"/>
              </w:rPr>
            </w:pPr>
            <w:r>
              <w:rPr>
                <w:rFonts w:ascii="Arial" w:cs="Arial" w:eastAsia="Arial" w:hAnsi="Arial"/>
                <w:sz w:val="14"/>
                <w:szCs w:val="14"/>
                <w:color w:val="auto"/>
              </w:rPr>
              <w:t>8,694</w:t>
            </w:r>
          </w:p>
        </w:tc>
        <w:tc>
          <w:tcPr>
            <w:tcW w:w="940" w:type="dxa"/>
            <w:vAlign w:val="bottom"/>
            <w:tcBorders>
              <w:top w:val="single" w:sz="8" w:color="auto"/>
            </w:tcBorders>
            <w:shd w:val="clear" w:color="auto" w:fill="F4F9F9"/>
          </w:tcPr>
          <w:p>
            <w:pPr>
              <w:jc w:val="center"/>
              <w:spacing w:after="0" w:line="155" w:lineRule="exact"/>
              <w:rPr>
                <w:sz w:val="20"/>
                <w:szCs w:val="20"/>
                <w:color w:val="auto"/>
              </w:rPr>
            </w:pPr>
            <w:r>
              <w:rPr>
                <w:rFonts w:ascii="Arial" w:cs="Arial" w:eastAsia="Arial" w:hAnsi="Arial"/>
                <w:sz w:val="14"/>
                <w:szCs w:val="14"/>
                <w:color w:val="auto"/>
              </w:rPr>
              <w:t>13,226</w:t>
            </w:r>
          </w:p>
        </w:tc>
        <w:tc>
          <w:tcPr>
            <w:tcW w:w="780" w:type="dxa"/>
            <w:vAlign w:val="bottom"/>
            <w:tcBorders>
              <w:top w:val="single" w:sz="8" w:color="auto"/>
            </w:tcBorders>
            <w:shd w:val="clear" w:color="auto" w:fill="F4F9F9"/>
          </w:tcPr>
          <w:p>
            <w:pPr>
              <w:jc w:val="center"/>
              <w:spacing w:after="0" w:line="155" w:lineRule="exact"/>
              <w:rPr>
                <w:sz w:val="20"/>
                <w:szCs w:val="20"/>
                <w:color w:val="auto"/>
              </w:rPr>
            </w:pPr>
            <w:r>
              <w:rPr>
                <w:rFonts w:ascii="Arial" w:cs="Arial" w:eastAsia="Arial" w:hAnsi="Arial"/>
                <w:sz w:val="14"/>
                <w:szCs w:val="14"/>
                <w:color w:val="auto"/>
              </w:rPr>
              <w:t>18,207</w:t>
            </w:r>
          </w:p>
        </w:tc>
        <w:tc>
          <w:tcPr>
            <w:tcW w:w="960" w:type="dxa"/>
            <w:vAlign w:val="bottom"/>
            <w:tcBorders>
              <w:top w:val="single" w:sz="8" w:color="auto"/>
            </w:tcBorders>
            <w:shd w:val="clear" w:color="auto" w:fill="F4F9F9"/>
          </w:tcPr>
          <w:p>
            <w:pPr>
              <w:jc w:val="center"/>
              <w:ind w:left="88"/>
              <w:spacing w:after="0" w:line="155" w:lineRule="exact"/>
              <w:rPr>
                <w:sz w:val="20"/>
                <w:szCs w:val="20"/>
                <w:color w:val="auto"/>
              </w:rPr>
            </w:pPr>
            <w:r>
              <w:rPr>
                <w:rFonts w:ascii="Arial" w:cs="Arial" w:eastAsia="Arial" w:hAnsi="Arial"/>
                <w:sz w:val="14"/>
                <w:szCs w:val="14"/>
                <w:color w:val="auto"/>
              </w:rPr>
              <w:t>43,977</w:t>
            </w:r>
          </w:p>
        </w:tc>
      </w:tr>
      <w:tr>
        <w:trPr>
          <w:trHeight w:val="162"/>
        </w:trPr>
        <w:tc>
          <w:tcPr>
            <w:tcW w:w="20" w:type="dxa"/>
            <w:vAlign w:val="bottom"/>
          </w:tcPr>
          <w:p>
            <w:pPr>
              <w:spacing w:after="0"/>
              <w:rPr>
                <w:sz w:val="14"/>
                <w:szCs w:val="14"/>
                <w:color w:val="auto"/>
              </w:rPr>
            </w:pPr>
          </w:p>
        </w:tc>
        <w:tc>
          <w:tcPr>
            <w:tcW w:w="6540" w:type="dxa"/>
            <w:vAlign w:val="bottom"/>
            <w:shd w:val="clear" w:color="auto" w:fill="F4F9F9"/>
          </w:tcPr>
          <w:p>
            <w:pPr>
              <w:spacing w:after="0"/>
              <w:rPr>
                <w:sz w:val="14"/>
                <w:szCs w:val="14"/>
                <w:color w:val="auto"/>
              </w:rPr>
            </w:pPr>
          </w:p>
        </w:tc>
        <w:tc>
          <w:tcPr>
            <w:tcW w:w="800" w:type="dxa"/>
            <w:vAlign w:val="bottom"/>
            <w:shd w:val="clear" w:color="auto" w:fill="F4F9F9"/>
          </w:tcPr>
          <w:p>
            <w:pPr>
              <w:ind w:left="320"/>
              <w:spacing w:after="0"/>
              <w:rPr>
                <w:sz w:val="20"/>
                <w:szCs w:val="20"/>
                <w:color w:val="auto"/>
              </w:rPr>
            </w:pPr>
            <w:r>
              <w:rPr>
                <w:rFonts w:ascii="Arial" w:cs="Arial" w:eastAsia="Arial" w:hAnsi="Arial"/>
                <w:sz w:val="14"/>
                <w:szCs w:val="14"/>
                <w:color w:val="auto"/>
              </w:rPr>
              <w:t>2016</w:t>
            </w:r>
          </w:p>
        </w:tc>
        <w:tc>
          <w:tcPr>
            <w:tcW w:w="1000" w:type="dxa"/>
            <w:vAlign w:val="bottom"/>
            <w:shd w:val="clear" w:color="auto" w:fill="F4F9F9"/>
          </w:tcPr>
          <w:p>
            <w:pPr>
              <w:jc w:val="center"/>
              <w:spacing w:after="0"/>
              <w:rPr>
                <w:sz w:val="20"/>
                <w:szCs w:val="20"/>
                <w:color w:val="auto"/>
              </w:rPr>
            </w:pPr>
            <w:r>
              <w:rPr>
                <w:rFonts w:ascii="Arial" w:cs="Arial" w:eastAsia="Arial" w:hAnsi="Arial"/>
                <w:sz w:val="14"/>
                <w:szCs w:val="14"/>
                <w:color w:val="auto"/>
              </w:rPr>
              <w:t>66,061</w:t>
            </w:r>
          </w:p>
        </w:tc>
        <w:tc>
          <w:tcPr>
            <w:tcW w:w="940" w:type="dxa"/>
            <w:vAlign w:val="bottom"/>
            <w:shd w:val="clear" w:color="auto" w:fill="F4F9F9"/>
          </w:tcPr>
          <w:p>
            <w:pPr>
              <w:jc w:val="center"/>
              <w:spacing w:after="0"/>
              <w:rPr>
                <w:sz w:val="20"/>
                <w:szCs w:val="20"/>
                <w:color w:val="auto"/>
              </w:rPr>
            </w:pPr>
            <w:r>
              <w:rPr>
                <w:rFonts w:ascii="Arial" w:cs="Arial" w:eastAsia="Arial" w:hAnsi="Arial"/>
                <w:sz w:val="14"/>
                <w:szCs w:val="14"/>
                <w:color w:val="auto"/>
              </w:rPr>
              <w:t>12,868</w:t>
            </w:r>
          </w:p>
        </w:tc>
        <w:tc>
          <w:tcPr>
            <w:tcW w:w="780" w:type="dxa"/>
            <w:vAlign w:val="bottom"/>
            <w:shd w:val="clear" w:color="auto" w:fill="F4F9F9"/>
          </w:tcPr>
          <w:p>
            <w:pPr>
              <w:jc w:val="center"/>
              <w:spacing w:after="0"/>
              <w:rPr>
                <w:sz w:val="20"/>
                <w:szCs w:val="20"/>
                <w:color w:val="auto"/>
              </w:rPr>
            </w:pPr>
            <w:r>
              <w:rPr>
                <w:rFonts w:ascii="Arial" w:cs="Arial" w:eastAsia="Arial" w:hAnsi="Arial"/>
                <w:sz w:val="14"/>
                <w:szCs w:val="14"/>
                <w:color w:val="auto"/>
              </w:rPr>
              <w:t>21,924</w:t>
            </w:r>
          </w:p>
        </w:tc>
        <w:tc>
          <w:tcPr>
            <w:tcW w:w="960" w:type="dxa"/>
            <w:vAlign w:val="bottom"/>
            <w:shd w:val="clear" w:color="auto" w:fill="F4F9F9"/>
          </w:tcPr>
          <w:p>
            <w:pPr>
              <w:jc w:val="center"/>
              <w:ind w:left="88"/>
              <w:spacing w:after="0"/>
              <w:rPr>
                <w:sz w:val="20"/>
                <w:szCs w:val="20"/>
                <w:color w:val="auto"/>
              </w:rPr>
            </w:pPr>
            <w:r>
              <w:rPr>
                <w:rFonts w:ascii="Arial" w:cs="Arial" w:eastAsia="Arial" w:hAnsi="Arial"/>
                <w:sz w:val="14"/>
                <w:szCs w:val="14"/>
                <w:color w:val="auto"/>
              </w:rPr>
              <w:t>104,603</w:t>
            </w:r>
          </w:p>
        </w:tc>
      </w:tr>
      <w:tr>
        <w:trPr>
          <w:trHeight w:val="162"/>
        </w:trPr>
        <w:tc>
          <w:tcPr>
            <w:tcW w:w="20" w:type="dxa"/>
            <w:vAlign w:val="bottom"/>
          </w:tcPr>
          <w:p>
            <w:pPr>
              <w:spacing w:after="0"/>
              <w:rPr>
                <w:sz w:val="14"/>
                <w:szCs w:val="14"/>
                <w:color w:val="auto"/>
              </w:rPr>
            </w:pPr>
          </w:p>
        </w:tc>
        <w:tc>
          <w:tcPr>
            <w:tcW w:w="6540" w:type="dxa"/>
            <w:vAlign w:val="bottom"/>
            <w:tcBorders>
              <w:bottom w:val="single" w:sz="8" w:color="C1CECC"/>
            </w:tcBorders>
            <w:shd w:val="clear" w:color="auto" w:fill="F4F9F9"/>
          </w:tcPr>
          <w:p>
            <w:pPr>
              <w:spacing w:after="0"/>
              <w:rPr>
                <w:sz w:val="14"/>
                <w:szCs w:val="14"/>
                <w:color w:val="auto"/>
              </w:rPr>
            </w:pPr>
          </w:p>
        </w:tc>
        <w:tc>
          <w:tcPr>
            <w:tcW w:w="800" w:type="dxa"/>
            <w:vAlign w:val="bottom"/>
            <w:tcBorders>
              <w:bottom w:val="single" w:sz="8" w:color="C1CECC"/>
            </w:tcBorders>
            <w:shd w:val="clear" w:color="auto" w:fill="F4F9F9"/>
          </w:tcPr>
          <w:p>
            <w:pPr>
              <w:ind w:left="320"/>
              <w:spacing w:after="0"/>
              <w:rPr>
                <w:sz w:val="20"/>
                <w:szCs w:val="20"/>
                <w:color w:val="auto"/>
              </w:rPr>
            </w:pPr>
            <w:r>
              <w:rPr>
                <w:rFonts w:ascii="Arial" w:cs="Arial" w:eastAsia="Arial" w:hAnsi="Arial"/>
                <w:sz w:val="14"/>
                <w:szCs w:val="14"/>
                <w:color w:val="auto"/>
              </w:rPr>
              <w:t>2015</w:t>
            </w:r>
          </w:p>
        </w:tc>
        <w:tc>
          <w:tcPr>
            <w:tcW w:w="100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4"/>
                <w:szCs w:val="14"/>
                <w:color w:val="auto"/>
              </w:rPr>
              <w:t>5,512</w:t>
            </w:r>
          </w:p>
        </w:tc>
        <w:tc>
          <w:tcPr>
            <w:tcW w:w="94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4"/>
                <w:szCs w:val="14"/>
                <w:color w:val="auto"/>
              </w:rPr>
              <w:t>11,752</w:t>
            </w:r>
          </w:p>
        </w:tc>
        <w:tc>
          <w:tcPr>
            <w:tcW w:w="78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4"/>
                <w:szCs w:val="14"/>
                <w:color w:val="auto"/>
              </w:rPr>
              <w:t>18,174</w:t>
            </w:r>
          </w:p>
        </w:tc>
        <w:tc>
          <w:tcPr>
            <w:tcW w:w="960" w:type="dxa"/>
            <w:vAlign w:val="bottom"/>
            <w:tcBorders>
              <w:bottom w:val="single" w:sz="8" w:color="C1CECC"/>
            </w:tcBorders>
            <w:shd w:val="clear" w:color="auto" w:fill="F4F9F9"/>
          </w:tcPr>
          <w:p>
            <w:pPr>
              <w:jc w:val="center"/>
              <w:ind w:left="88"/>
              <w:spacing w:after="0"/>
              <w:rPr>
                <w:sz w:val="20"/>
                <w:szCs w:val="20"/>
                <w:color w:val="auto"/>
              </w:rPr>
            </w:pPr>
            <w:r>
              <w:rPr>
                <w:rFonts w:ascii="Arial" w:cs="Arial" w:eastAsia="Arial" w:hAnsi="Arial"/>
                <w:sz w:val="14"/>
                <w:szCs w:val="14"/>
                <w:color w:val="auto"/>
              </w:rPr>
              <w:t>39,038</w:t>
            </w:r>
          </w:p>
        </w:tc>
      </w:tr>
      <w:tr>
        <w:trPr>
          <w:trHeight w:val="156"/>
        </w:trPr>
        <w:tc>
          <w:tcPr>
            <w:tcW w:w="6560" w:type="dxa"/>
            <w:vAlign w:val="bottom"/>
            <w:gridSpan w:val="2"/>
          </w:tcPr>
          <w:p>
            <w:pPr>
              <w:spacing w:after="0" w:line="155" w:lineRule="exact"/>
              <w:rPr>
                <w:sz w:val="20"/>
                <w:szCs w:val="20"/>
                <w:color w:val="auto"/>
              </w:rPr>
            </w:pPr>
            <w:r>
              <w:rPr>
                <w:rFonts w:ascii="Arial" w:cs="Arial" w:eastAsia="Arial" w:hAnsi="Arial"/>
                <w:sz w:val="14"/>
                <w:szCs w:val="14"/>
                <w:color w:val="auto"/>
              </w:rPr>
              <w:t>Mr. Smith</w:t>
            </w:r>
          </w:p>
        </w:tc>
        <w:tc>
          <w:tcPr>
            <w:tcW w:w="800" w:type="dxa"/>
            <w:vAlign w:val="bottom"/>
          </w:tcPr>
          <w:p>
            <w:pPr>
              <w:ind w:left="320"/>
              <w:spacing w:after="0" w:line="155" w:lineRule="exact"/>
              <w:rPr>
                <w:sz w:val="20"/>
                <w:szCs w:val="20"/>
                <w:color w:val="auto"/>
              </w:rPr>
            </w:pPr>
            <w:r>
              <w:rPr>
                <w:rFonts w:ascii="Arial" w:cs="Arial" w:eastAsia="Arial" w:hAnsi="Arial"/>
                <w:sz w:val="14"/>
                <w:szCs w:val="14"/>
                <w:color w:val="auto"/>
              </w:rPr>
              <w:t>2017</w:t>
            </w:r>
          </w:p>
        </w:tc>
        <w:tc>
          <w:tcPr>
            <w:tcW w:w="1000" w:type="dxa"/>
            <w:vAlign w:val="bottom"/>
          </w:tcPr>
          <w:p>
            <w:pPr>
              <w:jc w:val="center"/>
              <w:spacing w:after="0" w:line="155" w:lineRule="exact"/>
              <w:rPr>
                <w:sz w:val="20"/>
                <w:szCs w:val="20"/>
                <w:color w:val="auto"/>
              </w:rPr>
            </w:pPr>
            <w:r>
              <w:rPr>
                <w:rFonts w:ascii="Arial" w:cs="Arial" w:eastAsia="Arial" w:hAnsi="Arial"/>
                <w:sz w:val="14"/>
                <w:szCs w:val="14"/>
                <w:color w:val="auto"/>
                <w:w w:val="99"/>
              </w:rPr>
              <w:t>—</w:t>
            </w:r>
          </w:p>
        </w:tc>
        <w:tc>
          <w:tcPr>
            <w:tcW w:w="940" w:type="dxa"/>
            <w:vAlign w:val="bottom"/>
          </w:tcPr>
          <w:p>
            <w:pPr>
              <w:jc w:val="center"/>
              <w:spacing w:after="0" w:line="155" w:lineRule="exact"/>
              <w:rPr>
                <w:sz w:val="20"/>
                <w:szCs w:val="20"/>
                <w:color w:val="auto"/>
              </w:rPr>
            </w:pPr>
            <w:r>
              <w:rPr>
                <w:rFonts w:ascii="Arial" w:cs="Arial" w:eastAsia="Arial" w:hAnsi="Arial"/>
                <w:sz w:val="14"/>
                <w:szCs w:val="14"/>
                <w:color w:val="auto"/>
              </w:rPr>
              <w:t>833</w:t>
            </w:r>
          </w:p>
        </w:tc>
        <w:tc>
          <w:tcPr>
            <w:tcW w:w="780" w:type="dxa"/>
            <w:vAlign w:val="bottom"/>
          </w:tcPr>
          <w:p>
            <w:pPr>
              <w:jc w:val="center"/>
              <w:spacing w:after="0" w:line="155" w:lineRule="exact"/>
              <w:rPr>
                <w:sz w:val="20"/>
                <w:szCs w:val="20"/>
                <w:color w:val="auto"/>
              </w:rPr>
            </w:pPr>
            <w:r>
              <w:rPr>
                <w:rFonts w:ascii="Arial" w:cs="Arial" w:eastAsia="Arial" w:hAnsi="Arial"/>
                <w:sz w:val="14"/>
                <w:szCs w:val="14"/>
                <w:color w:val="auto"/>
              </w:rPr>
              <w:t>13,020</w:t>
            </w:r>
          </w:p>
        </w:tc>
        <w:tc>
          <w:tcPr>
            <w:tcW w:w="960" w:type="dxa"/>
            <w:vAlign w:val="bottom"/>
          </w:tcPr>
          <w:p>
            <w:pPr>
              <w:jc w:val="center"/>
              <w:ind w:left="88"/>
              <w:spacing w:after="0" w:line="155" w:lineRule="exact"/>
              <w:rPr>
                <w:sz w:val="20"/>
                <w:szCs w:val="20"/>
                <w:color w:val="auto"/>
              </w:rPr>
            </w:pPr>
            <w:r>
              <w:rPr>
                <w:rFonts w:ascii="Arial" w:cs="Arial" w:eastAsia="Arial" w:hAnsi="Arial"/>
                <w:sz w:val="14"/>
                <w:szCs w:val="14"/>
                <w:color w:val="auto"/>
              </w:rPr>
              <w:t>13,853</w:t>
            </w:r>
          </w:p>
        </w:tc>
      </w:tr>
      <w:tr>
        <w:trPr>
          <w:trHeight w:val="156"/>
        </w:trPr>
        <w:tc>
          <w:tcPr>
            <w:tcW w:w="20" w:type="dxa"/>
            <w:vAlign w:val="bottom"/>
          </w:tcPr>
          <w:p>
            <w:pPr>
              <w:spacing w:after="0"/>
              <w:rPr>
                <w:sz w:val="13"/>
                <w:szCs w:val="13"/>
                <w:color w:val="auto"/>
              </w:rPr>
            </w:pPr>
          </w:p>
        </w:tc>
        <w:tc>
          <w:tcPr>
            <w:tcW w:w="6540" w:type="dxa"/>
            <w:vAlign w:val="bottom"/>
            <w:tcBorders>
              <w:top w:val="single" w:sz="8" w:color="C1CECC"/>
            </w:tcBorders>
            <w:shd w:val="clear" w:color="auto" w:fill="F4F9F9"/>
          </w:tcPr>
          <w:p>
            <w:pPr>
              <w:spacing w:after="0" w:line="155" w:lineRule="exact"/>
              <w:rPr>
                <w:sz w:val="20"/>
                <w:szCs w:val="20"/>
                <w:color w:val="auto"/>
              </w:rPr>
            </w:pPr>
            <w:r>
              <w:rPr>
                <w:rFonts w:ascii="Arial" w:cs="Arial" w:eastAsia="Arial" w:hAnsi="Arial"/>
                <w:sz w:val="14"/>
                <w:szCs w:val="14"/>
                <w:color w:val="auto"/>
              </w:rPr>
              <w:t>Mr. Nelson</w:t>
            </w:r>
          </w:p>
        </w:tc>
        <w:tc>
          <w:tcPr>
            <w:tcW w:w="800" w:type="dxa"/>
            <w:vAlign w:val="bottom"/>
            <w:tcBorders>
              <w:top w:val="single" w:sz="8" w:color="C1CECC"/>
            </w:tcBorders>
            <w:shd w:val="clear" w:color="auto" w:fill="F4F9F9"/>
          </w:tcPr>
          <w:p>
            <w:pPr>
              <w:ind w:left="320"/>
              <w:spacing w:after="0" w:line="155" w:lineRule="exact"/>
              <w:rPr>
                <w:sz w:val="20"/>
                <w:szCs w:val="20"/>
                <w:color w:val="auto"/>
              </w:rPr>
            </w:pPr>
            <w:r>
              <w:rPr>
                <w:rFonts w:ascii="Arial" w:cs="Arial" w:eastAsia="Arial" w:hAnsi="Arial"/>
                <w:sz w:val="14"/>
                <w:szCs w:val="14"/>
                <w:color w:val="auto"/>
              </w:rPr>
              <w:t>2017</w:t>
            </w:r>
          </w:p>
        </w:tc>
        <w:tc>
          <w:tcPr>
            <w:tcW w:w="1000" w:type="dxa"/>
            <w:vAlign w:val="bottom"/>
            <w:tcBorders>
              <w:top w:val="single" w:sz="8" w:color="C1CECC"/>
            </w:tcBorders>
            <w:shd w:val="clear" w:color="auto" w:fill="F4F9F9"/>
          </w:tcPr>
          <w:p>
            <w:pPr>
              <w:jc w:val="center"/>
              <w:spacing w:after="0" w:line="155" w:lineRule="exact"/>
              <w:rPr>
                <w:sz w:val="20"/>
                <w:szCs w:val="20"/>
                <w:color w:val="auto"/>
              </w:rPr>
            </w:pPr>
            <w:r>
              <w:rPr>
                <w:rFonts w:ascii="Arial" w:cs="Arial" w:eastAsia="Arial" w:hAnsi="Arial"/>
                <w:sz w:val="14"/>
                <w:szCs w:val="14"/>
                <w:color w:val="auto"/>
              </w:rPr>
              <w:t>6,496</w:t>
            </w:r>
          </w:p>
        </w:tc>
        <w:tc>
          <w:tcPr>
            <w:tcW w:w="940" w:type="dxa"/>
            <w:vAlign w:val="bottom"/>
            <w:tcBorders>
              <w:top w:val="single" w:sz="8" w:color="C1CECC"/>
            </w:tcBorders>
            <w:shd w:val="clear" w:color="auto" w:fill="F4F9F9"/>
          </w:tcPr>
          <w:p>
            <w:pPr>
              <w:jc w:val="center"/>
              <w:spacing w:after="0" w:line="155" w:lineRule="exact"/>
              <w:rPr>
                <w:sz w:val="20"/>
                <w:szCs w:val="20"/>
                <w:color w:val="auto"/>
              </w:rPr>
            </w:pPr>
            <w:r>
              <w:rPr>
                <w:rFonts w:ascii="Arial" w:cs="Arial" w:eastAsia="Arial" w:hAnsi="Arial"/>
                <w:sz w:val="14"/>
                <w:szCs w:val="14"/>
                <w:color w:val="auto"/>
              </w:rPr>
              <w:t>14,141</w:t>
            </w:r>
          </w:p>
        </w:tc>
        <w:tc>
          <w:tcPr>
            <w:tcW w:w="780" w:type="dxa"/>
            <w:vAlign w:val="bottom"/>
            <w:tcBorders>
              <w:top w:val="single" w:sz="8" w:color="C1CECC"/>
            </w:tcBorders>
            <w:shd w:val="clear" w:color="auto" w:fill="F4F9F9"/>
          </w:tcPr>
          <w:p>
            <w:pPr>
              <w:jc w:val="center"/>
              <w:spacing w:after="0" w:line="155" w:lineRule="exact"/>
              <w:rPr>
                <w:sz w:val="20"/>
                <w:szCs w:val="20"/>
                <w:color w:val="auto"/>
              </w:rPr>
            </w:pPr>
            <w:r>
              <w:rPr>
                <w:rFonts w:ascii="Arial" w:cs="Arial" w:eastAsia="Arial" w:hAnsi="Arial"/>
                <w:sz w:val="14"/>
                <w:szCs w:val="14"/>
                <w:color w:val="auto"/>
              </w:rPr>
              <w:t>25,204</w:t>
            </w:r>
          </w:p>
        </w:tc>
        <w:tc>
          <w:tcPr>
            <w:tcW w:w="960" w:type="dxa"/>
            <w:vAlign w:val="bottom"/>
            <w:tcBorders>
              <w:top w:val="single" w:sz="8" w:color="C1CECC"/>
            </w:tcBorders>
            <w:shd w:val="clear" w:color="auto" w:fill="F4F9F9"/>
          </w:tcPr>
          <w:p>
            <w:pPr>
              <w:jc w:val="center"/>
              <w:ind w:left="88"/>
              <w:spacing w:after="0" w:line="155" w:lineRule="exact"/>
              <w:rPr>
                <w:sz w:val="20"/>
                <w:szCs w:val="20"/>
                <w:color w:val="auto"/>
              </w:rPr>
            </w:pPr>
            <w:r>
              <w:rPr>
                <w:rFonts w:ascii="Arial" w:cs="Arial" w:eastAsia="Arial" w:hAnsi="Arial"/>
                <w:sz w:val="14"/>
                <w:szCs w:val="14"/>
                <w:color w:val="auto"/>
              </w:rPr>
              <w:t>56,141</w:t>
            </w:r>
          </w:p>
        </w:tc>
      </w:tr>
      <w:tr>
        <w:trPr>
          <w:trHeight w:val="162"/>
        </w:trPr>
        <w:tc>
          <w:tcPr>
            <w:tcW w:w="20" w:type="dxa"/>
            <w:vAlign w:val="bottom"/>
          </w:tcPr>
          <w:p>
            <w:pPr>
              <w:spacing w:after="0"/>
              <w:rPr>
                <w:sz w:val="14"/>
                <w:szCs w:val="14"/>
                <w:color w:val="auto"/>
              </w:rPr>
            </w:pPr>
          </w:p>
        </w:tc>
        <w:tc>
          <w:tcPr>
            <w:tcW w:w="6540" w:type="dxa"/>
            <w:vAlign w:val="bottom"/>
            <w:shd w:val="clear" w:color="auto" w:fill="F4F9F9"/>
          </w:tcPr>
          <w:p>
            <w:pPr>
              <w:spacing w:after="0"/>
              <w:rPr>
                <w:sz w:val="14"/>
                <w:szCs w:val="14"/>
                <w:color w:val="auto"/>
              </w:rPr>
            </w:pPr>
          </w:p>
        </w:tc>
        <w:tc>
          <w:tcPr>
            <w:tcW w:w="800" w:type="dxa"/>
            <w:vAlign w:val="bottom"/>
            <w:shd w:val="clear" w:color="auto" w:fill="F4F9F9"/>
          </w:tcPr>
          <w:p>
            <w:pPr>
              <w:ind w:left="320"/>
              <w:spacing w:after="0"/>
              <w:rPr>
                <w:sz w:val="20"/>
                <w:szCs w:val="20"/>
                <w:color w:val="auto"/>
              </w:rPr>
            </w:pPr>
            <w:r>
              <w:rPr>
                <w:rFonts w:ascii="Arial" w:cs="Arial" w:eastAsia="Arial" w:hAnsi="Arial"/>
                <w:sz w:val="14"/>
                <w:szCs w:val="14"/>
                <w:color w:val="auto"/>
              </w:rPr>
              <w:t>2016</w:t>
            </w:r>
          </w:p>
        </w:tc>
        <w:tc>
          <w:tcPr>
            <w:tcW w:w="1000" w:type="dxa"/>
            <w:vAlign w:val="bottom"/>
            <w:shd w:val="clear" w:color="auto" w:fill="F4F9F9"/>
          </w:tcPr>
          <w:p>
            <w:pPr>
              <w:jc w:val="center"/>
              <w:spacing w:after="0"/>
              <w:rPr>
                <w:sz w:val="20"/>
                <w:szCs w:val="20"/>
                <w:color w:val="auto"/>
              </w:rPr>
            </w:pPr>
            <w:r>
              <w:rPr>
                <w:rFonts w:ascii="Arial" w:cs="Arial" w:eastAsia="Arial" w:hAnsi="Arial"/>
                <w:sz w:val="14"/>
                <w:szCs w:val="14"/>
                <w:color w:val="auto"/>
              </w:rPr>
              <w:t>23,987</w:t>
            </w:r>
          </w:p>
        </w:tc>
        <w:tc>
          <w:tcPr>
            <w:tcW w:w="940" w:type="dxa"/>
            <w:vAlign w:val="bottom"/>
            <w:shd w:val="clear" w:color="auto" w:fill="F4F9F9"/>
          </w:tcPr>
          <w:p>
            <w:pPr>
              <w:jc w:val="center"/>
              <w:spacing w:after="0"/>
              <w:rPr>
                <w:sz w:val="20"/>
                <w:szCs w:val="20"/>
                <w:color w:val="auto"/>
              </w:rPr>
            </w:pPr>
            <w:r>
              <w:rPr>
                <w:rFonts w:ascii="Arial" w:cs="Arial" w:eastAsia="Arial" w:hAnsi="Arial"/>
                <w:sz w:val="14"/>
                <w:szCs w:val="14"/>
                <w:color w:val="auto"/>
              </w:rPr>
              <w:t>14,088</w:t>
            </w:r>
          </w:p>
        </w:tc>
        <w:tc>
          <w:tcPr>
            <w:tcW w:w="780" w:type="dxa"/>
            <w:vAlign w:val="bottom"/>
            <w:shd w:val="clear" w:color="auto" w:fill="F4F9F9"/>
          </w:tcPr>
          <w:p>
            <w:pPr>
              <w:jc w:val="center"/>
              <w:spacing w:after="0"/>
              <w:rPr>
                <w:sz w:val="20"/>
                <w:szCs w:val="20"/>
                <w:color w:val="auto"/>
              </w:rPr>
            </w:pPr>
            <w:r>
              <w:rPr>
                <w:rFonts w:ascii="Arial" w:cs="Arial" w:eastAsia="Arial" w:hAnsi="Arial"/>
                <w:sz w:val="14"/>
                <w:szCs w:val="14"/>
                <w:color w:val="auto"/>
              </w:rPr>
              <w:t>26,362</w:t>
            </w:r>
          </w:p>
        </w:tc>
        <w:tc>
          <w:tcPr>
            <w:tcW w:w="960" w:type="dxa"/>
            <w:vAlign w:val="bottom"/>
            <w:shd w:val="clear" w:color="auto" w:fill="F4F9F9"/>
          </w:tcPr>
          <w:p>
            <w:pPr>
              <w:jc w:val="center"/>
              <w:ind w:left="88"/>
              <w:spacing w:after="0"/>
              <w:rPr>
                <w:sz w:val="20"/>
                <w:szCs w:val="20"/>
                <w:color w:val="auto"/>
              </w:rPr>
            </w:pPr>
            <w:r>
              <w:rPr>
                <w:rFonts w:ascii="Arial" w:cs="Arial" w:eastAsia="Arial" w:hAnsi="Arial"/>
                <w:sz w:val="14"/>
                <w:szCs w:val="14"/>
                <w:color w:val="auto"/>
              </w:rPr>
              <w:t>74,737</w:t>
            </w:r>
          </w:p>
        </w:tc>
      </w:tr>
      <w:tr>
        <w:trPr>
          <w:trHeight w:val="162"/>
        </w:trPr>
        <w:tc>
          <w:tcPr>
            <w:tcW w:w="20" w:type="dxa"/>
            <w:vAlign w:val="bottom"/>
          </w:tcPr>
          <w:p>
            <w:pPr>
              <w:spacing w:after="0"/>
              <w:rPr>
                <w:sz w:val="14"/>
                <w:szCs w:val="14"/>
                <w:color w:val="auto"/>
              </w:rPr>
            </w:pPr>
          </w:p>
        </w:tc>
        <w:tc>
          <w:tcPr>
            <w:tcW w:w="6540" w:type="dxa"/>
            <w:vAlign w:val="bottom"/>
            <w:tcBorders>
              <w:bottom w:val="single" w:sz="8" w:color="C1CECC"/>
            </w:tcBorders>
            <w:shd w:val="clear" w:color="auto" w:fill="F4F9F9"/>
          </w:tcPr>
          <w:p>
            <w:pPr>
              <w:spacing w:after="0"/>
              <w:rPr>
                <w:sz w:val="14"/>
                <w:szCs w:val="14"/>
                <w:color w:val="auto"/>
              </w:rPr>
            </w:pPr>
          </w:p>
        </w:tc>
        <w:tc>
          <w:tcPr>
            <w:tcW w:w="800" w:type="dxa"/>
            <w:vAlign w:val="bottom"/>
            <w:tcBorders>
              <w:bottom w:val="single" w:sz="8" w:color="C1CECC"/>
            </w:tcBorders>
            <w:shd w:val="clear" w:color="auto" w:fill="F4F9F9"/>
          </w:tcPr>
          <w:p>
            <w:pPr>
              <w:ind w:left="320"/>
              <w:spacing w:after="0"/>
              <w:rPr>
                <w:sz w:val="20"/>
                <w:szCs w:val="20"/>
                <w:color w:val="auto"/>
              </w:rPr>
            </w:pPr>
            <w:r>
              <w:rPr>
                <w:rFonts w:ascii="Arial" w:cs="Arial" w:eastAsia="Arial" w:hAnsi="Arial"/>
                <w:sz w:val="14"/>
                <w:szCs w:val="14"/>
                <w:color w:val="auto"/>
              </w:rPr>
              <w:t>2015</w:t>
            </w:r>
          </w:p>
        </w:tc>
        <w:tc>
          <w:tcPr>
            <w:tcW w:w="100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4"/>
                <w:szCs w:val="14"/>
                <w:color w:val="auto"/>
              </w:rPr>
              <w:t>27,814</w:t>
            </w:r>
          </w:p>
        </w:tc>
        <w:tc>
          <w:tcPr>
            <w:tcW w:w="94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4"/>
                <w:szCs w:val="14"/>
                <w:color w:val="auto"/>
              </w:rPr>
              <w:t>13,973</w:t>
            </w:r>
          </w:p>
        </w:tc>
        <w:tc>
          <w:tcPr>
            <w:tcW w:w="78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4"/>
                <w:szCs w:val="14"/>
                <w:color w:val="auto"/>
              </w:rPr>
              <w:t>26,434</w:t>
            </w:r>
          </w:p>
        </w:tc>
        <w:tc>
          <w:tcPr>
            <w:tcW w:w="960" w:type="dxa"/>
            <w:vAlign w:val="bottom"/>
            <w:tcBorders>
              <w:bottom w:val="single" w:sz="8" w:color="C1CECC"/>
            </w:tcBorders>
            <w:shd w:val="clear" w:color="auto" w:fill="F4F9F9"/>
          </w:tcPr>
          <w:p>
            <w:pPr>
              <w:jc w:val="center"/>
              <w:ind w:left="88"/>
              <w:spacing w:after="0"/>
              <w:rPr>
                <w:sz w:val="20"/>
                <w:szCs w:val="20"/>
                <w:color w:val="auto"/>
              </w:rPr>
            </w:pPr>
            <w:r>
              <w:rPr>
                <w:rFonts w:ascii="Arial" w:cs="Arial" w:eastAsia="Arial" w:hAnsi="Arial"/>
                <w:sz w:val="14"/>
                <w:szCs w:val="14"/>
                <w:color w:val="auto"/>
              </w:rPr>
              <w:t>74,634</w:t>
            </w:r>
          </w:p>
        </w:tc>
      </w:tr>
      <w:tr>
        <w:trPr>
          <w:trHeight w:val="160"/>
        </w:trPr>
        <w:tc>
          <w:tcPr>
            <w:tcW w:w="6560" w:type="dxa"/>
            <w:vAlign w:val="bottom"/>
            <w:gridSpan w:val="2"/>
          </w:tcPr>
          <w:p>
            <w:pPr>
              <w:spacing w:after="0"/>
              <w:rPr>
                <w:sz w:val="20"/>
                <w:szCs w:val="20"/>
                <w:color w:val="auto"/>
              </w:rPr>
            </w:pPr>
            <w:r>
              <w:rPr>
                <w:rFonts w:ascii="Arial" w:cs="Arial" w:eastAsia="Arial" w:hAnsi="Arial"/>
                <w:sz w:val="14"/>
                <w:szCs w:val="14"/>
                <w:color w:val="auto"/>
              </w:rPr>
              <w:t>Mr. Ferraro</w:t>
            </w:r>
          </w:p>
        </w:tc>
        <w:tc>
          <w:tcPr>
            <w:tcW w:w="800" w:type="dxa"/>
            <w:vAlign w:val="bottom"/>
          </w:tcPr>
          <w:p>
            <w:pPr>
              <w:ind w:left="320"/>
              <w:spacing w:after="0"/>
              <w:rPr>
                <w:sz w:val="20"/>
                <w:szCs w:val="20"/>
                <w:color w:val="auto"/>
              </w:rPr>
            </w:pPr>
            <w:r>
              <w:rPr>
                <w:rFonts w:ascii="Arial" w:cs="Arial" w:eastAsia="Arial" w:hAnsi="Arial"/>
                <w:sz w:val="14"/>
                <w:szCs w:val="14"/>
                <w:color w:val="auto"/>
              </w:rPr>
              <w:t>2017</w:t>
            </w:r>
          </w:p>
        </w:tc>
        <w:tc>
          <w:tcPr>
            <w:tcW w:w="1000" w:type="dxa"/>
            <w:vAlign w:val="bottom"/>
          </w:tcPr>
          <w:p>
            <w:pPr>
              <w:jc w:val="center"/>
              <w:spacing w:after="0"/>
              <w:rPr>
                <w:sz w:val="20"/>
                <w:szCs w:val="20"/>
                <w:color w:val="auto"/>
              </w:rPr>
            </w:pPr>
            <w:r>
              <w:rPr>
                <w:rFonts w:ascii="Arial" w:cs="Arial" w:eastAsia="Arial" w:hAnsi="Arial"/>
                <w:sz w:val="14"/>
                <w:szCs w:val="14"/>
                <w:color w:val="auto"/>
              </w:rPr>
              <w:t>2,334</w:t>
            </w:r>
          </w:p>
        </w:tc>
        <w:tc>
          <w:tcPr>
            <w:tcW w:w="940" w:type="dxa"/>
            <w:vAlign w:val="bottom"/>
          </w:tcPr>
          <w:p>
            <w:pPr>
              <w:jc w:val="center"/>
              <w:spacing w:after="0"/>
              <w:rPr>
                <w:sz w:val="20"/>
                <w:szCs w:val="20"/>
                <w:color w:val="auto"/>
              </w:rPr>
            </w:pPr>
            <w:r>
              <w:rPr>
                <w:rFonts w:ascii="Arial" w:cs="Arial" w:eastAsia="Arial" w:hAnsi="Arial"/>
                <w:sz w:val="14"/>
                <w:szCs w:val="14"/>
                <w:color w:val="auto"/>
              </w:rPr>
              <w:t>15,155</w:t>
            </w:r>
          </w:p>
        </w:tc>
        <w:tc>
          <w:tcPr>
            <w:tcW w:w="780" w:type="dxa"/>
            <w:vAlign w:val="bottom"/>
          </w:tcPr>
          <w:p>
            <w:pPr>
              <w:jc w:val="center"/>
              <w:spacing w:after="0"/>
              <w:rPr>
                <w:sz w:val="20"/>
                <w:szCs w:val="20"/>
                <w:color w:val="auto"/>
              </w:rPr>
            </w:pPr>
            <w:r>
              <w:rPr>
                <w:rFonts w:ascii="Arial" w:cs="Arial" w:eastAsia="Arial" w:hAnsi="Arial"/>
                <w:sz w:val="14"/>
                <w:szCs w:val="14"/>
                <w:color w:val="auto"/>
              </w:rPr>
              <w:t>20,342</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37,831</w:t>
            </w:r>
          </w:p>
        </w:tc>
      </w:tr>
      <w:tr>
        <w:trPr>
          <w:trHeight w:val="16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Arial" w:cs="Arial" w:eastAsia="Arial" w:hAnsi="Arial"/>
                <w:sz w:val="14"/>
                <w:szCs w:val="14"/>
                <w:color w:val="auto"/>
              </w:rPr>
              <w:t>2016</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spacing w:after="0"/>
              <w:rPr>
                <w:sz w:val="20"/>
                <w:szCs w:val="20"/>
                <w:color w:val="auto"/>
              </w:rPr>
            </w:pPr>
            <w:r>
              <w:rPr>
                <w:rFonts w:ascii="Arial" w:cs="Arial" w:eastAsia="Arial" w:hAnsi="Arial"/>
                <w:sz w:val="14"/>
                <w:szCs w:val="14"/>
                <w:color w:val="auto"/>
              </w:rPr>
              <w:t>10,417</w:t>
            </w:r>
          </w:p>
        </w:tc>
        <w:tc>
          <w:tcPr>
            <w:tcW w:w="780" w:type="dxa"/>
            <w:vAlign w:val="bottom"/>
          </w:tcPr>
          <w:p>
            <w:pPr>
              <w:jc w:val="center"/>
              <w:spacing w:after="0"/>
              <w:rPr>
                <w:sz w:val="20"/>
                <w:szCs w:val="20"/>
                <w:color w:val="auto"/>
              </w:rPr>
            </w:pPr>
            <w:r>
              <w:rPr>
                <w:rFonts w:ascii="Arial" w:cs="Arial" w:eastAsia="Arial" w:hAnsi="Arial"/>
                <w:sz w:val="14"/>
                <w:szCs w:val="14"/>
                <w:color w:val="auto"/>
              </w:rPr>
              <w:t>19,107</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33,374</w:t>
            </w:r>
          </w:p>
        </w:tc>
      </w:tr>
      <w:tr>
        <w:trPr>
          <w:trHeight w:val="157"/>
        </w:trPr>
        <w:tc>
          <w:tcPr>
            <w:tcW w:w="20" w:type="dxa"/>
            <w:vAlign w:val="bottom"/>
          </w:tcPr>
          <w:p>
            <w:pPr>
              <w:spacing w:after="0"/>
              <w:rPr>
                <w:sz w:val="13"/>
                <w:szCs w:val="13"/>
                <w:color w:val="auto"/>
              </w:rPr>
            </w:pPr>
          </w:p>
        </w:tc>
        <w:tc>
          <w:tcPr>
            <w:tcW w:w="6540" w:type="dxa"/>
            <w:vAlign w:val="bottom"/>
            <w:tcBorders>
              <w:bottom w:val="single" w:sz="8" w:color="C1CECC"/>
            </w:tcBorders>
          </w:tcPr>
          <w:p>
            <w:pPr>
              <w:spacing w:after="0"/>
              <w:rPr>
                <w:sz w:val="13"/>
                <w:szCs w:val="13"/>
                <w:color w:val="auto"/>
              </w:rPr>
            </w:pPr>
          </w:p>
        </w:tc>
        <w:tc>
          <w:tcPr>
            <w:tcW w:w="800" w:type="dxa"/>
            <w:vAlign w:val="bottom"/>
            <w:tcBorders>
              <w:bottom w:val="single" w:sz="8" w:color="C1CECC"/>
            </w:tcBorders>
          </w:tcPr>
          <w:p>
            <w:pPr>
              <w:ind w:left="320"/>
              <w:spacing w:after="0" w:line="157" w:lineRule="exact"/>
              <w:rPr>
                <w:sz w:val="20"/>
                <w:szCs w:val="20"/>
                <w:color w:val="auto"/>
              </w:rPr>
            </w:pPr>
            <w:r>
              <w:rPr>
                <w:rFonts w:ascii="Arial" w:cs="Arial" w:eastAsia="Arial" w:hAnsi="Arial"/>
                <w:sz w:val="14"/>
                <w:szCs w:val="14"/>
                <w:color w:val="auto"/>
              </w:rPr>
              <w:t>2015</w:t>
            </w:r>
          </w:p>
        </w:tc>
        <w:tc>
          <w:tcPr>
            <w:tcW w:w="1000" w:type="dxa"/>
            <w:vAlign w:val="bottom"/>
            <w:tcBorders>
              <w:bottom w:val="single" w:sz="8" w:color="C1CECC"/>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C1CECC"/>
            </w:tcBorders>
          </w:tcPr>
          <w:p>
            <w:pPr>
              <w:jc w:val="center"/>
              <w:spacing w:after="0" w:line="157" w:lineRule="exact"/>
              <w:rPr>
                <w:sz w:val="20"/>
                <w:szCs w:val="20"/>
                <w:color w:val="auto"/>
              </w:rPr>
            </w:pPr>
            <w:r>
              <w:rPr>
                <w:rFonts w:ascii="Arial" w:cs="Arial" w:eastAsia="Arial" w:hAnsi="Arial"/>
                <w:sz w:val="14"/>
                <w:szCs w:val="14"/>
                <w:color w:val="auto"/>
              </w:rPr>
              <w:t>972</w:t>
            </w:r>
          </w:p>
        </w:tc>
        <w:tc>
          <w:tcPr>
            <w:tcW w:w="780" w:type="dxa"/>
            <w:vAlign w:val="bottom"/>
            <w:tcBorders>
              <w:bottom w:val="single" w:sz="8" w:color="C1CECC"/>
            </w:tcBorders>
          </w:tcPr>
          <w:p>
            <w:pPr>
              <w:jc w:val="center"/>
              <w:spacing w:after="0" w:line="157" w:lineRule="exact"/>
              <w:rPr>
                <w:sz w:val="20"/>
                <w:szCs w:val="20"/>
                <w:color w:val="auto"/>
              </w:rPr>
            </w:pPr>
            <w:r>
              <w:rPr>
                <w:rFonts w:ascii="Arial" w:cs="Arial" w:eastAsia="Arial" w:hAnsi="Arial"/>
                <w:sz w:val="14"/>
                <w:szCs w:val="14"/>
                <w:color w:val="auto"/>
              </w:rPr>
              <w:t>19,146</w:t>
            </w:r>
          </w:p>
        </w:tc>
        <w:tc>
          <w:tcPr>
            <w:tcW w:w="960" w:type="dxa"/>
            <w:vAlign w:val="bottom"/>
            <w:tcBorders>
              <w:bottom w:val="single" w:sz="8" w:color="C1CECC"/>
            </w:tcBorders>
          </w:tcPr>
          <w:p>
            <w:pPr>
              <w:jc w:val="center"/>
              <w:ind w:left="88"/>
              <w:spacing w:after="0" w:line="157" w:lineRule="exact"/>
              <w:rPr>
                <w:sz w:val="20"/>
                <w:szCs w:val="20"/>
                <w:color w:val="auto"/>
              </w:rPr>
            </w:pPr>
            <w:r>
              <w:rPr>
                <w:rFonts w:ascii="Arial" w:cs="Arial" w:eastAsia="Arial" w:hAnsi="Arial"/>
                <w:sz w:val="14"/>
                <w:szCs w:val="14"/>
                <w:color w:val="auto"/>
              </w:rPr>
              <w:t>20,618</w:t>
            </w:r>
          </w:p>
        </w:tc>
      </w:tr>
      <w:tr>
        <w:trPr>
          <w:trHeight w:val="156"/>
        </w:trPr>
        <w:tc>
          <w:tcPr>
            <w:tcW w:w="20" w:type="dxa"/>
            <w:vAlign w:val="bottom"/>
          </w:tcPr>
          <w:p>
            <w:pPr>
              <w:spacing w:after="0"/>
              <w:rPr>
                <w:sz w:val="13"/>
                <w:szCs w:val="13"/>
                <w:color w:val="auto"/>
              </w:rPr>
            </w:pPr>
          </w:p>
        </w:tc>
        <w:tc>
          <w:tcPr>
            <w:tcW w:w="6540" w:type="dxa"/>
            <w:vAlign w:val="bottom"/>
            <w:shd w:val="clear" w:color="auto" w:fill="F4F9F9"/>
          </w:tcPr>
          <w:p>
            <w:pPr>
              <w:spacing w:after="0" w:line="155" w:lineRule="exact"/>
              <w:rPr>
                <w:sz w:val="20"/>
                <w:szCs w:val="20"/>
                <w:color w:val="auto"/>
              </w:rPr>
            </w:pPr>
            <w:r>
              <w:rPr>
                <w:rFonts w:ascii="Arial" w:cs="Arial" w:eastAsia="Arial" w:hAnsi="Arial"/>
                <w:sz w:val="14"/>
                <w:szCs w:val="14"/>
                <w:color w:val="auto"/>
              </w:rPr>
              <w:t>Mr. Servodidio</w:t>
            </w:r>
          </w:p>
        </w:tc>
        <w:tc>
          <w:tcPr>
            <w:tcW w:w="800" w:type="dxa"/>
            <w:vAlign w:val="bottom"/>
            <w:shd w:val="clear" w:color="auto" w:fill="F4F9F9"/>
          </w:tcPr>
          <w:p>
            <w:pPr>
              <w:ind w:left="320"/>
              <w:spacing w:after="0" w:line="155" w:lineRule="exact"/>
              <w:rPr>
                <w:sz w:val="20"/>
                <w:szCs w:val="20"/>
                <w:color w:val="auto"/>
              </w:rPr>
            </w:pPr>
            <w:r>
              <w:rPr>
                <w:rFonts w:ascii="Arial" w:cs="Arial" w:eastAsia="Arial" w:hAnsi="Arial"/>
                <w:sz w:val="14"/>
                <w:szCs w:val="14"/>
                <w:color w:val="auto"/>
              </w:rPr>
              <w:t>2017</w:t>
            </w:r>
          </w:p>
        </w:tc>
        <w:tc>
          <w:tcPr>
            <w:tcW w:w="1000" w:type="dxa"/>
            <w:vAlign w:val="bottom"/>
            <w:shd w:val="clear" w:color="auto" w:fill="F4F9F9"/>
          </w:tcPr>
          <w:p>
            <w:pPr>
              <w:jc w:val="center"/>
              <w:spacing w:after="0" w:line="155" w:lineRule="exact"/>
              <w:rPr>
                <w:sz w:val="20"/>
                <w:szCs w:val="20"/>
                <w:color w:val="auto"/>
              </w:rPr>
            </w:pPr>
            <w:r>
              <w:rPr>
                <w:rFonts w:ascii="Arial" w:cs="Arial" w:eastAsia="Arial" w:hAnsi="Arial"/>
                <w:sz w:val="14"/>
                <w:szCs w:val="14"/>
                <w:color w:val="auto"/>
                <w:w w:val="99"/>
              </w:rPr>
              <w:t>—</w:t>
            </w:r>
          </w:p>
        </w:tc>
        <w:tc>
          <w:tcPr>
            <w:tcW w:w="940" w:type="dxa"/>
            <w:vAlign w:val="bottom"/>
            <w:shd w:val="clear" w:color="auto" w:fill="F4F9F9"/>
          </w:tcPr>
          <w:p>
            <w:pPr>
              <w:jc w:val="center"/>
              <w:spacing w:after="0" w:line="155" w:lineRule="exact"/>
              <w:rPr>
                <w:sz w:val="20"/>
                <w:szCs w:val="20"/>
                <w:color w:val="auto"/>
              </w:rPr>
            </w:pPr>
            <w:r>
              <w:rPr>
                <w:rFonts w:ascii="Arial" w:cs="Arial" w:eastAsia="Arial" w:hAnsi="Arial"/>
                <w:sz w:val="14"/>
                <w:szCs w:val="14"/>
                <w:color w:val="auto"/>
              </w:rPr>
              <w:t>12,540</w:t>
            </w:r>
          </w:p>
        </w:tc>
        <w:tc>
          <w:tcPr>
            <w:tcW w:w="780" w:type="dxa"/>
            <w:vAlign w:val="bottom"/>
            <w:shd w:val="clear" w:color="auto" w:fill="F4F9F9"/>
          </w:tcPr>
          <w:p>
            <w:pPr>
              <w:jc w:val="center"/>
              <w:spacing w:after="0" w:line="155" w:lineRule="exact"/>
              <w:rPr>
                <w:sz w:val="20"/>
                <w:szCs w:val="20"/>
                <w:color w:val="auto"/>
              </w:rPr>
            </w:pPr>
            <w:r>
              <w:rPr>
                <w:rFonts w:ascii="Arial" w:cs="Arial" w:eastAsia="Arial" w:hAnsi="Arial"/>
                <w:sz w:val="14"/>
                <w:szCs w:val="14"/>
                <w:color w:val="auto"/>
              </w:rPr>
              <w:t>11,250</w:t>
            </w:r>
          </w:p>
        </w:tc>
        <w:tc>
          <w:tcPr>
            <w:tcW w:w="960" w:type="dxa"/>
            <w:vAlign w:val="bottom"/>
            <w:shd w:val="clear" w:color="auto" w:fill="F4F9F9"/>
          </w:tcPr>
          <w:p>
            <w:pPr>
              <w:jc w:val="center"/>
              <w:ind w:left="88"/>
              <w:spacing w:after="0" w:line="155" w:lineRule="exact"/>
              <w:rPr>
                <w:sz w:val="20"/>
                <w:szCs w:val="20"/>
                <w:color w:val="auto"/>
              </w:rPr>
            </w:pPr>
            <w:r>
              <w:rPr>
                <w:rFonts w:ascii="Arial" w:cs="Arial" w:eastAsia="Arial" w:hAnsi="Arial"/>
                <w:sz w:val="14"/>
                <w:szCs w:val="14"/>
                <w:color w:val="auto"/>
              </w:rPr>
              <w:t>27,640</w:t>
            </w:r>
          </w:p>
        </w:tc>
      </w:tr>
      <w:tr>
        <w:trPr>
          <w:trHeight w:val="162"/>
        </w:trPr>
        <w:tc>
          <w:tcPr>
            <w:tcW w:w="20" w:type="dxa"/>
            <w:vAlign w:val="bottom"/>
          </w:tcPr>
          <w:p>
            <w:pPr>
              <w:spacing w:after="0"/>
              <w:rPr>
                <w:sz w:val="14"/>
                <w:szCs w:val="14"/>
                <w:color w:val="auto"/>
              </w:rPr>
            </w:pPr>
          </w:p>
        </w:tc>
        <w:tc>
          <w:tcPr>
            <w:tcW w:w="6540" w:type="dxa"/>
            <w:vAlign w:val="bottom"/>
            <w:shd w:val="clear" w:color="auto" w:fill="F4F9F9"/>
          </w:tcPr>
          <w:p>
            <w:pPr>
              <w:spacing w:after="0"/>
              <w:rPr>
                <w:sz w:val="14"/>
                <w:szCs w:val="14"/>
                <w:color w:val="auto"/>
              </w:rPr>
            </w:pPr>
          </w:p>
        </w:tc>
        <w:tc>
          <w:tcPr>
            <w:tcW w:w="800" w:type="dxa"/>
            <w:vAlign w:val="bottom"/>
            <w:shd w:val="clear" w:color="auto" w:fill="F4F9F9"/>
          </w:tcPr>
          <w:p>
            <w:pPr>
              <w:ind w:left="320"/>
              <w:spacing w:after="0"/>
              <w:rPr>
                <w:sz w:val="20"/>
                <w:szCs w:val="20"/>
                <w:color w:val="auto"/>
              </w:rPr>
            </w:pPr>
            <w:r>
              <w:rPr>
                <w:rFonts w:ascii="Arial" w:cs="Arial" w:eastAsia="Arial" w:hAnsi="Arial"/>
                <w:sz w:val="14"/>
                <w:szCs w:val="14"/>
                <w:color w:val="auto"/>
              </w:rPr>
              <w:t>2016</w:t>
            </w:r>
          </w:p>
        </w:tc>
        <w:tc>
          <w:tcPr>
            <w:tcW w:w="1000" w:type="dxa"/>
            <w:vAlign w:val="bottom"/>
            <w:shd w:val="clear" w:color="auto" w:fill="F4F9F9"/>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F4F9F9"/>
          </w:tcPr>
          <w:p>
            <w:pPr>
              <w:jc w:val="center"/>
              <w:spacing w:after="0"/>
              <w:rPr>
                <w:sz w:val="20"/>
                <w:szCs w:val="20"/>
                <w:color w:val="auto"/>
              </w:rPr>
            </w:pPr>
            <w:r>
              <w:rPr>
                <w:rFonts w:ascii="Arial" w:cs="Arial" w:eastAsia="Arial" w:hAnsi="Arial"/>
                <w:sz w:val="14"/>
                <w:szCs w:val="14"/>
                <w:color w:val="auto"/>
              </w:rPr>
              <w:t>12,018</w:t>
            </w:r>
          </w:p>
        </w:tc>
        <w:tc>
          <w:tcPr>
            <w:tcW w:w="780" w:type="dxa"/>
            <w:vAlign w:val="bottom"/>
            <w:shd w:val="clear" w:color="auto" w:fill="F4F9F9"/>
          </w:tcPr>
          <w:p>
            <w:pPr>
              <w:jc w:val="center"/>
              <w:spacing w:after="0"/>
              <w:rPr>
                <w:sz w:val="20"/>
                <w:szCs w:val="20"/>
                <w:color w:val="auto"/>
              </w:rPr>
            </w:pPr>
            <w:r>
              <w:rPr>
                <w:rFonts w:ascii="Arial" w:cs="Arial" w:eastAsia="Arial" w:hAnsi="Arial"/>
                <w:sz w:val="14"/>
                <w:szCs w:val="14"/>
                <w:color w:val="auto"/>
              </w:rPr>
              <w:t>17,750</w:t>
            </w:r>
          </w:p>
        </w:tc>
        <w:tc>
          <w:tcPr>
            <w:tcW w:w="960" w:type="dxa"/>
            <w:vAlign w:val="bottom"/>
            <w:shd w:val="clear" w:color="auto" w:fill="F4F9F9"/>
          </w:tcPr>
          <w:p>
            <w:pPr>
              <w:jc w:val="center"/>
              <w:ind w:left="88"/>
              <w:spacing w:after="0"/>
              <w:rPr>
                <w:sz w:val="20"/>
                <w:szCs w:val="20"/>
                <w:color w:val="auto"/>
              </w:rPr>
            </w:pPr>
            <w:r>
              <w:rPr>
                <w:rFonts w:ascii="Arial" w:cs="Arial" w:eastAsia="Arial" w:hAnsi="Arial"/>
                <w:sz w:val="14"/>
                <w:szCs w:val="14"/>
                <w:color w:val="auto"/>
              </w:rPr>
              <w:t>33,518</w:t>
            </w:r>
          </w:p>
        </w:tc>
      </w:tr>
      <w:tr>
        <w:trPr>
          <w:trHeight w:val="162"/>
        </w:trPr>
        <w:tc>
          <w:tcPr>
            <w:tcW w:w="20" w:type="dxa"/>
            <w:vAlign w:val="bottom"/>
          </w:tcPr>
          <w:p>
            <w:pPr>
              <w:spacing w:after="0"/>
              <w:rPr>
                <w:sz w:val="14"/>
                <w:szCs w:val="14"/>
                <w:color w:val="auto"/>
              </w:rPr>
            </w:pPr>
          </w:p>
        </w:tc>
        <w:tc>
          <w:tcPr>
            <w:tcW w:w="6540" w:type="dxa"/>
            <w:vAlign w:val="bottom"/>
            <w:tcBorders>
              <w:bottom w:val="single" w:sz="8" w:color="C1CECC"/>
            </w:tcBorders>
            <w:shd w:val="clear" w:color="auto" w:fill="F4F9F9"/>
          </w:tcPr>
          <w:p>
            <w:pPr>
              <w:spacing w:after="0"/>
              <w:rPr>
                <w:sz w:val="14"/>
                <w:szCs w:val="14"/>
                <w:color w:val="auto"/>
              </w:rPr>
            </w:pPr>
          </w:p>
        </w:tc>
        <w:tc>
          <w:tcPr>
            <w:tcW w:w="800" w:type="dxa"/>
            <w:vAlign w:val="bottom"/>
            <w:tcBorders>
              <w:bottom w:val="single" w:sz="8" w:color="C1CECC"/>
            </w:tcBorders>
            <w:shd w:val="clear" w:color="auto" w:fill="F4F9F9"/>
          </w:tcPr>
          <w:p>
            <w:pPr>
              <w:ind w:left="320"/>
              <w:spacing w:after="0"/>
              <w:rPr>
                <w:sz w:val="20"/>
                <w:szCs w:val="20"/>
                <w:color w:val="auto"/>
              </w:rPr>
            </w:pPr>
            <w:r>
              <w:rPr>
                <w:rFonts w:ascii="Arial" w:cs="Arial" w:eastAsia="Arial" w:hAnsi="Arial"/>
                <w:sz w:val="14"/>
                <w:szCs w:val="14"/>
                <w:color w:val="auto"/>
              </w:rPr>
              <w:t>2015</w:t>
            </w:r>
          </w:p>
        </w:tc>
        <w:tc>
          <w:tcPr>
            <w:tcW w:w="100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4"/>
                <w:szCs w:val="14"/>
                <w:color w:val="auto"/>
              </w:rPr>
              <w:t>11,752</w:t>
            </w:r>
          </w:p>
        </w:tc>
        <w:tc>
          <w:tcPr>
            <w:tcW w:w="780" w:type="dxa"/>
            <w:vAlign w:val="bottom"/>
            <w:tcBorders>
              <w:bottom w:val="single" w:sz="8" w:color="C1CECC"/>
            </w:tcBorders>
            <w:shd w:val="clear" w:color="auto" w:fill="F4F9F9"/>
          </w:tcPr>
          <w:p>
            <w:pPr>
              <w:jc w:val="center"/>
              <w:spacing w:after="0"/>
              <w:rPr>
                <w:sz w:val="20"/>
                <w:szCs w:val="20"/>
                <w:color w:val="auto"/>
              </w:rPr>
            </w:pPr>
            <w:r>
              <w:rPr>
                <w:rFonts w:ascii="Arial" w:cs="Arial" w:eastAsia="Arial" w:hAnsi="Arial"/>
                <w:sz w:val="14"/>
                <w:szCs w:val="14"/>
                <w:color w:val="auto"/>
              </w:rPr>
              <w:t>12,750</w:t>
            </w:r>
          </w:p>
        </w:tc>
        <w:tc>
          <w:tcPr>
            <w:tcW w:w="960" w:type="dxa"/>
            <w:vAlign w:val="bottom"/>
            <w:tcBorders>
              <w:bottom w:val="single" w:sz="8" w:color="C1CECC"/>
            </w:tcBorders>
            <w:shd w:val="clear" w:color="auto" w:fill="F4F9F9"/>
          </w:tcPr>
          <w:p>
            <w:pPr>
              <w:jc w:val="center"/>
              <w:ind w:left="88"/>
              <w:spacing w:after="0"/>
              <w:rPr>
                <w:sz w:val="20"/>
                <w:szCs w:val="20"/>
                <w:color w:val="auto"/>
              </w:rPr>
            </w:pPr>
            <w:r>
              <w:rPr>
                <w:rFonts w:ascii="Arial" w:cs="Arial" w:eastAsia="Arial" w:hAnsi="Arial"/>
                <w:sz w:val="14"/>
                <w:szCs w:val="14"/>
                <w:color w:val="auto"/>
              </w:rPr>
              <w:t>24,502</w:t>
            </w:r>
          </w:p>
        </w:tc>
      </w:tr>
      <w:tr>
        <w:trPr>
          <w:trHeight w:val="160"/>
        </w:trPr>
        <w:tc>
          <w:tcPr>
            <w:tcW w:w="6560" w:type="dxa"/>
            <w:vAlign w:val="bottom"/>
            <w:gridSpan w:val="2"/>
          </w:tcPr>
          <w:p>
            <w:pPr>
              <w:spacing w:after="0"/>
              <w:rPr>
                <w:sz w:val="20"/>
                <w:szCs w:val="20"/>
                <w:color w:val="auto"/>
              </w:rPr>
            </w:pPr>
            <w:r>
              <w:rPr>
                <w:rFonts w:ascii="Arial" w:cs="Arial" w:eastAsia="Arial" w:hAnsi="Arial"/>
                <w:sz w:val="14"/>
                <w:szCs w:val="14"/>
                <w:color w:val="auto"/>
              </w:rPr>
              <w:t>Mr. Wyshner</w:t>
            </w:r>
          </w:p>
        </w:tc>
        <w:tc>
          <w:tcPr>
            <w:tcW w:w="800" w:type="dxa"/>
            <w:vAlign w:val="bottom"/>
          </w:tcPr>
          <w:p>
            <w:pPr>
              <w:ind w:left="320"/>
              <w:spacing w:after="0"/>
              <w:rPr>
                <w:sz w:val="20"/>
                <w:szCs w:val="20"/>
                <w:color w:val="auto"/>
              </w:rPr>
            </w:pPr>
            <w:r>
              <w:rPr>
                <w:rFonts w:ascii="Arial" w:cs="Arial" w:eastAsia="Arial" w:hAnsi="Arial"/>
                <w:sz w:val="14"/>
                <w:szCs w:val="14"/>
                <w:color w:val="auto"/>
              </w:rPr>
              <w:t>2017</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spacing w:after="0"/>
              <w:rPr>
                <w:sz w:val="20"/>
                <w:szCs w:val="20"/>
                <w:color w:val="auto"/>
              </w:rPr>
            </w:pPr>
            <w:r>
              <w:rPr>
                <w:rFonts w:ascii="Arial" w:cs="Arial" w:eastAsia="Arial" w:hAnsi="Arial"/>
                <w:sz w:val="14"/>
                <w:szCs w:val="14"/>
                <w:color w:val="auto"/>
              </w:rPr>
              <w:t>13,006</w:t>
            </w:r>
          </w:p>
        </w:tc>
        <w:tc>
          <w:tcPr>
            <w:tcW w:w="780" w:type="dxa"/>
            <w:vAlign w:val="bottom"/>
          </w:tcPr>
          <w:p>
            <w:pPr>
              <w:jc w:val="center"/>
              <w:spacing w:after="0"/>
              <w:rPr>
                <w:sz w:val="20"/>
                <w:szCs w:val="20"/>
                <w:color w:val="auto"/>
              </w:rPr>
            </w:pPr>
            <w:r>
              <w:rPr>
                <w:rFonts w:ascii="Arial" w:cs="Arial" w:eastAsia="Arial" w:hAnsi="Arial"/>
                <w:sz w:val="14"/>
                <w:szCs w:val="14"/>
                <w:color w:val="auto"/>
              </w:rPr>
              <w:t>20,000</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36,856</w:t>
            </w:r>
          </w:p>
        </w:tc>
      </w:tr>
      <w:tr>
        <w:trPr>
          <w:trHeight w:val="16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Arial" w:cs="Arial" w:eastAsia="Arial" w:hAnsi="Arial"/>
                <w:sz w:val="14"/>
                <w:szCs w:val="14"/>
                <w:color w:val="auto"/>
              </w:rPr>
              <w:t>2016</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spacing w:after="0"/>
              <w:rPr>
                <w:sz w:val="20"/>
                <w:szCs w:val="20"/>
                <w:color w:val="auto"/>
              </w:rPr>
            </w:pPr>
            <w:r>
              <w:rPr>
                <w:rFonts w:ascii="Arial" w:cs="Arial" w:eastAsia="Arial" w:hAnsi="Arial"/>
                <w:sz w:val="14"/>
                <w:szCs w:val="14"/>
                <w:color w:val="auto"/>
              </w:rPr>
              <w:t>13,238</w:t>
            </w:r>
          </w:p>
        </w:tc>
        <w:tc>
          <w:tcPr>
            <w:tcW w:w="780" w:type="dxa"/>
            <w:vAlign w:val="bottom"/>
          </w:tcPr>
          <w:p>
            <w:pPr>
              <w:jc w:val="center"/>
              <w:spacing w:after="0"/>
              <w:rPr>
                <w:sz w:val="20"/>
                <w:szCs w:val="20"/>
                <w:color w:val="auto"/>
              </w:rPr>
            </w:pPr>
            <w:r>
              <w:rPr>
                <w:rFonts w:ascii="Arial" w:cs="Arial" w:eastAsia="Arial" w:hAnsi="Arial"/>
                <w:sz w:val="14"/>
                <w:szCs w:val="14"/>
                <w:color w:val="auto"/>
              </w:rPr>
              <w:t>20,000</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33,238</w:t>
            </w:r>
          </w:p>
        </w:tc>
      </w:tr>
      <w:tr>
        <w:trPr>
          <w:trHeight w:val="157"/>
        </w:trPr>
        <w:tc>
          <w:tcPr>
            <w:tcW w:w="20" w:type="dxa"/>
            <w:vAlign w:val="bottom"/>
          </w:tcPr>
          <w:p>
            <w:pPr>
              <w:spacing w:after="0"/>
              <w:rPr>
                <w:sz w:val="13"/>
                <w:szCs w:val="13"/>
                <w:color w:val="auto"/>
              </w:rPr>
            </w:pPr>
          </w:p>
        </w:tc>
        <w:tc>
          <w:tcPr>
            <w:tcW w:w="6540" w:type="dxa"/>
            <w:vAlign w:val="bottom"/>
            <w:tcBorders>
              <w:bottom w:val="single" w:sz="8" w:color="C1CECC"/>
            </w:tcBorders>
          </w:tcPr>
          <w:p>
            <w:pPr>
              <w:spacing w:after="0"/>
              <w:rPr>
                <w:sz w:val="13"/>
                <w:szCs w:val="13"/>
                <w:color w:val="auto"/>
              </w:rPr>
            </w:pPr>
          </w:p>
        </w:tc>
        <w:tc>
          <w:tcPr>
            <w:tcW w:w="800" w:type="dxa"/>
            <w:vAlign w:val="bottom"/>
            <w:tcBorders>
              <w:bottom w:val="single" w:sz="8" w:color="C1CECC"/>
            </w:tcBorders>
          </w:tcPr>
          <w:p>
            <w:pPr>
              <w:ind w:left="320"/>
              <w:spacing w:after="0" w:line="157" w:lineRule="exact"/>
              <w:rPr>
                <w:sz w:val="20"/>
                <w:szCs w:val="20"/>
                <w:color w:val="auto"/>
              </w:rPr>
            </w:pPr>
            <w:r>
              <w:rPr>
                <w:rFonts w:ascii="Arial" w:cs="Arial" w:eastAsia="Arial" w:hAnsi="Arial"/>
                <w:sz w:val="14"/>
                <w:szCs w:val="14"/>
                <w:color w:val="auto"/>
              </w:rPr>
              <w:t>2015</w:t>
            </w:r>
          </w:p>
        </w:tc>
        <w:tc>
          <w:tcPr>
            <w:tcW w:w="1000" w:type="dxa"/>
            <w:vAlign w:val="bottom"/>
            <w:tcBorders>
              <w:bottom w:val="single" w:sz="8" w:color="C1CECC"/>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C1CECC"/>
            </w:tcBorders>
          </w:tcPr>
          <w:p>
            <w:pPr>
              <w:jc w:val="center"/>
              <w:spacing w:after="0" w:line="157" w:lineRule="exact"/>
              <w:rPr>
                <w:sz w:val="20"/>
                <w:szCs w:val="20"/>
                <w:color w:val="auto"/>
              </w:rPr>
            </w:pPr>
            <w:r>
              <w:rPr>
                <w:rFonts w:ascii="Arial" w:cs="Arial" w:eastAsia="Arial" w:hAnsi="Arial"/>
                <w:sz w:val="14"/>
                <w:szCs w:val="14"/>
                <w:color w:val="auto"/>
              </w:rPr>
              <w:t>12,972</w:t>
            </w:r>
          </w:p>
        </w:tc>
        <w:tc>
          <w:tcPr>
            <w:tcW w:w="780" w:type="dxa"/>
            <w:vAlign w:val="bottom"/>
            <w:tcBorders>
              <w:bottom w:val="single" w:sz="8" w:color="C1CECC"/>
            </w:tcBorders>
          </w:tcPr>
          <w:p>
            <w:pPr>
              <w:jc w:val="center"/>
              <w:spacing w:after="0" w:line="157" w:lineRule="exact"/>
              <w:rPr>
                <w:sz w:val="20"/>
                <w:szCs w:val="20"/>
                <w:color w:val="auto"/>
              </w:rPr>
            </w:pPr>
            <w:r>
              <w:rPr>
                <w:rFonts w:ascii="Arial" w:cs="Arial" w:eastAsia="Arial" w:hAnsi="Arial"/>
                <w:sz w:val="14"/>
                <w:szCs w:val="14"/>
                <w:color w:val="auto"/>
              </w:rPr>
              <w:t>20,000</w:t>
            </w:r>
          </w:p>
        </w:tc>
        <w:tc>
          <w:tcPr>
            <w:tcW w:w="960" w:type="dxa"/>
            <w:vAlign w:val="bottom"/>
            <w:tcBorders>
              <w:bottom w:val="single" w:sz="8" w:color="C1CECC"/>
            </w:tcBorders>
          </w:tcPr>
          <w:p>
            <w:pPr>
              <w:jc w:val="center"/>
              <w:ind w:left="88"/>
              <w:spacing w:after="0" w:line="157" w:lineRule="exact"/>
              <w:rPr>
                <w:sz w:val="20"/>
                <w:szCs w:val="20"/>
                <w:color w:val="auto"/>
              </w:rPr>
            </w:pPr>
            <w:r>
              <w:rPr>
                <w:rFonts w:ascii="Arial" w:cs="Arial" w:eastAsia="Arial" w:hAnsi="Arial"/>
                <w:sz w:val="14"/>
                <w:szCs w:val="14"/>
                <w:color w:val="auto"/>
              </w:rPr>
              <w:t>32,972</w:t>
            </w:r>
          </w:p>
        </w:tc>
      </w:tr>
    </w:tbl>
    <w:p>
      <w:pPr>
        <w:spacing w:after="0" w:line="364" w:lineRule="exact"/>
        <w:rPr>
          <w:sz w:val="20"/>
          <w:szCs w:val="20"/>
          <w:color w:val="auto"/>
        </w:rPr>
      </w:pPr>
    </w:p>
    <w:p>
      <w:pPr>
        <w:jc w:val="both"/>
        <w:ind w:left="520" w:right="20" w:hanging="316"/>
        <w:spacing w:after="0" w:line="224" w:lineRule="auto"/>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Under our aircraft policy, our CEO has reasonable non-business access to leased jet services, subject to prevailing market practices and our Chairman has reasonable non-business access to leased jet services not to exceed $75,000 per year. For our Former CFO, reasonable non-business access was subject to availability and was not to exceed ten hours per year, unless approved by our CEO in his sole discretion. For our other NEOs, non-business access is subject to approval by our CEO in his sole discretion. The incremental cost of personal use of the leased jet services was calculated based on the contracted per hour cost, which includes flight-specific direct operating costs such as standard fuel, maintenance, repairs, catering and miscellaneous fees such as variable fuel surcharge as applicable, and international fees for travel outside the United States. Since the aircraft is leased primarily for business travel, fixed costs, such as crew salaries, training, hangaring, insurance and services support are not included. Spouses of NEOs are occasionally additional passengers on business flights provided by our leased jet services. In such cases, there is no incremental cost to the Company, and as a result, no amount is reflected in the table.</w:t>
      </w:r>
    </w:p>
    <w:p>
      <w:pPr>
        <w:spacing w:after="0" w:line="107" w:lineRule="exact"/>
        <w:rPr>
          <w:rFonts w:ascii="Arial" w:cs="Arial" w:eastAsia="Arial" w:hAnsi="Arial"/>
          <w:sz w:val="14"/>
          <w:szCs w:val="14"/>
          <w:color w:val="auto"/>
        </w:rPr>
      </w:pPr>
    </w:p>
    <w:p>
      <w:pPr>
        <w:jc w:val="both"/>
        <w:ind w:left="520" w:right="20" w:hanging="316"/>
        <w:spacing w:after="0" w:line="226" w:lineRule="auto"/>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For Mr. Nelson, includes reimbursement for financial services provided by an approved outside vendor up to a maximum of $12,000. For the other NEOs, excluding Mr. Smith, includes actual costs we incurred for financial services, including tax return preparation, financial planning and estate planning. Amounts also include Company-paid premiums in connection with a group excess liability umbrella insurance policy, which for 2017 were $2,141 for Messrs. Nelson and De Shon, $626 for Mr. Wyshner, $1,455 for Messrs. Ferraro and Servodidio, and $833 for Mr. Smith.</w:t>
      </w:r>
    </w:p>
    <w:p>
      <w:pPr>
        <w:spacing w:after="0" w:line="109" w:lineRule="exact"/>
        <w:rPr>
          <w:rFonts w:ascii="Arial" w:cs="Arial" w:eastAsia="Arial" w:hAnsi="Arial"/>
          <w:sz w:val="14"/>
          <w:szCs w:val="14"/>
          <w:color w:val="auto"/>
        </w:rPr>
      </w:pPr>
    </w:p>
    <w:p>
      <w:pPr>
        <w:jc w:val="both"/>
        <w:ind w:left="520" w:right="20" w:hanging="316"/>
        <w:spacing w:after="0" w:line="228" w:lineRule="auto"/>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the annual lease value of a Company-provided car, or annual car allowance. For Mr. Servodidio, reflects an average £/$ exchange rate for the vehicle use period. NEOs are eligible to participate in the Company’s employee auto insurance program and employee car lease program; however, no amounts are included for these programs as the Company does not incur any associated incremental cost.</w:t>
      </w:r>
    </w:p>
    <w:p>
      <w:pPr>
        <w:spacing w:after="0" w:line="108" w:lineRule="exact"/>
        <w:rPr>
          <w:rFonts w:ascii="Arial" w:cs="Arial" w:eastAsia="Arial" w:hAnsi="Arial"/>
          <w:sz w:val="14"/>
          <w:szCs w:val="14"/>
          <w:color w:val="auto"/>
        </w:rPr>
      </w:pPr>
    </w:p>
    <w:p>
      <w:pPr>
        <w:jc w:val="both"/>
        <w:ind w:left="520" w:right="20" w:hanging="316"/>
        <w:spacing w:after="0" w:line="228" w:lineRule="auto"/>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For Mr. Nelson, includes: (i) annual dues of $1,450 paid by the Company for a corporate private club membership used primarily for Company-sponsored meetings, which has now been transferred to our CEO; however, no amounts are included for occasional personal use of this membership as the Company does not incur any associated incremental cost; and (ii) discretionary matching contributions made by The Avis Budget Group Charitable Foundation of $5,000.</w:t>
      </w:r>
    </w:p>
    <w:p>
      <w:pPr>
        <w:spacing w:after="0" w:line="108" w:lineRule="exact"/>
        <w:rPr>
          <w:rFonts w:ascii="Arial" w:cs="Arial" w:eastAsia="Arial" w:hAnsi="Arial"/>
          <w:sz w:val="14"/>
          <w:szCs w:val="14"/>
          <w:color w:val="auto"/>
        </w:rPr>
      </w:pPr>
    </w:p>
    <w:p>
      <w:pPr>
        <w:ind w:left="520" w:hanging="316"/>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include payments for annual physical examinations (annual costs for any NEO did not exceed $3,850).</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CEO Pay Ratio</w:t>
      </w:r>
    </w:p>
    <w:p>
      <w:pPr>
        <w:spacing w:after="0" w:line="130"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For 2017, the Company reviewed a comparison of CEO pay to the pay of all its employees in 2017. The review included all employees employed by the Company as of October 1, 2017 and excluded 517, 293, 92, 8 and 609 of non-U.S. based employees in India, Brazil, Argentina, Monaco and China, respectively. We identified our median employee by (i) examining payroll records of each employee as previously described, whether employed on a full-time, part-time, seasonal or temporary basis, to</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4" w:lineRule="auto"/>
        <w:rPr>
          <w:sz w:val="20"/>
          <w:szCs w:val="20"/>
          <w:color w:val="auto"/>
        </w:rPr>
      </w:pPr>
      <w:r>
        <w:rPr>
          <w:rFonts w:ascii="Arial" w:cs="Arial" w:eastAsia="Arial" w:hAnsi="Arial"/>
          <w:sz w:val="18"/>
          <w:szCs w:val="18"/>
          <w:color w:val="auto"/>
        </w:rPr>
        <w:t>calculate each employee’s gross earnings for a twelve-month period starting October 1, 2016 through September 30, 2017; (ii) ranking, by total amount of gross earnings, all employees except for our CEO from highest to lowest, resulting in a list of 29,083 employees; and</w:t>
      </w:r>
    </w:p>
    <w:p>
      <w:pPr>
        <w:spacing w:after="0" w:line="2" w:lineRule="exact"/>
        <w:rPr>
          <w:sz w:val="20"/>
          <w:szCs w:val="20"/>
          <w:color w:val="auto"/>
        </w:rPr>
      </w:pPr>
    </w:p>
    <w:p>
      <w:pPr>
        <w:jc w:val="both"/>
        <w:ind w:left="200" w:right="20" w:firstLine="4"/>
        <w:spacing w:after="0"/>
        <w:tabs>
          <w:tab w:leader="none" w:pos="4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selecting the employee ranked 14,542 on the list (the “Median Employee”). After identifying our Median Employee, we calculated total annual compensation for such employee, using the same methodology used for our named executive officers as set forth in the Summary Compensation Table above.</w:t>
      </w:r>
    </w:p>
    <w:p>
      <w:pPr>
        <w:spacing w:after="0" w:line="203"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Total compensation for 2017 for our CEO was $6,934,077. Our Median Employee’s total compensation for 2017 was $28,831. The ratio of our CEO’s pay to the pay of our Median Employee for 2017 is 241 to 1.</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Grants of Plan-Based Awards Table</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All</w:t>
            </w: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Stock</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Awards</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Grant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Number</w:t>
            </w: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All Other</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of</w:t>
            </w: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Option</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7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Estimated Possible Payouts</w:t>
            </w:r>
          </w:p>
        </w:tc>
        <w:tc>
          <w:tcPr>
            <w:tcW w:w="20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7"/>
              </w:rPr>
              <w:t>Estimated Future Payouts</w:t>
            </w:r>
          </w:p>
        </w:tc>
        <w:tc>
          <w:tcPr>
            <w:tcW w:w="6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Shares</w:t>
            </w: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or Base</w:t>
            </w:r>
          </w:p>
        </w:tc>
        <w:tc>
          <w:tcPr>
            <w:tcW w:w="7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62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of</w:t>
            </w:r>
          </w:p>
        </w:tc>
        <w:tc>
          <w:tcPr>
            <w:tcW w:w="80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66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Price of</w:t>
            </w:r>
          </w:p>
        </w:tc>
        <w:tc>
          <w:tcPr>
            <w:tcW w:w="76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20" w:type="dxa"/>
            <w:vAlign w:val="bottom"/>
            <w:gridSpan w:val="3"/>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Under Non-Equity Incentive</w:t>
            </w:r>
          </w:p>
        </w:tc>
        <w:tc>
          <w:tcPr>
            <w:tcW w:w="2020" w:type="dxa"/>
            <w:vAlign w:val="bottom"/>
            <w:gridSpan w:val="3"/>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Under Equity Incentive</w:t>
            </w:r>
          </w:p>
        </w:tc>
        <w:tc>
          <w:tcPr>
            <w:tcW w:w="62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62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rPr>
              <w:t>Stock</w:t>
            </w:r>
          </w:p>
        </w:tc>
        <w:tc>
          <w:tcPr>
            <w:tcW w:w="80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66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76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rPr>
              <w:t>and</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Plan Awards (a)</w:t>
            </w:r>
          </w:p>
        </w:tc>
        <w:tc>
          <w:tcPr>
            <w:tcW w:w="20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7"/>
              </w:rPr>
              <w:t>Plan Awards (b)</w:t>
            </w:r>
          </w:p>
        </w:tc>
        <w:tc>
          <w:tcPr>
            <w:tcW w:w="62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vMerge w:val="restart"/>
          </w:tcPr>
          <w:p>
            <w:pPr>
              <w:jc w:val="center"/>
              <w:ind w:right="60"/>
              <w:spacing w:after="0" w:line="135" w:lineRule="exact"/>
              <w:rPr>
                <w:sz w:val="20"/>
                <w:szCs w:val="20"/>
                <w:color w:val="auto"/>
              </w:rPr>
            </w:pPr>
            <w:r>
              <w:rPr>
                <w:rFonts w:ascii="Arial" w:cs="Arial" w:eastAsia="Arial" w:hAnsi="Arial"/>
                <w:sz w:val="13"/>
                <w:szCs w:val="13"/>
                <w:b w:val="1"/>
                <w:bCs w:val="1"/>
                <w:color w:val="auto"/>
                <w:w w:val="93"/>
              </w:rPr>
              <w:t>Grant/</w:t>
            </w:r>
          </w:p>
        </w:tc>
        <w:tc>
          <w:tcPr>
            <w:tcW w:w="2220" w:type="dxa"/>
            <w:vAlign w:val="bottom"/>
            <w:tcBorders>
              <w:bottom w:val="single" w:sz="8" w:color="auto"/>
            </w:tcBorders>
            <w:gridSpan w:val="3"/>
            <w:vMerge w:val="continue"/>
          </w:tcPr>
          <w:p>
            <w:pPr>
              <w:spacing w:after="0"/>
              <w:rPr>
                <w:sz w:val="7"/>
                <w:szCs w:val="7"/>
                <w:color w:val="auto"/>
              </w:rPr>
            </w:pPr>
          </w:p>
        </w:tc>
        <w:tc>
          <w:tcPr>
            <w:tcW w:w="2020" w:type="dxa"/>
            <w:vAlign w:val="bottom"/>
            <w:tcBorders>
              <w:bottom w:val="single" w:sz="8" w:color="auto"/>
            </w:tcBorders>
            <w:gridSpan w:val="3"/>
            <w:vMerge w:val="continue"/>
          </w:tcPr>
          <w:p>
            <w:pPr>
              <w:spacing w:after="0"/>
              <w:rPr>
                <w:sz w:val="7"/>
                <w:szCs w:val="7"/>
                <w:color w:val="auto"/>
              </w:rPr>
            </w:pPr>
          </w:p>
        </w:tc>
        <w:tc>
          <w:tcPr>
            <w:tcW w:w="62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or</w:t>
            </w:r>
          </w:p>
        </w:tc>
        <w:tc>
          <w:tcPr>
            <w:tcW w:w="80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66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3"/>
              </w:rPr>
              <w:t>Awards</w:t>
            </w:r>
          </w:p>
        </w:tc>
        <w:tc>
          <w:tcPr>
            <w:tcW w:w="76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5"/>
              </w:rPr>
              <w:t>Approval</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Threshold</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Target</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Maximum</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Threshold</w:t>
            </w: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Target</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Maximum</w:t>
            </w:r>
          </w:p>
        </w:tc>
        <w:tc>
          <w:tcPr>
            <w:tcW w:w="6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Units</w:t>
            </w: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Options</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 per</w:t>
            </w:r>
          </w:p>
        </w:tc>
        <w:tc>
          <w:tcPr>
            <w:tcW w:w="7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157"/>
        </w:trPr>
        <w:tc>
          <w:tcPr>
            <w:tcW w:w="23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840" w:type="dxa"/>
            <w:vAlign w:val="bottom"/>
          </w:tcPr>
          <w:p>
            <w:pPr>
              <w:ind w:left="100"/>
              <w:spacing w:after="0"/>
              <w:rPr>
                <w:sz w:val="20"/>
                <w:szCs w:val="20"/>
                <w:color w:val="auto"/>
              </w:rPr>
            </w:pPr>
            <w:r>
              <w:rPr>
                <w:rFonts w:ascii="Arial" w:cs="Arial" w:eastAsia="Arial" w:hAnsi="Arial"/>
                <w:sz w:val="13"/>
                <w:szCs w:val="13"/>
                <w:b w:val="1"/>
                <w:bCs w:val="1"/>
                <w:color w:val="auto"/>
                <w:w w:val="97"/>
              </w:rPr>
              <w:t>Award Type</w:t>
            </w:r>
          </w:p>
        </w:tc>
        <w:tc>
          <w:tcPr>
            <w:tcW w:w="80" w:type="dxa"/>
            <w:vAlign w:val="bottom"/>
          </w:tcPr>
          <w:p>
            <w:pPr>
              <w:spacing w:after="0"/>
              <w:rPr>
                <w:sz w:val="13"/>
                <w:szCs w:val="13"/>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9"/>
              </w:rPr>
              <w:t>Date</w:t>
            </w:r>
          </w:p>
        </w:tc>
        <w:tc>
          <w:tcPr>
            <w:tcW w:w="78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rPr>
              <w:t>(#)(c)</w:t>
            </w:r>
          </w:p>
        </w:tc>
        <w:tc>
          <w:tcPr>
            <w:tcW w:w="760" w:type="dxa"/>
            <w:vAlign w:val="bottom"/>
          </w:tcPr>
          <w:p>
            <w:pPr>
              <w:jc w:val="center"/>
              <w:ind w:left="37"/>
              <w:spacing w:after="0"/>
              <w:rPr>
                <w:sz w:val="20"/>
                <w:szCs w:val="20"/>
                <w:color w:val="auto"/>
              </w:rPr>
            </w:pPr>
            <w:r>
              <w:rPr>
                <w:rFonts w:ascii="Arial" w:cs="Arial" w:eastAsia="Arial" w:hAnsi="Arial"/>
                <w:sz w:val="13"/>
                <w:szCs w:val="13"/>
                <w:b w:val="1"/>
                <w:bCs w:val="1"/>
                <w:color w:val="auto"/>
                <w:w w:val="87"/>
              </w:rPr>
              <w:t>(#)</w:t>
            </w:r>
          </w:p>
        </w:tc>
        <w:tc>
          <w:tcPr>
            <w:tcW w:w="4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share)</w:t>
            </w: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60" w:type="dxa"/>
            <w:vAlign w:val="bottom"/>
            <w:tcBorders>
              <w:top w:val="single" w:sz="8" w:color="auto"/>
            </w:tcBorders>
            <w:shd w:val="clear" w:color="auto" w:fill="F4F9F9"/>
          </w:tcPr>
          <w:p>
            <w:pPr>
              <w:spacing w:after="0" w:line="123" w:lineRule="exact"/>
              <w:rPr>
                <w:sz w:val="20"/>
                <w:szCs w:val="20"/>
                <w:color w:val="auto"/>
              </w:rPr>
            </w:pPr>
            <w:r>
              <w:rPr>
                <w:rFonts w:ascii="Arial" w:cs="Arial" w:eastAsia="Arial" w:hAnsi="Arial"/>
                <w:sz w:val="13"/>
                <w:szCs w:val="13"/>
                <w:color w:val="auto"/>
              </w:rPr>
              <w:t>Mr. De Shon</w:t>
            </w:r>
          </w:p>
        </w:tc>
        <w:tc>
          <w:tcPr>
            <w:tcW w:w="840" w:type="dxa"/>
            <w:vAlign w:val="bottom"/>
            <w:tcBorders>
              <w:top w:val="single" w:sz="8" w:color="auto"/>
            </w:tcBorders>
            <w:shd w:val="clear" w:color="auto" w:fill="F4F9F9"/>
          </w:tcPr>
          <w:p>
            <w:pPr>
              <w:ind w:left="60"/>
              <w:spacing w:after="0" w:line="123" w:lineRule="exact"/>
              <w:rPr>
                <w:sz w:val="20"/>
                <w:szCs w:val="20"/>
                <w:color w:val="auto"/>
              </w:rPr>
            </w:pPr>
            <w:r>
              <w:rPr>
                <w:rFonts w:ascii="Arial" w:cs="Arial" w:eastAsia="Arial" w:hAnsi="Arial"/>
                <w:sz w:val="13"/>
                <w:szCs w:val="13"/>
                <w:color w:val="auto"/>
              </w:rPr>
              <w:t>Bonus</w:t>
            </w:r>
          </w:p>
        </w:tc>
        <w:tc>
          <w:tcPr>
            <w:tcW w:w="80" w:type="dxa"/>
            <w:vAlign w:val="bottom"/>
            <w:tcBorders>
              <w:top w:val="single" w:sz="8" w:color="auto"/>
            </w:tcBorders>
            <w:shd w:val="clear" w:color="auto" w:fill="F4F9F9"/>
          </w:tcPr>
          <w:p>
            <w:pPr>
              <w:spacing w:after="0"/>
              <w:rPr>
                <w:sz w:val="10"/>
                <w:szCs w:val="10"/>
                <w:color w:val="auto"/>
              </w:rPr>
            </w:pPr>
          </w:p>
        </w:tc>
        <w:tc>
          <w:tcPr>
            <w:tcW w:w="620" w:type="dxa"/>
            <w:vAlign w:val="bottom"/>
            <w:tcBorders>
              <w:top w:val="single" w:sz="8" w:color="auto"/>
            </w:tcBorders>
            <w:shd w:val="clear" w:color="auto" w:fill="F4F9F9"/>
          </w:tcPr>
          <w:p>
            <w:pPr>
              <w:jc w:val="right"/>
              <w:spacing w:after="0" w:line="123"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F4F9F9"/>
            </w:tcBorders>
            <w:shd w:val="clear" w:color="auto" w:fill="F4F9F9"/>
          </w:tcPr>
          <w:p>
            <w:pPr>
              <w:spacing w:after="0"/>
              <w:rPr>
                <w:sz w:val="10"/>
                <w:szCs w:val="10"/>
                <w:color w:val="auto"/>
              </w:rPr>
            </w:pPr>
          </w:p>
        </w:tc>
        <w:tc>
          <w:tcPr>
            <w:tcW w:w="780" w:type="dxa"/>
            <w:vAlign w:val="bottom"/>
            <w:tcBorders>
              <w:top w:val="single" w:sz="8" w:color="auto"/>
            </w:tcBorders>
            <w:shd w:val="clear" w:color="auto" w:fill="F4F9F9"/>
          </w:tcPr>
          <w:p>
            <w:pPr>
              <w:jc w:val="right"/>
              <w:ind w:right="37"/>
              <w:spacing w:after="0" w:line="123" w:lineRule="exact"/>
              <w:rPr>
                <w:sz w:val="20"/>
                <w:szCs w:val="20"/>
                <w:color w:val="auto"/>
              </w:rPr>
            </w:pPr>
            <w:r>
              <w:rPr>
                <w:rFonts w:ascii="Arial" w:cs="Arial" w:eastAsia="Arial" w:hAnsi="Arial"/>
                <w:sz w:val="13"/>
                <w:szCs w:val="13"/>
                <w:color w:val="auto"/>
              </w:rPr>
              <w:t>410,651</w:t>
            </w:r>
          </w:p>
        </w:tc>
        <w:tc>
          <w:tcPr>
            <w:tcW w:w="700" w:type="dxa"/>
            <w:vAlign w:val="bottom"/>
            <w:tcBorders>
              <w:top w:val="single" w:sz="8" w:color="auto"/>
            </w:tcBorders>
            <w:shd w:val="clear" w:color="auto" w:fill="F4F9F9"/>
          </w:tcPr>
          <w:p>
            <w:pPr>
              <w:jc w:val="right"/>
              <w:spacing w:after="0" w:line="123" w:lineRule="exact"/>
              <w:rPr>
                <w:sz w:val="20"/>
                <w:szCs w:val="20"/>
                <w:color w:val="auto"/>
              </w:rPr>
            </w:pPr>
            <w:r>
              <w:rPr>
                <w:rFonts w:ascii="Arial" w:cs="Arial" w:eastAsia="Arial" w:hAnsi="Arial"/>
                <w:sz w:val="13"/>
                <w:szCs w:val="13"/>
                <w:color w:val="auto"/>
              </w:rPr>
              <w:t>1,642,603</w:t>
            </w:r>
          </w:p>
        </w:tc>
        <w:tc>
          <w:tcPr>
            <w:tcW w:w="740" w:type="dxa"/>
            <w:vAlign w:val="bottom"/>
            <w:tcBorders>
              <w:top w:val="single" w:sz="8" w:color="auto"/>
            </w:tcBorders>
            <w:shd w:val="clear" w:color="auto" w:fill="F4F9F9"/>
          </w:tcPr>
          <w:p>
            <w:pPr>
              <w:jc w:val="right"/>
              <w:ind w:right="17"/>
              <w:spacing w:after="0" w:line="123" w:lineRule="exact"/>
              <w:rPr>
                <w:sz w:val="20"/>
                <w:szCs w:val="20"/>
                <w:color w:val="auto"/>
              </w:rPr>
            </w:pPr>
            <w:r>
              <w:rPr>
                <w:rFonts w:ascii="Arial" w:cs="Arial" w:eastAsia="Arial" w:hAnsi="Arial"/>
                <w:sz w:val="13"/>
                <w:szCs w:val="13"/>
                <w:color w:val="auto"/>
              </w:rPr>
              <w:t>3,285,205</w:t>
            </w:r>
          </w:p>
        </w:tc>
        <w:tc>
          <w:tcPr>
            <w:tcW w:w="760" w:type="dxa"/>
            <w:vAlign w:val="bottom"/>
            <w:tcBorders>
              <w:top w:val="single" w:sz="8" w:color="auto"/>
            </w:tcBorders>
            <w:shd w:val="clear" w:color="auto" w:fill="F4F9F9"/>
          </w:tcPr>
          <w:p>
            <w:pPr>
              <w:spacing w:after="0"/>
              <w:rPr>
                <w:sz w:val="10"/>
                <w:szCs w:val="10"/>
                <w:color w:val="auto"/>
              </w:rPr>
            </w:pPr>
          </w:p>
        </w:tc>
        <w:tc>
          <w:tcPr>
            <w:tcW w:w="560" w:type="dxa"/>
            <w:vAlign w:val="bottom"/>
            <w:tcBorders>
              <w:top w:val="single" w:sz="8" w:color="auto"/>
            </w:tcBorders>
            <w:shd w:val="clear" w:color="auto" w:fill="F4F9F9"/>
          </w:tcPr>
          <w:p>
            <w:pPr>
              <w:spacing w:after="0"/>
              <w:rPr>
                <w:sz w:val="10"/>
                <w:szCs w:val="10"/>
                <w:color w:val="auto"/>
              </w:rPr>
            </w:pPr>
          </w:p>
        </w:tc>
        <w:tc>
          <w:tcPr>
            <w:tcW w:w="700" w:type="dxa"/>
            <w:vAlign w:val="bottom"/>
            <w:tcBorders>
              <w:top w:val="single" w:sz="8" w:color="auto"/>
            </w:tcBorders>
            <w:shd w:val="clear" w:color="auto" w:fill="F4F9F9"/>
          </w:tcPr>
          <w:p>
            <w:pPr>
              <w:spacing w:after="0"/>
              <w:rPr>
                <w:sz w:val="10"/>
                <w:szCs w:val="10"/>
                <w:color w:val="auto"/>
              </w:rPr>
            </w:pPr>
          </w:p>
        </w:tc>
        <w:tc>
          <w:tcPr>
            <w:tcW w:w="580" w:type="dxa"/>
            <w:vAlign w:val="bottom"/>
            <w:tcBorders>
              <w:top w:val="single" w:sz="8" w:color="auto"/>
            </w:tcBorders>
            <w:shd w:val="clear" w:color="auto" w:fill="F4F9F9"/>
          </w:tcPr>
          <w:p>
            <w:pPr>
              <w:spacing w:after="0"/>
              <w:rPr>
                <w:sz w:val="10"/>
                <w:szCs w:val="10"/>
                <w:color w:val="auto"/>
              </w:rPr>
            </w:pPr>
          </w:p>
        </w:tc>
        <w:tc>
          <w:tcPr>
            <w:tcW w:w="40" w:type="dxa"/>
            <w:vAlign w:val="bottom"/>
            <w:tcBorders>
              <w:top w:val="single" w:sz="8" w:color="F4F9F9"/>
            </w:tcBorders>
            <w:shd w:val="clear" w:color="auto" w:fill="F4F9F9"/>
          </w:tcPr>
          <w:p>
            <w:pPr>
              <w:spacing w:after="0"/>
              <w:rPr>
                <w:sz w:val="10"/>
                <w:szCs w:val="10"/>
                <w:color w:val="auto"/>
              </w:rPr>
            </w:pPr>
          </w:p>
        </w:tc>
        <w:tc>
          <w:tcPr>
            <w:tcW w:w="760" w:type="dxa"/>
            <w:vAlign w:val="bottom"/>
            <w:tcBorders>
              <w:top w:val="single" w:sz="8" w:color="auto"/>
            </w:tcBorders>
            <w:shd w:val="clear" w:color="auto" w:fill="F4F9F9"/>
          </w:tcPr>
          <w:p>
            <w:pPr>
              <w:spacing w:after="0"/>
              <w:rPr>
                <w:sz w:val="10"/>
                <w:szCs w:val="10"/>
                <w:color w:val="auto"/>
              </w:rPr>
            </w:pPr>
          </w:p>
        </w:tc>
        <w:tc>
          <w:tcPr>
            <w:tcW w:w="40" w:type="dxa"/>
            <w:vAlign w:val="bottom"/>
            <w:tcBorders>
              <w:top w:val="single" w:sz="8" w:color="F4F9F9"/>
            </w:tcBorders>
            <w:shd w:val="clear" w:color="auto" w:fill="F4F9F9"/>
          </w:tcPr>
          <w:p>
            <w:pPr>
              <w:spacing w:after="0"/>
              <w:rPr>
                <w:sz w:val="10"/>
                <w:szCs w:val="10"/>
                <w:color w:val="auto"/>
              </w:rPr>
            </w:pPr>
          </w:p>
        </w:tc>
        <w:tc>
          <w:tcPr>
            <w:tcW w:w="620" w:type="dxa"/>
            <w:vAlign w:val="bottom"/>
            <w:tcBorders>
              <w:top w:val="single" w:sz="8" w:color="auto"/>
            </w:tcBorders>
            <w:shd w:val="clear" w:color="auto" w:fill="F4F9F9"/>
          </w:tcPr>
          <w:p>
            <w:pPr>
              <w:spacing w:after="0"/>
              <w:rPr>
                <w:sz w:val="10"/>
                <w:szCs w:val="10"/>
                <w:color w:val="auto"/>
              </w:rPr>
            </w:pPr>
          </w:p>
        </w:tc>
        <w:tc>
          <w:tcPr>
            <w:tcW w:w="40" w:type="dxa"/>
            <w:vAlign w:val="bottom"/>
            <w:tcBorders>
              <w:top w:val="single" w:sz="8" w:color="F4F9F9"/>
            </w:tcBorders>
            <w:shd w:val="clear" w:color="auto" w:fill="F4F9F9"/>
          </w:tcPr>
          <w:p>
            <w:pPr>
              <w:spacing w:after="0"/>
              <w:rPr>
                <w:sz w:val="10"/>
                <w:szCs w:val="10"/>
                <w:color w:val="auto"/>
              </w:rPr>
            </w:pPr>
          </w:p>
        </w:tc>
        <w:tc>
          <w:tcPr>
            <w:tcW w:w="720" w:type="dxa"/>
            <w:vAlign w:val="bottom"/>
            <w:tcBorders>
              <w:top w:val="single" w:sz="8" w:color="auto"/>
            </w:tcBorders>
            <w:shd w:val="clear" w:color="auto" w:fill="F4F9F9"/>
          </w:tcPr>
          <w:p>
            <w:pPr>
              <w:spacing w:after="0"/>
              <w:rPr>
                <w:sz w:val="10"/>
                <w:szCs w:val="10"/>
                <w:color w:val="auto"/>
              </w:rPr>
            </w:pPr>
          </w:p>
        </w:tc>
        <w:tc>
          <w:tcPr>
            <w:tcW w:w="40" w:type="dxa"/>
            <w:vAlign w:val="bottom"/>
            <w:tcBorders>
              <w:top w:val="single" w:sz="8" w:color="F4F9F9"/>
            </w:tcBorders>
            <w:shd w:val="clear" w:color="auto" w:fill="F4F9F9"/>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F4F9F9"/>
          </w:tcPr>
          <w:p>
            <w:pPr>
              <w:spacing w:after="0"/>
              <w:rPr>
                <w:sz w:val="11"/>
                <w:szCs w:val="11"/>
                <w:color w:val="auto"/>
              </w:rPr>
            </w:pPr>
          </w:p>
        </w:tc>
        <w:tc>
          <w:tcPr>
            <w:tcW w:w="840" w:type="dxa"/>
            <w:vAlign w:val="bottom"/>
            <w:shd w:val="clear" w:color="auto" w:fill="F4F9F9"/>
          </w:tcPr>
          <w:p>
            <w:pPr>
              <w:ind w:left="80"/>
              <w:spacing w:after="0" w:line="135" w:lineRule="exact"/>
              <w:rPr>
                <w:sz w:val="20"/>
                <w:szCs w:val="20"/>
                <w:color w:val="auto"/>
              </w:rPr>
            </w:pPr>
            <w:r>
              <w:rPr>
                <w:rFonts w:ascii="Arial" w:cs="Arial" w:eastAsia="Arial" w:hAnsi="Arial"/>
                <w:sz w:val="13"/>
                <w:szCs w:val="13"/>
                <w:color w:val="auto"/>
              </w:rPr>
              <w:t>Time-based</w:t>
            </w:r>
          </w:p>
        </w:tc>
        <w:tc>
          <w:tcPr>
            <w:tcW w:w="700" w:type="dxa"/>
            <w:vAlign w:val="bottom"/>
            <w:gridSpan w:val="2"/>
            <w:shd w:val="clear" w:color="auto" w:fill="F4F9F9"/>
          </w:tcPr>
          <w:p>
            <w:pPr>
              <w:jc w:val="right"/>
              <w:spacing w:after="0" w:line="135" w:lineRule="exact"/>
              <w:rPr>
                <w:sz w:val="20"/>
                <w:szCs w:val="20"/>
                <w:color w:val="auto"/>
              </w:rPr>
            </w:pPr>
            <w:r>
              <w:rPr>
                <w:rFonts w:ascii="Arial" w:cs="Arial" w:eastAsia="Arial" w:hAnsi="Arial"/>
                <w:sz w:val="13"/>
                <w:szCs w:val="13"/>
                <w:color w:val="auto"/>
              </w:rPr>
              <w:t>3/1/2017</w:t>
            </w:r>
          </w:p>
        </w:tc>
        <w:tc>
          <w:tcPr>
            <w:tcW w:w="40" w:type="dxa"/>
            <w:vAlign w:val="bottom"/>
            <w:shd w:val="clear" w:color="auto" w:fill="F4F9F9"/>
          </w:tcPr>
          <w:p>
            <w:pPr>
              <w:spacing w:after="0"/>
              <w:rPr>
                <w:sz w:val="11"/>
                <w:szCs w:val="11"/>
                <w:color w:val="auto"/>
              </w:rPr>
            </w:pPr>
          </w:p>
        </w:tc>
        <w:tc>
          <w:tcPr>
            <w:tcW w:w="780" w:type="dxa"/>
            <w:vAlign w:val="bottom"/>
            <w:shd w:val="clear" w:color="auto" w:fill="F4F9F9"/>
          </w:tcPr>
          <w:p>
            <w:pPr>
              <w:spacing w:after="0"/>
              <w:rPr>
                <w:sz w:val="11"/>
                <w:szCs w:val="11"/>
                <w:color w:val="auto"/>
              </w:rPr>
            </w:pPr>
          </w:p>
        </w:tc>
        <w:tc>
          <w:tcPr>
            <w:tcW w:w="700" w:type="dxa"/>
            <w:vAlign w:val="bottom"/>
            <w:shd w:val="clear" w:color="auto" w:fill="F4F9F9"/>
          </w:tcPr>
          <w:p>
            <w:pPr>
              <w:spacing w:after="0"/>
              <w:rPr>
                <w:sz w:val="11"/>
                <w:szCs w:val="11"/>
                <w:color w:val="auto"/>
              </w:rPr>
            </w:pPr>
          </w:p>
        </w:tc>
        <w:tc>
          <w:tcPr>
            <w:tcW w:w="740" w:type="dxa"/>
            <w:vAlign w:val="bottom"/>
            <w:shd w:val="clear" w:color="auto" w:fill="F4F9F9"/>
          </w:tcPr>
          <w:p>
            <w:pPr>
              <w:spacing w:after="0"/>
              <w:rPr>
                <w:sz w:val="11"/>
                <w:szCs w:val="11"/>
                <w:color w:val="auto"/>
              </w:rPr>
            </w:pPr>
          </w:p>
        </w:tc>
        <w:tc>
          <w:tcPr>
            <w:tcW w:w="760" w:type="dxa"/>
            <w:vAlign w:val="bottom"/>
            <w:shd w:val="clear" w:color="auto" w:fill="F4F9F9"/>
          </w:tcPr>
          <w:p>
            <w:pPr>
              <w:spacing w:after="0"/>
              <w:rPr>
                <w:sz w:val="11"/>
                <w:szCs w:val="11"/>
                <w:color w:val="auto"/>
              </w:rPr>
            </w:pPr>
          </w:p>
        </w:tc>
        <w:tc>
          <w:tcPr>
            <w:tcW w:w="560" w:type="dxa"/>
            <w:vAlign w:val="bottom"/>
            <w:shd w:val="clear" w:color="auto" w:fill="F4F9F9"/>
          </w:tcPr>
          <w:p>
            <w:pPr>
              <w:spacing w:after="0"/>
              <w:rPr>
                <w:sz w:val="11"/>
                <w:szCs w:val="11"/>
                <w:color w:val="auto"/>
              </w:rPr>
            </w:pPr>
          </w:p>
        </w:tc>
        <w:tc>
          <w:tcPr>
            <w:tcW w:w="700" w:type="dxa"/>
            <w:vAlign w:val="bottom"/>
            <w:shd w:val="clear" w:color="auto" w:fill="F4F9F9"/>
          </w:tcPr>
          <w:p>
            <w:pPr>
              <w:spacing w:after="0"/>
              <w:rPr>
                <w:sz w:val="11"/>
                <w:szCs w:val="11"/>
                <w:color w:val="auto"/>
              </w:rPr>
            </w:pPr>
          </w:p>
        </w:tc>
        <w:tc>
          <w:tcPr>
            <w:tcW w:w="580" w:type="dxa"/>
            <w:vAlign w:val="bottom"/>
            <w:shd w:val="clear" w:color="auto" w:fill="F4F9F9"/>
          </w:tcPr>
          <w:p>
            <w:pPr>
              <w:jc w:val="right"/>
              <w:spacing w:after="0" w:line="135" w:lineRule="exact"/>
              <w:rPr>
                <w:sz w:val="20"/>
                <w:szCs w:val="20"/>
                <w:color w:val="auto"/>
              </w:rPr>
            </w:pPr>
            <w:r>
              <w:rPr>
                <w:rFonts w:ascii="Arial" w:cs="Arial" w:eastAsia="Arial" w:hAnsi="Arial"/>
                <w:sz w:val="13"/>
                <w:szCs w:val="13"/>
                <w:color w:val="auto"/>
              </w:rPr>
              <w:t>63,935</w:t>
            </w:r>
          </w:p>
        </w:tc>
        <w:tc>
          <w:tcPr>
            <w:tcW w:w="40" w:type="dxa"/>
            <w:vAlign w:val="bottom"/>
            <w:shd w:val="clear" w:color="auto" w:fill="F4F9F9"/>
          </w:tcPr>
          <w:p>
            <w:pPr>
              <w:spacing w:after="0"/>
              <w:rPr>
                <w:sz w:val="11"/>
                <w:szCs w:val="11"/>
                <w:color w:val="auto"/>
              </w:rPr>
            </w:pPr>
          </w:p>
        </w:tc>
        <w:tc>
          <w:tcPr>
            <w:tcW w:w="800" w:type="dxa"/>
            <w:vAlign w:val="bottom"/>
            <w:gridSpan w:val="2"/>
            <w:shd w:val="clear" w:color="auto" w:fill="F4F9F9"/>
          </w:tcPr>
          <w:p>
            <w:pPr>
              <w:ind w:left="6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F4F9F9"/>
          </w:tcPr>
          <w:p>
            <w:pPr>
              <w:ind w:left="50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F4F9F9"/>
          </w:tcPr>
          <w:p>
            <w:pPr>
              <w:jc w:val="right"/>
              <w:spacing w:after="0" w:line="135" w:lineRule="exact"/>
              <w:rPr>
                <w:sz w:val="20"/>
                <w:szCs w:val="20"/>
                <w:color w:val="auto"/>
              </w:rPr>
            </w:pPr>
            <w:r>
              <w:rPr>
                <w:rFonts w:ascii="Arial" w:cs="Arial" w:eastAsia="Arial" w:hAnsi="Arial"/>
                <w:sz w:val="13"/>
                <w:szCs w:val="13"/>
                <w:color w:val="auto"/>
              </w:rPr>
              <w:t>2,200,003</w:t>
            </w:r>
          </w:p>
        </w:tc>
        <w:tc>
          <w:tcPr>
            <w:tcW w:w="40" w:type="dxa"/>
            <w:vAlign w:val="bottom"/>
            <w:shd w:val="clear" w:color="auto" w:fill="F4F9F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F4F9F9"/>
          </w:tcPr>
          <w:p>
            <w:pPr>
              <w:spacing w:after="0"/>
              <w:rPr>
                <w:sz w:val="11"/>
                <w:szCs w:val="11"/>
                <w:color w:val="auto"/>
              </w:rPr>
            </w:pPr>
          </w:p>
        </w:tc>
        <w:tc>
          <w:tcPr>
            <w:tcW w:w="840" w:type="dxa"/>
            <w:vAlign w:val="bottom"/>
            <w:shd w:val="clear" w:color="auto" w:fill="F4F9F9"/>
          </w:tcPr>
          <w:p>
            <w:pPr>
              <w:ind w:left="80"/>
              <w:spacing w:after="0" w:line="135" w:lineRule="exact"/>
              <w:rPr>
                <w:sz w:val="20"/>
                <w:szCs w:val="20"/>
                <w:color w:val="auto"/>
              </w:rPr>
            </w:pPr>
            <w:r>
              <w:rPr>
                <w:rFonts w:ascii="Arial" w:cs="Arial" w:eastAsia="Arial" w:hAnsi="Arial"/>
                <w:sz w:val="13"/>
                <w:szCs w:val="13"/>
                <w:color w:val="auto"/>
                <w:w w:val="93"/>
              </w:rPr>
              <w:t>Performance-</w:t>
            </w:r>
          </w:p>
        </w:tc>
        <w:tc>
          <w:tcPr>
            <w:tcW w:w="700" w:type="dxa"/>
            <w:vAlign w:val="bottom"/>
            <w:gridSpan w:val="2"/>
            <w:shd w:val="clear" w:color="auto" w:fill="F4F9F9"/>
          </w:tcPr>
          <w:p>
            <w:pPr>
              <w:jc w:val="right"/>
              <w:spacing w:after="0" w:line="135" w:lineRule="exact"/>
              <w:rPr>
                <w:sz w:val="20"/>
                <w:szCs w:val="20"/>
                <w:color w:val="auto"/>
              </w:rPr>
            </w:pPr>
            <w:r>
              <w:rPr>
                <w:rFonts w:ascii="Arial" w:cs="Arial" w:eastAsia="Arial" w:hAnsi="Arial"/>
                <w:sz w:val="13"/>
                <w:szCs w:val="13"/>
                <w:color w:val="auto"/>
              </w:rPr>
              <w:t>3/1/2017</w:t>
            </w:r>
          </w:p>
        </w:tc>
        <w:tc>
          <w:tcPr>
            <w:tcW w:w="40" w:type="dxa"/>
            <w:vAlign w:val="bottom"/>
            <w:shd w:val="clear" w:color="auto" w:fill="F4F9F9"/>
          </w:tcPr>
          <w:p>
            <w:pPr>
              <w:spacing w:after="0"/>
              <w:rPr>
                <w:sz w:val="11"/>
                <w:szCs w:val="11"/>
                <w:color w:val="auto"/>
              </w:rPr>
            </w:pPr>
          </w:p>
        </w:tc>
        <w:tc>
          <w:tcPr>
            <w:tcW w:w="780" w:type="dxa"/>
            <w:vAlign w:val="bottom"/>
            <w:shd w:val="clear" w:color="auto" w:fill="F4F9F9"/>
          </w:tcPr>
          <w:p>
            <w:pPr>
              <w:spacing w:after="0"/>
              <w:rPr>
                <w:sz w:val="11"/>
                <w:szCs w:val="11"/>
                <w:color w:val="auto"/>
              </w:rPr>
            </w:pPr>
          </w:p>
        </w:tc>
        <w:tc>
          <w:tcPr>
            <w:tcW w:w="700" w:type="dxa"/>
            <w:vAlign w:val="bottom"/>
            <w:shd w:val="clear" w:color="auto" w:fill="F4F9F9"/>
          </w:tcPr>
          <w:p>
            <w:pPr>
              <w:spacing w:after="0"/>
              <w:rPr>
                <w:sz w:val="11"/>
                <w:szCs w:val="11"/>
                <w:color w:val="auto"/>
              </w:rPr>
            </w:pPr>
          </w:p>
        </w:tc>
        <w:tc>
          <w:tcPr>
            <w:tcW w:w="740" w:type="dxa"/>
            <w:vAlign w:val="bottom"/>
            <w:shd w:val="clear" w:color="auto" w:fill="F4F9F9"/>
          </w:tcPr>
          <w:p>
            <w:pPr>
              <w:spacing w:after="0"/>
              <w:rPr>
                <w:sz w:val="11"/>
                <w:szCs w:val="11"/>
                <w:color w:val="auto"/>
              </w:rPr>
            </w:pPr>
          </w:p>
        </w:tc>
        <w:tc>
          <w:tcPr>
            <w:tcW w:w="760" w:type="dxa"/>
            <w:vAlign w:val="bottom"/>
            <w:shd w:val="clear" w:color="auto" w:fill="F4F9F9"/>
          </w:tcPr>
          <w:p>
            <w:pPr>
              <w:jc w:val="right"/>
              <w:ind w:right="17"/>
              <w:spacing w:after="0" w:line="135" w:lineRule="exact"/>
              <w:rPr>
                <w:sz w:val="20"/>
                <w:szCs w:val="20"/>
                <w:color w:val="auto"/>
              </w:rPr>
            </w:pPr>
            <w:r>
              <w:rPr>
                <w:rFonts w:ascii="Arial" w:cs="Arial" w:eastAsia="Arial" w:hAnsi="Arial"/>
                <w:sz w:val="13"/>
                <w:szCs w:val="13"/>
                <w:color w:val="auto"/>
              </w:rPr>
              <w:t>47,951</w:t>
            </w:r>
          </w:p>
        </w:tc>
        <w:tc>
          <w:tcPr>
            <w:tcW w:w="560" w:type="dxa"/>
            <w:vAlign w:val="bottom"/>
            <w:shd w:val="clear" w:color="auto" w:fill="F4F9F9"/>
          </w:tcPr>
          <w:p>
            <w:pPr>
              <w:jc w:val="right"/>
              <w:spacing w:after="0" w:line="135" w:lineRule="exact"/>
              <w:rPr>
                <w:sz w:val="20"/>
                <w:szCs w:val="20"/>
                <w:color w:val="auto"/>
              </w:rPr>
            </w:pPr>
            <w:r>
              <w:rPr>
                <w:rFonts w:ascii="Arial" w:cs="Arial" w:eastAsia="Arial" w:hAnsi="Arial"/>
                <w:sz w:val="13"/>
                <w:szCs w:val="13"/>
                <w:color w:val="auto"/>
              </w:rPr>
              <w:t>95,902</w:t>
            </w:r>
          </w:p>
        </w:tc>
        <w:tc>
          <w:tcPr>
            <w:tcW w:w="700" w:type="dxa"/>
            <w:vAlign w:val="bottom"/>
            <w:shd w:val="clear" w:color="auto" w:fill="F4F9F9"/>
          </w:tcPr>
          <w:p>
            <w:pPr>
              <w:jc w:val="right"/>
              <w:spacing w:after="0" w:line="135" w:lineRule="exact"/>
              <w:rPr>
                <w:sz w:val="20"/>
                <w:szCs w:val="20"/>
                <w:color w:val="auto"/>
              </w:rPr>
            </w:pPr>
            <w:r>
              <w:rPr>
                <w:rFonts w:ascii="Arial" w:cs="Arial" w:eastAsia="Arial" w:hAnsi="Arial"/>
                <w:sz w:val="13"/>
                <w:szCs w:val="13"/>
                <w:color w:val="auto"/>
              </w:rPr>
              <w:t>191,804</w:t>
            </w:r>
          </w:p>
        </w:tc>
        <w:tc>
          <w:tcPr>
            <w:tcW w:w="580" w:type="dxa"/>
            <w:vAlign w:val="bottom"/>
            <w:shd w:val="clear" w:color="auto" w:fill="F4F9F9"/>
          </w:tcPr>
          <w:p>
            <w:pPr>
              <w:spacing w:after="0"/>
              <w:rPr>
                <w:sz w:val="11"/>
                <w:szCs w:val="11"/>
                <w:color w:val="auto"/>
              </w:rPr>
            </w:pPr>
          </w:p>
        </w:tc>
        <w:tc>
          <w:tcPr>
            <w:tcW w:w="40" w:type="dxa"/>
            <w:vAlign w:val="bottom"/>
            <w:shd w:val="clear" w:color="auto" w:fill="F4F9F9"/>
          </w:tcPr>
          <w:p>
            <w:pPr>
              <w:spacing w:after="0"/>
              <w:rPr>
                <w:sz w:val="11"/>
                <w:szCs w:val="11"/>
                <w:color w:val="auto"/>
              </w:rPr>
            </w:pPr>
          </w:p>
        </w:tc>
        <w:tc>
          <w:tcPr>
            <w:tcW w:w="760" w:type="dxa"/>
            <w:vAlign w:val="bottom"/>
            <w:shd w:val="clear" w:color="auto" w:fill="F4F9F9"/>
          </w:tcPr>
          <w:p>
            <w:pPr>
              <w:spacing w:after="0"/>
              <w:rPr>
                <w:sz w:val="11"/>
                <w:szCs w:val="11"/>
                <w:color w:val="auto"/>
              </w:rPr>
            </w:pPr>
          </w:p>
        </w:tc>
        <w:tc>
          <w:tcPr>
            <w:tcW w:w="40" w:type="dxa"/>
            <w:vAlign w:val="bottom"/>
            <w:shd w:val="clear" w:color="auto" w:fill="F4F9F9"/>
          </w:tcPr>
          <w:p>
            <w:pPr>
              <w:spacing w:after="0"/>
              <w:rPr>
                <w:sz w:val="11"/>
                <w:szCs w:val="11"/>
                <w:color w:val="auto"/>
              </w:rPr>
            </w:pPr>
          </w:p>
        </w:tc>
        <w:tc>
          <w:tcPr>
            <w:tcW w:w="620" w:type="dxa"/>
            <w:vAlign w:val="bottom"/>
            <w:shd w:val="clear" w:color="auto" w:fill="F4F9F9"/>
          </w:tcPr>
          <w:p>
            <w:pPr>
              <w:spacing w:after="0"/>
              <w:rPr>
                <w:sz w:val="11"/>
                <w:szCs w:val="11"/>
                <w:color w:val="auto"/>
              </w:rPr>
            </w:pPr>
          </w:p>
        </w:tc>
        <w:tc>
          <w:tcPr>
            <w:tcW w:w="40" w:type="dxa"/>
            <w:vAlign w:val="bottom"/>
            <w:shd w:val="clear" w:color="auto" w:fill="F4F9F9"/>
          </w:tcPr>
          <w:p>
            <w:pPr>
              <w:spacing w:after="0"/>
              <w:rPr>
                <w:sz w:val="11"/>
                <w:szCs w:val="11"/>
                <w:color w:val="auto"/>
              </w:rPr>
            </w:pPr>
          </w:p>
        </w:tc>
        <w:tc>
          <w:tcPr>
            <w:tcW w:w="720" w:type="dxa"/>
            <w:vAlign w:val="bottom"/>
            <w:shd w:val="clear" w:color="auto" w:fill="F4F9F9"/>
          </w:tcPr>
          <w:p>
            <w:pPr>
              <w:jc w:val="right"/>
              <w:spacing w:after="0" w:line="135" w:lineRule="exact"/>
              <w:rPr>
                <w:sz w:val="20"/>
                <w:szCs w:val="20"/>
                <w:color w:val="auto"/>
              </w:rPr>
            </w:pPr>
            <w:r>
              <w:rPr>
                <w:rFonts w:ascii="Arial" w:cs="Arial" w:eastAsia="Arial" w:hAnsi="Arial"/>
                <w:sz w:val="13"/>
                <w:szCs w:val="13"/>
                <w:color w:val="auto"/>
              </w:rPr>
              <w:t>3,299,988</w:t>
            </w:r>
          </w:p>
        </w:tc>
        <w:tc>
          <w:tcPr>
            <w:tcW w:w="40" w:type="dxa"/>
            <w:vAlign w:val="bottom"/>
            <w:shd w:val="clear" w:color="auto" w:fill="F4F9F9"/>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360" w:type="dxa"/>
            <w:vAlign w:val="bottom"/>
            <w:tcBorders>
              <w:bottom w:val="single" w:sz="8" w:color="C1CECC"/>
            </w:tcBorders>
            <w:shd w:val="clear" w:color="auto" w:fill="F4F9F9"/>
          </w:tcPr>
          <w:p>
            <w:pPr>
              <w:spacing w:after="0"/>
              <w:rPr>
                <w:sz w:val="12"/>
                <w:szCs w:val="12"/>
                <w:color w:val="auto"/>
              </w:rPr>
            </w:pPr>
          </w:p>
        </w:tc>
        <w:tc>
          <w:tcPr>
            <w:tcW w:w="840" w:type="dxa"/>
            <w:vAlign w:val="bottom"/>
            <w:tcBorders>
              <w:bottom w:val="single" w:sz="8" w:color="C1CECC"/>
            </w:tcBorders>
            <w:shd w:val="clear" w:color="auto" w:fill="F4F9F9"/>
          </w:tcPr>
          <w:p>
            <w:pPr>
              <w:ind w:left="80"/>
              <w:spacing w:after="0" w:line="141" w:lineRule="exact"/>
              <w:rPr>
                <w:sz w:val="20"/>
                <w:szCs w:val="20"/>
                <w:color w:val="auto"/>
              </w:rPr>
            </w:pPr>
            <w:r>
              <w:rPr>
                <w:rFonts w:ascii="Arial" w:cs="Arial" w:eastAsia="Arial" w:hAnsi="Arial"/>
                <w:sz w:val="13"/>
                <w:szCs w:val="13"/>
                <w:color w:val="auto"/>
              </w:rPr>
              <w:t>based</w:t>
            </w:r>
          </w:p>
        </w:tc>
        <w:tc>
          <w:tcPr>
            <w:tcW w:w="80" w:type="dxa"/>
            <w:vAlign w:val="bottom"/>
            <w:tcBorders>
              <w:bottom w:val="single" w:sz="8" w:color="C1CECC"/>
            </w:tcBorders>
            <w:shd w:val="clear" w:color="auto" w:fill="F4F9F9"/>
          </w:tcPr>
          <w:p>
            <w:pPr>
              <w:spacing w:after="0"/>
              <w:rPr>
                <w:sz w:val="12"/>
                <w:szCs w:val="12"/>
                <w:color w:val="auto"/>
              </w:rPr>
            </w:pPr>
          </w:p>
        </w:tc>
        <w:tc>
          <w:tcPr>
            <w:tcW w:w="620" w:type="dxa"/>
            <w:vAlign w:val="bottom"/>
            <w:tcBorders>
              <w:bottom w:val="single" w:sz="8" w:color="C1CECC"/>
            </w:tcBorders>
            <w:shd w:val="clear" w:color="auto" w:fill="F4F9F9"/>
          </w:tcPr>
          <w:p>
            <w:pPr>
              <w:spacing w:after="0"/>
              <w:rPr>
                <w:sz w:val="12"/>
                <w:szCs w:val="12"/>
                <w:color w:val="auto"/>
              </w:rPr>
            </w:pPr>
          </w:p>
        </w:tc>
        <w:tc>
          <w:tcPr>
            <w:tcW w:w="40" w:type="dxa"/>
            <w:vAlign w:val="bottom"/>
            <w:tcBorders>
              <w:bottom w:val="single" w:sz="8" w:color="C1CECC"/>
            </w:tcBorders>
            <w:shd w:val="clear" w:color="auto" w:fill="F4F9F9"/>
          </w:tcPr>
          <w:p>
            <w:pPr>
              <w:spacing w:after="0"/>
              <w:rPr>
                <w:sz w:val="12"/>
                <w:szCs w:val="12"/>
                <w:color w:val="auto"/>
              </w:rPr>
            </w:pPr>
          </w:p>
        </w:tc>
        <w:tc>
          <w:tcPr>
            <w:tcW w:w="780" w:type="dxa"/>
            <w:vAlign w:val="bottom"/>
            <w:tcBorders>
              <w:bottom w:val="single" w:sz="8" w:color="C1CECC"/>
            </w:tcBorders>
            <w:shd w:val="clear" w:color="auto" w:fill="F4F9F9"/>
          </w:tcPr>
          <w:p>
            <w:pPr>
              <w:spacing w:after="0"/>
              <w:rPr>
                <w:sz w:val="12"/>
                <w:szCs w:val="12"/>
                <w:color w:val="auto"/>
              </w:rPr>
            </w:pPr>
          </w:p>
        </w:tc>
        <w:tc>
          <w:tcPr>
            <w:tcW w:w="700" w:type="dxa"/>
            <w:vAlign w:val="bottom"/>
            <w:tcBorders>
              <w:bottom w:val="single" w:sz="8" w:color="C1CECC"/>
            </w:tcBorders>
            <w:shd w:val="clear" w:color="auto" w:fill="F4F9F9"/>
          </w:tcPr>
          <w:p>
            <w:pPr>
              <w:spacing w:after="0"/>
              <w:rPr>
                <w:sz w:val="12"/>
                <w:szCs w:val="12"/>
                <w:color w:val="auto"/>
              </w:rPr>
            </w:pPr>
          </w:p>
        </w:tc>
        <w:tc>
          <w:tcPr>
            <w:tcW w:w="740" w:type="dxa"/>
            <w:vAlign w:val="bottom"/>
            <w:tcBorders>
              <w:bottom w:val="single" w:sz="8" w:color="C1CECC"/>
            </w:tcBorders>
            <w:shd w:val="clear" w:color="auto" w:fill="F4F9F9"/>
          </w:tcPr>
          <w:p>
            <w:pPr>
              <w:spacing w:after="0"/>
              <w:rPr>
                <w:sz w:val="12"/>
                <w:szCs w:val="12"/>
                <w:color w:val="auto"/>
              </w:rPr>
            </w:pPr>
          </w:p>
        </w:tc>
        <w:tc>
          <w:tcPr>
            <w:tcW w:w="760" w:type="dxa"/>
            <w:vAlign w:val="bottom"/>
            <w:tcBorders>
              <w:bottom w:val="single" w:sz="8" w:color="C1CECC"/>
            </w:tcBorders>
            <w:shd w:val="clear" w:color="auto" w:fill="F4F9F9"/>
          </w:tcPr>
          <w:p>
            <w:pPr>
              <w:spacing w:after="0"/>
              <w:rPr>
                <w:sz w:val="12"/>
                <w:szCs w:val="12"/>
                <w:color w:val="auto"/>
              </w:rPr>
            </w:pPr>
          </w:p>
        </w:tc>
        <w:tc>
          <w:tcPr>
            <w:tcW w:w="560" w:type="dxa"/>
            <w:vAlign w:val="bottom"/>
            <w:tcBorders>
              <w:bottom w:val="single" w:sz="8" w:color="C1CECC"/>
            </w:tcBorders>
            <w:shd w:val="clear" w:color="auto" w:fill="F4F9F9"/>
          </w:tcPr>
          <w:p>
            <w:pPr>
              <w:spacing w:after="0"/>
              <w:rPr>
                <w:sz w:val="12"/>
                <w:szCs w:val="12"/>
                <w:color w:val="auto"/>
              </w:rPr>
            </w:pPr>
          </w:p>
        </w:tc>
        <w:tc>
          <w:tcPr>
            <w:tcW w:w="700" w:type="dxa"/>
            <w:vAlign w:val="bottom"/>
            <w:tcBorders>
              <w:bottom w:val="single" w:sz="8" w:color="C1CECC"/>
            </w:tcBorders>
            <w:shd w:val="clear" w:color="auto" w:fill="F4F9F9"/>
          </w:tcPr>
          <w:p>
            <w:pPr>
              <w:spacing w:after="0"/>
              <w:rPr>
                <w:sz w:val="12"/>
                <w:szCs w:val="12"/>
                <w:color w:val="auto"/>
              </w:rPr>
            </w:pPr>
          </w:p>
        </w:tc>
        <w:tc>
          <w:tcPr>
            <w:tcW w:w="580" w:type="dxa"/>
            <w:vAlign w:val="bottom"/>
            <w:tcBorders>
              <w:bottom w:val="single" w:sz="8" w:color="C1CECC"/>
            </w:tcBorders>
            <w:shd w:val="clear" w:color="auto" w:fill="F4F9F9"/>
          </w:tcPr>
          <w:p>
            <w:pPr>
              <w:spacing w:after="0"/>
              <w:rPr>
                <w:sz w:val="12"/>
                <w:szCs w:val="12"/>
                <w:color w:val="auto"/>
              </w:rPr>
            </w:pPr>
          </w:p>
        </w:tc>
        <w:tc>
          <w:tcPr>
            <w:tcW w:w="40" w:type="dxa"/>
            <w:vAlign w:val="bottom"/>
            <w:tcBorders>
              <w:bottom w:val="single" w:sz="8" w:color="C1CECC"/>
            </w:tcBorders>
            <w:shd w:val="clear" w:color="auto" w:fill="F4F9F9"/>
          </w:tcPr>
          <w:p>
            <w:pPr>
              <w:spacing w:after="0"/>
              <w:rPr>
                <w:sz w:val="12"/>
                <w:szCs w:val="12"/>
                <w:color w:val="auto"/>
              </w:rPr>
            </w:pPr>
          </w:p>
        </w:tc>
        <w:tc>
          <w:tcPr>
            <w:tcW w:w="760" w:type="dxa"/>
            <w:vAlign w:val="bottom"/>
            <w:tcBorders>
              <w:bottom w:val="single" w:sz="8" w:color="C1CECC"/>
            </w:tcBorders>
            <w:shd w:val="clear" w:color="auto" w:fill="F4F9F9"/>
          </w:tcPr>
          <w:p>
            <w:pPr>
              <w:spacing w:after="0"/>
              <w:rPr>
                <w:sz w:val="12"/>
                <w:szCs w:val="12"/>
                <w:color w:val="auto"/>
              </w:rPr>
            </w:pPr>
          </w:p>
        </w:tc>
        <w:tc>
          <w:tcPr>
            <w:tcW w:w="40" w:type="dxa"/>
            <w:vAlign w:val="bottom"/>
            <w:tcBorders>
              <w:bottom w:val="single" w:sz="8" w:color="C1CECC"/>
            </w:tcBorders>
            <w:shd w:val="clear" w:color="auto" w:fill="F4F9F9"/>
          </w:tcPr>
          <w:p>
            <w:pPr>
              <w:spacing w:after="0"/>
              <w:rPr>
                <w:sz w:val="12"/>
                <w:szCs w:val="12"/>
                <w:color w:val="auto"/>
              </w:rPr>
            </w:pPr>
          </w:p>
        </w:tc>
        <w:tc>
          <w:tcPr>
            <w:tcW w:w="620" w:type="dxa"/>
            <w:vAlign w:val="bottom"/>
            <w:tcBorders>
              <w:bottom w:val="single" w:sz="8" w:color="C1CECC"/>
            </w:tcBorders>
            <w:shd w:val="clear" w:color="auto" w:fill="F4F9F9"/>
          </w:tcPr>
          <w:p>
            <w:pPr>
              <w:spacing w:after="0"/>
              <w:rPr>
                <w:sz w:val="12"/>
                <w:szCs w:val="12"/>
                <w:color w:val="auto"/>
              </w:rPr>
            </w:pPr>
          </w:p>
        </w:tc>
        <w:tc>
          <w:tcPr>
            <w:tcW w:w="40" w:type="dxa"/>
            <w:vAlign w:val="bottom"/>
            <w:tcBorders>
              <w:bottom w:val="single" w:sz="8" w:color="C1CECC"/>
            </w:tcBorders>
            <w:shd w:val="clear" w:color="auto" w:fill="F4F9F9"/>
          </w:tcPr>
          <w:p>
            <w:pPr>
              <w:spacing w:after="0"/>
              <w:rPr>
                <w:sz w:val="12"/>
                <w:szCs w:val="12"/>
                <w:color w:val="auto"/>
              </w:rPr>
            </w:pPr>
          </w:p>
        </w:tc>
        <w:tc>
          <w:tcPr>
            <w:tcW w:w="720" w:type="dxa"/>
            <w:vAlign w:val="bottom"/>
            <w:tcBorders>
              <w:bottom w:val="single" w:sz="8" w:color="C1CECC"/>
            </w:tcBorders>
            <w:shd w:val="clear" w:color="auto" w:fill="F4F9F9"/>
          </w:tcPr>
          <w:p>
            <w:pPr>
              <w:spacing w:after="0"/>
              <w:rPr>
                <w:sz w:val="12"/>
                <w:szCs w:val="12"/>
                <w:color w:val="auto"/>
              </w:rPr>
            </w:pPr>
          </w:p>
        </w:tc>
        <w:tc>
          <w:tcPr>
            <w:tcW w:w="40" w:type="dxa"/>
            <w:vAlign w:val="bottom"/>
            <w:tcBorders>
              <w:bottom w:val="single" w:sz="8" w:color="C1CECC"/>
            </w:tcBorders>
            <w:shd w:val="clear" w:color="auto" w:fill="F4F9F9"/>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Borders>
              <w:bottom w:val="single" w:sz="8" w:color="C1CECC"/>
            </w:tcBorders>
          </w:tcPr>
          <w:p>
            <w:pPr>
              <w:spacing w:after="0" w:line="129" w:lineRule="exact"/>
              <w:rPr>
                <w:sz w:val="20"/>
                <w:szCs w:val="20"/>
                <w:color w:val="auto"/>
              </w:rPr>
            </w:pPr>
            <w:r>
              <w:rPr>
                <w:rFonts w:ascii="Arial" w:cs="Arial" w:eastAsia="Arial" w:hAnsi="Arial"/>
                <w:sz w:val="13"/>
                <w:szCs w:val="13"/>
                <w:color w:val="auto"/>
              </w:rPr>
              <w:t>Mr. Smith</w:t>
            </w:r>
          </w:p>
        </w:tc>
        <w:tc>
          <w:tcPr>
            <w:tcW w:w="840" w:type="dxa"/>
            <w:vAlign w:val="bottom"/>
            <w:tcBorders>
              <w:bottom w:val="single" w:sz="8" w:color="C1CECC"/>
            </w:tcBorders>
          </w:tcPr>
          <w:p>
            <w:pPr>
              <w:ind w:left="60"/>
              <w:spacing w:after="0" w:line="129" w:lineRule="exact"/>
              <w:rPr>
                <w:sz w:val="20"/>
                <w:szCs w:val="20"/>
                <w:color w:val="auto"/>
              </w:rPr>
            </w:pPr>
            <w:r>
              <w:rPr>
                <w:rFonts w:ascii="Arial" w:cs="Arial" w:eastAsia="Arial" w:hAnsi="Arial"/>
                <w:sz w:val="13"/>
                <w:szCs w:val="13"/>
                <w:color w:val="auto"/>
              </w:rPr>
              <w:t>Bonus</w:t>
            </w:r>
          </w:p>
        </w:tc>
        <w:tc>
          <w:tcPr>
            <w:tcW w:w="80" w:type="dxa"/>
            <w:vAlign w:val="bottom"/>
            <w:tcBorders>
              <w:bottom w:val="single" w:sz="8" w:color="C1CECC"/>
            </w:tcBorders>
          </w:tcPr>
          <w:p>
            <w:pPr>
              <w:spacing w:after="0"/>
              <w:rPr>
                <w:sz w:val="11"/>
                <w:szCs w:val="11"/>
                <w:color w:val="auto"/>
              </w:rPr>
            </w:pPr>
          </w:p>
        </w:tc>
        <w:tc>
          <w:tcPr>
            <w:tcW w:w="660" w:type="dxa"/>
            <w:vAlign w:val="bottom"/>
            <w:tcBorders>
              <w:bottom w:val="single" w:sz="8" w:color="C1CECC"/>
            </w:tcBorders>
            <w:gridSpan w:val="2"/>
          </w:tcPr>
          <w:p>
            <w:pPr>
              <w:jc w:val="right"/>
              <w:ind w:right="60"/>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C1CECC"/>
            </w:tcBorders>
          </w:tcPr>
          <w:p>
            <w:pPr>
              <w:jc w:val="right"/>
              <w:ind w:right="37"/>
              <w:spacing w:after="0" w:line="129" w:lineRule="exact"/>
              <w:rPr>
                <w:sz w:val="20"/>
                <w:szCs w:val="20"/>
                <w:color w:val="auto"/>
              </w:rPr>
            </w:pPr>
            <w:r>
              <w:rPr>
                <w:rFonts w:ascii="Arial" w:cs="Arial" w:eastAsia="Arial" w:hAnsi="Arial"/>
                <w:sz w:val="13"/>
                <w:szCs w:val="13"/>
                <w:color w:val="auto"/>
              </w:rPr>
              <w:t>68,558</w:t>
            </w:r>
          </w:p>
        </w:tc>
        <w:tc>
          <w:tcPr>
            <w:tcW w:w="700" w:type="dxa"/>
            <w:vAlign w:val="bottom"/>
            <w:tcBorders>
              <w:bottom w:val="single" w:sz="8" w:color="C1CECC"/>
            </w:tcBorders>
          </w:tcPr>
          <w:p>
            <w:pPr>
              <w:jc w:val="right"/>
              <w:spacing w:after="0" w:line="129" w:lineRule="exact"/>
              <w:rPr>
                <w:sz w:val="20"/>
                <w:szCs w:val="20"/>
                <w:color w:val="auto"/>
              </w:rPr>
            </w:pPr>
            <w:r>
              <w:rPr>
                <w:rFonts w:ascii="Arial" w:cs="Arial" w:eastAsia="Arial" w:hAnsi="Arial"/>
                <w:sz w:val="13"/>
                <w:szCs w:val="13"/>
                <w:color w:val="auto"/>
              </w:rPr>
              <w:t>274,231</w:t>
            </w:r>
          </w:p>
        </w:tc>
        <w:tc>
          <w:tcPr>
            <w:tcW w:w="740" w:type="dxa"/>
            <w:vAlign w:val="bottom"/>
            <w:tcBorders>
              <w:bottom w:val="single" w:sz="8" w:color="C1CECC"/>
            </w:tcBorders>
          </w:tcPr>
          <w:p>
            <w:pPr>
              <w:jc w:val="right"/>
              <w:ind w:right="17"/>
              <w:spacing w:after="0" w:line="129" w:lineRule="exact"/>
              <w:rPr>
                <w:sz w:val="20"/>
                <w:szCs w:val="20"/>
                <w:color w:val="auto"/>
              </w:rPr>
            </w:pPr>
            <w:r>
              <w:rPr>
                <w:rFonts w:ascii="Arial" w:cs="Arial" w:eastAsia="Arial" w:hAnsi="Arial"/>
                <w:sz w:val="13"/>
                <w:szCs w:val="13"/>
                <w:color w:val="auto"/>
              </w:rPr>
              <w:t>548,462</w:t>
            </w:r>
          </w:p>
        </w:tc>
        <w:tc>
          <w:tcPr>
            <w:tcW w:w="760" w:type="dxa"/>
            <w:vAlign w:val="bottom"/>
            <w:tcBorders>
              <w:bottom w:val="single" w:sz="8" w:color="C1CECC"/>
            </w:tcBorders>
          </w:tcPr>
          <w:p>
            <w:pPr>
              <w:spacing w:after="0"/>
              <w:rPr>
                <w:sz w:val="11"/>
                <w:szCs w:val="11"/>
                <w:color w:val="auto"/>
              </w:rPr>
            </w:pPr>
          </w:p>
        </w:tc>
        <w:tc>
          <w:tcPr>
            <w:tcW w:w="560" w:type="dxa"/>
            <w:vAlign w:val="bottom"/>
            <w:tcBorders>
              <w:bottom w:val="single" w:sz="8" w:color="C1CECC"/>
            </w:tcBorders>
          </w:tcPr>
          <w:p>
            <w:pPr>
              <w:spacing w:after="0"/>
              <w:rPr>
                <w:sz w:val="11"/>
                <w:szCs w:val="11"/>
                <w:color w:val="auto"/>
              </w:rPr>
            </w:pPr>
          </w:p>
        </w:tc>
        <w:tc>
          <w:tcPr>
            <w:tcW w:w="700" w:type="dxa"/>
            <w:vAlign w:val="bottom"/>
            <w:tcBorders>
              <w:bottom w:val="single" w:sz="8" w:color="C1CECC"/>
            </w:tcBorders>
          </w:tcPr>
          <w:p>
            <w:pPr>
              <w:spacing w:after="0"/>
              <w:rPr>
                <w:sz w:val="11"/>
                <w:szCs w:val="11"/>
                <w:color w:val="auto"/>
              </w:rPr>
            </w:pPr>
          </w:p>
        </w:tc>
        <w:tc>
          <w:tcPr>
            <w:tcW w:w="580" w:type="dxa"/>
            <w:vAlign w:val="bottom"/>
            <w:tcBorders>
              <w:bottom w:val="single" w:sz="8" w:color="C1CECC"/>
            </w:tcBorders>
          </w:tcPr>
          <w:p>
            <w:pPr>
              <w:spacing w:after="0"/>
              <w:rPr>
                <w:sz w:val="11"/>
                <w:szCs w:val="11"/>
                <w:color w:val="auto"/>
              </w:rPr>
            </w:pPr>
          </w:p>
        </w:tc>
        <w:tc>
          <w:tcPr>
            <w:tcW w:w="40" w:type="dxa"/>
            <w:vAlign w:val="bottom"/>
            <w:tcBorders>
              <w:bottom w:val="single" w:sz="8" w:color="C1CECC"/>
            </w:tcBorders>
          </w:tcPr>
          <w:p>
            <w:pPr>
              <w:spacing w:after="0"/>
              <w:rPr>
                <w:sz w:val="11"/>
                <w:szCs w:val="11"/>
                <w:color w:val="auto"/>
              </w:rPr>
            </w:pPr>
          </w:p>
        </w:tc>
        <w:tc>
          <w:tcPr>
            <w:tcW w:w="760" w:type="dxa"/>
            <w:vAlign w:val="bottom"/>
            <w:tcBorders>
              <w:bottom w:val="single" w:sz="8" w:color="C1CECC"/>
            </w:tcBorders>
          </w:tcPr>
          <w:p>
            <w:pPr>
              <w:spacing w:after="0"/>
              <w:rPr>
                <w:sz w:val="11"/>
                <w:szCs w:val="11"/>
                <w:color w:val="auto"/>
              </w:rPr>
            </w:pPr>
          </w:p>
        </w:tc>
        <w:tc>
          <w:tcPr>
            <w:tcW w:w="40" w:type="dxa"/>
            <w:vAlign w:val="bottom"/>
            <w:tcBorders>
              <w:bottom w:val="single" w:sz="8" w:color="C1CECC"/>
            </w:tcBorders>
          </w:tcPr>
          <w:p>
            <w:pPr>
              <w:spacing w:after="0"/>
              <w:rPr>
                <w:sz w:val="11"/>
                <w:szCs w:val="11"/>
                <w:color w:val="auto"/>
              </w:rPr>
            </w:pPr>
          </w:p>
        </w:tc>
        <w:tc>
          <w:tcPr>
            <w:tcW w:w="620" w:type="dxa"/>
            <w:vAlign w:val="bottom"/>
            <w:tcBorders>
              <w:bottom w:val="single" w:sz="8" w:color="C1CECC"/>
            </w:tcBorders>
          </w:tcPr>
          <w:p>
            <w:pPr>
              <w:spacing w:after="0"/>
              <w:rPr>
                <w:sz w:val="11"/>
                <w:szCs w:val="11"/>
                <w:color w:val="auto"/>
              </w:rPr>
            </w:pPr>
          </w:p>
        </w:tc>
        <w:tc>
          <w:tcPr>
            <w:tcW w:w="40" w:type="dxa"/>
            <w:vAlign w:val="bottom"/>
            <w:tcBorders>
              <w:bottom w:val="single" w:sz="8" w:color="C1CECC"/>
            </w:tcBorders>
          </w:tcPr>
          <w:p>
            <w:pPr>
              <w:spacing w:after="0"/>
              <w:rPr>
                <w:sz w:val="11"/>
                <w:szCs w:val="11"/>
                <w:color w:val="auto"/>
              </w:rPr>
            </w:pPr>
          </w:p>
        </w:tc>
        <w:tc>
          <w:tcPr>
            <w:tcW w:w="720" w:type="dxa"/>
            <w:vAlign w:val="bottom"/>
            <w:tcBorders>
              <w:bottom w:val="single" w:sz="8" w:color="C1CECC"/>
            </w:tcBorders>
          </w:tcPr>
          <w:p>
            <w:pPr>
              <w:spacing w:after="0"/>
              <w:rPr>
                <w:sz w:val="11"/>
                <w:szCs w:val="11"/>
                <w:color w:val="auto"/>
              </w:rPr>
            </w:pPr>
          </w:p>
        </w:tc>
        <w:tc>
          <w:tcPr>
            <w:tcW w:w="40" w:type="dxa"/>
            <w:vAlign w:val="bottom"/>
            <w:tcBorders>
              <w:bottom w:val="single" w:sz="8" w:color="C1CECC"/>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60" w:type="dxa"/>
            <w:vAlign w:val="bottom"/>
            <w:shd w:val="clear" w:color="auto" w:fill="F4F9F9"/>
          </w:tcPr>
          <w:p>
            <w:pPr>
              <w:spacing w:after="0" w:line="123" w:lineRule="exact"/>
              <w:rPr>
                <w:sz w:val="20"/>
                <w:szCs w:val="20"/>
                <w:color w:val="auto"/>
              </w:rPr>
            </w:pPr>
            <w:r>
              <w:rPr>
                <w:rFonts w:ascii="Arial" w:cs="Arial" w:eastAsia="Arial" w:hAnsi="Arial"/>
                <w:sz w:val="13"/>
                <w:szCs w:val="13"/>
                <w:color w:val="auto"/>
              </w:rPr>
              <w:t>Mr. Nelson</w:t>
            </w:r>
          </w:p>
        </w:tc>
        <w:tc>
          <w:tcPr>
            <w:tcW w:w="840" w:type="dxa"/>
            <w:vAlign w:val="bottom"/>
            <w:shd w:val="clear" w:color="auto" w:fill="F4F9F9"/>
          </w:tcPr>
          <w:p>
            <w:pPr>
              <w:ind w:left="60"/>
              <w:spacing w:after="0" w:line="123" w:lineRule="exact"/>
              <w:rPr>
                <w:sz w:val="20"/>
                <w:szCs w:val="20"/>
                <w:color w:val="auto"/>
              </w:rPr>
            </w:pPr>
            <w:r>
              <w:rPr>
                <w:rFonts w:ascii="Arial" w:cs="Arial" w:eastAsia="Arial" w:hAnsi="Arial"/>
                <w:sz w:val="13"/>
                <w:szCs w:val="13"/>
                <w:color w:val="auto"/>
              </w:rPr>
              <w:t>Bonus</w:t>
            </w:r>
          </w:p>
        </w:tc>
        <w:tc>
          <w:tcPr>
            <w:tcW w:w="80" w:type="dxa"/>
            <w:vAlign w:val="bottom"/>
            <w:shd w:val="clear" w:color="auto" w:fill="F4F9F9"/>
          </w:tcPr>
          <w:p>
            <w:pPr>
              <w:spacing w:after="0"/>
              <w:rPr>
                <w:sz w:val="10"/>
                <w:szCs w:val="10"/>
                <w:color w:val="auto"/>
              </w:rPr>
            </w:pPr>
          </w:p>
        </w:tc>
        <w:tc>
          <w:tcPr>
            <w:tcW w:w="660" w:type="dxa"/>
            <w:vAlign w:val="bottom"/>
            <w:gridSpan w:val="2"/>
            <w:shd w:val="clear" w:color="auto" w:fill="F4F9F9"/>
          </w:tcPr>
          <w:p>
            <w:pPr>
              <w:jc w:val="right"/>
              <w:ind w:right="60"/>
              <w:spacing w:after="0" w:line="123" w:lineRule="exact"/>
              <w:rPr>
                <w:sz w:val="20"/>
                <w:szCs w:val="20"/>
                <w:color w:val="auto"/>
              </w:rPr>
            </w:pPr>
            <w:r>
              <w:rPr>
                <w:rFonts w:ascii="Arial" w:cs="Arial" w:eastAsia="Arial" w:hAnsi="Arial"/>
                <w:sz w:val="13"/>
                <w:szCs w:val="13"/>
                <w:color w:val="auto"/>
              </w:rPr>
              <w:t>—</w:t>
            </w:r>
          </w:p>
        </w:tc>
        <w:tc>
          <w:tcPr>
            <w:tcW w:w="780" w:type="dxa"/>
            <w:vAlign w:val="bottom"/>
            <w:shd w:val="clear" w:color="auto" w:fill="F4F9F9"/>
          </w:tcPr>
          <w:p>
            <w:pPr>
              <w:jc w:val="right"/>
              <w:ind w:right="37"/>
              <w:spacing w:after="0" w:line="123" w:lineRule="exact"/>
              <w:rPr>
                <w:sz w:val="20"/>
                <w:szCs w:val="20"/>
                <w:color w:val="auto"/>
              </w:rPr>
            </w:pPr>
            <w:r>
              <w:rPr>
                <w:rFonts w:ascii="Arial" w:cs="Arial" w:eastAsia="Arial" w:hAnsi="Arial"/>
                <w:sz w:val="13"/>
                <w:szCs w:val="13"/>
                <w:color w:val="auto"/>
              </w:rPr>
              <w:t>250,000</w:t>
            </w:r>
          </w:p>
        </w:tc>
        <w:tc>
          <w:tcPr>
            <w:tcW w:w="700" w:type="dxa"/>
            <w:vAlign w:val="bottom"/>
            <w:shd w:val="clear" w:color="auto" w:fill="F4F9F9"/>
          </w:tcPr>
          <w:p>
            <w:pPr>
              <w:jc w:val="right"/>
              <w:spacing w:after="0" w:line="123" w:lineRule="exact"/>
              <w:rPr>
                <w:sz w:val="20"/>
                <w:szCs w:val="20"/>
                <w:color w:val="auto"/>
              </w:rPr>
            </w:pPr>
            <w:r>
              <w:rPr>
                <w:rFonts w:ascii="Arial" w:cs="Arial" w:eastAsia="Arial" w:hAnsi="Arial"/>
                <w:sz w:val="13"/>
                <w:szCs w:val="13"/>
                <w:color w:val="auto"/>
              </w:rPr>
              <w:t>1,000,000</w:t>
            </w:r>
          </w:p>
        </w:tc>
        <w:tc>
          <w:tcPr>
            <w:tcW w:w="740" w:type="dxa"/>
            <w:vAlign w:val="bottom"/>
            <w:shd w:val="clear" w:color="auto" w:fill="F4F9F9"/>
          </w:tcPr>
          <w:p>
            <w:pPr>
              <w:jc w:val="right"/>
              <w:ind w:right="17"/>
              <w:spacing w:after="0" w:line="123" w:lineRule="exact"/>
              <w:rPr>
                <w:sz w:val="20"/>
                <w:szCs w:val="20"/>
                <w:color w:val="auto"/>
              </w:rPr>
            </w:pPr>
            <w:r>
              <w:rPr>
                <w:rFonts w:ascii="Arial" w:cs="Arial" w:eastAsia="Arial" w:hAnsi="Arial"/>
                <w:sz w:val="13"/>
                <w:szCs w:val="13"/>
                <w:color w:val="auto"/>
              </w:rPr>
              <w:t>2,000,000</w:t>
            </w:r>
          </w:p>
        </w:tc>
        <w:tc>
          <w:tcPr>
            <w:tcW w:w="760" w:type="dxa"/>
            <w:vAlign w:val="bottom"/>
            <w:shd w:val="clear" w:color="auto" w:fill="F4F9F9"/>
          </w:tcPr>
          <w:p>
            <w:pPr>
              <w:spacing w:after="0"/>
              <w:rPr>
                <w:sz w:val="10"/>
                <w:szCs w:val="10"/>
                <w:color w:val="auto"/>
              </w:rPr>
            </w:pPr>
          </w:p>
        </w:tc>
        <w:tc>
          <w:tcPr>
            <w:tcW w:w="560" w:type="dxa"/>
            <w:vAlign w:val="bottom"/>
            <w:shd w:val="clear" w:color="auto" w:fill="F4F9F9"/>
          </w:tcPr>
          <w:p>
            <w:pPr>
              <w:spacing w:after="0"/>
              <w:rPr>
                <w:sz w:val="10"/>
                <w:szCs w:val="10"/>
                <w:color w:val="auto"/>
              </w:rPr>
            </w:pPr>
          </w:p>
        </w:tc>
        <w:tc>
          <w:tcPr>
            <w:tcW w:w="700" w:type="dxa"/>
            <w:vAlign w:val="bottom"/>
            <w:shd w:val="clear" w:color="auto" w:fill="F4F9F9"/>
          </w:tcPr>
          <w:p>
            <w:pPr>
              <w:spacing w:after="0"/>
              <w:rPr>
                <w:sz w:val="10"/>
                <w:szCs w:val="10"/>
                <w:color w:val="auto"/>
              </w:rPr>
            </w:pPr>
          </w:p>
        </w:tc>
        <w:tc>
          <w:tcPr>
            <w:tcW w:w="580" w:type="dxa"/>
            <w:vAlign w:val="bottom"/>
            <w:shd w:val="clear" w:color="auto" w:fill="F4F9F9"/>
          </w:tcPr>
          <w:p>
            <w:pPr>
              <w:spacing w:after="0"/>
              <w:rPr>
                <w:sz w:val="10"/>
                <w:szCs w:val="10"/>
                <w:color w:val="auto"/>
              </w:rPr>
            </w:pPr>
          </w:p>
        </w:tc>
        <w:tc>
          <w:tcPr>
            <w:tcW w:w="40" w:type="dxa"/>
            <w:vAlign w:val="bottom"/>
            <w:shd w:val="clear" w:color="auto" w:fill="F4F9F9"/>
          </w:tcPr>
          <w:p>
            <w:pPr>
              <w:spacing w:after="0"/>
              <w:rPr>
                <w:sz w:val="10"/>
                <w:szCs w:val="10"/>
                <w:color w:val="auto"/>
              </w:rPr>
            </w:pPr>
          </w:p>
        </w:tc>
        <w:tc>
          <w:tcPr>
            <w:tcW w:w="760" w:type="dxa"/>
            <w:vAlign w:val="bottom"/>
            <w:shd w:val="clear" w:color="auto" w:fill="F4F9F9"/>
          </w:tcPr>
          <w:p>
            <w:pPr>
              <w:spacing w:after="0"/>
              <w:rPr>
                <w:sz w:val="10"/>
                <w:szCs w:val="10"/>
                <w:color w:val="auto"/>
              </w:rPr>
            </w:pPr>
          </w:p>
        </w:tc>
        <w:tc>
          <w:tcPr>
            <w:tcW w:w="40" w:type="dxa"/>
            <w:vAlign w:val="bottom"/>
            <w:shd w:val="clear" w:color="auto" w:fill="F4F9F9"/>
          </w:tcPr>
          <w:p>
            <w:pPr>
              <w:spacing w:after="0"/>
              <w:rPr>
                <w:sz w:val="10"/>
                <w:szCs w:val="10"/>
                <w:color w:val="auto"/>
              </w:rPr>
            </w:pPr>
          </w:p>
        </w:tc>
        <w:tc>
          <w:tcPr>
            <w:tcW w:w="620" w:type="dxa"/>
            <w:vAlign w:val="bottom"/>
            <w:shd w:val="clear" w:color="auto" w:fill="F4F9F9"/>
          </w:tcPr>
          <w:p>
            <w:pPr>
              <w:spacing w:after="0"/>
              <w:rPr>
                <w:sz w:val="10"/>
                <w:szCs w:val="10"/>
                <w:color w:val="auto"/>
              </w:rPr>
            </w:pPr>
          </w:p>
        </w:tc>
        <w:tc>
          <w:tcPr>
            <w:tcW w:w="40" w:type="dxa"/>
            <w:vAlign w:val="bottom"/>
            <w:shd w:val="clear" w:color="auto" w:fill="F4F9F9"/>
          </w:tcPr>
          <w:p>
            <w:pPr>
              <w:spacing w:after="0"/>
              <w:rPr>
                <w:sz w:val="10"/>
                <w:szCs w:val="10"/>
                <w:color w:val="auto"/>
              </w:rPr>
            </w:pPr>
          </w:p>
        </w:tc>
        <w:tc>
          <w:tcPr>
            <w:tcW w:w="720" w:type="dxa"/>
            <w:vAlign w:val="bottom"/>
            <w:shd w:val="clear" w:color="auto" w:fill="F4F9F9"/>
          </w:tcPr>
          <w:p>
            <w:pPr>
              <w:spacing w:after="0"/>
              <w:rPr>
                <w:sz w:val="10"/>
                <w:szCs w:val="10"/>
                <w:color w:val="auto"/>
              </w:rPr>
            </w:pPr>
          </w:p>
        </w:tc>
        <w:tc>
          <w:tcPr>
            <w:tcW w:w="40" w:type="dxa"/>
            <w:vAlign w:val="bottom"/>
            <w:shd w:val="clear" w:color="auto" w:fill="F4F9F9"/>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360" w:type="dxa"/>
            <w:vAlign w:val="bottom"/>
            <w:tcBorders>
              <w:bottom w:val="single" w:sz="8" w:color="C1CECC"/>
            </w:tcBorders>
            <w:shd w:val="clear" w:color="auto" w:fill="F4F9F9"/>
          </w:tcPr>
          <w:p>
            <w:pPr>
              <w:spacing w:after="0"/>
              <w:rPr>
                <w:sz w:val="12"/>
                <w:szCs w:val="12"/>
                <w:color w:val="auto"/>
              </w:rPr>
            </w:pPr>
          </w:p>
        </w:tc>
        <w:tc>
          <w:tcPr>
            <w:tcW w:w="840" w:type="dxa"/>
            <w:vAlign w:val="bottom"/>
            <w:tcBorders>
              <w:bottom w:val="single" w:sz="8" w:color="C1CECC"/>
            </w:tcBorders>
            <w:shd w:val="clear" w:color="auto" w:fill="F4F9F9"/>
          </w:tcPr>
          <w:p>
            <w:pPr>
              <w:ind w:left="60"/>
              <w:spacing w:after="0" w:line="141" w:lineRule="exact"/>
              <w:rPr>
                <w:sz w:val="20"/>
                <w:szCs w:val="20"/>
                <w:color w:val="auto"/>
              </w:rPr>
            </w:pPr>
            <w:r>
              <w:rPr>
                <w:rFonts w:ascii="Arial" w:cs="Arial" w:eastAsia="Arial" w:hAnsi="Arial"/>
                <w:sz w:val="13"/>
                <w:szCs w:val="13"/>
                <w:color w:val="auto"/>
              </w:rPr>
              <w:t>Time-based</w:t>
            </w:r>
          </w:p>
        </w:tc>
        <w:tc>
          <w:tcPr>
            <w:tcW w:w="700" w:type="dxa"/>
            <w:vAlign w:val="bottom"/>
            <w:tcBorders>
              <w:bottom w:val="single" w:sz="8" w:color="C1CECC"/>
            </w:tcBorders>
            <w:gridSpan w:val="2"/>
            <w:shd w:val="clear" w:color="auto" w:fill="F4F9F9"/>
          </w:tcPr>
          <w:p>
            <w:pPr>
              <w:jc w:val="right"/>
              <w:spacing w:after="0" w:line="141" w:lineRule="exact"/>
              <w:rPr>
                <w:sz w:val="20"/>
                <w:szCs w:val="20"/>
                <w:color w:val="auto"/>
              </w:rPr>
            </w:pPr>
            <w:r>
              <w:rPr>
                <w:rFonts w:ascii="Arial" w:cs="Arial" w:eastAsia="Arial" w:hAnsi="Arial"/>
                <w:sz w:val="13"/>
                <w:szCs w:val="13"/>
                <w:color w:val="auto"/>
              </w:rPr>
              <w:t>3/1/2017</w:t>
            </w:r>
          </w:p>
        </w:tc>
        <w:tc>
          <w:tcPr>
            <w:tcW w:w="40" w:type="dxa"/>
            <w:vAlign w:val="bottom"/>
            <w:tcBorders>
              <w:bottom w:val="single" w:sz="8" w:color="C1CECC"/>
            </w:tcBorders>
            <w:shd w:val="clear" w:color="auto" w:fill="F4F9F9"/>
          </w:tcPr>
          <w:p>
            <w:pPr>
              <w:spacing w:after="0"/>
              <w:rPr>
                <w:sz w:val="12"/>
                <w:szCs w:val="12"/>
                <w:color w:val="auto"/>
              </w:rPr>
            </w:pPr>
          </w:p>
        </w:tc>
        <w:tc>
          <w:tcPr>
            <w:tcW w:w="780" w:type="dxa"/>
            <w:vAlign w:val="bottom"/>
            <w:tcBorders>
              <w:bottom w:val="single" w:sz="8" w:color="C1CECC"/>
            </w:tcBorders>
            <w:shd w:val="clear" w:color="auto" w:fill="F4F9F9"/>
          </w:tcPr>
          <w:p>
            <w:pPr>
              <w:spacing w:after="0"/>
              <w:rPr>
                <w:sz w:val="12"/>
                <w:szCs w:val="12"/>
                <w:color w:val="auto"/>
              </w:rPr>
            </w:pPr>
          </w:p>
        </w:tc>
        <w:tc>
          <w:tcPr>
            <w:tcW w:w="700" w:type="dxa"/>
            <w:vAlign w:val="bottom"/>
            <w:tcBorders>
              <w:bottom w:val="single" w:sz="8" w:color="C1CECC"/>
            </w:tcBorders>
            <w:shd w:val="clear" w:color="auto" w:fill="F4F9F9"/>
          </w:tcPr>
          <w:p>
            <w:pPr>
              <w:spacing w:after="0"/>
              <w:rPr>
                <w:sz w:val="12"/>
                <w:szCs w:val="12"/>
                <w:color w:val="auto"/>
              </w:rPr>
            </w:pPr>
          </w:p>
        </w:tc>
        <w:tc>
          <w:tcPr>
            <w:tcW w:w="740" w:type="dxa"/>
            <w:vAlign w:val="bottom"/>
            <w:tcBorders>
              <w:bottom w:val="single" w:sz="8" w:color="C1CECC"/>
            </w:tcBorders>
            <w:shd w:val="clear" w:color="auto" w:fill="F4F9F9"/>
          </w:tcPr>
          <w:p>
            <w:pPr>
              <w:spacing w:after="0"/>
              <w:rPr>
                <w:sz w:val="12"/>
                <w:szCs w:val="12"/>
                <w:color w:val="auto"/>
              </w:rPr>
            </w:pPr>
          </w:p>
        </w:tc>
        <w:tc>
          <w:tcPr>
            <w:tcW w:w="760" w:type="dxa"/>
            <w:vAlign w:val="bottom"/>
            <w:tcBorders>
              <w:bottom w:val="single" w:sz="8" w:color="C1CECC"/>
            </w:tcBorders>
            <w:shd w:val="clear" w:color="auto" w:fill="F4F9F9"/>
          </w:tcPr>
          <w:p>
            <w:pPr>
              <w:spacing w:after="0"/>
              <w:rPr>
                <w:sz w:val="12"/>
                <w:szCs w:val="12"/>
                <w:color w:val="auto"/>
              </w:rPr>
            </w:pPr>
          </w:p>
        </w:tc>
        <w:tc>
          <w:tcPr>
            <w:tcW w:w="560" w:type="dxa"/>
            <w:vAlign w:val="bottom"/>
            <w:tcBorders>
              <w:bottom w:val="single" w:sz="8" w:color="C1CECC"/>
            </w:tcBorders>
            <w:shd w:val="clear" w:color="auto" w:fill="F4F9F9"/>
          </w:tcPr>
          <w:p>
            <w:pPr>
              <w:spacing w:after="0"/>
              <w:rPr>
                <w:sz w:val="12"/>
                <w:szCs w:val="12"/>
                <w:color w:val="auto"/>
              </w:rPr>
            </w:pPr>
          </w:p>
        </w:tc>
        <w:tc>
          <w:tcPr>
            <w:tcW w:w="700" w:type="dxa"/>
            <w:vAlign w:val="bottom"/>
            <w:tcBorders>
              <w:bottom w:val="single" w:sz="8" w:color="C1CECC"/>
            </w:tcBorders>
            <w:shd w:val="clear" w:color="auto" w:fill="F4F9F9"/>
          </w:tcPr>
          <w:p>
            <w:pPr>
              <w:spacing w:after="0"/>
              <w:rPr>
                <w:sz w:val="12"/>
                <w:szCs w:val="12"/>
                <w:color w:val="auto"/>
              </w:rPr>
            </w:pPr>
          </w:p>
        </w:tc>
        <w:tc>
          <w:tcPr>
            <w:tcW w:w="580" w:type="dxa"/>
            <w:vAlign w:val="bottom"/>
            <w:tcBorders>
              <w:bottom w:val="single" w:sz="8" w:color="C1CECC"/>
            </w:tcBorders>
            <w:shd w:val="clear" w:color="auto" w:fill="F4F9F9"/>
          </w:tcPr>
          <w:p>
            <w:pPr>
              <w:jc w:val="right"/>
              <w:spacing w:after="0" w:line="141" w:lineRule="exact"/>
              <w:rPr>
                <w:sz w:val="20"/>
                <w:szCs w:val="20"/>
                <w:color w:val="auto"/>
              </w:rPr>
            </w:pPr>
            <w:r>
              <w:rPr>
                <w:rFonts w:ascii="Arial" w:cs="Arial" w:eastAsia="Arial" w:hAnsi="Arial"/>
                <w:sz w:val="13"/>
                <w:szCs w:val="13"/>
                <w:color w:val="auto"/>
              </w:rPr>
              <w:t>29,061</w:t>
            </w:r>
          </w:p>
        </w:tc>
        <w:tc>
          <w:tcPr>
            <w:tcW w:w="40" w:type="dxa"/>
            <w:vAlign w:val="bottom"/>
            <w:tcBorders>
              <w:bottom w:val="single" w:sz="8" w:color="C1CECC"/>
            </w:tcBorders>
            <w:shd w:val="clear" w:color="auto" w:fill="F4F9F9"/>
          </w:tcPr>
          <w:p>
            <w:pPr>
              <w:spacing w:after="0"/>
              <w:rPr>
                <w:sz w:val="12"/>
                <w:szCs w:val="12"/>
                <w:color w:val="auto"/>
              </w:rPr>
            </w:pPr>
          </w:p>
        </w:tc>
        <w:tc>
          <w:tcPr>
            <w:tcW w:w="800" w:type="dxa"/>
            <w:vAlign w:val="bottom"/>
            <w:tcBorders>
              <w:bottom w:val="single" w:sz="8" w:color="C1CECC"/>
            </w:tcBorders>
            <w:gridSpan w:val="2"/>
            <w:shd w:val="clear" w:color="auto" w:fill="F4F9F9"/>
          </w:tcPr>
          <w:p>
            <w:pPr>
              <w:ind w:left="640"/>
              <w:spacing w:after="0" w:line="141"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C1CECC"/>
            </w:tcBorders>
            <w:gridSpan w:val="2"/>
            <w:shd w:val="clear" w:color="auto" w:fill="F4F9F9"/>
          </w:tcPr>
          <w:p>
            <w:pPr>
              <w:ind w:left="500"/>
              <w:spacing w:after="0" w:line="141"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C1CECC"/>
            </w:tcBorders>
            <w:shd w:val="clear" w:color="auto" w:fill="F4F9F9"/>
          </w:tcPr>
          <w:p>
            <w:pPr>
              <w:jc w:val="right"/>
              <w:spacing w:after="0" w:line="141" w:lineRule="exact"/>
              <w:rPr>
                <w:sz w:val="20"/>
                <w:szCs w:val="20"/>
                <w:color w:val="auto"/>
              </w:rPr>
            </w:pPr>
            <w:r>
              <w:rPr>
                <w:rFonts w:ascii="Arial" w:cs="Arial" w:eastAsia="Arial" w:hAnsi="Arial"/>
                <w:sz w:val="13"/>
                <w:szCs w:val="13"/>
                <w:color w:val="auto"/>
              </w:rPr>
              <w:t>999,989</w:t>
            </w:r>
          </w:p>
        </w:tc>
        <w:tc>
          <w:tcPr>
            <w:tcW w:w="40" w:type="dxa"/>
            <w:vAlign w:val="bottom"/>
            <w:tcBorders>
              <w:bottom w:val="single" w:sz="8" w:color="C1CECC"/>
            </w:tcBorders>
            <w:shd w:val="clear" w:color="auto" w:fill="F4F9F9"/>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60" w:type="dxa"/>
            <w:vAlign w:val="bottom"/>
          </w:tcPr>
          <w:p>
            <w:pPr>
              <w:spacing w:after="0" w:line="123" w:lineRule="exact"/>
              <w:rPr>
                <w:sz w:val="20"/>
                <w:szCs w:val="20"/>
                <w:color w:val="auto"/>
              </w:rPr>
            </w:pPr>
            <w:r>
              <w:rPr>
                <w:rFonts w:ascii="Arial" w:cs="Arial" w:eastAsia="Arial" w:hAnsi="Arial"/>
                <w:sz w:val="13"/>
                <w:szCs w:val="13"/>
                <w:color w:val="auto"/>
              </w:rPr>
              <w:t>Mr. Ferraro</w:t>
            </w:r>
          </w:p>
        </w:tc>
        <w:tc>
          <w:tcPr>
            <w:tcW w:w="840" w:type="dxa"/>
            <w:vAlign w:val="bottom"/>
          </w:tcPr>
          <w:p>
            <w:pPr>
              <w:ind w:left="60"/>
              <w:spacing w:after="0" w:line="123" w:lineRule="exact"/>
              <w:rPr>
                <w:sz w:val="20"/>
                <w:szCs w:val="20"/>
                <w:color w:val="auto"/>
              </w:rPr>
            </w:pPr>
            <w:r>
              <w:rPr>
                <w:rFonts w:ascii="Arial" w:cs="Arial" w:eastAsia="Arial" w:hAnsi="Arial"/>
                <w:sz w:val="13"/>
                <w:szCs w:val="13"/>
                <w:color w:val="auto"/>
              </w:rPr>
              <w:t>Bonus</w:t>
            </w:r>
          </w:p>
        </w:tc>
        <w:tc>
          <w:tcPr>
            <w:tcW w:w="80" w:type="dxa"/>
            <w:vAlign w:val="bottom"/>
          </w:tcPr>
          <w:p>
            <w:pPr>
              <w:spacing w:after="0"/>
              <w:rPr>
                <w:sz w:val="10"/>
                <w:szCs w:val="10"/>
                <w:color w:val="auto"/>
              </w:rPr>
            </w:pPr>
          </w:p>
        </w:tc>
        <w:tc>
          <w:tcPr>
            <w:tcW w:w="660" w:type="dxa"/>
            <w:vAlign w:val="bottom"/>
            <w:gridSpan w:val="2"/>
          </w:tcPr>
          <w:p>
            <w:pPr>
              <w:jc w:val="right"/>
              <w:ind w:right="60"/>
              <w:spacing w:after="0" w:line="123"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23" w:lineRule="exact"/>
              <w:rPr>
                <w:sz w:val="20"/>
                <w:szCs w:val="20"/>
                <w:color w:val="auto"/>
              </w:rPr>
            </w:pPr>
            <w:r>
              <w:rPr>
                <w:rFonts w:ascii="Arial" w:cs="Arial" w:eastAsia="Arial" w:hAnsi="Arial"/>
                <w:sz w:val="13"/>
                <w:szCs w:val="13"/>
                <w:color w:val="auto"/>
              </w:rPr>
              <w:t>162,192</w:t>
            </w:r>
          </w:p>
        </w:tc>
        <w:tc>
          <w:tcPr>
            <w:tcW w:w="700" w:type="dxa"/>
            <w:vAlign w:val="bottom"/>
          </w:tcPr>
          <w:p>
            <w:pPr>
              <w:jc w:val="right"/>
              <w:spacing w:after="0" w:line="123" w:lineRule="exact"/>
              <w:rPr>
                <w:sz w:val="20"/>
                <w:szCs w:val="20"/>
                <w:color w:val="auto"/>
              </w:rPr>
            </w:pPr>
            <w:r>
              <w:rPr>
                <w:rFonts w:ascii="Arial" w:cs="Arial" w:eastAsia="Arial" w:hAnsi="Arial"/>
                <w:sz w:val="13"/>
                <w:szCs w:val="13"/>
                <w:color w:val="auto"/>
              </w:rPr>
              <w:t>648,767</w:t>
            </w:r>
          </w:p>
        </w:tc>
        <w:tc>
          <w:tcPr>
            <w:tcW w:w="740" w:type="dxa"/>
            <w:vAlign w:val="bottom"/>
          </w:tcPr>
          <w:p>
            <w:pPr>
              <w:jc w:val="right"/>
              <w:ind w:right="17"/>
              <w:spacing w:after="0" w:line="123" w:lineRule="exact"/>
              <w:rPr>
                <w:sz w:val="20"/>
                <w:szCs w:val="20"/>
                <w:color w:val="auto"/>
              </w:rPr>
            </w:pPr>
            <w:r>
              <w:rPr>
                <w:rFonts w:ascii="Arial" w:cs="Arial" w:eastAsia="Arial" w:hAnsi="Arial"/>
                <w:sz w:val="13"/>
                <w:szCs w:val="13"/>
                <w:color w:val="auto"/>
              </w:rPr>
              <w:t>1,297,534</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3"/>
                <w:szCs w:val="13"/>
                <w:color w:val="auto"/>
              </w:rPr>
              <w:t>Time-based</w:t>
            </w: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3/1/2017</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17,437</w:t>
            </w:r>
          </w:p>
        </w:tc>
        <w:tc>
          <w:tcPr>
            <w:tcW w:w="40" w:type="dxa"/>
            <w:vAlign w:val="bottom"/>
          </w:tcPr>
          <w:p>
            <w:pPr>
              <w:spacing w:after="0"/>
              <w:rPr>
                <w:sz w:val="11"/>
                <w:szCs w:val="11"/>
                <w:color w:val="auto"/>
              </w:rPr>
            </w:pPr>
          </w:p>
        </w:tc>
        <w:tc>
          <w:tcPr>
            <w:tcW w:w="80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600,007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3"/>
                <w:szCs w:val="13"/>
                <w:color w:val="auto"/>
                <w:w w:val="96"/>
              </w:rPr>
              <w:t>Performance-</w:t>
            </w: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3/1/2017</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8,719</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17,437</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34,874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600,007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3"/>
                <w:szCs w:val="13"/>
                <w:color w:val="auto"/>
              </w:rPr>
              <w:t>based</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360" w:type="dxa"/>
            <w:vAlign w:val="bottom"/>
            <w:tcBorders>
              <w:bottom w:val="single" w:sz="8" w:color="C1CECC"/>
            </w:tcBorders>
          </w:tcPr>
          <w:p>
            <w:pPr>
              <w:spacing w:after="0"/>
              <w:rPr>
                <w:sz w:val="12"/>
                <w:szCs w:val="12"/>
                <w:color w:val="auto"/>
              </w:rPr>
            </w:pPr>
          </w:p>
        </w:tc>
        <w:tc>
          <w:tcPr>
            <w:tcW w:w="840" w:type="dxa"/>
            <w:vAlign w:val="bottom"/>
            <w:tcBorders>
              <w:bottom w:val="single" w:sz="8" w:color="C1CECC"/>
            </w:tcBorders>
          </w:tcPr>
          <w:p>
            <w:pPr>
              <w:ind w:left="60"/>
              <w:spacing w:after="0" w:line="141" w:lineRule="exact"/>
              <w:rPr>
                <w:sz w:val="20"/>
                <w:szCs w:val="20"/>
                <w:color w:val="auto"/>
              </w:rPr>
            </w:pPr>
            <w:r>
              <w:rPr>
                <w:rFonts w:ascii="Arial" w:cs="Arial" w:eastAsia="Arial" w:hAnsi="Arial"/>
                <w:sz w:val="13"/>
                <w:szCs w:val="13"/>
                <w:color w:val="auto"/>
              </w:rPr>
              <w:t>Time-based</w:t>
            </w:r>
          </w:p>
        </w:tc>
        <w:tc>
          <w:tcPr>
            <w:tcW w:w="700" w:type="dxa"/>
            <w:vAlign w:val="bottom"/>
            <w:tcBorders>
              <w:bottom w:val="single" w:sz="8" w:color="C1CECC"/>
            </w:tcBorders>
            <w:gridSpan w:val="2"/>
          </w:tcPr>
          <w:p>
            <w:pPr>
              <w:jc w:val="right"/>
              <w:spacing w:after="0" w:line="141" w:lineRule="exact"/>
              <w:rPr>
                <w:sz w:val="20"/>
                <w:szCs w:val="20"/>
                <w:color w:val="auto"/>
              </w:rPr>
            </w:pPr>
            <w:r>
              <w:rPr>
                <w:rFonts w:ascii="Arial" w:cs="Arial" w:eastAsia="Arial" w:hAnsi="Arial"/>
                <w:sz w:val="13"/>
                <w:szCs w:val="13"/>
                <w:color w:val="auto"/>
              </w:rPr>
              <w:t>9/19/2017</w:t>
            </w:r>
          </w:p>
        </w:tc>
        <w:tc>
          <w:tcPr>
            <w:tcW w:w="40" w:type="dxa"/>
            <w:vAlign w:val="bottom"/>
            <w:tcBorders>
              <w:bottom w:val="single" w:sz="8" w:color="C1CECC"/>
            </w:tcBorders>
          </w:tcPr>
          <w:p>
            <w:pPr>
              <w:spacing w:after="0"/>
              <w:rPr>
                <w:sz w:val="12"/>
                <w:szCs w:val="12"/>
                <w:color w:val="auto"/>
              </w:rPr>
            </w:pPr>
          </w:p>
        </w:tc>
        <w:tc>
          <w:tcPr>
            <w:tcW w:w="780" w:type="dxa"/>
            <w:vAlign w:val="bottom"/>
            <w:tcBorders>
              <w:bottom w:val="single" w:sz="8" w:color="C1CECC"/>
            </w:tcBorders>
          </w:tcPr>
          <w:p>
            <w:pPr>
              <w:spacing w:after="0"/>
              <w:rPr>
                <w:sz w:val="12"/>
                <w:szCs w:val="12"/>
                <w:color w:val="auto"/>
              </w:rPr>
            </w:pPr>
          </w:p>
        </w:tc>
        <w:tc>
          <w:tcPr>
            <w:tcW w:w="700" w:type="dxa"/>
            <w:vAlign w:val="bottom"/>
            <w:tcBorders>
              <w:bottom w:val="single" w:sz="8" w:color="C1CECC"/>
            </w:tcBorders>
          </w:tcPr>
          <w:p>
            <w:pPr>
              <w:spacing w:after="0"/>
              <w:rPr>
                <w:sz w:val="12"/>
                <w:szCs w:val="12"/>
                <w:color w:val="auto"/>
              </w:rPr>
            </w:pPr>
          </w:p>
        </w:tc>
        <w:tc>
          <w:tcPr>
            <w:tcW w:w="740" w:type="dxa"/>
            <w:vAlign w:val="bottom"/>
            <w:tcBorders>
              <w:bottom w:val="single" w:sz="8" w:color="C1CECC"/>
            </w:tcBorders>
          </w:tcPr>
          <w:p>
            <w:pPr>
              <w:spacing w:after="0"/>
              <w:rPr>
                <w:sz w:val="12"/>
                <w:szCs w:val="12"/>
                <w:color w:val="auto"/>
              </w:rPr>
            </w:pPr>
          </w:p>
        </w:tc>
        <w:tc>
          <w:tcPr>
            <w:tcW w:w="760" w:type="dxa"/>
            <w:vAlign w:val="bottom"/>
            <w:tcBorders>
              <w:bottom w:val="single" w:sz="8" w:color="C1CECC"/>
            </w:tcBorders>
          </w:tcPr>
          <w:p>
            <w:pPr>
              <w:spacing w:after="0"/>
              <w:rPr>
                <w:sz w:val="12"/>
                <w:szCs w:val="12"/>
                <w:color w:val="auto"/>
              </w:rPr>
            </w:pPr>
          </w:p>
        </w:tc>
        <w:tc>
          <w:tcPr>
            <w:tcW w:w="560" w:type="dxa"/>
            <w:vAlign w:val="bottom"/>
            <w:tcBorders>
              <w:bottom w:val="single" w:sz="8" w:color="C1CECC"/>
            </w:tcBorders>
          </w:tcPr>
          <w:p>
            <w:pPr>
              <w:spacing w:after="0"/>
              <w:rPr>
                <w:sz w:val="12"/>
                <w:szCs w:val="12"/>
                <w:color w:val="auto"/>
              </w:rPr>
            </w:pPr>
          </w:p>
        </w:tc>
        <w:tc>
          <w:tcPr>
            <w:tcW w:w="700" w:type="dxa"/>
            <w:vAlign w:val="bottom"/>
            <w:tcBorders>
              <w:bottom w:val="single" w:sz="8" w:color="C1CECC"/>
            </w:tcBorders>
          </w:tcPr>
          <w:p>
            <w:pPr>
              <w:spacing w:after="0"/>
              <w:rPr>
                <w:sz w:val="12"/>
                <w:szCs w:val="12"/>
                <w:color w:val="auto"/>
              </w:rPr>
            </w:pPr>
          </w:p>
        </w:tc>
        <w:tc>
          <w:tcPr>
            <w:tcW w:w="580" w:type="dxa"/>
            <w:vAlign w:val="bottom"/>
            <w:tcBorders>
              <w:bottom w:val="single" w:sz="8" w:color="C1CECC"/>
            </w:tcBorders>
          </w:tcPr>
          <w:p>
            <w:pPr>
              <w:jc w:val="right"/>
              <w:spacing w:after="0" w:line="141" w:lineRule="exact"/>
              <w:rPr>
                <w:sz w:val="20"/>
                <w:szCs w:val="20"/>
                <w:color w:val="auto"/>
              </w:rPr>
            </w:pPr>
            <w:r>
              <w:rPr>
                <w:rFonts w:ascii="Arial" w:cs="Arial" w:eastAsia="Arial" w:hAnsi="Arial"/>
                <w:sz w:val="13"/>
                <w:szCs w:val="13"/>
                <w:color w:val="auto"/>
              </w:rPr>
              <w:t>46,397</w:t>
            </w:r>
          </w:p>
        </w:tc>
        <w:tc>
          <w:tcPr>
            <w:tcW w:w="40" w:type="dxa"/>
            <w:vAlign w:val="bottom"/>
            <w:tcBorders>
              <w:bottom w:val="single" w:sz="8" w:color="C1CECC"/>
            </w:tcBorders>
          </w:tcPr>
          <w:p>
            <w:pPr>
              <w:spacing w:after="0"/>
              <w:rPr>
                <w:sz w:val="12"/>
                <w:szCs w:val="12"/>
                <w:color w:val="auto"/>
              </w:rPr>
            </w:pPr>
          </w:p>
        </w:tc>
        <w:tc>
          <w:tcPr>
            <w:tcW w:w="760" w:type="dxa"/>
            <w:vAlign w:val="bottom"/>
            <w:tcBorders>
              <w:bottom w:val="single" w:sz="8" w:color="C1CECC"/>
            </w:tcBorders>
          </w:tcPr>
          <w:p>
            <w:pPr>
              <w:spacing w:after="0"/>
              <w:rPr>
                <w:sz w:val="12"/>
                <w:szCs w:val="12"/>
                <w:color w:val="auto"/>
              </w:rPr>
            </w:pPr>
          </w:p>
        </w:tc>
        <w:tc>
          <w:tcPr>
            <w:tcW w:w="40" w:type="dxa"/>
            <w:vAlign w:val="bottom"/>
            <w:tcBorders>
              <w:bottom w:val="single" w:sz="8" w:color="C1CECC"/>
            </w:tcBorders>
          </w:tcPr>
          <w:p>
            <w:pPr>
              <w:spacing w:after="0"/>
              <w:rPr>
                <w:sz w:val="12"/>
                <w:szCs w:val="12"/>
                <w:color w:val="auto"/>
              </w:rPr>
            </w:pPr>
          </w:p>
        </w:tc>
        <w:tc>
          <w:tcPr>
            <w:tcW w:w="620" w:type="dxa"/>
            <w:vAlign w:val="bottom"/>
            <w:tcBorders>
              <w:bottom w:val="single" w:sz="8" w:color="C1CECC"/>
            </w:tcBorders>
          </w:tcPr>
          <w:p>
            <w:pPr>
              <w:spacing w:after="0"/>
              <w:rPr>
                <w:sz w:val="12"/>
                <w:szCs w:val="12"/>
                <w:color w:val="auto"/>
              </w:rPr>
            </w:pPr>
          </w:p>
        </w:tc>
        <w:tc>
          <w:tcPr>
            <w:tcW w:w="40" w:type="dxa"/>
            <w:vAlign w:val="bottom"/>
            <w:tcBorders>
              <w:bottom w:val="single" w:sz="8" w:color="C1CECC"/>
            </w:tcBorders>
          </w:tcPr>
          <w:p>
            <w:pPr>
              <w:spacing w:after="0"/>
              <w:rPr>
                <w:sz w:val="12"/>
                <w:szCs w:val="12"/>
                <w:color w:val="auto"/>
              </w:rPr>
            </w:pPr>
          </w:p>
        </w:tc>
        <w:tc>
          <w:tcPr>
            <w:tcW w:w="720" w:type="dxa"/>
            <w:vAlign w:val="bottom"/>
            <w:tcBorders>
              <w:bottom w:val="single" w:sz="8" w:color="C1CECC"/>
            </w:tcBorders>
          </w:tcPr>
          <w:p>
            <w:pPr>
              <w:jc w:val="right"/>
              <w:spacing w:after="0" w:line="141" w:lineRule="exact"/>
              <w:rPr>
                <w:sz w:val="20"/>
                <w:szCs w:val="20"/>
                <w:color w:val="auto"/>
              </w:rPr>
            </w:pPr>
            <w:r>
              <w:rPr>
                <w:rFonts w:ascii="Arial" w:cs="Arial" w:eastAsia="Arial" w:hAnsi="Arial"/>
                <w:sz w:val="13"/>
                <w:szCs w:val="13"/>
                <w:color w:val="auto"/>
              </w:rPr>
              <w:t>1,699,986</w:t>
            </w:r>
          </w:p>
        </w:tc>
        <w:tc>
          <w:tcPr>
            <w:tcW w:w="40" w:type="dxa"/>
            <w:vAlign w:val="bottom"/>
            <w:tcBorders>
              <w:bottom w:val="single" w:sz="8" w:color="C1CECC"/>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60" w:type="dxa"/>
            <w:vAlign w:val="bottom"/>
            <w:shd w:val="clear" w:color="auto" w:fill="F4F9F9"/>
          </w:tcPr>
          <w:p>
            <w:pPr>
              <w:spacing w:after="0" w:line="123" w:lineRule="exact"/>
              <w:rPr>
                <w:sz w:val="20"/>
                <w:szCs w:val="20"/>
                <w:color w:val="auto"/>
              </w:rPr>
            </w:pPr>
            <w:r>
              <w:rPr>
                <w:rFonts w:ascii="Arial" w:cs="Arial" w:eastAsia="Arial" w:hAnsi="Arial"/>
                <w:sz w:val="13"/>
                <w:szCs w:val="13"/>
                <w:color w:val="auto"/>
              </w:rPr>
              <w:t>Mr. Servodidio</w:t>
            </w:r>
          </w:p>
        </w:tc>
        <w:tc>
          <w:tcPr>
            <w:tcW w:w="840" w:type="dxa"/>
            <w:vAlign w:val="bottom"/>
            <w:shd w:val="clear" w:color="auto" w:fill="F4F9F9"/>
          </w:tcPr>
          <w:p>
            <w:pPr>
              <w:ind w:left="60"/>
              <w:spacing w:after="0" w:line="123" w:lineRule="exact"/>
              <w:rPr>
                <w:sz w:val="20"/>
                <w:szCs w:val="20"/>
                <w:color w:val="auto"/>
              </w:rPr>
            </w:pPr>
            <w:r>
              <w:rPr>
                <w:rFonts w:ascii="Arial" w:cs="Arial" w:eastAsia="Arial" w:hAnsi="Arial"/>
                <w:sz w:val="13"/>
                <w:szCs w:val="13"/>
                <w:color w:val="auto"/>
              </w:rPr>
              <w:t>Bonus</w:t>
            </w:r>
          </w:p>
        </w:tc>
        <w:tc>
          <w:tcPr>
            <w:tcW w:w="80" w:type="dxa"/>
            <w:vAlign w:val="bottom"/>
            <w:shd w:val="clear" w:color="auto" w:fill="F4F9F9"/>
          </w:tcPr>
          <w:p>
            <w:pPr>
              <w:spacing w:after="0"/>
              <w:rPr>
                <w:sz w:val="10"/>
                <w:szCs w:val="10"/>
                <w:color w:val="auto"/>
              </w:rPr>
            </w:pPr>
          </w:p>
        </w:tc>
        <w:tc>
          <w:tcPr>
            <w:tcW w:w="660" w:type="dxa"/>
            <w:vAlign w:val="bottom"/>
            <w:gridSpan w:val="2"/>
            <w:shd w:val="clear" w:color="auto" w:fill="F4F9F9"/>
          </w:tcPr>
          <w:p>
            <w:pPr>
              <w:jc w:val="right"/>
              <w:ind w:right="60"/>
              <w:spacing w:after="0" w:line="123" w:lineRule="exact"/>
              <w:rPr>
                <w:sz w:val="20"/>
                <w:szCs w:val="20"/>
                <w:color w:val="auto"/>
              </w:rPr>
            </w:pPr>
            <w:r>
              <w:rPr>
                <w:rFonts w:ascii="Arial" w:cs="Arial" w:eastAsia="Arial" w:hAnsi="Arial"/>
                <w:sz w:val="13"/>
                <w:szCs w:val="13"/>
                <w:color w:val="auto"/>
              </w:rPr>
              <w:t>—</w:t>
            </w:r>
          </w:p>
        </w:tc>
        <w:tc>
          <w:tcPr>
            <w:tcW w:w="780" w:type="dxa"/>
            <w:vAlign w:val="bottom"/>
            <w:shd w:val="clear" w:color="auto" w:fill="F4F9F9"/>
          </w:tcPr>
          <w:p>
            <w:pPr>
              <w:jc w:val="right"/>
              <w:ind w:right="37"/>
              <w:spacing w:after="0" w:line="123" w:lineRule="exact"/>
              <w:rPr>
                <w:sz w:val="20"/>
                <w:szCs w:val="20"/>
                <w:color w:val="auto"/>
              </w:rPr>
            </w:pPr>
            <w:r>
              <w:rPr>
                <w:rFonts w:ascii="Arial" w:cs="Arial" w:eastAsia="Arial" w:hAnsi="Arial"/>
                <w:sz w:val="13"/>
                <w:szCs w:val="13"/>
                <w:color w:val="auto"/>
              </w:rPr>
              <w:t>155,942</w:t>
            </w:r>
          </w:p>
        </w:tc>
        <w:tc>
          <w:tcPr>
            <w:tcW w:w="700" w:type="dxa"/>
            <w:vAlign w:val="bottom"/>
            <w:shd w:val="clear" w:color="auto" w:fill="F4F9F9"/>
          </w:tcPr>
          <w:p>
            <w:pPr>
              <w:jc w:val="right"/>
              <w:spacing w:after="0" w:line="123" w:lineRule="exact"/>
              <w:rPr>
                <w:sz w:val="20"/>
                <w:szCs w:val="20"/>
                <w:color w:val="auto"/>
              </w:rPr>
            </w:pPr>
            <w:r>
              <w:rPr>
                <w:rFonts w:ascii="Arial" w:cs="Arial" w:eastAsia="Arial" w:hAnsi="Arial"/>
                <w:sz w:val="13"/>
                <w:szCs w:val="13"/>
                <w:color w:val="auto"/>
              </w:rPr>
              <w:t>623,767</w:t>
            </w:r>
          </w:p>
        </w:tc>
        <w:tc>
          <w:tcPr>
            <w:tcW w:w="740" w:type="dxa"/>
            <w:vAlign w:val="bottom"/>
            <w:shd w:val="clear" w:color="auto" w:fill="F4F9F9"/>
          </w:tcPr>
          <w:p>
            <w:pPr>
              <w:jc w:val="right"/>
              <w:ind w:right="17"/>
              <w:spacing w:after="0" w:line="123" w:lineRule="exact"/>
              <w:rPr>
                <w:sz w:val="20"/>
                <w:szCs w:val="20"/>
                <w:color w:val="auto"/>
              </w:rPr>
            </w:pPr>
            <w:r>
              <w:rPr>
                <w:rFonts w:ascii="Arial" w:cs="Arial" w:eastAsia="Arial" w:hAnsi="Arial"/>
                <w:sz w:val="13"/>
                <w:szCs w:val="13"/>
                <w:color w:val="auto"/>
              </w:rPr>
              <w:t>1,247,534</w:t>
            </w:r>
          </w:p>
        </w:tc>
        <w:tc>
          <w:tcPr>
            <w:tcW w:w="760" w:type="dxa"/>
            <w:vAlign w:val="bottom"/>
            <w:shd w:val="clear" w:color="auto" w:fill="F4F9F9"/>
          </w:tcPr>
          <w:p>
            <w:pPr>
              <w:spacing w:after="0"/>
              <w:rPr>
                <w:sz w:val="10"/>
                <w:szCs w:val="10"/>
                <w:color w:val="auto"/>
              </w:rPr>
            </w:pPr>
          </w:p>
        </w:tc>
        <w:tc>
          <w:tcPr>
            <w:tcW w:w="560" w:type="dxa"/>
            <w:vAlign w:val="bottom"/>
            <w:shd w:val="clear" w:color="auto" w:fill="F4F9F9"/>
          </w:tcPr>
          <w:p>
            <w:pPr>
              <w:spacing w:after="0"/>
              <w:rPr>
                <w:sz w:val="10"/>
                <w:szCs w:val="10"/>
                <w:color w:val="auto"/>
              </w:rPr>
            </w:pPr>
          </w:p>
        </w:tc>
        <w:tc>
          <w:tcPr>
            <w:tcW w:w="700" w:type="dxa"/>
            <w:vAlign w:val="bottom"/>
            <w:shd w:val="clear" w:color="auto" w:fill="F4F9F9"/>
          </w:tcPr>
          <w:p>
            <w:pPr>
              <w:spacing w:after="0"/>
              <w:rPr>
                <w:sz w:val="10"/>
                <w:szCs w:val="10"/>
                <w:color w:val="auto"/>
              </w:rPr>
            </w:pPr>
          </w:p>
        </w:tc>
        <w:tc>
          <w:tcPr>
            <w:tcW w:w="580" w:type="dxa"/>
            <w:vAlign w:val="bottom"/>
            <w:shd w:val="clear" w:color="auto" w:fill="F4F9F9"/>
          </w:tcPr>
          <w:p>
            <w:pPr>
              <w:spacing w:after="0"/>
              <w:rPr>
                <w:sz w:val="10"/>
                <w:szCs w:val="10"/>
                <w:color w:val="auto"/>
              </w:rPr>
            </w:pPr>
          </w:p>
        </w:tc>
        <w:tc>
          <w:tcPr>
            <w:tcW w:w="40" w:type="dxa"/>
            <w:vAlign w:val="bottom"/>
            <w:shd w:val="clear" w:color="auto" w:fill="F4F9F9"/>
          </w:tcPr>
          <w:p>
            <w:pPr>
              <w:spacing w:after="0"/>
              <w:rPr>
                <w:sz w:val="10"/>
                <w:szCs w:val="10"/>
                <w:color w:val="auto"/>
              </w:rPr>
            </w:pPr>
          </w:p>
        </w:tc>
        <w:tc>
          <w:tcPr>
            <w:tcW w:w="760" w:type="dxa"/>
            <w:vAlign w:val="bottom"/>
            <w:shd w:val="clear" w:color="auto" w:fill="F4F9F9"/>
          </w:tcPr>
          <w:p>
            <w:pPr>
              <w:spacing w:after="0"/>
              <w:rPr>
                <w:sz w:val="10"/>
                <w:szCs w:val="10"/>
                <w:color w:val="auto"/>
              </w:rPr>
            </w:pPr>
          </w:p>
        </w:tc>
        <w:tc>
          <w:tcPr>
            <w:tcW w:w="40" w:type="dxa"/>
            <w:vAlign w:val="bottom"/>
            <w:shd w:val="clear" w:color="auto" w:fill="F4F9F9"/>
          </w:tcPr>
          <w:p>
            <w:pPr>
              <w:spacing w:after="0"/>
              <w:rPr>
                <w:sz w:val="10"/>
                <w:szCs w:val="10"/>
                <w:color w:val="auto"/>
              </w:rPr>
            </w:pPr>
          </w:p>
        </w:tc>
        <w:tc>
          <w:tcPr>
            <w:tcW w:w="620" w:type="dxa"/>
            <w:vAlign w:val="bottom"/>
            <w:shd w:val="clear" w:color="auto" w:fill="F4F9F9"/>
          </w:tcPr>
          <w:p>
            <w:pPr>
              <w:spacing w:after="0"/>
              <w:rPr>
                <w:sz w:val="10"/>
                <w:szCs w:val="10"/>
                <w:color w:val="auto"/>
              </w:rPr>
            </w:pPr>
          </w:p>
        </w:tc>
        <w:tc>
          <w:tcPr>
            <w:tcW w:w="40" w:type="dxa"/>
            <w:vAlign w:val="bottom"/>
            <w:shd w:val="clear" w:color="auto" w:fill="F4F9F9"/>
          </w:tcPr>
          <w:p>
            <w:pPr>
              <w:spacing w:after="0"/>
              <w:rPr>
                <w:sz w:val="10"/>
                <w:szCs w:val="10"/>
                <w:color w:val="auto"/>
              </w:rPr>
            </w:pPr>
          </w:p>
        </w:tc>
        <w:tc>
          <w:tcPr>
            <w:tcW w:w="720" w:type="dxa"/>
            <w:vAlign w:val="bottom"/>
            <w:shd w:val="clear" w:color="auto" w:fill="F4F9F9"/>
          </w:tcPr>
          <w:p>
            <w:pPr>
              <w:spacing w:after="0"/>
              <w:rPr>
                <w:sz w:val="10"/>
                <w:szCs w:val="10"/>
                <w:color w:val="auto"/>
              </w:rPr>
            </w:pPr>
          </w:p>
        </w:tc>
        <w:tc>
          <w:tcPr>
            <w:tcW w:w="40" w:type="dxa"/>
            <w:vAlign w:val="bottom"/>
            <w:shd w:val="clear" w:color="auto" w:fill="F4F9F9"/>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F4F9F9"/>
          </w:tcPr>
          <w:p>
            <w:pPr>
              <w:spacing w:after="0"/>
              <w:rPr>
                <w:sz w:val="11"/>
                <w:szCs w:val="11"/>
                <w:color w:val="auto"/>
              </w:rPr>
            </w:pPr>
          </w:p>
        </w:tc>
        <w:tc>
          <w:tcPr>
            <w:tcW w:w="840" w:type="dxa"/>
            <w:vAlign w:val="bottom"/>
            <w:shd w:val="clear" w:color="auto" w:fill="F4F9F9"/>
          </w:tcPr>
          <w:p>
            <w:pPr>
              <w:ind w:left="80"/>
              <w:spacing w:after="0" w:line="135" w:lineRule="exact"/>
              <w:rPr>
                <w:sz w:val="20"/>
                <w:szCs w:val="20"/>
                <w:color w:val="auto"/>
              </w:rPr>
            </w:pPr>
            <w:r>
              <w:rPr>
                <w:rFonts w:ascii="Arial" w:cs="Arial" w:eastAsia="Arial" w:hAnsi="Arial"/>
                <w:sz w:val="13"/>
                <w:szCs w:val="13"/>
                <w:color w:val="auto"/>
              </w:rPr>
              <w:t>Time-based</w:t>
            </w:r>
          </w:p>
        </w:tc>
        <w:tc>
          <w:tcPr>
            <w:tcW w:w="700" w:type="dxa"/>
            <w:vAlign w:val="bottom"/>
            <w:gridSpan w:val="2"/>
            <w:shd w:val="clear" w:color="auto" w:fill="F4F9F9"/>
          </w:tcPr>
          <w:p>
            <w:pPr>
              <w:jc w:val="right"/>
              <w:spacing w:after="0" w:line="135" w:lineRule="exact"/>
              <w:rPr>
                <w:sz w:val="20"/>
                <w:szCs w:val="20"/>
                <w:color w:val="auto"/>
              </w:rPr>
            </w:pPr>
            <w:r>
              <w:rPr>
                <w:rFonts w:ascii="Arial" w:cs="Arial" w:eastAsia="Arial" w:hAnsi="Arial"/>
                <w:sz w:val="13"/>
                <w:szCs w:val="13"/>
                <w:color w:val="auto"/>
              </w:rPr>
              <w:t>3/1/2017</w:t>
            </w:r>
          </w:p>
        </w:tc>
        <w:tc>
          <w:tcPr>
            <w:tcW w:w="40" w:type="dxa"/>
            <w:vAlign w:val="bottom"/>
            <w:shd w:val="clear" w:color="auto" w:fill="F4F9F9"/>
          </w:tcPr>
          <w:p>
            <w:pPr>
              <w:spacing w:after="0"/>
              <w:rPr>
                <w:sz w:val="11"/>
                <w:szCs w:val="11"/>
                <w:color w:val="auto"/>
              </w:rPr>
            </w:pPr>
          </w:p>
        </w:tc>
        <w:tc>
          <w:tcPr>
            <w:tcW w:w="780" w:type="dxa"/>
            <w:vAlign w:val="bottom"/>
            <w:shd w:val="clear" w:color="auto" w:fill="F4F9F9"/>
          </w:tcPr>
          <w:p>
            <w:pPr>
              <w:spacing w:after="0"/>
              <w:rPr>
                <w:sz w:val="11"/>
                <w:szCs w:val="11"/>
                <w:color w:val="auto"/>
              </w:rPr>
            </w:pPr>
          </w:p>
        </w:tc>
        <w:tc>
          <w:tcPr>
            <w:tcW w:w="700" w:type="dxa"/>
            <w:vAlign w:val="bottom"/>
            <w:shd w:val="clear" w:color="auto" w:fill="F4F9F9"/>
          </w:tcPr>
          <w:p>
            <w:pPr>
              <w:spacing w:after="0"/>
              <w:rPr>
                <w:sz w:val="11"/>
                <w:szCs w:val="11"/>
                <w:color w:val="auto"/>
              </w:rPr>
            </w:pPr>
          </w:p>
        </w:tc>
        <w:tc>
          <w:tcPr>
            <w:tcW w:w="740" w:type="dxa"/>
            <w:vAlign w:val="bottom"/>
            <w:shd w:val="clear" w:color="auto" w:fill="F4F9F9"/>
          </w:tcPr>
          <w:p>
            <w:pPr>
              <w:spacing w:after="0"/>
              <w:rPr>
                <w:sz w:val="11"/>
                <w:szCs w:val="11"/>
                <w:color w:val="auto"/>
              </w:rPr>
            </w:pPr>
          </w:p>
        </w:tc>
        <w:tc>
          <w:tcPr>
            <w:tcW w:w="760" w:type="dxa"/>
            <w:vAlign w:val="bottom"/>
            <w:shd w:val="clear" w:color="auto" w:fill="F4F9F9"/>
          </w:tcPr>
          <w:p>
            <w:pPr>
              <w:spacing w:after="0"/>
              <w:rPr>
                <w:sz w:val="11"/>
                <w:szCs w:val="11"/>
                <w:color w:val="auto"/>
              </w:rPr>
            </w:pPr>
          </w:p>
        </w:tc>
        <w:tc>
          <w:tcPr>
            <w:tcW w:w="560" w:type="dxa"/>
            <w:vAlign w:val="bottom"/>
            <w:shd w:val="clear" w:color="auto" w:fill="F4F9F9"/>
          </w:tcPr>
          <w:p>
            <w:pPr>
              <w:spacing w:after="0"/>
              <w:rPr>
                <w:sz w:val="11"/>
                <w:szCs w:val="11"/>
                <w:color w:val="auto"/>
              </w:rPr>
            </w:pPr>
          </w:p>
        </w:tc>
        <w:tc>
          <w:tcPr>
            <w:tcW w:w="700" w:type="dxa"/>
            <w:vAlign w:val="bottom"/>
            <w:shd w:val="clear" w:color="auto" w:fill="F4F9F9"/>
          </w:tcPr>
          <w:p>
            <w:pPr>
              <w:spacing w:after="0"/>
              <w:rPr>
                <w:sz w:val="11"/>
                <w:szCs w:val="11"/>
                <w:color w:val="auto"/>
              </w:rPr>
            </w:pPr>
          </w:p>
        </w:tc>
        <w:tc>
          <w:tcPr>
            <w:tcW w:w="580" w:type="dxa"/>
            <w:vAlign w:val="bottom"/>
            <w:shd w:val="clear" w:color="auto" w:fill="F4F9F9"/>
          </w:tcPr>
          <w:p>
            <w:pPr>
              <w:jc w:val="right"/>
              <w:spacing w:after="0" w:line="135" w:lineRule="exact"/>
              <w:rPr>
                <w:sz w:val="20"/>
                <w:szCs w:val="20"/>
                <w:color w:val="auto"/>
              </w:rPr>
            </w:pPr>
            <w:r>
              <w:rPr>
                <w:rFonts w:ascii="Arial" w:cs="Arial" w:eastAsia="Arial" w:hAnsi="Arial"/>
                <w:sz w:val="13"/>
                <w:szCs w:val="13"/>
                <w:color w:val="auto"/>
              </w:rPr>
              <w:t>17,437</w:t>
            </w:r>
          </w:p>
        </w:tc>
        <w:tc>
          <w:tcPr>
            <w:tcW w:w="40" w:type="dxa"/>
            <w:vAlign w:val="bottom"/>
            <w:shd w:val="clear" w:color="auto" w:fill="F4F9F9"/>
          </w:tcPr>
          <w:p>
            <w:pPr>
              <w:spacing w:after="0"/>
              <w:rPr>
                <w:sz w:val="11"/>
                <w:szCs w:val="11"/>
                <w:color w:val="auto"/>
              </w:rPr>
            </w:pPr>
          </w:p>
        </w:tc>
        <w:tc>
          <w:tcPr>
            <w:tcW w:w="800" w:type="dxa"/>
            <w:vAlign w:val="bottom"/>
            <w:gridSpan w:val="2"/>
            <w:shd w:val="clear" w:color="auto" w:fill="F4F9F9"/>
          </w:tcPr>
          <w:p>
            <w:pPr>
              <w:ind w:left="6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F4F9F9"/>
          </w:tcPr>
          <w:p>
            <w:pPr>
              <w:ind w:left="50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F4F9F9"/>
          </w:tcPr>
          <w:p>
            <w:pPr>
              <w:jc w:val="right"/>
              <w:spacing w:after="0" w:line="135" w:lineRule="exact"/>
              <w:rPr>
                <w:sz w:val="20"/>
                <w:szCs w:val="20"/>
                <w:color w:val="auto"/>
              </w:rPr>
            </w:pPr>
            <w:r>
              <w:rPr>
                <w:rFonts w:ascii="Arial" w:cs="Arial" w:eastAsia="Arial" w:hAnsi="Arial"/>
                <w:sz w:val="13"/>
                <w:szCs w:val="13"/>
                <w:color w:val="auto"/>
              </w:rPr>
              <w:t>600,007</w:t>
            </w:r>
          </w:p>
        </w:tc>
        <w:tc>
          <w:tcPr>
            <w:tcW w:w="40" w:type="dxa"/>
            <w:vAlign w:val="bottom"/>
            <w:shd w:val="clear" w:color="auto" w:fill="F4F9F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F4F9F9"/>
          </w:tcPr>
          <w:p>
            <w:pPr>
              <w:spacing w:after="0"/>
              <w:rPr>
                <w:sz w:val="11"/>
                <w:szCs w:val="11"/>
                <w:color w:val="auto"/>
              </w:rPr>
            </w:pPr>
          </w:p>
        </w:tc>
        <w:tc>
          <w:tcPr>
            <w:tcW w:w="840" w:type="dxa"/>
            <w:vAlign w:val="bottom"/>
            <w:shd w:val="clear" w:color="auto" w:fill="F4F9F9"/>
          </w:tcPr>
          <w:p>
            <w:pPr>
              <w:ind w:left="80"/>
              <w:spacing w:after="0" w:line="135" w:lineRule="exact"/>
              <w:rPr>
                <w:sz w:val="20"/>
                <w:szCs w:val="20"/>
                <w:color w:val="auto"/>
              </w:rPr>
            </w:pPr>
            <w:r>
              <w:rPr>
                <w:rFonts w:ascii="Arial" w:cs="Arial" w:eastAsia="Arial" w:hAnsi="Arial"/>
                <w:sz w:val="13"/>
                <w:szCs w:val="13"/>
                <w:color w:val="auto"/>
                <w:w w:val="93"/>
              </w:rPr>
              <w:t>Performance-</w:t>
            </w:r>
          </w:p>
        </w:tc>
        <w:tc>
          <w:tcPr>
            <w:tcW w:w="700" w:type="dxa"/>
            <w:vAlign w:val="bottom"/>
            <w:gridSpan w:val="2"/>
            <w:shd w:val="clear" w:color="auto" w:fill="F4F9F9"/>
          </w:tcPr>
          <w:p>
            <w:pPr>
              <w:jc w:val="right"/>
              <w:spacing w:after="0" w:line="135" w:lineRule="exact"/>
              <w:rPr>
                <w:sz w:val="20"/>
                <w:szCs w:val="20"/>
                <w:color w:val="auto"/>
              </w:rPr>
            </w:pPr>
            <w:r>
              <w:rPr>
                <w:rFonts w:ascii="Arial" w:cs="Arial" w:eastAsia="Arial" w:hAnsi="Arial"/>
                <w:sz w:val="13"/>
                <w:szCs w:val="13"/>
                <w:color w:val="auto"/>
              </w:rPr>
              <w:t>3/1/2017</w:t>
            </w:r>
          </w:p>
        </w:tc>
        <w:tc>
          <w:tcPr>
            <w:tcW w:w="40" w:type="dxa"/>
            <w:vAlign w:val="bottom"/>
            <w:shd w:val="clear" w:color="auto" w:fill="F4F9F9"/>
          </w:tcPr>
          <w:p>
            <w:pPr>
              <w:spacing w:after="0"/>
              <w:rPr>
                <w:sz w:val="11"/>
                <w:szCs w:val="11"/>
                <w:color w:val="auto"/>
              </w:rPr>
            </w:pPr>
          </w:p>
        </w:tc>
        <w:tc>
          <w:tcPr>
            <w:tcW w:w="780" w:type="dxa"/>
            <w:vAlign w:val="bottom"/>
            <w:shd w:val="clear" w:color="auto" w:fill="F4F9F9"/>
          </w:tcPr>
          <w:p>
            <w:pPr>
              <w:spacing w:after="0"/>
              <w:rPr>
                <w:sz w:val="11"/>
                <w:szCs w:val="11"/>
                <w:color w:val="auto"/>
              </w:rPr>
            </w:pPr>
          </w:p>
        </w:tc>
        <w:tc>
          <w:tcPr>
            <w:tcW w:w="700" w:type="dxa"/>
            <w:vAlign w:val="bottom"/>
            <w:shd w:val="clear" w:color="auto" w:fill="F4F9F9"/>
          </w:tcPr>
          <w:p>
            <w:pPr>
              <w:spacing w:after="0"/>
              <w:rPr>
                <w:sz w:val="11"/>
                <w:szCs w:val="11"/>
                <w:color w:val="auto"/>
              </w:rPr>
            </w:pPr>
          </w:p>
        </w:tc>
        <w:tc>
          <w:tcPr>
            <w:tcW w:w="740" w:type="dxa"/>
            <w:vAlign w:val="bottom"/>
            <w:shd w:val="clear" w:color="auto" w:fill="F4F9F9"/>
          </w:tcPr>
          <w:p>
            <w:pPr>
              <w:spacing w:after="0"/>
              <w:rPr>
                <w:sz w:val="11"/>
                <w:szCs w:val="11"/>
                <w:color w:val="auto"/>
              </w:rPr>
            </w:pPr>
          </w:p>
        </w:tc>
        <w:tc>
          <w:tcPr>
            <w:tcW w:w="760" w:type="dxa"/>
            <w:vAlign w:val="bottom"/>
            <w:shd w:val="clear" w:color="auto" w:fill="F4F9F9"/>
          </w:tcPr>
          <w:p>
            <w:pPr>
              <w:jc w:val="right"/>
              <w:ind w:right="17"/>
              <w:spacing w:after="0" w:line="135" w:lineRule="exact"/>
              <w:rPr>
                <w:sz w:val="20"/>
                <w:szCs w:val="20"/>
                <w:color w:val="auto"/>
              </w:rPr>
            </w:pPr>
            <w:r>
              <w:rPr>
                <w:rFonts w:ascii="Arial" w:cs="Arial" w:eastAsia="Arial" w:hAnsi="Arial"/>
                <w:sz w:val="13"/>
                <w:szCs w:val="13"/>
                <w:color w:val="auto"/>
              </w:rPr>
              <w:t>8,719</w:t>
            </w:r>
          </w:p>
        </w:tc>
        <w:tc>
          <w:tcPr>
            <w:tcW w:w="560" w:type="dxa"/>
            <w:vAlign w:val="bottom"/>
            <w:shd w:val="clear" w:color="auto" w:fill="F4F9F9"/>
          </w:tcPr>
          <w:p>
            <w:pPr>
              <w:jc w:val="right"/>
              <w:spacing w:after="0" w:line="135" w:lineRule="exact"/>
              <w:rPr>
                <w:sz w:val="20"/>
                <w:szCs w:val="20"/>
                <w:color w:val="auto"/>
              </w:rPr>
            </w:pPr>
            <w:r>
              <w:rPr>
                <w:rFonts w:ascii="Arial" w:cs="Arial" w:eastAsia="Arial" w:hAnsi="Arial"/>
                <w:sz w:val="13"/>
                <w:szCs w:val="13"/>
                <w:color w:val="auto"/>
              </w:rPr>
              <w:t>17,437</w:t>
            </w:r>
          </w:p>
        </w:tc>
        <w:tc>
          <w:tcPr>
            <w:tcW w:w="700" w:type="dxa"/>
            <w:vAlign w:val="bottom"/>
            <w:shd w:val="clear" w:color="auto" w:fill="F4F9F9"/>
          </w:tcPr>
          <w:p>
            <w:pPr>
              <w:jc w:val="right"/>
              <w:spacing w:after="0" w:line="135" w:lineRule="exact"/>
              <w:rPr>
                <w:sz w:val="20"/>
                <w:szCs w:val="20"/>
                <w:color w:val="auto"/>
              </w:rPr>
            </w:pPr>
            <w:r>
              <w:rPr>
                <w:rFonts w:ascii="Arial" w:cs="Arial" w:eastAsia="Arial" w:hAnsi="Arial"/>
                <w:sz w:val="13"/>
                <w:szCs w:val="13"/>
                <w:color w:val="auto"/>
              </w:rPr>
              <w:t>34,874</w:t>
            </w:r>
          </w:p>
        </w:tc>
        <w:tc>
          <w:tcPr>
            <w:tcW w:w="580" w:type="dxa"/>
            <w:vAlign w:val="bottom"/>
            <w:shd w:val="clear" w:color="auto" w:fill="F4F9F9"/>
          </w:tcPr>
          <w:p>
            <w:pPr>
              <w:spacing w:after="0"/>
              <w:rPr>
                <w:sz w:val="11"/>
                <w:szCs w:val="11"/>
                <w:color w:val="auto"/>
              </w:rPr>
            </w:pPr>
          </w:p>
        </w:tc>
        <w:tc>
          <w:tcPr>
            <w:tcW w:w="40" w:type="dxa"/>
            <w:vAlign w:val="bottom"/>
            <w:shd w:val="clear" w:color="auto" w:fill="F4F9F9"/>
          </w:tcPr>
          <w:p>
            <w:pPr>
              <w:spacing w:after="0"/>
              <w:rPr>
                <w:sz w:val="11"/>
                <w:szCs w:val="11"/>
                <w:color w:val="auto"/>
              </w:rPr>
            </w:pPr>
          </w:p>
        </w:tc>
        <w:tc>
          <w:tcPr>
            <w:tcW w:w="760" w:type="dxa"/>
            <w:vAlign w:val="bottom"/>
            <w:shd w:val="clear" w:color="auto" w:fill="F4F9F9"/>
          </w:tcPr>
          <w:p>
            <w:pPr>
              <w:spacing w:after="0"/>
              <w:rPr>
                <w:sz w:val="11"/>
                <w:szCs w:val="11"/>
                <w:color w:val="auto"/>
              </w:rPr>
            </w:pPr>
          </w:p>
        </w:tc>
        <w:tc>
          <w:tcPr>
            <w:tcW w:w="40" w:type="dxa"/>
            <w:vAlign w:val="bottom"/>
            <w:shd w:val="clear" w:color="auto" w:fill="F4F9F9"/>
          </w:tcPr>
          <w:p>
            <w:pPr>
              <w:spacing w:after="0"/>
              <w:rPr>
                <w:sz w:val="11"/>
                <w:szCs w:val="11"/>
                <w:color w:val="auto"/>
              </w:rPr>
            </w:pPr>
          </w:p>
        </w:tc>
        <w:tc>
          <w:tcPr>
            <w:tcW w:w="620" w:type="dxa"/>
            <w:vAlign w:val="bottom"/>
            <w:shd w:val="clear" w:color="auto" w:fill="F4F9F9"/>
          </w:tcPr>
          <w:p>
            <w:pPr>
              <w:spacing w:after="0"/>
              <w:rPr>
                <w:sz w:val="11"/>
                <w:szCs w:val="11"/>
                <w:color w:val="auto"/>
              </w:rPr>
            </w:pPr>
          </w:p>
        </w:tc>
        <w:tc>
          <w:tcPr>
            <w:tcW w:w="40" w:type="dxa"/>
            <w:vAlign w:val="bottom"/>
            <w:shd w:val="clear" w:color="auto" w:fill="F4F9F9"/>
          </w:tcPr>
          <w:p>
            <w:pPr>
              <w:spacing w:after="0"/>
              <w:rPr>
                <w:sz w:val="11"/>
                <w:szCs w:val="11"/>
                <w:color w:val="auto"/>
              </w:rPr>
            </w:pPr>
          </w:p>
        </w:tc>
        <w:tc>
          <w:tcPr>
            <w:tcW w:w="720" w:type="dxa"/>
            <w:vAlign w:val="bottom"/>
            <w:shd w:val="clear" w:color="auto" w:fill="F4F9F9"/>
          </w:tcPr>
          <w:p>
            <w:pPr>
              <w:jc w:val="right"/>
              <w:spacing w:after="0" w:line="135" w:lineRule="exact"/>
              <w:rPr>
                <w:sz w:val="20"/>
                <w:szCs w:val="20"/>
                <w:color w:val="auto"/>
              </w:rPr>
            </w:pPr>
            <w:r>
              <w:rPr>
                <w:rFonts w:ascii="Arial" w:cs="Arial" w:eastAsia="Arial" w:hAnsi="Arial"/>
                <w:sz w:val="13"/>
                <w:szCs w:val="13"/>
                <w:color w:val="auto"/>
              </w:rPr>
              <w:t>600,007</w:t>
            </w:r>
          </w:p>
        </w:tc>
        <w:tc>
          <w:tcPr>
            <w:tcW w:w="40" w:type="dxa"/>
            <w:vAlign w:val="bottom"/>
            <w:shd w:val="clear" w:color="auto" w:fill="F4F9F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F4F9F9"/>
          </w:tcPr>
          <w:p>
            <w:pPr>
              <w:spacing w:after="0"/>
              <w:rPr>
                <w:sz w:val="11"/>
                <w:szCs w:val="11"/>
                <w:color w:val="auto"/>
              </w:rPr>
            </w:pPr>
          </w:p>
        </w:tc>
        <w:tc>
          <w:tcPr>
            <w:tcW w:w="840" w:type="dxa"/>
            <w:vAlign w:val="bottom"/>
            <w:shd w:val="clear" w:color="auto" w:fill="F4F9F9"/>
          </w:tcPr>
          <w:p>
            <w:pPr>
              <w:ind w:left="80"/>
              <w:spacing w:after="0" w:line="135" w:lineRule="exact"/>
              <w:rPr>
                <w:sz w:val="20"/>
                <w:szCs w:val="20"/>
                <w:color w:val="auto"/>
              </w:rPr>
            </w:pPr>
            <w:r>
              <w:rPr>
                <w:rFonts w:ascii="Arial" w:cs="Arial" w:eastAsia="Arial" w:hAnsi="Arial"/>
                <w:sz w:val="13"/>
                <w:szCs w:val="13"/>
                <w:color w:val="auto"/>
              </w:rPr>
              <w:t>based</w:t>
            </w:r>
          </w:p>
        </w:tc>
        <w:tc>
          <w:tcPr>
            <w:tcW w:w="80" w:type="dxa"/>
            <w:vAlign w:val="bottom"/>
            <w:shd w:val="clear" w:color="auto" w:fill="F4F9F9"/>
          </w:tcPr>
          <w:p>
            <w:pPr>
              <w:spacing w:after="0"/>
              <w:rPr>
                <w:sz w:val="11"/>
                <w:szCs w:val="11"/>
                <w:color w:val="auto"/>
              </w:rPr>
            </w:pPr>
          </w:p>
        </w:tc>
        <w:tc>
          <w:tcPr>
            <w:tcW w:w="620" w:type="dxa"/>
            <w:vAlign w:val="bottom"/>
            <w:shd w:val="clear" w:color="auto" w:fill="F4F9F9"/>
          </w:tcPr>
          <w:p>
            <w:pPr>
              <w:spacing w:after="0"/>
              <w:rPr>
                <w:sz w:val="11"/>
                <w:szCs w:val="11"/>
                <w:color w:val="auto"/>
              </w:rPr>
            </w:pPr>
          </w:p>
        </w:tc>
        <w:tc>
          <w:tcPr>
            <w:tcW w:w="40" w:type="dxa"/>
            <w:vAlign w:val="bottom"/>
            <w:shd w:val="clear" w:color="auto" w:fill="F4F9F9"/>
          </w:tcPr>
          <w:p>
            <w:pPr>
              <w:spacing w:after="0"/>
              <w:rPr>
                <w:sz w:val="11"/>
                <w:szCs w:val="11"/>
                <w:color w:val="auto"/>
              </w:rPr>
            </w:pPr>
          </w:p>
        </w:tc>
        <w:tc>
          <w:tcPr>
            <w:tcW w:w="780" w:type="dxa"/>
            <w:vAlign w:val="bottom"/>
            <w:shd w:val="clear" w:color="auto" w:fill="F4F9F9"/>
          </w:tcPr>
          <w:p>
            <w:pPr>
              <w:spacing w:after="0"/>
              <w:rPr>
                <w:sz w:val="11"/>
                <w:szCs w:val="11"/>
                <w:color w:val="auto"/>
              </w:rPr>
            </w:pPr>
          </w:p>
        </w:tc>
        <w:tc>
          <w:tcPr>
            <w:tcW w:w="700" w:type="dxa"/>
            <w:vAlign w:val="bottom"/>
            <w:shd w:val="clear" w:color="auto" w:fill="F4F9F9"/>
          </w:tcPr>
          <w:p>
            <w:pPr>
              <w:spacing w:after="0"/>
              <w:rPr>
                <w:sz w:val="11"/>
                <w:szCs w:val="11"/>
                <w:color w:val="auto"/>
              </w:rPr>
            </w:pPr>
          </w:p>
        </w:tc>
        <w:tc>
          <w:tcPr>
            <w:tcW w:w="740" w:type="dxa"/>
            <w:vAlign w:val="bottom"/>
            <w:shd w:val="clear" w:color="auto" w:fill="F4F9F9"/>
          </w:tcPr>
          <w:p>
            <w:pPr>
              <w:spacing w:after="0"/>
              <w:rPr>
                <w:sz w:val="11"/>
                <w:szCs w:val="11"/>
                <w:color w:val="auto"/>
              </w:rPr>
            </w:pPr>
          </w:p>
        </w:tc>
        <w:tc>
          <w:tcPr>
            <w:tcW w:w="760" w:type="dxa"/>
            <w:vAlign w:val="bottom"/>
            <w:shd w:val="clear" w:color="auto" w:fill="F4F9F9"/>
          </w:tcPr>
          <w:p>
            <w:pPr>
              <w:spacing w:after="0"/>
              <w:rPr>
                <w:sz w:val="11"/>
                <w:szCs w:val="11"/>
                <w:color w:val="auto"/>
              </w:rPr>
            </w:pPr>
          </w:p>
        </w:tc>
        <w:tc>
          <w:tcPr>
            <w:tcW w:w="560" w:type="dxa"/>
            <w:vAlign w:val="bottom"/>
            <w:shd w:val="clear" w:color="auto" w:fill="F4F9F9"/>
          </w:tcPr>
          <w:p>
            <w:pPr>
              <w:spacing w:after="0"/>
              <w:rPr>
                <w:sz w:val="11"/>
                <w:szCs w:val="11"/>
                <w:color w:val="auto"/>
              </w:rPr>
            </w:pPr>
          </w:p>
        </w:tc>
        <w:tc>
          <w:tcPr>
            <w:tcW w:w="700" w:type="dxa"/>
            <w:vAlign w:val="bottom"/>
            <w:shd w:val="clear" w:color="auto" w:fill="F4F9F9"/>
          </w:tcPr>
          <w:p>
            <w:pPr>
              <w:spacing w:after="0"/>
              <w:rPr>
                <w:sz w:val="11"/>
                <w:szCs w:val="11"/>
                <w:color w:val="auto"/>
              </w:rPr>
            </w:pPr>
          </w:p>
        </w:tc>
        <w:tc>
          <w:tcPr>
            <w:tcW w:w="580" w:type="dxa"/>
            <w:vAlign w:val="bottom"/>
            <w:shd w:val="clear" w:color="auto" w:fill="F4F9F9"/>
          </w:tcPr>
          <w:p>
            <w:pPr>
              <w:spacing w:after="0"/>
              <w:rPr>
                <w:sz w:val="11"/>
                <w:szCs w:val="11"/>
                <w:color w:val="auto"/>
              </w:rPr>
            </w:pPr>
          </w:p>
        </w:tc>
        <w:tc>
          <w:tcPr>
            <w:tcW w:w="40" w:type="dxa"/>
            <w:vAlign w:val="bottom"/>
            <w:shd w:val="clear" w:color="auto" w:fill="F4F9F9"/>
          </w:tcPr>
          <w:p>
            <w:pPr>
              <w:spacing w:after="0"/>
              <w:rPr>
                <w:sz w:val="11"/>
                <w:szCs w:val="11"/>
                <w:color w:val="auto"/>
              </w:rPr>
            </w:pPr>
          </w:p>
        </w:tc>
        <w:tc>
          <w:tcPr>
            <w:tcW w:w="760" w:type="dxa"/>
            <w:vAlign w:val="bottom"/>
            <w:shd w:val="clear" w:color="auto" w:fill="F4F9F9"/>
          </w:tcPr>
          <w:p>
            <w:pPr>
              <w:spacing w:after="0"/>
              <w:rPr>
                <w:sz w:val="11"/>
                <w:szCs w:val="11"/>
                <w:color w:val="auto"/>
              </w:rPr>
            </w:pPr>
          </w:p>
        </w:tc>
        <w:tc>
          <w:tcPr>
            <w:tcW w:w="40" w:type="dxa"/>
            <w:vAlign w:val="bottom"/>
            <w:shd w:val="clear" w:color="auto" w:fill="F4F9F9"/>
          </w:tcPr>
          <w:p>
            <w:pPr>
              <w:spacing w:after="0"/>
              <w:rPr>
                <w:sz w:val="11"/>
                <w:szCs w:val="11"/>
                <w:color w:val="auto"/>
              </w:rPr>
            </w:pPr>
          </w:p>
        </w:tc>
        <w:tc>
          <w:tcPr>
            <w:tcW w:w="620" w:type="dxa"/>
            <w:vAlign w:val="bottom"/>
            <w:shd w:val="clear" w:color="auto" w:fill="F4F9F9"/>
          </w:tcPr>
          <w:p>
            <w:pPr>
              <w:spacing w:after="0"/>
              <w:rPr>
                <w:sz w:val="11"/>
                <w:szCs w:val="11"/>
                <w:color w:val="auto"/>
              </w:rPr>
            </w:pPr>
          </w:p>
        </w:tc>
        <w:tc>
          <w:tcPr>
            <w:tcW w:w="40" w:type="dxa"/>
            <w:vAlign w:val="bottom"/>
            <w:shd w:val="clear" w:color="auto" w:fill="F4F9F9"/>
          </w:tcPr>
          <w:p>
            <w:pPr>
              <w:spacing w:after="0"/>
              <w:rPr>
                <w:sz w:val="11"/>
                <w:szCs w:val="11"/>
                <w:color w:val="auto"/>
              </w:rPr>
            </w:pPr>
          </w:p>
        </w:tc>
        <w:tc>
          <w:tcPr>
            <w:tcW w:w="720" w:type="dxa"/>
            <w:vAlign w:val="bottom"/>
            <w:shd w:val="clear" w:color="auto" w:fill="F4F9F9"/>
          </w:tcPr>
          <w:p>
            <w:pPr>
              <w:spacing w:after="0"/>
              <w:rPr>
                <w:sz w:val="11"/>
                <w:szCs w:val="11"/>
                <w:color w:val="auto"/>
              </w:rPr>
            </w:pPr>
          </w:p>
        </w:tc>
        <w:tc>
          <w:tcPr>
            <w:tcW w:w="40" w:type="dxa"/>
            <w:vAlign w:val="bottom"/>
            <w:shd w:val="clear" w:color="auto" w:fill="F4F9F9"/>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360" w:type="dxa"/>
            <w:vAlign w:val="bottom"/>
            <w:tcBorders>
              <w:bottom w:val="single" w:sz="8" w:color="C1CECC"/>
            </w:tcBorders>
            <w:shd w:val="clear" w:color="auto" w:fill="F4F9F9"/>
          </w:tcPr>
          <w:p>
            <w:pPr>
              <w:spacing w:after="0"/>
              <w:rPr>
                <w:sz w:val="12"/>
                <w:szCs w:val="12"/>
                <w:color w:val="auto"/>
              </w:rPr>
            </w:pPr>
          </w:p>
        </w:tc>
        <w:tc>
          <w:tcPr>
            <w:tcW w:w="840" w:type="dxa"/>
            <w:vAlign w:val="bottom"/>
            <w:tcBorders>
              <w:bottom w:val="single" w:sz="8" w:color="C1CECC"/>
            </w:tcBorders>
            <w:shd w:val="clear" w:color="auto" w:fill="F4F9F9"/>
          </w:tcPr>
          <w:p>
            <w:pPr>
              <w:ind w:left="80"/>
              <w:spacing w:after="0" w:line="141" w:lineRule="exact"/>
              <w:rPr>
                <w:sz w:val="20"/>
                <w:szCs w:val="20"/>
                <w:color w:val="auto"/>
              </w:rPr>
            </w:pPr>
            <w:r>
              <w:rPr>
                <w:rFonts w:ascii="Arial" w:cs="Arial" w:eastAsia="Arial" w:hAnsi="Arial"/>
                <w:sz w:val="13"/>
                <w:szCs w:val="13"/>
                <w:color w:val="auto"/>
              </w:rPr>
              <w:t>Time-based</w:t>
            </w:r>
          </w:p>
        </w:tc>
        <w:tc>
          <w:tcPr>
            <w:tcW w:w="80" w:type="dxa"/>
            <w:vAlign w:val="bottom"/>
            <w:tcBorders>
              <w:bottom w:val="single" w:sz="8" w:color="C1CECC"/>
            </w:tcBorders>
            <w:shd w:val="clear" w:color="auto" w:fill="F4F9F9"/>
          </w:tcPr>
          <w:p>
            <w:pPr>
              <w:spacing w:after="0"/>
              <w:rPr>
                <w:sz w:val="12"/>
                <w:szCs w:val="12"/>
                <w:color w:val="auto"/>
              </w:rPr>
            </w:pPr>
          </w:p>
        </w:tc>
        <w:tc>
          <w:tcPr>
            <w:tcW w:w="620" w:type="dxa"/>
            <w:vAlign w:val="bottom"/>
            <w:tcBorders>
              <w:bottom w:val="single" w:sz="8" w:color="C1CECC"/>
            </w:tcBorders>
            <w:shd w:val="clear" w:color="auto" w:fill="F4F9F9"/>
          </w:tcPr>
          <w:p>
            <w:pPr>
              <w:jc w:val="right"/>
              <w:spacing w:after="0" w:line="141" w:lineRule="exact"/>
              <w:rPr>
                <w:sz w:val="20"/>
                <w:szCs w:val="20"/>
                <w:color w:val="auto"/>
              </w:rPr>
            </w:pPr>
            <w:r>
              <w:rPr>
                <w:rFonts w:ascii="Arial" w:cs="Arial" w:eastAsia="Arial" w:hAnsi="Arial"/>
                <w:sz w:val="13"/>
                <w:szCs w:val="13"/>
                <w:color w:val="auto"/>
              </w:rPr>
              <w:t>9/19/2017</w:t>
            </w:r>
          </w:p>
        </w:tc>
        <w:tc>
          <w:tcPr>
            <w:tcW w:w="40" w:type="dxa"/>
            <w:vAlign w:val="bottom"/>
            <w:tcBorders>
              <w:bottom w:val="single" w:sz="8" w:color="C1CECC"/>
            </w:tcBorders>
            <w:shd w:val="clear" w:color="auto" w:fill="F4F9F9"/>
          </w:tcPr>
          <w:p>
            <w:pPr>
              <w:spacing w:after="0"/>
              <w:rPr>
                <w:sz w:val="12"/>
                <w:szCs w:val="12"/>
                <w:color w:val="auto"/>
              </w:rPr>
            </w:pPr>
          </w:p>
        </w:tc>
        <w:tc>
          <w:tcPr>
            <w:tcW w:w="780" w:type="dxa"/>
            <w:vAlign w:val="bottom"/>
            <w:tcBorders>
              <w:bottom w:val="single" w:sz="8" w:color="C1CECC"/>
            </w:tcBorders>
            <w:shd w:val="clear" w:color="auto" w:fill="F4F9F9"/>
          </w:tcPr>
          <w:p>
            <w:pPr>
              <w:spacing w:after="0"/>
              <w:rPr>
                <w:sz w:val="12"/>
                <w:szCs w:val="12"/>
                <w:color w:val="auto"/>
              </w:rPr>
            </w:pPr>
          </w:p>
        </w:tc>
        <w:tc>
          <w:tcPr>
            <w:tcW w:w="700" w:type="dxa"/>
            <w:vAlign w:val="bottom"/>
            <w:tcBorders>
              <w:bottom w:val="single" w:sz="8" w:color="C1CECC"/>
            </w:tcBorders>
            <w:shd w:val="clear" w:color="auto" w:fill="F4F9F9"/>
          </w:tcPr>
          <w:p>
            <w:pPr>
              <w:spacing w:after="0"/>
              <w:rPr>
                <w:sz w:val="12"/>
                <w:szCs w:val="12"/>
                <w:color w:val="auto"/>
              </w:rPr>
            </w:pPr>
          </w:p>
        </w:tc>
        <w:tc>
          <w:tcPr>
            <w:tcW w:w="740" w:type="dxa"/>
            <w:vAlign w:val="bottom"/>
            <w:tcBorders>
              <w:bottom w:val="single" w:sz="8" w:color="C1CECC"/>
            </w:tcBorders>
            <w:shd w:val="clear" w:color="auto" w:fill="F4F9F9"/>
          </w:tcPr>
          <w:p>
            <w:pPr>
              <w:spacing w:after="0"/>
              <w:rPr>
                <w:sz w:val="12"/>
                <w:szCs w:val="12"/>
                <w:color w:val="auto"/>
              </w:rPr>
            </w:pPr>
          </w:p>
        </w:tc>
        <w:tc>
          <w:tcPr>
            <w:tcW w:w="760" w:type="dxa"/>
            <w:vAlign w:val="bottom"/>
            <w:tcBorders>
              <w:bottom w:val="single" w:sz="8" w:color="C1CECC"/>
            </w:tcBorders>
            <w:shd w:val="clear" w:color="auto" w:fill="F4F9F9"/>
          </w:tcPr>
          <w:p>
            <w:pPr>
              <w:spacing w:after="0"/>
              <w:rPr>
                <w:sz w:val="12"/>
                <w:szCs w:val="12"/>
                <w:color w:val="auto"/>
              </w:rPr>
            </w:pPr>
          </w:p>
        </w:tc>
        <w:tc>
          <w:tcPr>
            <w:tcW w:w="560" w:type="dxa"/>
            <w:vAlign w:val="bottom"/>
            <w:tcBorders>
              <w:bottom w:val="single" w:sz="8" w:color="C1CECC"/>
            </w:tcBorders>
            <w:shd w:val="clear" w:color="auto" w:fill="F4F9F9"/>
          </w:tcPr>
          <w:p>
            <w:pPr>
              <w:spacing w:after="0"/>
              <w:rPr>
                <w:sz w:val="12"/>
                <w:szCs w:val="12"/>
                <w:color w:val="auto"/>
              </w:rPr>
            </w:pPr>
          </w:p>
        </w:tc>
        <w:tc>
          <w:tcPr>
            <w:tcW w:w="700" w:type="dxa"/>
            <w:vAlign w:val="bottom"/>
            <w:tcBorders>
              <w:bottom w:val="single" w:sz="8" w:color="C1CECC"/>
            </w:tcBorders>
            <w:shd w:val="clear" w:color="auto" w:fill="F4F9F9"/>
          </w:tcPr>
          <w:p>
            <w:pPr>
              <w:spacing w:after="0"/>
              <w:rPr>
                <w:sz w:val="12"/>
                <w:szCs w:val="12"/>
                <w:color w:val="auto"/>
              </w:rPr>
            </w:pPr>
          </w:p>
        </w:tc>
        <w:tc>
          <w:tcPr>
            <w:tcW w:w="580" w:type="dxa"/>
            <w:vAlign w:val="bottom"/>
            <w:tcBorders>
              <w:bottom w:val="single" w:sz="8" w:color="C1CECC"/>
            </w:tcBorders>
            <w:shd w:val="clear" w:color="auto" w:fill="F4F9F9"/>
          </w:tcPr>
          <w:p>
            <w:pPr>
              <w:jc w:val="right"/>
              <w:spacing w:after="0" w:line="141" w:lineRule="exact"/>
              <w:rPr>
                <w:sz w:val="20"/>
                <w:szCs w:val="20"/>
                <w:color w:val="auto"/>
              </w:rPr>
            </w:pPr>
            <w:r>
              <w:rPr>
                <w:rFonts w:ascii="Arial" w:cs="Arial" w:eastAsia="Arial" w:hAnsi="Arial"/>
                <w:sz w:val="13"/>
                <w:szCs w:val="13"/>
                <w:color w:val="auto"/>
              </w:rPr>
              <w:t>17,740</w:t>
            </w:r>
          </w:p>
        </w:tc>
        <w:tc>
          <w:tcPr>
            <w:tcW w:w="40" w:type="dxa"/>
            <w:vAlign w:val="bottom"/>
            <w:tcBorders>
              <w:bottom w:val="single" w:sz="8" w:color="C1CECC"/>
            </w:tcBorders>
            <w:shd w:val="clear" w:color="auto" w:fill="F4F9F9"/>
          </w:tcPr>
          <w:p>
            <w:pPr>
              <w:spacing w:after="0"/>
              <w:rPr>
                <w:sz w:val="12"/>
                <w:szCs w:val="12"/>
                <w:color w:val="auto"/>
              </w:rPr>
            </w:pPr>
          </w:p>
        </w:tc>
        <w:tc>
          <w:tcPr>
            <w:tcW w:w="760" w:type="dxa"/>
            <w:vAlign w:val="bottom"/>
            <w:tcBorders>
              <w:bottom w:val="single" w:sz="8" w:color="C1CECC"/>
            </w:tcBorders>
            <w:shd w:val="clear" w:color="auto" w:fill="F4F9F9"/>
          </w:tcPr>
          <w:p>
            <w:pPr>
              <w:spacing w:after="0"/>
              <w:rPr>
                <w:sz w:val="12"/>
                <w:szCs w:val="12"/>
                <w:color w:val="auto"/>
              </w:rPr>
            </w:pPr>
          </w:p>
        </w:tc>
        <w:tc>
          <w:tcPr>
            <w:tcW w:w="40" w:type="dxa"/>
            <w:vAlign w:val="bottom"/>
            <w:tcBorders>
              <w:bottom w:val="single" w:sz="8" w:color="C1CECC"/>
            </w:tcBorders>
            <w:shd w:val="clear" w:color="auto" w:fill="F4F9F9"/>
          </w:tcPr>
          <w:p>
            <w:pPr>
              <w:spacing w:after="0"/>
              <w:rPr>
                <w:sz w:val="12"/>
                <w:szCs w:val="12"/>
                <w:color w:val="auto"/>
              </w:rPr>
            </w:pPr>
          </w:p>
        </w:tc>
        <w:tc>
          <w:tcPr>
            <w:tcW w:w="620" w:type="dxa"/>
            <w:vAlign w:val="bottom"/>
            <w:tcBorders>
              <w:bottom w:val="single" w:sz="8" w:color="C1CECC"/>
            </w:tcBorders>
            <w:shd w:val="clear" w:color="auto" w:fill="F4F9F9"/>
          </w:tcPr>
          <w:p>
            <w:pPr>
              <w:spacing w:after="0"/>
              <w:rPr>
                <w:sz w:val="12"/>
                <w:szCs w:val="12"/>
                <w:color w:val="auto"/>
              </w:rPr>
            </w:pPr>
          </w:p>
        </w:tc>
        <w:tc>
          <w:tcPr>
            <w:tcW w:w="40" w:type="dxa"/>
            <w:vAlign w:val="bottom"/>
            <w:tcBorders>
              <w:bottom w:val="single" w:sz="8" w:color="C1CECC"/>
            </w:tcBorders>
            <w:shd w:val="clear" w:color="auto" w:fill="F4F9F9"/>
          </w:tcPr>
          <w:p>
            <w:pPr>
              <w:spacing w:after="0"/>
              <w:rPr>
                <w:sz w:val="12"/>
                <w:szCs w:val="12"/>
                <w:color w:val="auto"/>
              </w:rPr>
            </w:pPr>
          </w:p>
        </w:tc>
        <w:tc>
          <w:tcPr>
            <w:tcW w:w="720" w:type="dxa"/>
            <w:vAlign w:val="bottom"/>
            <w:tcBorders>
              <w:bottom w:val="single" w:sz="8" w:color="C1CECC"/>
            </w:tcBorders>
            <w:shd w:val="clear" w:color="auto" w:fill="F4F9F9"/>
          </w:tcPr>
          <w:p>
            <w:pPr>
              <w:jc w:val="right"/>
              <w:spacing w:after="0" w:line="141" w:lineRule="exact"/>
              <w:rPr>
                <w:sz w:val="20"/>
                <w:szCs w:val="20"/>
                <w:color w:val="auto"/>
              </w:rPr>
            </w:pPr>
            <w:r>
              <w:rPr>
                <w:rFonts w:ascii="Arial" w:cs="Arial" w:eastAsia="Arial" w:hAnsi="Arial"/>
                <w:sz w:val="13"/>
                <w:szCs w:val="13"/>
                <w:color w:val="auto"/>
              </w:rPr>
              <w:t>649,994</w:t>
            </w:r>
          </w:p>
        </w:tc>
        <w:tc>
          <w:tcPr>
            <w:tcW w:w="40" w:type="dxa"/>
            <w:vAlign w:val="bottom"/>
            <w:tcBorders>
              <w:bottom w:val="single" w:sz="8" w:color="C1CECC"/>
            </w:tcBorders>
            <w:shd w:val="clear" w:color="auto" w:fill="F4F9F9"/>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60" w:type="dxa"/>
            <w:vAlign w:val="bottom"/>
          </w:tcPr>
          <w:p>
            <w:pPr>
              <w:spacing w:after="0" w:line="123" w:lineRule="exact"/>
              <w:rPr>
                <w:sz w:val="20"/>
                <w:szCs w:val="20"/>
                <w:color w:val="auto"/>
              </w:rPr>
            </w:pPr>
            <w:r>
              <w:rPr>
                <w:rFonts w:ascii="Arial" w:cs="Arial" w:eastAsia="Arial" w:hAnsi="Arial"/>
                <w:sz w:val="13"/>
                <w:szCs w:val="13"/>
                <w:color w:val="auto"/>
              </w:rPr>
              <w:t>Mr. Wyshner</w:t>
            </w:r>
          </w:p>
        </w:tc>
        <w:tc>
          <w:tcPr>
            <w:tcW w:w="840" w:type="dxa"/>
            <w:vAlign w:val="bottom"/>
          </w:tcPr>
          <w:p>
            <w:pPr>
              <w:ind w:left="60"/>
              <w:spacing w:after="0" w:line="123" w:lineRule="exact"/>
              <w:rPr>
                <w:sz w:val="20"/>
                <w:szCs w:val="20"/>
                <w:color w:val="auto"/>
              </w:rPr>
            </w:pPr>
            <w:r>
              <w:rPr>
                <w:rFonts w:ascii="Arial" w:cs="Arial" w:eastAsia="Arial" w:hAnsi="Arial"/>
                <w:sz w:val="13"/>
                <w:szCs w:val="13"/>
                <w:color w:val="auto"/>
              </w:rPr>
              <w:t>Bonus</w:t>
            </w:r>
          </w:p>
        </w:tc>
        <w:tc>
          <w:tcPr>
            <w:tcW w:w="80" w:type="dxa"/>
            <w:vAlign w:val="bottom"/>
          </w:tcPr>
          <w:p>
            <w:pPr>
              <w:spacing w:after="0"/>
              <w:rPr>
                <w:sz w:val="10"/>
                <w:szCs w:val="10"/>
                <w:color w:val="auto"/>
              </w:rPr>
            </w:pPr>
          </w:p>
        </w:tc>
        <w:tc>
          <w:tcPr>
            <w:tcW w:w="660" w:type="dxa"/>
            <w:vAlign w:val="bottom"/>
            <w:gridSpan w:val="2"/>
          </w:tcPr>
          <w:p>
            <w:pPr>
              <w:jc w:val="right"/>
              <w:ind w:right="60"/>
              <w:spacing w:after="0" w:line="123"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23" w:lineRule="exact"/>
              <w:rPr>
                <w:sz w:val="20"/>
                <w:szCs w:val="20"/>
                <w:color w:val="auto"/>
              </w:rPr>
            </w:pPr>
            <w:r>
              <w:rPr>
                <w:rFonts w:ascii="Arial" w:cs="Arial" w:eastAsia="Arial" w:hAnsi="Arial"/>
                <w:sz w:val="13"/>
                <w:szCs w:val="13"/>
                <w:color w:val="auto"/>
              </w:rPr>
              <w:t>250,000</w:t>
            </w:r>
          </w:p>
        </w:tc>
        <w:tc>
          <w:tcPr>
            <w:tcW w:w="700" w:type="dxa"/>
            <w:vAlign w:val="bottom"/>
          </w:tcPr>
          <w:p>
            <w:pPr>
              <w:jc w:val="right"/>
              <w:spacing w:after="0" w:line="123" w:lineRule="exact"/>
              <w:rPr>
                <w:sz w:val="20"/>
                <w:szCs w:val="20"/>
                <w:color w:val="auto"/>
              </w:rPr>
            </w:pPr>
            <w:r>
              <w:rPr>
                <w:rFonts w:ascii="Arial" w:cs="Arial" w:eastAsia="Arial" w:hAnsi="Arial"/>
                <w:sz w:val="13"/>
                <w:szCs w:val="13"/>
                <w:color w:val="auto"/>
              </w:rPr>
              <w:t>1,000,000</w:t>
            </w:r>
          </w:p>
        </w:tc>
        <w:tc>
          <w:tcPr>
            <w:tcW w:w="740" w:type="dxa"/>
            <w:vAlign w:val="bottom"/>
          </w:tcPr>
          <w:p>
            <w:pPr>
              <w:jc w:val="right"/>
              <w:ind w:right="17"/>
              <w:spacing w:after="0" w:line="123" w:lineRule="exact"/>
              <w:rPr>
                <w:sz w:val="20"/>
                <w:szCs w:val="20"/>
                <w:color w:val="auto"/>
              </w:rPr>
            </w:pPr>
            <w:r>
              <w:rPr>
                <w:rFonts w:ascii="Arial" w:cs="Arial" w:eastAsia="Arial" w:hAnsi="Arial"/>
                <w:sz w:val="13"/>
                <w:szCs w:val="13"/>
                <w:color w:val="auto"/>
              </w:rPr>
              <w:t>2,000,000</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3"/>
                <w:szCs w:val="13"/>
                <w:color w:val="auto"/>
              </w:rPr>
              <w:t>Time-based</w:t>
            </w: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3/1/2017</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23,249</w:t>
            </w:r>
          </w:p>
        </w:tc>
        <w:tc>
          <w:tcPr>
            <w:tcW w:w="40" w:type="dxa"/>
            <w:vAlign w:val="bottom"/>
          </w:tcPr>
          <w:p>
            <w:pPr>
              <w:spacing w:after="0"/>
              <w:rPr>
                <w:sz w:val="11"/>
                <w:szCs w:val="11"/>
                <w:color w:val="auto"/>
              </w:rPr>
            </w:pPr>
          </w:p>
        </w:tc>
        <w:tc>
          <w:tcPr>
            <w:tcW w:w="80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799,998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3"/>
                <w:szCs w:val="13"/>
                <w:color w:val="auto"/>
                <w:w w:val="96"/>
              </w:rPr>
              <w:t>Performance-</w:t>
            </w: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3/1/2017</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17,437</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34,874</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69,748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1,200,014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60"/>
              <w:spacing w:after="0" w:line="141" w:lineRule="exact"/>
              <w:rPr>
                <w:sz w:val="20"/>
                <w:szCs w:val="20"/>
                <w:color w:val="auto"/>
              </w:rPr>
            </w:pPr>
            <w:r>
              <w:rPr>
                <w:rFonts w:ascii="Arial" w:cs="Arial" w:eastAsia="Arial" w:hAnsi="Arial"/>
                <w:sz w:val="13"/>
                <w:szCs w:val="13"/>
                <w:color w:val="auto"/>
              </w:rPr>
              <w:t>based</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20" w:right="20" w:hanging="316"/>
        <w:spacing w:after="0" w:line="231"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 discussion of the 2017 annual performance-based incentive program is included in the CD&amp;A. Amounts earned under this program are set forth in the Summary Compensation Table. For Mr. Smith, represents the 2017 annual incentive opportunity given the effective date of his appointment.</w:t>
      </w:r>
    </w:p>
    <w:p>
      <w:pPr>
        <w:spacing w:after="0" w:line="108" w:lineRule="exact"/>
        <w:rPr>
          <w:rFonts w:ascii="Arial" w:cs="Arial" w:eastAsia="Arial" w:hAnsi="Arial"/>
          <w:sz w:val="14"/>
          <w:szCs w:val="14"/>
          <w:color w:val="auto"/>
        </w:rPr>
      </w:pPr>
    </w:p>
    <w:p>
      <w:pPr>
        <w:jc w:val="both"/>
        <w:ind w:left="520" w:right="20" w:hanging="316"/>
        <w:spacing w:after="0" w:line="228"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awards of PSUs which are scheduled to vest on March 1, 2020, subject to continued service and based on Adjusted EBITDA margin goals, as more fully described in the CD&amp;A under “2017 Long-Term Incentive Awards.” In connection with Mr. Wyshner’s separation from the Company, the 2017 PSU awards granted to Mr. Wyshner were cancelled.</w:t>
      </w:r>
    </w:p>
    <w:p>
      <w:pPr>
        <w:spacing w:after="0" w:line="108" w:lineRule="exact"/>
        <w:rPr>
          <w:rFonts w:ascii="Arial" w:cs="Arial" w:eastAsia="Arial" w:hAnsi="Arial"/>
          <w:sz w:val="14"/>
          <w:szCs w:val="14"/>
          <w:color w:val="auto"/>
        </w:rPr>
      </w:pPr>
    </w:p>
    <w:p>
      <w:pPr>
        <w:jc w:val="both"/>
        <w:ind w:left="520" w:right="20" w:hanging="316"/>
        <w:spacing w:after="0" w:line="226"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With respect to awards granted in March 2017: for Mr. Nelson, represents RSUs which are scheduled to vest on March 1, 2018, and for other NEOs, represents RSUs which vest in equal installments on each of the first three anniversaries of the date of grant. In connection with Mr. Wyshner’s separation from the Company in June 2017, RSU awards scheduled to vest more than two years following separation were cancelled. With respect to awards granted in September 2017, represents RSUs which vest in equal installments on each of the first two anniversaries of the date of the grant. Vesting of each of the RSU awards is generally subject to continued service.</w:t>
      </w:r>
    </w:p>
    <w:p>
      <w:pPr>
        <w:spacing w:after="0" w:line="109" w:lineRule="exact"/>
        <w:rPr>
          <w:rFonts w:ascii="Arial" w:cs="Arial" w:eastAsia="Arial" w:hAnsi="Arial"/>
          <w:sz w:val="14"/>
          <w:szCs w:val="14"/>
          <w:color w:val="auto"/>
        </w:rPr>
      </w:pPr>
    </w:p>
    <w:p>
      <w:pPr>
        <w:jc w:val="both"/>
        <w:ind w:left="520" w:right="20" w:hanging="316"/>
        <w:spacing w:after="0" w:line="226"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Assumptions used in the calculation of the grant date fair value of the awards are included in Note 16 to our audited financial statements for the fiscal year ended December 31, 2017, included in our 2017 Form 10-K. The grant date value of the stock underlying the PSUs assuming attainment of the highest level of performance conditions were: for Mr. De Shon, $6,599,976; Mr. Ferraro, $1,200,014; Mr. Servodidio, $1,200,014; and Mr. Wyshner, $2,400,029. In connection with Mr. Wyshner’s separation from the Company, the 2017 PSU awards granted to Mr. Wyshner were cancelled.</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Outstanding Equity Awards at Fiscal Year-End Table</w:t>
      </w:r>
    </w:p>
    <w:p>
      <w:pPr>
        <w:spacing w:after="0" w:line="146" w:lineRule="exact"/>
        <w:rPr>
          <w:sz w:val="20"/>
          <w:szCs w:val="20"/>
          <w:color w:val="auto"/>
        </w:rPr>
      </w:pPr>
    </w:p>
    <w:tbl>
      <w:tblPr>
        <w:tblLayout w:type="fixed"/>
        <w:tblInd w:w="20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2"/>
          </w:tcPr>
          <w:p>
            <w:pPr>
              <w:ind w:left="800"/>
              <w:spacing w:after="0"/>
              <w:rPr>
                <w:sz w:val="20"/>
                <w:szCs w:val="20"/>
                <w:color w:val="auto"/>
              </w:rPr>
            </w:pPr>
            <w:r>
              <w:rPr>
                <w:rFonts w:ascii="Arial" w:cs="Arial" w:eastAsia="Arial" w:hAnsi="Arial"/>
                <w:sz w:val="11"/>
                <w:szCs w:val="11"/>
                <w:b w:val="1"/>
                <w:bCs w:val="1"/>
                <w:color w:val="auto"/>
              </w:rPr>
              <w:t>OPTION AWARDS</w:t>
            </w: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1"/>
                <w:szCs w:val="11"/>
                <w:b w:val="1"/>
                <w:bCs w:val="1"/>
                <w:color w:val="auto"/>
              </w:rPr>
              <w:t>STOCK AWARDS(b)</w:t>
            </w:r>
          </w:p>
        </w:tc>
        <w:tc>
          <w:tcPr>
            <w:tcW w:w="7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7"/>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jc w:val="center"/>
              <w:ind w:left="40"/>
              <w:spacing w:after="0" w:line="117" w:lineRule="exact"/>
              <w:rPr>
                <w:sz w:val="20"/>
                <w:szCs w:val="20"/>
                <w:color w:val="auto"/>
              </w:rPr>
            </w:pPr>
            <w:r>
              <w:rPr>
                <w:rFonts w:ascii="Arial" w:cs="Arial" w:eastAsia="Arial" w:hAnsi="Arial"/>
                <w:sz w:val="12"/>
                <w:szCs w:val="12"/>
                <w:b w:val="1"/>
                <w:bCs w:val="1"/>
                <w:color w:val="auto"/>
                <w:w w:val="98"/>
              </w:rPr>
              <w:t>Equity</w:t>
            </w:r>
          </w:p>
        </w:tc>
        <w:tc>
          <w:tcPr>
            <w:tcW w:w="4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Incentive</w:t>
            </w: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Equity</w:t>
            </w:r>
          </w:p>
        </w:tc>
        <w:tc>
          <w:tcPr>
            <w:tcW w:w="7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4"/>
              </w:rPr>
              <w:t>Plan</w:t>
            </w: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Incentive</w:t>
            </w:r>
          </w:p>
        </w:tc>
        <w:tc>
          <w:tcPr>
            <w:tcW w:w="7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2"/>
              </w:rPr>
              <w:t>Awards:</w:t>
            </w: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Plan</w:t>
            </w:r>
          </w:p>
        </w:tc>
        <w:tc>
          <w:tcPr>
            <w:tcW w:w="7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6"/>
              </w:rPr>
              <w:t>Market or</w:t>
            </w: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Awards:</w:t>
            </w:r>
          </w:p>
        </w:tc>
        <w:tc>
          <w:tcPr>
            <w:tcW w:w="7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Payout</w:t>
            </w: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Equity</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ind w:right="79"/>
              <w:spacing w:after="0" w:line="135" w:lineRule="exact"/>
              <w:rPr>
                <w:sz w:val="20"/>
                <w:szCs w:val="20"/>
                <w:color w:val="auto"/>
              </w:rPr>
            </w:pPr>
            <w:r>
              <w:rPr>
                <w:rFonts w:ascii="Arial" w:cs="Arial" w:eastAsia="Arial" w:hAnsi="Arial"/>
                <w:sz w:val="12"/>
                <w:szCs w:val="12"/>
                <w:b w:val="1"/>
                <w:bCs w:val="1"/>
                <w:color w:val="auto"/>
                <w:w w:val="96"/>
              </w:rPr>
              <w:t>Number</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Market</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Number of</w:t>
            </w:r>
          </w:p>
        </w:tc>
        <w:tc>
          <w:tcPr>
            <w:tcW w:w="7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4"/>
              </w:rPr>
              <w:t>Value of</w:t>
            </w: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Incentive Plan</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ind w:right="79"/>
              <w:spacing w:after="0" w:line="135" w:lineRule="exact"/>
              <w:rPr>
                <w:sz w:val="20"/>
                <w:szCs w:val="20"/>
                <w:color w:val="auto"/>
              </w:rPr>
            </w:pPr>
            <w:r>
              <w:rPr>
                <w:rFonts w:ascii="Arial" w:cs="Arial" w:eastAsia="Arial" w:hAnsi="Arial"/>
                <w:sz w:val="12"/>
                <w:szCs w:val="12"/>
                <w:b w:val="1"/>
                <w:bCs w:val="1"/>
                <w:color w:val="auto"/>
              </w:rPr>
              <w:t>of</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4"/>
              </w:rPr>
              <w:t>Value of</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Unearned</w:t>
            </w:r>
          </w:p>
        </w:tc>
        <w:tc>
          <w:tcPr>
            <w:tcW w:w="7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3"/>
              </w:rPr>
              <w:t>Unearned</w:t>
            </w: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Number of</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Awards: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ind w:right="99"/>
              <w:spacing w:after="0" w:line="135" w:lineRule="exact"/>
              <w:rPr>
                <w:sz w:val="20"/>
                <w:szCs w:val="20"/>
                <w:color w:val="auto"/>
              </w:rPr>
            </w:pPr>
            <w:r>
              <w:rPr>
                <w:rFonts w:ascii="Arial" w:cs="Arial" w:eastAsia="Arial" w:hAnsi="Arial"/>
                <w:sz w:val="12"/>
                <w:szCs w:val="12"/>
                <w:b w:val="1"/>
                <w:bCs w:val="1"/>
                <w:color w:val="auto"/>
                <w:w w:val="94"/>
              </w:rPr>
              <w:t>Shares</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Shares or</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Shares,</w:t>
            </w:r>
          </w:p>
        </w:tc>
        <w:tc>
          <w:tcPr>
            <w:tcW w:w="7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Shares,</w:t>
            </w: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42"/>
              <w:spacing w:after="0" w:line="135" w:lineRule="exact"/>
              <w:rPr>
                <w:sz w:val="20"/>
                <w:szCs w:val="20"/>
                <w:color w:val="auto"/>
              </w:rPr>
            </w:pPr>
            <w:r>
              <w:rPr>
                <w:rFonts w:ascii="Arial" w:cs="Arial" w:eastAsia="Arial" w:hAnsi="Arial"/>
                <w:sz w:val="12"/>
                <w:szCs w:val="12"/>
                <w:b w:val="1"/>
                <w:bCs w:val="1"/>
                <w:color w:val="auto"/>
                <w:w w:val="99"/>
              </w:rPr>
              <w:t>Number of</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Securities</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Number of</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ind w:right="79"/>
              <w:spacing w:after="0" w:line="135" w:lineRule="exact"/>
              <w:rPr>
                <w:sz w:val="20"/>
                <w:szCs w:val="20"/>
                <w:color w:val="auto"/>
              </w:rPr>
            </w:pPr>
            <w:r>
              <w:rPr>
                <w:rFonts w:ascii="Arial" w:cs="Arial" w:eastAsia="Arial" w:hAnsi="Arial"/>
                <w:sz w:val="12"/>
                <w:szCs w:val="12"/>
                <w:b w:val="1"/>
                <w:bCs w:val="1"/>
                <w:color w:val="auto"/>
                <w:w w:val="96"/>
              </w:rPr>
              <w:t>or Units</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Units of</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Units or</w:t>
            </w:r>
          </w:p>
        </w:tc>
        <w:tc>
          <w:tcPr>
            <w:tcW w:w="7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6"/>
              </w:rPr>
              <w:t>Units or</w:t>
            </w: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42"/>
              <w:spacing w:after="0" w:line="135" w:lineRule="exact"/>
              <w:rPr>
                <w:sz w:val="20"/>
                <w:szCs w:val="20"/>
                <w:color w:val="auto"/>
              </w:rPr>
            </w:pPr>
            <w:r>
              <w:rPr>
                <w:rFonts w:ascii="Arial" w:cs="Arial" w:eastAsia="Arial" w:hAnsi="Arial"/>
                <w:sz w:val="12"/>
                <w:szCs w:val="12"/>
                <w:b w:val="1"/>
                <w:bCs w:val="1"/>
                <w:color w:val="auto"/>
                <w:w w:val="97"/>
              </w:rPr>
              <w:t>Securities</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Securities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ind w:right="99"/>
              <w:spacing w:after="0" w:line="135" w:lineRule="exact"/>
              <w:rPr>
                <w:sz w:val="20"/>
                <w:szCs w:val="20"/>
                <w:color w:val="auto"/>
              </w:rPr>
            </w:pPr>
            <w:r>
              <w:rPr>
                <w:rFonts w:ascii="Arial" w:cs="Arial" w:eastAsia="Arial" w:hAnsi="Arial"/>
                <w:sz w:val="12"/>
                <w:szCs w:val="12"/>
                <w:b w:val="1"/>
                <w:bCs w:val="1"/>
                <w:color w:val="auto"/>
                <w:w w:val="97"/>
              </w:rPr>
              <w:t>of Stock</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Stock</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3"/>
              </w:rPr>
              <w:t>Other</w:t>
            </w:r>
          </w:p>
        </w:tc>
        <w:tc>
          <w:tcPr>
            <w:tcW w:w="7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Other</w:t>
            </w: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42"/>
              <w:spacing w:after="0" w:line="135" w:lineRule="exact"/>
              <w:rPr>
                <w:sz w:val="20"/>
                <w:szCs w:val="20"/>
                <w:color w:val="auto"/>
              </w:rPr>
            </w:pPr>
            <w:r>
              <w:rPr>
                <w:rFonts w:ascii="Arial" w:cs="Arial" w:eastAsia="Arial" w:hAnsi="Arial"/>
                <w:sz w:val="12"/>
                <w:szCs w:val="12"/>
                <w:b w:val="1"/>
                <w:bCs w:val="1"/>
                <w:color w:val="auto"/>
                <w:w w:val="95"/>
              </w:rPr>
              <w:t>Underlying</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Unexercised</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Underlying</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Options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ind w:right="79"/>
              <w:spacing w:after="0" w:line="135" w:lineRule="exact"/>
              <w:rPr>
                <w:sz w:val="20"/>
                <w:szCs w:val="20"/>
                <w:color w:val="auto"/>
              </w:rPr>
            </w:pPr>
            <w:r>
              <w:rPr>
                <w:rFonts w:ascii="Arial" w:cs="Arial" w:eastAsia="Arial" w:hAnsi="Arial"/>
                <w:sz w:val="12"/>
                <w:szCs w:val="12"/>
                <w:b w:val="1"/>
                <w:bCs w:val="1"/>
                <w:color w:val="auto"/>
                <w:w w:val="97"/>
              </w:rPr>
              <w:t>That Have</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That Have</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Rights</w:t>
            </w:r>
          </w:p>
        </w:tc>
        <w:tc>
          <w:tcPr>
            <w:tcW w:w="7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6"/>
              </w:rPr>
              <w:t>Rights</w:t>
            </w: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42"/>
              <w:spacing w:after="0" w:line="135" w:lineRule="exact"/>
              <w:rPr>
                <w:sz w:val="20"/>
                <w:szCs w:val="20"/>
                <w:color w:val="auto"/>
              </w:rPr>
            </w:pPr>
            <w:r>
              <w:rPr>
                <w:rFonts w:ascii="Arial" w:cs="Arial" w:eastAsia="Arial" w:hAnsi="Arial"/>
                <w:sz w:val="12"/>
                <w:szCs w:val="12"/>
                <w:b w:val="1"/>
                <w:bCs w:val="1"/>
                <w:color w:val="auto"/>
                <w:w w:val="95"/>
              </w:rPr>
              <w:t>Unexercised</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Options</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Unexercisable</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Exercise</w:t>
            </w: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96"/>
              </w:rPr>
              <w:t>Options</w:t>
            </w:r>
          </w:p>
        </w:tc>
        <w:tc>
          <w:tcPr>
            <w:tcW w:w="700" w:type="dxa"/>
            <w:vAlign w:val="bottom"/>
          </w:tcPr>
          <w:p>
            <w:pPr>
              <w:jc w:val="center"/>
              <w:ind w:right="79"/>
              <w:spacing w:after="0" w:line="135" w:lineRule="exact"/>
              <w:rPr>
                <w:sz w:val="20"/>
                <w:szCs w:val="20"/>
                <w:color w:val="auto"/>
              </w:rPr>
            </w:pPr>
            <w:r>
              <w:rPr>
                <w:rFonts w:ascii="Arial" w:cs="Arial" w:eastAsia="Arial" w:hAnsi="Arial"/>
                <w:sz w:val="12"/>
                <w:szCs w:val="12"/>
                <w:b w:val="1"/>
                <w:bCs w:val="1"/>
                <w:color w:val="auto"/>
                <w:w w:val="99"/>
              </w:rPr>
              <w:t>Not</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Not</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That</w:t>
            </w:r>
          </w:p>
        </w:tc>
        <w:tc>
          <w:tcPr>
            <w:tcW w:w="7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7"/>
              </w:rPr>
              <w:t>That Have</w:t>
            </w: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60" w:type="dxa"/>
            <w:vAlign w:val="bottom"/>
          </w:tcPr>
          <w:p>
            <w:pPr>
              <w:jc w:val="center"/>
              <w:ind w:left="97"/>
              <w:spacing w:after="0" w:line="135" w:lineRule="exact"/>
              <w:rPr>
                <w:sz w:val="20"/>
                <w:szCs w:val="20"/>
                <w:color w:val="auto"/>
              </w:rPr>
            </w:pPr>
            <w:r>
              <w:rPr>
                <w:rFonts w:ascii="Arial" w:cs="Arial" w:eastAsia="Arial" w:hAnsi="Arial"/>
                <w:sz w:val="12"/>
                <w:szCs w:val="12"/>
                <w:b w:val="1"/>
                <w:bCs w:val="1"/>
                <w:color w:val="auto"/>
                <w:w w:val="99"/>
              </w:rPr>
              <w:t>Grant</w:t>
            </w:r>
          </w:p>
        </w:tc>
        <w:tc>
          <w:tcPr>
            <w:tcW w:w="160" w:type="dxa"/>
            <w:vAlign w:val="bottom"/>
          </w:tcPr>
          <w:p>
            <w:pPr>
              <w:spacing w:after="0"/>
              <w:rPr>
                <w:sz w:val="11"/>
                <w:szCs w:val="11"/>
                <w:color w:val="auto"/>
              </w:rPr>
            </w:pPr>
          </w:p>
        </w:tc>
        <w:tc>
          <w:tcPr>
            <w:tcW w:w="940" w:type="dxa"/>
            <w:vAlign w:val="bottom"/>
          </w:tcPr>
          <w:p>
            <w:pPr>
              <w:jc w:val="center"/>
              <w:ind w:right="42"/>
              <w:spacing w:after="0" w:line="135" w:lineRule="exact"/>
              <w:rPr>
                <w:sz w:val="20"/>
                <w:szCs w:val="20"/>
                <w:color w:val="auto"/>
              </w:rPr>
            </w:pPr>
            <w:r>
              <w:rPr>
                <w:rFonts w:ascii="Arial" w:cs="Arial" w:eastAsia="Arial" w:hAnsi="Arial"/>
                <w:sz w:val="12"/>
                <w:szCs w:val="12"/>
                <w:b w:val="1"/>
                <w:bCs w:val="1"/>
                <w:color w:val="auto"/>
                <w:w w:val="96"/>
              </w:rPr>
              <w:t>Options</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Unearned</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Price</w:t>
            </w: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jc w:val="center"/>
              <w:ind w:right="99"/>
              <w:spacing w:after="0" w:line="135" w:lineRule="exact"/>
              <w:rPr>
                <w:sz w:val="20"/>
                <w:szCs w:val="20"/>
                <w:color w:val="auto"/>
              </w:rPr>
            </w:pPr>
            <w:r>
              <w:rPr>
                <w:rFonts w:ascii="Arial" w:cs="Arial" w:eastAsia="Arial" w:hAnsi="Arial"/>
                <w:sz w:val="12"/>
                <w:szCs w:val="12"/>
                <w:b w:val="1"/>
                <w:bCs w:val="1"/>
                <w:color w:val="auto"/>
                <w:w w:val="96"/>
              </w:rPr>
              <w:t>Vested</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1"/>
              </w:rPr>
              <w:t>Vested</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Have Not</w:t>
            </w:r>
          </w:p>
        </w:tc>
        <w:tc>
          <w:tcPr>
            <w:tcW w:w="7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5"/>
              </w:rPr>
              <w:t>Not Vested</w:t>
            </w:r>
          </w:p>
        </w:tc>
      </w:tr>
      <w:tr>
        <w:trPr>
          <w:trHeight w:val="154"/>
        </w:trPr>
        <w:tc>
          <w:tcPr>
            <w:tcW w:w="238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760" w:type="dxa"/>
            <w:vAlign w:val="bottom"/>
          </w:tcPr>
          <w:p>
            <w:pPr>
              <w:jc w:val="center"/>
              <w:ind w:left="97"/>
              <w:spacing w:after="0"/>
              <w:rPr>
                <w:sz w:val="20"/>
                <w:szCs w:val="20"/>
                <w:color w:val="auto"/>
              </w:rPr>
            </w:pPr>
            <w:r>
              <w:rPr>
                <w:rFonts w:ascii="Arial" w:cs="Arial" w:eastAsia="Arial" w:hAnsi="Arial"/>
                <w:sz w:val="12"/>
                <w:szCs w:val="12"/>
                <w:b w:val="1"/>
                <w:bCs w:val="1"/>
                <w:color w:val="auto"/>
                <w:w w:val="92"/>
              </w:rPr>
              <w:t>Date</w:t>
            </w:r>
          </w:p>
        </w:tc>
        <w:tc>
          <w:tcPr>
            <w:tcW w:w="11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 Exercisable</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5"/>
              </w:rPr>
              <w:t>Unexercisable</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6"/>
              </w:rPr>
              <w:t>Options(#)</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5"/>
              </w:rPr>
              <w:t>($)(a)</w:t>
            </w:r>
          </w:p>
        </w:tc>
        <w:tc>
          <w:tcPr>
            <w:tcW w:w="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Date</w:t>
            </w:r>
          </w:p>
        </w:tc>
        <w:tc>
          <w:tcPr>
            <w:tcW w:w="700" w:type="dxa"/>
            <w:vAlign w:val="bottom"/>
          </w:tcPr>
          <w:p>
            <w:pPr>
              <w:jc w:val="center"/>
              <w:ind w:right="99"/>
              <w:spacing w:after="0"/>
              <w:rPr>
                <w:sz w:val="20"/>
                <w:szCs w:val="20"/>
                <w:color w:val="auto"/>
              </w:rPr>
            </w:pPr>
            <w:r>
              <w:rPr>
                <w:rFonts w:ascii="Arial" w:cs="Arial" w:eastAsia="Arial" w:hAnsi="Arial"/>
                <w:sz w:val="12"/>
                <w:szCs w:val="12"/>
                <w:b w:val="1"/>
                <w:bCs w:val="1"/>
                <w:color w:val="auto"/>
                <w:w w:val="95"/>
              </w:rPr>
              <w:t>(#)</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4"/>
              </w:rPr>
              <w:t>Vested (#)</w:t>
            </w:r>
          </w:p>
        </w:tc>
        <w:tc>
          <w:tcPr>
            <w:tcW w:w="740" w:type="dxa"/>
            <w:vAlign w:val="bottom"/>
          </w:tcPr>
          <w:p>
            <w:pPr>
              <w:jc w:val="center"/>
              <w:ind w:left="40"/>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2360" w:type="dxa"/>
            <w:vAlign w:val="bottom"/>
            <w:tcBorders>
              <w:top w:val="single" w:sz="8" w:color="auto"/>
            </w:tcBorders>
            <w:shd w:val="clear" w:color="auto" w:fill="F4F9F9"/>
          </w:tcPr>
          <w:p>
            <w:pPr>
              <w:spacing w:after="0" w:line="129" w:lineRule="exact"/>
              <w:rPr>
                <w:sz w:val="20"/>
                <w:szCs w:val="20"/>
                <w:color w:val="auto"/>
              </w:rPr>
            </w:pPr>
            <w:r>
              <w:rPr>
                <w:rFonts w:ascii="Arial" w:cs="Arial" w:eastAsia="Arial" w:hAnsi="Arial"/>
                <w:sz w:val="13"/>
                <w:szCs w:val="13"/>
                <w:color w:val="auto"/>
              </w:rPr>
              <w:t>Mr. De Shon</w:t>
            </w:r>
          </w:p>
        </w:tc>
        <w:tc>
          <w:tcPr>
            <w:tcW w:w="760" w:type="dxa"/>
            <w:vAlign w:val="bottom"/>
            <w:tcBorders>
              <w:top w:val="single" w:sz="8" w:color="auto"/>
            </w:tcBorders>
            <w:shd w:val="clear" w:color="auto" w:fill="F4F9F9"/>
          </w:tcPr>
          <w:p>
            <w:pPr>
              <w:jc w:val="center"/>
              <w:ind w:left="97"/>
              <w:spacing w:after="0" w:line="129" w:lineRule="exact"/>
              <w:rPr>
                <w:sz w:val="20"/>
                <w:szCs w:val="20"/>
                <w:color w:val="auto"/>
              </w:rPr>
            </w:pPr>
            <w:r>
              <w:rPr>
                <w:rFonts w:ascii="Arial" w:cs="Arial" w:eastAsia="Arial" w:hAnsi="Arial"/>
                <w:sz w:val="13"/>
                <w:szCs w:val="13"/>
                <w:color w:val="auto"/>
                <w:w w:val="94"/>
              </w:rPr>
              <w:t>3/1/2017</w:t>
            </w:r>
          </w:p>
        </w:tc>
        <w:tc>
          <w:tcPr>
            <w:tcW w:w="160" w:type="dxa"/>
            <w:vAlign w:val="bottom"/>
            <w:tcBorders>
              <w:top w:val="single" w:sz="8" w:color="auto"/>
            </w:tcBorders>
            <w:shd w:val="clear" w:color="auto" w:fill="F4F9F9"/>
          </w:tcPr>
          <w:p>
            <w:pPr>
              <w:spacing w:after="0"/>
              <w:rPr>
                <w:sz w:val="11"/>
                <w:szCs w:val="11"/>
                <w:color w:val="auto"/>
              </w:rPr>
            </w:pPr>
          </w:p>
        </w:tc>
        <w:tc>
          <w:tcPr>
            <w:tcW w:w="940" w:type="dxa"/>
            <w:vAlign w:val="bottom"/>
            <w:tcBorders>
              <w:top w:val="single" w:sz="8" w:color="auto"/>
            </w:tcBorders>
            <w:shd w:val="clear" w:color="auto" w:fill="F4F9F9"/>
          </w:tcPr>
          <w:p>
            <w:pPr>
              <w:spacing w:after="0"/>
              <w:rPr>
                <w:sz w:val="11"/>
                <w:szCs w:val="11"/>
                <w:color w:val="auto"/>
              </w:rPr>
            </w:pPr>
          </w:p>
        </w:tc>
        <w:tc>
          <w:tcPr>
            <w:tcW w:w="1020" w:type="dxa"/>
            <w:vAlign w:val="bottom"/>
            <w:tcBorders>
              <w:top w:val="single" w:sz="8" w:color="auto"/>
            </w:tcBorders>
            <w:shd w:val="clear" w:color="auto" w:fill="F4F9F9"/>
          </w:tcPr>
          <w:p>
            <w:pPr>
              <w:spacing w:after="0"/>
              <w:rPr>
                <w:sz w:val="11"/>
                <w:szCs w:val="11"/>
                <w:color w:val="auto"/>
              </w:rPr>
            </w:pPr>
          </w:p>
        </w:tc>
        <w:tc>
          <w:tcPr>
            <w:tcW w:w="1020" w:type="dxa"/>
            <w:vAlign w:val="bottom"/>
            <w:tcBorders>
              <w:top w:val="single" w:sz="8" w:color="auto"/>
            </w:tcBorders>
            <w:shd w:val="clear" w:color="auto" w:fill="F4F9F9"/>
          </w:tcPr>
          <w:p>
            <w:pPr>
              <w:spacing w:after="0"/>
              <w:rPr>
                <w:sz w:val="11"/>
                <w:szCs w:val="11"/>
                <w:color w:val="auto"/>
              </w:rPr>
            </w:pPr>
          </w:p>
        </w:tc>
        <w:tc>
          <w:tcPr>
            <w:tcW w:w="700" w:type="dxa"/>
            <w:vAlign w:val="bottom"/>
            <w:tcBorders>
              <w:top w:val="single" w:sz="8" w:color="auto"/>
            </w:tcBorders>
            <w:shd w:val="clear" w:color="auto" w:fill="F4F9F9"/>
          </w:tcPr>
          <w:p>
            <w:pPr>
              <w:spacing w:after="0"/>
              <w:rPr>
                <w:sz w:val="11"/>
                <w:szCs w:val="11"/>
                <w:color w:val="auto"/>
              </w:rPr>
            </w:pPr>
          </w:p>
        </w:tc>
        <w:tc>
          <w:tcPr>
            <w:tcW w:w="720" w:type="dxa"/>
            <w:vAlign w:val="bottom"/>
            <w:tcBorders>
              <w:top w:val="single" w:sz="8" w:color="auto"/>
            </w:tcBorders>
            <w:shd w:val="clear" w:color="auto" w:fill="F4F9F9"/>
          </w:tcPr>
          <w:p>
            <w:pPr>
              <w:spacing w:after="0"/>
              <w:rPr>
                <w:sz w:val="11"/>
                <w:szCs w:val="11"/>
                <w:color w:val="auto"/>
              </w:rPr>
            </w:pPr>
          </w:p>
        </w:tc>
        <w:tc>
          <w:tcPr>
            <w:tcW w:w="220" w:type="dxa"/>
            <w:vAlign w:val="bottom"/>
            <w:tcBorders>
              <w:top w:val="single" w:sz="8" w:color="auto"/>
            </w:tcBorders>
            <w:shd w:val="clear" w:color="auto" w:fill="F4F9F9"/>
          </w:tcPr>
          <w:p>
            <w:pPr>
              <w:spacing w:after="0"/>
              <w:rPr>
                <w:sz w:val="11"/>
                <w:szCs w:val="11"/>
                <w:color w:val="auto"/>
              </w:rPr>
            </w:pPr>
          </w:p>
        </w:tc>
        <w:tc>
          <w:tcPr>
            <w:tcW w:w="700" w:type="dxa"/>
            <w:vAlign w:val="bottom"/>
            <w:tcBorders>
              <w:top w:val="single" w:sz="8" w:color="auto"/>
            </w:tcBorders>
            <w:shd w:val="clear" w:color="auto" w:fill="F4F9F9"/>
          </w:tcPr>
          <w:p>
            <w:pPr>
              <w:jc w:val="right"/>
              <w:ind w:right="79"/>
              <w:spacing w:after="0" w:line="129" w:lineRule="exact"/>
              <w:rPr>
                <w:sz w:val="20"/>
                <w:szCs w:val="20"/>
                <w:color w:val="auto"/>
              </w:rPr>
            </w:pPr>
            <w:r>
              <w:rPr>
                <w:rFonts w:ascii="Arial" w:cs="Arial" w:eastAsia="Arial" w:hAnsi="Arial"/>
                <w:sz w:val="13"/>
                <w:szCs w:val="13"/>
                <w:color w:val="auto"/>
                <w:w w:val="96"/>
              </w:rPr>
              <w:t>63,935(d)</w:t>
            </w:r>
          </w:p>
        </w:tc>
        <w:tc>
          <w:tcPr>
            <w:tcW w:w="820" w:type="dxa"/>
            <w:vAlign w:val="bottom"/>
            <w:tcBorders>
              <w:top w:val="single" w:sz="8" w:color="auto"/>
            </w:tcBorders>
            <w:shd w:val="clear" w:color="auto" w:fill="F4F9F9"/>
          </w:tcPr>
          <w:p>
            <w:pPr>
              <w:jc w:val="right"/>
              <w:ind w:right="59"/>
              <w:spacing w:after="0" w:line="129" w:lineRule="exact"/>
              <w:rPr>
                <w:sz w:val="20"/>
                <w:szCs w:val="20"/>
                <w:color w:val="auto"/>
              </w:rPr>
            </w:pPr>
            <w:r>
              <w:rPr>
                <w:rFonts w:ascii="Arial" w:cs="Arial" w:eastAsia="Arial" w:hAnsi="Arial"/>
                <w:sz w:val="13"/>
                <w:szCs w:val="13"/>
                <w:color w:val="auto"/>
              </w:rPr>
              <w:t>2,805,468</w:t>
            </w:r>
          </w:p>
        </w:tc>
        <w:tc>
          <w:tcPr>
            <w:tcW w:w="820" w:type="dxa"/>
            <w:vAlign w:val="bottom"/>
            <w:tcBorders>
              <w:top w:val="single" w:sz="8" w:color="auto"/>
            </w:tcBorders>
            <w:shd w:val="clear" w:color="auto" w:fill="F4F9F9"/>
          </w:tcPr>
          <w:p>
            <w:pPr>
              <w:jc w:val="right"/>
              <w:ind w:right="59"/>
              <w:spacing w:after="0" w:line="129" w:lineRule="exact"/>
              <w:rPr>
                <w:sz w:val="20"/>
                <w:szCs w:val="20"/>
                <w:color w:val="auto"/>
              </w:rPr>
            </w:pPr>
            <w:r>
              <w:rPr>
                <w:rFonts w:ascii="Arial" w:cs="Arial" w:eastAsia="Arial" w:hAnsi="Arial"/>
                <w:sz w:val="13"/>
                <w:szCs w:val="13"/>
                <w:color w:val="auto"/>
              </w:rPr>
              <w:t>95,902(i)</w:t>
            </w:r>
          </w:p>
        </w:tc>
        <w:tc>
          <w:tcPr>
            <w:tcW w:w="740" w:type="dxa"/>
            <w:vAlign w:val="bottom"/>
            <w:tcBorders>
              <w:top w:val="single" w:sz="8" w:color="auto"/>
            </w:tcBorders>
            <w:shd w:val="clear" w:color="auto" w:fill="F4F9F9"/>
          </w:tcPr>
          <w:p>
            <w:pPr>
              <w:jc w:val="right"/>
              <w:spacing w:after="0" w:line="129" w:lineRule="exact"/>
              <w:rPr>
                <w:sz w:val="20"/>
                <w:szCs w:val="20"/>
                <w:color w:val="auto"/>
              </w:rPr>
            </w:pPr>
            <w:r>
              <w:rPr>
                <w:rFonts w:ascii="Arial" w:cs="Arial" w:eastAsia="Arial" w:hAnsi="Arial"/>
                <w:sz w:val="13"/>
                <w:szCs w:val="13"/>
                <w:color w:val="auto"/>
              </w:rPr>
              <w:t>4,208,180</w:t>
            </w:r>
          </w:p>
        </w:tc>
        <w:tc>
          <w:tcPr>
            <w:tcW w:w="40" w:type="dxa"/>
            <w:vAlign w:val="bottom"/>
            <w:tcBorders>
              <w:top w:val="single" w:sz="8" w:color="auto"/>
            </w:tcBorders>
            <w:shd w:val="clear" w:color="auto" w:fill="F4F9F9"/>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F4F9F9"/>
          </w:tcPr>
          <w:p>
            <w:pPr>
              <w:spacing w:after="0" w:line="135" w:lineRule="exact"/>
              <w:rPr>
                <w:sz w:val="20"/>
                <w:szCs w:val="20"/>
                <w:color w:val="auto"/>
              </w:rPr>
            </w:pPr>
            <w:r>
              <w:rPr>
                <w:rFonts w:ascii="Arial" w:cs="Arial" w:eastAsia="Arial" w:hAnsi="Arial"/>
                <w:sz w:val="13"/>
                <w:szCs w:val="13"/>
                <w:color w:val="auto"/>
              </w:rPr>
              <w:t>Mr. De Shon</w:t>
            </w:r>
          </w:p>
        </w:tc>
        <w:tc>
          <w:tcPr>
            <w:tcW w:w="760" w:type="dxa"/>
            <w:vAlign w:val="bottom"/>
            <w:shd w:val="clear" w:color="auto" w:fill="F4F9F9"/>
          </w:tcPr>
          <w:p>
            <w:pPr>
              <w:jc w:val="center"/>
              <w:ind w:left="97"/>
              <w:spacing w:after="0" w:line="135" w:lineRule="exact"/>
              <w:rPr>
                <w:sz w:val="20"/>
                <w:szCs w:val="20"/>
                <w:color w:val="auto"/>
              </w:rPr>
            </w:pPr>
            <w:r>
              <w:rPr>
                <w:rFonts w:ascii="Arial" w:cs="Arial" w:eastAsia="Arial" w:hAnsi="Arial"/>
                <w:sz w:val="13"/>
                <w:szCs w:val="13"/>
                <w:color w:val="auto"/>
                <w:w w:val="96"/>
              </w:rPr>
              <w:t>1/28/2016</w:t>
            </w:r>
          </w:p>
        </w:tc>
        <w:tc>
          <w:tcPr>
            <w:tcW w:w="160" w:type="dxa"/>
            <w:vAlign w:val="bottom"/>
            <w:shd w:val="clear" w:color="auto" w:fill="F4F9F9"/>
          </w:tcPr>
          <w:p>
            <w:pPr>
              <w:spacing w:after="0"/>
              <w:rPr>
                <w:sz w:val="11"/>
                <w:szCs w:val="11"/>
                <w:color w:val="auto"/>
              </w:rPr>
            </w:pPr>
          </w:p>
        </w:tc>
        <w:tc>
          <w:tcPr>
            <w:tcW w:w="940" w:type="dxa"/>
            <w:vAlign w:val="bottom"/>
            <w:shd w:val="clear" w:color="auto" w:fill="F4F9F9"/>
          </w:tcPr>
          <w:p>
            <w:pPr>
              <w:spacing w:after="0"/>
              <w:rPr>
                <w:sz w:val="11"/>
                <w:szCs w:val="11"/>
                <w:color w:val="auto"/>
              </w:rPr>
            </w:pPr>
          </w:p>
        </w:tc>
        <w:tc>
          <w:tcPr>
            <w:tcW w:w="1020" w:type="dxa"/>
            <w:vAlign w:val="bottom"/>
            <w:shd w:val="clear" w:color="auto" w:fill="F4F9F9"/>
          </w:tcPr>
          <w:p>
            <w:pPr>
              <w:spacing w:after="0"/>
              <w:rPr>
                <w:sz w:val="11"/>
                <w:szCs w:val="11"/>
                <w:color w:val="auto"/>
              </w:rPr>
            </w:pPr>
          </w:p>
        </w:tc>
        <w:tc>
          <w:tcPr>
            <w:tcW w:w="1020" w:type="dxa"/>
            <w:vAlign w:val="bottom"/>
            <w:shd w:val="clear" w:color="auto" w:fill="F4F9F9"/>
          </w:tcPr>
          <w:p>
            <w:pPr>
              <w:spacing w:after="0"/>
              <w:rPr>
                <w:sz w:val="11"/>
                <w:szCs w:val="11"/>
                <w:color w:val="auto"/>
              </w:rPr>
            </w:pPr>
          </w:p>
        </w:tc>
        <w:tc>
          <w:tcPr>
            <w:tcW w:w="700" w:type="dxa"/>
            <w:vAlign w:val="bottom"/>
            <w:shd w:val="clear" w:color="auto" w:fill="F4F9F9"/>
          </w:tcPr>
          <w:p>
            <w:pPr>
              <w:spacing w:after="0"/>
              <w:rPr>
                <w:sz w:val="11"/>
                <w:szCs w:val="11"/>
                <w:color w:val="auto"/>
              </w:rPr>
            </w:pPr>
          </w:p>
        </w:tc>
        <w:tc>
          <w:tcPr>
            <w:tcW w:w="720" w:type="dxa"/>
            <w:vAlign w:val="bottom"/>
            <w:shd w:val="clear" w:color="auto" w:fill="F4F9F9"/>
          </w:tcPr>
          <w:p>
            <w:pPr>
              <w:spacing w:after="0"/>
              <w:rPr>
                <w:sz w:val="11"/>
                <w:szCs w:val="11"/>
                <w:color w:val="auto"/>
              </w:rPr>
            </w:pPr>
          </w:p>
        </w:tc>
        <w:tc>
          <w:tcPr>
            <w:tcW w:w="220" w:type="dxa"/>
            <w:vAlign w:val="bottom"/>
            <w:shd w:val="clear" w:color="auto" w:fill="F4F9F9"/>
          </w:tcPr>
          <w:p>
            <w:pPr>
              <w:spacing w:after="0"/>
              <w:rPr>
                <w:sz w:val="11"/>
                <w:szCs w:val="11"/>
                <w:color w:val="auto"/>
              </w:rPr>
            </w:pPr>
          </w:p>
        </w:tc>
        <w:tc>
          <w:tcPr>
            <w:tcW w:w="700" w:type="dxa"/>
            <w:vAlign w:val="bottom"/>
            <w:shd w:val="clear" w:color="auto" w:fill="F4F9F9"/>
          </w:tcPr>
          <w:p>
            <w:pPr>
              <w:jc w:val="right"/>
              <w:ind w:right="79"/>
              <w:spacing w:after="0" w:line="135" w:lineRule="exact"/>
              <w:rPr>
                <w:sz w:val="20"/>
                <w:szCs w:val="20"/>
                <w:color w:val="auto"/>
              </w:rPr>
            </w:pPr>
            <w:r>
              <w:rPr>
                <w:rFonts w:ascii="Arial" w:cs="Arial" w:eastAsia="Arial" w:hAnsi="Arial"/>
                <w:sz w:val="13"/>
                <w:szCs w:val="13"/>
                <w:color w:val="auto"/>
              </w:rPr>
              <w:t>23,184(f)</w:t>
            </w:r>
          </w:p>
        </w:tc>
        <w:tc>
          <w:tcPr>
            <w:tcW w:w="820" w:type="dxa"/>
            <w:vAlign w:val="bottom"/>
            <w:shd w:val="clear" w:color="auto" w:fill="F4F9F9"/>
          </w:tcPr>
          <w:p>
            <w:pPr>
              <w:jc w:val="right"/>
              <w:ind w:right="59"/>
              <w:spacing w:after="0" w:line="135" w:lineRule="exact"/>
              <w:rPr>
                <w:sz w:val="20"/>
                <w:szCs w:val="20"/>
                <w:color w:val="auto"/>
              </w:rPr>
            </w:pPr>
            <w:r>
              <w:rPr>
                <w:rFonts w:ascii="Arial" w:cs="Arial" w:eastAsia="Arial" w:hAnsi="Arial"/>
                <w:sz w:val="13"/>
                <w:szCs w:val="13"/>
                <w:color w:val="auto"/>
              </w:rPr>
              <w:t>1,017,314</w:t>
            </w:r>
          </w:p>
        </w:tc>
        <w:tc>
          <w:tcPr>
            <w:tcW w:w="820" w:type="dxa"/>
            <w:vAlign w:val="bottom"/>
            <w:shd w:val="clear" w:color="auto" w:fill="F4F9F9"/>
          </w:tcPr>
          <w:p>
            <w:pPr>
              <w:jc w:val="right"/>
              <w:ind w:right="59"/>
              <w:spacing w:after="0" w:line="135" w:lineRule="exact"/>
              <w:rPr>
                <w:sz w:val="20"/>
                <w:szCs w:val="20"/>
                <w:color w:val="auto"/>
              </w:rPr>
            </w:pPr>
            <w:r>
              <w:rPr>
                <w:rFonts w:ascii="Arial" w:cs="Arial" w:eastAsia="Arial" w:hAnsi="Arial"/>
                <w:sz w:val="13"/>
                <w:szCs w:val="13"/>
                <w:color w:val="auto"/>
              </w:rPr>
              <w:t>81,144(j)</w:t>
            </w:r>
          </w:p>
        </w:tc>
        <w:tc>
          <w:tcPr>
            <w:tcW w:w="740" w:type="dxa"/>
            <w:vAlign w:val="bottom"/>
            <w:shd w:val="clear" w:color="auto" w:fill="F4F9F9"/>
          </w:tcPr>
          <w:p>
            <w:pPr>
              <w:jc w:val="right"/>
              <w:spacing w:after="0" w:line="135" w:lineRule="exact"/>
              <w:rPr>
                <w:sz w:val="20"/>
                <w:szCs w:val="20"/>
                <w:color w:val="auto"/>
              </w:rPr>
            </w:pPr>
            <w:r>
              <w:rPr>
                <w:rFonts w:ascii="Arial" w:cs="Arial" w:eastAsia="Arial" w:hAnsi="Arial"/>
                <w:sz w:val="13"/>
                <w:szCs w:val="13"/>
                <w:color w:val="auto"/>
              </w:rPr>
              <w:t>3,560,599</w:t>
            </w:r>
          </w:p>
        </w:tc>
        <w:tc>
          <w:tcPr>
            <w:tcW w:w="40" w:type="dxa"/>
            <w:vAlign w:val="bottom"/>
            <w:shd w:val="clear" w:color="auto" w:fill="F4F9F9"/>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F4F9F9"/>
          </w:tcPr>
          <w:p>
            <w:pPr>
              <w:spacing w:after="0" w:line="135" w:lineRule="exact"/>
              <w:rPr>
                <w:sz w:val="20"/>
                <w:szCs w:val="20"/>
                <w:color w:val="auto"/>
              </w:rPr>
            </w:pPr>
            <w:r>
              <w:rPr>
                <w:rFonts w:ascii="Arial" w:cs="Arial" w:eastAsia="Arial" w:hAnsi="Arial"/>
                <w:sz w:val="13"/>
                <w:szCs w:val="13"/>
                <w:color w:val="auto"/>
              </w:rPr>
              <w:t>Mr. De Shon</w:t>
            </w:r>
          </w:p>
        </w:tc>
        <w:tc>
          <w:tcPr>
            <w:tcW w:w="760" w:type="dxa"/>
            <w:vAlign w:val="bottom"/>
            <w:shd w:val="clear" w:color="auto" w:fill="F4F9F9"/>
          </w:tcPr>
          <w:p>
            <w:pPr>
              <w:jc w:val="center"/>
              <w:ind w:left="97"/>
              <w:spacing w:after="0" w:line="135" w:lineRule="exact"/>
              <w:rPr>
                <w:sz w:val="20"/>
                <w:szCs w:val="20"/>
                <w:color w:val="auto"/>
              </w:rPr>
            </w:pPr>
            <w:r>
              <w:rPr>
                <w:rFonts w:ascii="Arial" w:cs="Arial" w:eastAsia="Arial" w:hAnsi="Arial"/>
                <w:sz w:val="13"/>
                <w:szCs w:val="13"/>
                <w:color w:val="auto"/>
                <w:w w:val="96"/>
              </w:rPr>
              <w:t>9/15/2015</w:t>
            </w:r>
          </w:p>
        </w:tc>
        <w:tc>
          <w:tcPr>
            <w:tcW w:w="160" w:type="dxa"/>
            <w:vAlign w:val="bottom"/>
            <w:shd w:val="clear" w:color="auto" w:fill="F4F9F9"/>
          </w:tcPr>
          <w:p>
            <w:pPr>
              <w:spacing w:after="0"/>
              <w:rPr>
                <w:sz w:val="11"/>
                <w:szCs w:val="11"/>
                <w:color w:val="auto"/>
              </w:rPr>
            </w:pPr>
          </w:p>
        </w:tc>
        <w:tc>
          <w:tcPr>
            <w:tcW w:w="940" w:type="dxa"/>
            <w:vAlign w:val="bottom"/>
            <w:shd w:val="clear" w:color="auto" w:fill="F4F9F9"/>
          </w:tcPr>
          <w:p>
            <w:pPr>
              <w:spacing w:after="0"/>
              <w:rPr>
                <w:sz w:val="11"/>
                <w:szCs w:val="11"/>
                <w:color w:val="auto"/>
              </w:rPr>
            </w:pPr>
          </w:p>
        </w:tc>
        <w:tc>
          <w:tcPr>
            <w:tcW w:w="1020" w:type="dxa"/>
            <w:vAlign w:val="bottom"/>
            <w:shd w:val="clear" w:color="auto" w:fill="F4F9F9"/>
          </w:tcPr>
          <w:p>
            <w:pPr>
              <w:spacing w:after="0"/>
              <w:rPr>
                <w:sz w:val="11"/>
                <w:szCs w:val="11"/>
                <w:color w:val="auto"/>
              </w:rPr>
            </w:pPr>
          </w:p>
        </w:tc>
        <w:tc>
          <w:tcPr>
            <w:tcW w:w="1020" w:type="dxa"/>
            <w:vAlign w:val="bottom"/>
            <w:shd w:val="clear" w:color="auto" w:fill="F4F9F9"/>
          </w:tcPr>
          <w:p>
            <w:pPr>
              <w:spacing w:after="0"/>
              <w:rPr>
                <w:sz w:val="11"/>
                <w:szCs w:val="11"/>
                <w:color w:val="auto"/>
              </w:rPr>
            </w:pPr>
          </w:p>
        </w:tc>
        <w:tc>
          <w:tcPr>
            <w:tcW w:w="700" w:type="dxa"/>
            <w:vAlign w:val="bottom"/>
            <w:shd w:val="clear" w:color="auto" w:fill="F4F9F9"/>
          </w:tcPr>
          <w:p>
            <w:pPr>
              <w:spacing w:after="0"/>
              <w:rPr>
                <w:sz w:val="11"/>
                <w:szCs w:val="11"/>
                <w:color w:val="auto"/>
              </w:rPr>
            </w:pPr>
          </w:p>
        </w:tc>
        <w:tc>
          <w:tcPr>
            <w:tcW w:w="720" w:type="dxa"/>
            <w:vAlign w:val="bottom"/>
            <w:shd w:val="clear" w:color="auto" w:fill="F4F9F9"/>
          </w:tcPr>
          <w:p>
            <w:pPr>
              <w:spacing w:after="0"/>
              <w:rPr>
                <w:sz w:val="11"/>
                <w:szCs w:val="11"/>
                <w:color w:val="auto"/>
              </w:rPr>
            </w:pPr>
          </w:p>
        </w:tc>
        <w:tc>
          <w:tcPr>
            <w:tcW w:w="220" w:type="dxa"/>
            <w:vAlign w:val="bottom"/>
            <w:shd w:val="clear" w:color="auto" w:fill="F4F9F9"/>
          </w:tcPr>
          <w:p>
            <w:pPr>
              <w:spacing w:after="0"/>
              <w:rPr>
                <w:sz w:val="11"/>
                <w:szCs w:val="11"/>
                <w:color w:val="auto"/>
              </w:rPr>
            </w:pPr>
          </w:p>
        </w:tc>
        <w:tc>
          <w:tcPr>
            <w:tcW w:w="700" w:type="dxa"/>
            <w:vAlign w:val="bottom"/>
            <w:shd w:val="clear" w:color="auto" w:fill="F4F9F9"/>
          </w:tcPr>
          <w:p>
            <w:pPr>
              <w:jc w:val="right"/>
              <w:ind w:right="79"/>
              <w:spacing w:after="0" w:line="135" w:lineRule="exact"/>
              <w:rPr>
                <w:sz w:val="20"/>
                <w:szCs w:val="20"/>
                <w:color w:val="auto"/>
              </w:rPr>
            </w:pPr>
            <w:r>
              <w:rPr>
                <w:rFonts w:ascii="Arial" w:cs="Arial" w:eastAsia="Arial" w:hAnsi="Arial"/>
                <w:sz w:val="13"/>
                <w:szCs w:val="13"/>
                <w:color w:val="auto"/>
                <w:w w:val="96"/>
              </w:rPr>
              <w:t>21,954(g)</w:t>
            </w:r>
          </w:p>
        </w:tc>
        <w:tc>
          <w:tcPr>
            <w:tcW w:w="820" w:type="dxa"/>
            <w:vAlign w:val="bottom"/>
            <w:shd w:val="clear" w:color="auto" w:fill="F4F9F9"/>
          </w:tcPr>
          <w:p>
            <w:pPr>
              <w:jc w:val="right"/>
              <w:ind w:right="59"/>
              <w:spacing w:after="0" w:line="135" w:lineRule="exact"/>
              <w:rPr>
                <w:sz w:val="20"/>
                <w:szCs w:val="20"/>
                <w:color w:val="auto"/>
              </w:rPr>
            </w:pPr>
            <w:r>
              <w:rPr>
                <w:rFonts w:ascii="Arial" w:cs="Arial" w:eastAsia="Arial" w:hAnsi="Arial"/>
                <w:sz w:val="13"/>
                <w:szCs w:val="13"/>
                <w:color w:val="auto"/>
              </w:rPr>
              <w:t>963,342</w:t>
            </w:r>
          </w:p>
        </w:tc>
        <w:tc>
          <w:tcPr>
            <w:tcW w:w="820" w:type="dxa"/>
            <w:vAlign w:val="bottom"/>
            <w:shd w:val="clear" w:color="auto" w:fill="F4F9F9"/>
          </w:tcPr>
          <w:p>
            <w:pPr>
              <w:spacing w:after="0"/>
              <w:rPr>
                <w:sz w:val="11"/>
                <w:szCs w:val="11"/>
                <w:color w:val="auto"/>
              </w:rPr>
            </w:pPr>
          </w:p>
        </w:tc>
        <w:tc>
          <w:tcPr>
            <w:tcW w:w="740" w:type="dxa"/>
            <w:vAlign w:val="bottom"/>
            <w:shd w:val="clear" w:color="auto" w:fill="F4F9F9"/>
          </w:tcPr>
          <w:p>
            <w:pPr>
              <w:spacing w:after="0"/>
              <w:rPr>
                <w:sz w:val="11"/>
                <w:szCs w:val="11"/>
                <w:color w:val="auto"/>
              </w:rPr>
            </w:pPr>
          </w:p>
        </w:tc>
        <w:tc>
          <w:tcPr>
            <w:tcW w:w="40" w:type="dxa"/>
            <w:vAlign w:val="bottom"/>
            <w:shd w:val="clear" w:color="auto" w:fill="F4F9F9"/>
          </w:tcPr>
          <w:p>
            <w:pPr>
              <w:spacing w:after="0"/>
              <w:rPr>
                <w:sz w:val="11"/>
                <w:szCs w:val="11"/>
                <w:color w:val="auto"/>
              </w:rPr>
            </w:pPr>
          </w:p>
        </w:tc>
      </w:tr>
      <w:tr>
        <w:trPr>
          <w:trHeight w:val="141"/>
        </w:trPr>
        <w:tc>
          <w:tcPr>
            <w:tcW w:w="20" w:type="dxa"/>
            <w:vAlign w:val="bottom"/>
          </w:tcPr>
          <w:p>
            <w:pPr>
              <w:spacing w:after="0"/>
              <w:rPr>
                <w:sz w:val="12"/>
                <w:szCs w:val="12"/>
                <w:color w:val="auto"/>
              </w:rPr>
            </w:pPr>
          </w:p>
        </w:tc>
        <w:tc>
          <w:tcPr>
            <w:tcW w:w="2360" w:type="dxa"/>
            <w:vAlign w:val="bottom"/>
            <w:tcBorders>
              <w:bottom w:val="single" w:sz="8" w:color="C1CECC"/>
            </w:tcBorders>
            <w:shd w:val="clear" w:color="auto" w:fill="F4F9F9"/>
          </w:tcPr>
          <w:p>
            <w:pPr>
              <w:spacing w:after="0" w:line="141" w:lineRule="exact"/>
              <w:rPr>
                <w:sz w:val="20"/>
                <w:szCs w:val="20"/>
                <w:color w:val="auto"/>
              </w:rPr>
            </w:pPr>
            <w:r>
              <w:rPr>
                <w:rFonts w:ascii="Arial" w:cs="Arial" w:eastAsia="Arial" w:hAnsi="Arial"/>
                <w:sz w:val="13"/>
                <w:szCs w:val="13"/>
                <w:color w:val="auto"/>
              </w:rPr>
              <w:t>Mr. De Shon</w:t>
            </w:r>
          </w:p>
        </w:tc>
        <w:tc>
          <w:tcPr>
            <w:tcW w:w="760" w:type="dxa"/>
            <w:vAlign w:val="bottom"/>
            <w:tcBorders>
              <w:bottom w:val="single" w:sz="8" w:color="C1CECC"/>
            </w:tcBorders>
            <w:shd w:val="clear" w:color="auto" w:fill="F4F9F9"/>
          </w:tcPr>
          <w:p>
            <w:pPr>
              <w:jc w:val="center"/>
              <w:ind w:left="97"/>
              <w:spacing w:after="0" w:line="141" w:lineRule="exact"/>
              <w:rPr>
                <w:sz w:val="20"/>
                <w:szCs w:val="20"/>
                <w:color w:val="auto"/>
              </w:rPr>
            </w:pPr>
            <w:r>
              <w:rPr>
                <w:rFonts w:ascii="Arial" w:cs="Arial" w:eastAsia="Arial" w:hAnsi="Arial"/>
                <w:sz w:val="13"/>
                <w:szCs w:val="13"/>
                <w:color w:val="auto"/>
                <w:w w:val="96"/>
              </w:rPr>
              <w:t>1/21/2015</w:t>
            </w:r>
          </w:p>
        </w:tc>
        <w:tc>
          <w:tcPr>
            <w:tcW w:w="160" w:type="dxa"/>
            <w:vAlign w:val="bottom"/>
            <w:tcBorders>
              <w:bottom w:val="single" w:sz="8" w:color="C1CECC"/>
            </w:tcBorders>
            <w:shd w:val="clear" w:color="auto" w:fill="F4F9F9"/>
          </w:tcPr>
          <w:p>
            <w:pPr>
              <w:spacing w:after="0"/>
              <w:rPr>
                <w:sz w:val="12"/>
                <w:szCs w:val="12"/>
                <w:color w:val="auto"/>
              </w:rPr>
            </w:pPr>
          </w:p>
        </w:tc>
        <w:tc>
          <w:tcPr>
            <w:tcW w:w="940" w:type="dxa"/>
            <w:vAlign w:val="bottom"/>
            <w:tcBorders>
              <w:bottom w:val="single" w:sz="8" w:color="C1CECC"/>
            </w:tcBorders>
            <w:shd w:val="clear" w:color="auto" w:fill="F4F9F9"/>
          </w:tcPr>
          <w:p>
            <w:pPr>
              <w:spacing w:after="0"/>
              <w:rPr>
                <w:sz w:val="12"/>
                <w:szCs w:val="12"/>
                <w:color w:val="auto"/>
              </w:rPr>
            </w:pPr>
          </w:p>
        </w:tc>
        <w:tc>
          <w:tcPr>
            <w:tcW w:w="1020" w:type="dxa"/>
            <w:vAlign w:val="bottom"/>
            <w:tcBorders>
              <w:bottom w:val="single" w:sz="8" w:color="C1CECC"/>
            </w:tcBorders>
            <w:shd w:val="clear" w:color="auto" w:fill="F4F9F9"/>
          </w:tcPr>
          <w:p>
            <w:pPr>
              <w:spacing w:after="0"/>
              <w:rPr>
                <w:sz w:val="12"/>
                <w:szCs w:val="12"/>
                <w:color w:val="auto"/>
              </w:rPr>
            </w:pPr>
          </w:p>
        </w:tc>
        <w:tc>
          <w:tcPr>
            <w:tcW w:w="1020" w:type="dxa"/>
            <w:vAlign w:val="bottom"/>
            <w:tcBorders>
              <w:bottom w:val="single" w:sz="8" w:color="C1CECC"/>
            </w:tcBorders>
            <w:shd w:val="clear" w:color="auto" w:fill="F4F9F9"/>
          </w:tcPr>
          <w:p>
            <w:pPr>
              <w:spacing w:after="0"/>
              <w:rPr>
                <w:sz w:val="12"/>
                <w:szCs w:val="12"/>
                <w:color w:val="auto"/>
              </w:rPr>
            </w:pPr>
          </w:p>
        </w:tc>
        <w:tc>
          <w:tcPr>
            <w:tcW w:w="700" w:type="dxa"/>
            <w:vAlign w:val="bottom"/>
            <w:tcBorders>
              <w:bottom w:val="single" w:sz="8" w:color="C1CECC"/>
            </w:tcBorders>
            <w:shd w:val="clear" w:color="auto" w:fill="F4F9F9"/>
          </w:tcPr>
          <w:p>
            <w:pPr>
              <w:spacing w:after="0"/>
              <w:rPr>
                <w:sz w:val="12"/>
                <w:szCs w:val="12"/>
                <w:color w:val="auto"/>
              </w:rPr>
            </w:pPr>
          </w:p>
        </w:tc>
        <w:tc>
          <w:tcPr>
            <w:tcW w:w="720" w:type="dxa"/>
            <w:vAlign w:val="bottom"/>
            <w:tcBorders>
              <w:bottom w:val="single" w:sz="8" w:color="C1CECC"/>
            </w:tcBorders>
            <w:shd w:val="clear" w:color="auto" w:fill="F4F9F9"/>
          </w:tcPr>
          <w:p>
            <w:pPr>
              <w:spacing w:after="0"/>
              <w:rPr>
                <w:sz w:val="12"/>
                <w:szCs w:val="12"/>
                <w:color w:val="auto"/>
              </w:rPr>
            </w:pPr>
          </w:p>
        </w:tc>
        <w:tc>
          <w:tcPr>
            <w:tcW w:w="220" w:type="dxa"/>
            <w:vAlign w:val="bottom"/>
            <w:tcBorders>
              <w:bottom w:val="single" w:sz="8" w:color="C1CECC"/>
            </w:tcBorders>
            <w:shd w:val="clear" w:color="auto" w:fill="F4F9F9"/>
          </w:tcPr>
          <w:p>
            <w:pPr>
              <w:spacing w:after="0"/>
              <w:rPr>
                <w:sz w:val="12"/>
                <w:szCs w:val="12"/>
                <w:color w:val="auto"/>
              </w:rPr>
            </w:pPr>
          </w:p>
        </w:tc>
        <w:tc>
          <w:tcPr>
            <w:tcW w:w="700" w:type="dxa"/>
            <w:vAlign w:val="bottom"/>
            <w:tcBorders>
              <w:bottom w:val="single" w:sz="8" w:color="C1CECC"/>
            </w:tcBorders>
            <w:shd w:val="clear" w:color="auto" w:fill="F4F9F9"/>
          </w:tcPr>
          <w:p>
            <w:pPr>
              <w:jc w:val="right"/>
              <w:ind w:right="79"/>
              <w:spacing w:after="0" w:line="141" w:lineRule="exact"/>
              <w:rPr>
                <w:sz w:val="20"/>
                <w:szCs w:val="20"/>
                <w:color w:val="auto"/>
              </w:rPr>
            </w:pPr>
            <w:r>
              <w:rPr>
                <w:rFonts w:ascii="Arial" w:cs="Arial" w:eastAsia="Arial" w:hAnsi="Arial"/>
                <w:sz w:val="13"/>
                <w:szCs w:val="13"/>
                <w:color w:val="auto"/>
              </w:rPr>
              <w:t>3,270(h)</w:t>
            </w:r>
          </w:p>
        </w:tc>
        <w:tc>
          <w:tcPr>
            <w:tcW w:w="820" w:type="dxa"/>
            <w:vAlign w:val="bottom"/>
            <w:tcBorders>
              <w:bottom w:val="single" w:sz="8" w:color="C1CECC"/>
            </w:tcBorders>
            <w:shd w:val="clear" w:color="auto" w:fill="F4F9F9"/>
          </w:tcPr>
          <w:p>
            <w:pPr>
              <w:jc w:val="right"/>
              <w:ind w:right="59"/>
              <w:spacing w:after="0" w:line="141" w:lineRule="exact"/>
              <w:rPr>
                <w:sz w:val="20"/>
                <w:szCs w:val="20"/>
                <w:color w:val="auto"/>
              </w:rPr>
            </w:pPr>
            <w:r>
              <w:rPr>
                <w:rFonts w:ascii="Arial" w:cs="Arial" w:eastAsia="Arial" w:hAnsi="Arial"/>
                <w:sz w:val="13"/>
                <w:szCs w:val="13"/>
                <w:color w:val="auto"/>
              </w:rPr>
              <w:t>143,488</w:t>
            </w:r>
          </w:p>
        </w:tc>
        <w:tc>
          <w:tcPr>
            <w:tcW w:w="820" w:type="dxa"/>
            <w:vAlign w:val="bottom"/>
            <w:tcBorders>
              <w:bottom w:val="single" w:sz="8" w:color="C1CECC"/>
            </w:tcBorders>
            <w:shd w:val="clear" w:color="auto" w:fill="F4F9F9"/>
          </w:tcPr>
          <w:p>
            <w:pPr>
              <w:jc w:val="right"/>
              <w:ind w:right="59"/>
              <w:spacing w:after="0" w:line="141" w:lineRule="exact"/>
              <w:rPr>
                <w:sz w:val="20"/>
                <w:szCs w:val="20"/>
                <w:color w:val="auto"/>
              </w:rPr>
            </w:pPr>
            <w:r>
              <w:rPr>
                <w:rFonts w:ascii="Arial" w:cs="Arial" w:eastAsia="Arial" w:hAnsi="Arial"/>
                <w:sz w:val="13"/>
                <w:szCs w:val="13"/>
                <w:color w:val="auto"/>
              </w:rPr>
              <w:t>9,809(k)</w:t>
            </w:r>
          </w:p>
        </w:tc>
        <w:tc>
          <w:tcPr>
            <w:tcW w:w="740" w:type="dxa"/>
            <w:vAlign w:val="bottom"/>
            <w:tcBorders>
              <w:bottom w:val="single" w:sz="8" w:color="C1CECC"/>
            </w:tcBorders>
            <w:shd w:val="clear" w:color="auto" w:fill="F4F9F9"/>
          </w:tcPr>
          <w:p>
            <w:pPr>
              <w:jc w:val="right"/>
              <w:spacing w:after="0" w:line="141" w:lineRule="exact"/>
              <w:rPr>
                <w:sz w:val="20"/>
                <w:szCs w:val="20"/>
                <w:color w:val="auto"/>
              </w:rPr>
            </w:pPr>
            <w:r>
              <w:rPr>
                <w:rFonts w:ascii="Arial" w:cs="Arial" w:eastAsia="Arial" w:hAnsi="Arial"/>
                <w:sz w:val="13"/>
                <w:szCs w:val="13"/>
                <w:color w:val="auto"/>
              </w:rPr>
              <w:t>430,419</w:t>
            </w:r>
          </w:p>
        </w:tc>
        <w:tc>
          <w:tcPr>
            <w:tcW w:w="40" w:type="dxa"/>
            <w:vAlign w:val="bottom"/>
            <w:tcBorders>
              <w:bottom w:val="single" w:sz="8" w:color="C1CECC"/>
            </w:tcBorders>
            <w:shd w:val="clear" w:color="auto" w:fill="F4F9F9"/>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2360" w:type="dxa"/>
            <w:vAlign w:val="bottom"/>
            <w:tcBorders>
              <w:bottom w:val="single" w:sz="8" w:color="C1CECC"/>
            </w:tcBorders>
          </w:tcPr>
          <w:p>
            <w:pPr>
              <w:spacing w:after="0" w:line="129" w:lineRule="exact"/>
              <w:rPr>
                <w:sz w:val="20"/>
                <w:szCs w:val="20"/>
                <w:color w:val="auto"/>
              </w:rPr>
            </w:pPr>
            <w:r>
              <w:rPr>
                <w:rFonts w:ascii="Arial" w:cs="Arial" w:eastAsia="Arial" w:hAnsi="Arial"/>
                <w:sz w:val="13"/>
                <w:szCs w:val="13"/>
                <w:color w:val="auto"/>
              </w:rPr>
              <w:t>Mr. Smith</w:t>
            </w:r>
          </w:p>
        </w:tc>
        <w:tc>
          <w:tcPr>
            <w:tcW w:w="760" w:type="dxa"/>
            <w:vAlign w:val="bottom"/>
            <w:tcBorders>
              <w:bottom w:val="single" w:sz="8" w:color="C1CECC"/>
            </w:tcBorders>
          </w:tcPr>
          <w:p>
            <w:pPr>
              <w:jc w:val="center"/>
              <w:ind w:left="97"/>
              <w:spacing w:after="0" w:line="129" w:lineRule="exact"/>
              <w:rPr>
                <w:sz w:val="20"/>
                <w:szCs w:val="20"/>
                <w:color w:val="auto"/>
              </w:rPr>
            </w:pPr>
            <w:r>
              <w:rPr>
                <w:rFonts w:ascii="Arial" w:cs="Arial" w:eastAsia="Arial" w:hAnsi="Arial"/>
                <w:sz w:val="13"/>
                <w:szCs w:val="13"/>
                <w:color w:val="auto"/>
                <w:w w:val="96"/>
              </w:rPr>
              <w:t>1/21/2015</w:t>
            </w:r>
          </w:p>
        </w:tc>
        <w:tc>
          <w:tcPr>
            <w:tcW w:w="160" w:type="dxa"/>
            <w:vAlign w:val="bottom"/>
            <w:tcBorders>
              <w:bottom w:val="single" w:sz="8" w:color="C1CECC"/>
            </w:tcBorders>
          </w:tcPr>
          <w:p>
            <w:pPr>
              <w:spacing w:after="0"/>
              <w:rPr>
                <w:sz w:val="11"/>
                <w:szCs w:val="11"/>
                <w:color w:val="auto"/>
              </w:rPr>
            </w:pPr>
          </w:p>
        </w:tc>
        <w:tc>
          <w:tcPr>
            <w:tcW w:w="940" w:type="dxa"/>
            <w:vAlign w:val="bottom"/>
            <w:tcBorders>
              <w:bottom w:val="single" w:sz="8" w:color="C1CECC"/>
            </w:tcBorders>
          </w:tcPr>
          <w:p>
            <w:pPr>
              <w:spacing w:after="0"/>
              <w:rPr>
                <w:sz w:val="11"/>
                <w:szCs w:val="11"/>
                <w:color w:val="auto"/>
              </w:rPr>
            </w:pPr>
          </w:p>
        </w:tc>
        <w:tc>
          <w:tcPr>
            <w:tcW w:w="1020" w:type="dxa"/>
            <w:vAlign w:val="bottom"/>
            <w:tcBorders>
              <w:bottom w:val="single" w:sz="8" w:color="C1CECC"/>
            </w:tcBorders>
          </w:tcPr>
          <w:p>
            <w:pPr>
              <w:spacing w:after="0"/>
              <w:rPr>
                <w:sz w:val="11"/>
                <w:szCs w:val="11"/>
                <w:color w:val="auto"/>
              </w:rPr>
            </w:pPr>
          </w:p>
        </w:tc>
        <w:tc>
          <w:tcPr>
            <w:tcW w:w="1020" w:type="dxa"/>
            <w:vAlign w:val="bottom"/>
            <w:tcBorders>
              <w:bottom w:val="single" w:sz="8" w:color="C1CECC"/>
            </w:tcBorders>
          </w:tcPr>
          <w:p>
            <w:pPr>
              <w:spacing w:after="0"/>
              <w:rPr>
                <w:sz w:val="11"/>
                <w:szCs w:val="11"/>
                <w:color w:val="auto"/>
              </w:rPr>
            </w:pPr>
          </w:p>
        </w:tc>
        <w:tc>
          <w:tcPr>
            <w:tcW w:w="700" w:type="dxa"/>
            <w:vAlign w:val="bottom"/>
            <w:tcBorders>
              <w:bottom w:val="single" w:sz="8" w:color="C1CECC"/>
            </w:tcBorders>
          </w:tcPr>
          <w:p>
            <w:pPr>
              <w:spacing w:after="0"/>
              <w:rPr>
                <w:sz w:val="11"/>
                <w:szCs w:val="11"/>
                <w:color w:val="auto"/>
              </w:rPr>
            </w:pPr>
          </w:p>
        </w:tc>
        <w:tc>
          <w:tcPr>
            <w:tcW w:w="720" w:type="dxa"/>
            <w:vAlign w:val="bottom"/>
            <w:tcBorders>
              <w:bottom w:val="single" w:sz="8" w:color="C1CECC"/>
            </w:tcBorders>
          </w:tcPr>
          <w:p>
            <w:pPr>
              <w:spacing w:after="0"/>
              <w:rPr>
                <w:sz w:val="11"/>
                <w:szCs w:val="11"/>
                <w:color w:val="auto"/>
              </w:rPr>
            </w:pPr>
          </w:p>
        </w:tc>
        <w:tc>
          <w:tcPr>
            <w:tcW w:w="220" w:type="dxa"/>
            <w:vAlign w:val="bottom"/>
            <w:tcBorders>
              <w:bottom w:val="single" w:sz="8" w:color="C1CECC"/>
            </w:tcBorders>
          </w:tcPr>
          <w:p>
            <w:pPr>
              <w:spacing w:after="0"/>
              <w:rPr>
                <w:sz w:val="11"/>
                <w:szCs w:val="11"/>
                <w:color w:val="auto"/>
              </w:rPr>
            </w:pPr>
          </w:p>
        </w:tc>
        <w:tc>
          <w:tcPr>
            <w:tcW w:w="700" w:type="dxa"/>
            <w:vAlign w:val="bottom"/>
            <w:tcBorders>
              <w:bottom w:val="single" w:sz="8" w:color="C1CECC"/>
            </w:tcBorders>
          </w:tcPr>
          <w:p>
            <w:pPr>
              <w:jc w:val="right"/>
              <w:ind w:right="79"/>
              <w:spacing w:after="0" w:line="129" w:lineRule="exact"/>
              <w:rPr>
                <w:sz w:val="20"/>
                <w:szCs w:val="20"/>
                <w:color w:val="auto"/>
              </w:rPr>
            </w:pPr>
            <w:r>
              <w:rPr>
                <w:rFonts w:ascii="Arial" w:cs="Arial" w:eastAsia="Arial" w:hAnsi="Arial"/>
                <w:sz w:val="13"/>
                <w:szCs w:val="13"/>
                <w:color w:val="auto"/>
              </w:rPr>
              <w:t>1,145(h)</w:t>
            </w:r>
          </w:p>
        </w:tc>
        <w:tc>
          <w:tcPr>
            <w:tcW w:w="820" w:type="dxa"/>
            <w:vAlign w:val="bottom"/>
            <w:tcBorders>
              <w:bottom w:val="single" w:sz="8" w:color="C1CECC"/>
            </w:tcBorders>
          </w:tcPr>
          <w:p>
            <w:pPr>
              <w:jc w:val="right"/>
              <w:ind w:right="59"/>
              <w:spacing w:after="0" w:line="129" w:lineRule="exact"/>
              <w:rPr>
                <w:sz w:val="20"/>
                <w:szCs w:val="20"/>
                <w:color w:val="auto"/>
              </w:rPr>
            </w:pPr>
            <w:r>
              <w:rPr>
                <w:rFonts w:ascii="Arial" w:cs="Arial" w:eastAsia="Arial" w:hAnsi="Arial"/>
                <w:sz w:val="13"/>
                <w:szCs w:val="13"/>
                <w:color w:val="auto"/>
              </w:rPr>
              <w:t>50,243</w:t>
            </w:r>
          </w:p>
        </w:tc>
        <w:tc>
          <w:tcPr>
            <w:tcW w:w="820" w:type="dxa"/>
            <w:vAlign w:val="bottom"/>
            <w:tcBorders>
              <w:bottom w:val="single" w:sz="8" w:color="C1CECC"/>
            </w:tcBorders>
          </w:tcPr>
          <w:p>
            <w:pPr>
              <w:jc w:val="right"/>
              <w:ind w:right="59"/>
              <w:spacing w:after="0" w:line="129" w:lineRule="exact"/>
              <w:rPr>
                <w:sz w:val="20"/>
                <w:szCs w:val="20"/>
                <w:color w:val="auto"/>
              </w:rPr>
            </w:pPr>
            <w:r>
              <w:rPr>
                <w:rFonts w:ascii="Arial" w:cs="Arial" w:eastAsia="Arial" w:hAnsi="Arial"/>
                <w:sz w:val="13"/>
                <w:szCs w:val="13"/>
                <w:color w:val="auto"/>
              </w:rPr>
              <w:t>1,471(k)</w:t>
            </w:r>
          </w:p>
        </w:tc>
        <w:tc>
          <w:tcPr>
            <w:tcW w:w="740" w:type="dxa"/>
            <w:vAlign w:val="bottom"/>
            <w:tcBorders>
              <w:bottom w:val="single" w:sz="8" w:color="C1CECC"/>
            </w:tcBorders>
          </w:tcPr>
          <w:p>
            <w:pPr>
              <w:jc w:val="right"/>
              <w:spacing w:after="0" w:line="129" w:lineRule="exact"/>
              <w:rPr>
                <w:sz w:val="20"/>
                <w:szCs w:val="20"/>
                <w:color w:val="auto"/>
              </w:rPr>
            </w:pPr>
            <w:r>
              <w:rPr>
                <w:rFonts w:ascii="Arial" w:cs="Arial" w:eastAsia="Arial" w:hAnsi="Arial"/>
                <w:sz w:val="13"/>
                <w:szCs w:val="13"/>
                <w:color w:val="auto"/>
              </w:rPr>
              <w:t>64,547</w:t>
            </w:r>
          </w:p>
        </w:tc>
        <w:tc>
          <w:tcPr>
            <w:tcW w:w="40" w:type="dxa"/>
            <w:vAlign w:val="bottom"/>
            <w:tcBorders>
              <w:bottom w:val="single" w:sz="8" w:color="C1CECC"/>
            </w:tcBorders>
          </w:tcPr>
          <w:p>
            <w:pPr>
              <w:spacing w:after="0"/>
              <w:rPr>
                <w:sz w:val="11"/>
                <w:szCs w:val="11"/>
                <w:color w:val="auto"/>
              </w:rPr>
            </w:pPr>
          </w:p>
        </w:tc>
      </w:tr>
      <w:tr>
        <w:trPr>
          <w:trHeight w:val="123"/>
        </w:trPr>
        <w:tc>
          <w:tcPr>
            <w:tcW w:w="20" w:type="dxa"/>
            <w:vAlign w:val="bottom"/>
          </w:tcPr>
          <w:p>
            <w:pPr>
              <w:spacing w:after="0"/>
              <w:rPr>
                <w:sz w:val="10"/>
                <w:szCs w:val="10"/>
                <w:color w:val="auto"/>
              </w:rPr>
            </w:pPr>
          </w:p>
        </w:tc>
        <w:tc>
          <w:tcPr>
            <w:tcW w:w="2360" w:type="dxa"/>
            <w:vAlign w:val="bottom"/>
            <w:shd w:val="clear" w:color="auto" w:fill="F4F9F9"/>
          </w:tcPr>
          <w:p>
            <w:pPr>
              <w:spacing w:after="0" w:line="123" w:lineRule="exact"/>
              <w:rPr>
                <w:sz w:val="20"/>
                <w:szCs w:val="20"/>
                <w:color w:val="auto"/>
              </w:rPr>
            </w:pPr>
            <w:r>
              <w:rPr>
                <w:rFonts w:ascii="Arial" w:cs="Arial" w:eastAsia="Arial" w:hAnsi="Arial"/>
                <w:sz w:val="13"/>
                <w:szCs w:val="13"/>
                <w:color w:val="auto"/>
              </w:rPr>
              <w:t>Mr. Nelson</w:t>
            </w:r>
          </w:p>
        </w:tc>
        <w:tc>
          <w:tcPr>
            <w:tcW w:w="760" w:type="dxa"/>
            <w:vAlign w:val="bottom"/>
            <w:shd w:val="clear" w:color="auto" w:fill="F4F9F9"/>
          </w:tcPr>
          <w:p>
            <w:pPr>
              <w:jc w:val="center"/>
              <w:ind w:left="97"/>
              <w:spacing w:after="0" w:line="123" w:lineRule="exact"/>
              <w:rPr>
                <w:sz w:val="20"/>
                <w:szCs w:val="20"/>
                <w:color w:val="auto"/>
              </w:rPr>
            </w:pPr>
            <w:r>
              <w:rPr>
                <w:rFonts w:ascii="Arial" w:cs="Arial" w:eastAsia="Arial" w:hAnsi="Arial"/>
                <w:sz w:val="13"/>
                <w:szCs w:val="13"/>
                <w:color w:val="auto"/>
                <w:w w:val="94"/>
              </w:rPr>
              <w:t>3/1/2017</w:t>
            </w:r>
          </w:p>
        </w:tc>
        <w:tc>
          <w:tcPr>
            <w:tcW w:w="160" w:type="dxa"/>
            <w:vAlign w:val="bottom"/>
            <w:shd w:val="clear" w:color="auto" w:fill="F4F9F9"/>
          </w:tcPr>
          <w:p>
            <w:pPr>
              <w:spacing w:after="0"/>
              <w:rPr>
                <w:sz w:val="10"/>
                <w:szCs w:val="10"/>
                <w:color w:val="auto"/>
              </w:rPr>
            </w:pPr>
          </w:p>
        </w:tc>
        <w:tc>
          <w:tcPr>
            <w:tcW w:w="940" w:type="dxa"/>
            <w:vAlign w:val="bottom"/>
            <w:shd w:val="clear" w:color="auto" w:fill="F4F9F9"/>
          </w:tcPr>
          <w:p>
            <w:pPr>
              <w:spacing w:after="0"/>
              <w:rPr>
                <w:sz w:val="10"/>
                <w:szCs w:val="10"/>
                <w:color w:val="auto"/>
              </w:rPr>
            </w:pPr>
          </w:p>
        </w:tc>
        <w:tc>
          <w:tcPr>
            <w:tcW w:w="1020" w:type="dxa"/>
            <w:vAlign w:val="bottom"/>
            <w:shd w:val="clear" w:color="auto" w:fill="F4F9F9"/>
          </w:tcPr>
          <w:p>
            <w:pPr>
              <w:spacing w:after="0"/>
              <w:rPr>
                <w:sz w:val="10"/>
                <w:szCs w:val="10"/>
                <w:color w:val="auto"/>
              </w:rPr>
            </w:pPr>
          </w:p>
        </w:tc>
        <w:tc>
          <w:tcPr>
            <w:tcW w:w="1020" w:type="dxa"/>
            <w:vAlign w:val="bottom"/>
            <w:shd w:val="clear" w:color="auto" w:fill="F4F9F9"/>
          </w:tcPr>
          <w:p>
            <w:pPr>
              <w:spacing w:after="0"/>
              <w:rPr>
                <w:sz w:val="10"/>
                <w:szCs w:val="10"/>
                <w:color w:val="auto"/>
              </w:rPr>
            </w:pPr>
          </w:p>
        </w:tc>
        <w:tc>
          <w:tcPr>
            <w:tcW w:w="700" w:type="dxa"/>
            <w:vAlign w:val="bottom"/>
            <w:shd w:val="clear" w:color="auto" w:fill="F4F9F9"/>
          </w:tcPr>
          <w:p>
            <w:pPr>
              <w:spacing w:after="0"/>
              <w:rPr>
                <w:sz w:val="10"/>
                <w:szCs w:val="10"/>
                <w:color w:val="auto"/>
              </w:rPr>
            </w:pPr>
          </w:p>
        </w:tc>
        <w:tc>
          <w:tcPr>
            <w:tcW w:w="720" w:type="dxa"/>
            <w:vAlign w:val="bottom"/>
            <w:shd w:val="clear" w:color="auto" w:fill="F4F9F9"/>
          </w:tcPr>
          <w:p>
            <w:pPr>
              <w:spacing w:after="0"/>
              <w:rPr>
                <w:sz w:val="10"/>
                <w:szCs w:val="10"/>
                <w:color w:val="auto"/>
              </w:rPr>
            </w:pPr>
          </w:p>
        </w:tc>
        <w:tc>
          <w:tcPr>
            <w:tcW w:w="220" w:type="dxa"/>
            <w:vAlign w:val="bottom"/>
            <w:shd w:val="clear" w:color="auto" w:fill="F4F9F9"/>
          </w:tcPr>
          <w:p>
            <w:pPr>
              <w:spacing w:after="0"/>
              <w:rPr>
                <w:sz w:val="10"/>
                <w:szCs w:val="10"/>
                <w:color w:val="auto"/>
              </w:rPr>
            </w:pPr>
          </w:p>
        </w:tc>
        <w:tc>
          <w:tcPr>
            <w:tcW w:w="700" w:type="dxa"/>
            <w:vAlign w:val="bottom"/>
            <w:shd w:val="clear" w:color="auto" w:fill="F4F9F9"/>
          </w:tcPr>
          <w:p>
            <w:pPr>
              <w:jc w:val="right"/>
              <w:ind w:right="79"/>
              <w:spacing w:after="0" w:line="123" w:lineRule="exact"/>
              <w:rPr>
                <w:sz w:val="20"/>
                <w:szCs w:val="20"/>
                <w:color w:val="auto"/>
              </w:rPr>
            </w:pPr>
            <w:r>
              <w:rPr>
                <w:rFonts w:ascii="Arial" w:cs="Arial" w:eastAsia="Arial" w:hAnsi="Arial"/>
                <w:sz w:val="13"/>
                <w:szCs w:val="13"/>
                <w:color w:val="auto"/>
                <w:w w:val="96"/>
              </w:rPr>
              <w:t>29,061(e)</w:t>
            </w:r>
          </w:p>
        </w:tc>
        <w:tc>
          <w:tcPr>
            <w:tcW w:w="820" w:type="dxa"/>
            <w:vAlign w:val="bottom"/>
            <w:shd w:val="clear" w:color="auto" w:fill="F4F9F9"/>
          </w:tcPr>
          <w:p>
            <w:pPr>
              <w:jc w:val="right"/>
              <w:ind w:right="59"/>
              <w:spacing w:after="0" w:line="123" w:lineRule="exact"/>
              <w:rPr>
                <w:sz w:val="20"/>
                <w:szCs w:val="20"/>
                <w:color w:val="auto"/>
              </w:rPr>
            </w:pPr>
            <w:r>
              <w:rPr>
                <w:rFonts w:ascii="Arial" w:cs="Arial" w:eastAsia="Arial" w:hAnsi="Arial"/>
                <w:sz w:val="13"/>
                <w:szCs w:val="13"/>
                <w:color w:val="auto"/>
              </w:rPr>
              <w:t>1,275,197</w:t>
            </w:r>
          </w:p>
        </w:tc>
        <w:tc>
          <w:tcPr>
            <w:tcW w:w="820" w:type="dxa"/>
            <w:vAlign w:val="bottom"/>
            <w:shd w:val="clear" w:color="auto" w:fill="F4F9F9"/>
          </w:tcPr>
          <w:p>
            <w:pPr>
              <w:spacing w:after="0"/>
              <w:rPr>
                <w:sz w:val="10"/>
                <w:szCs w:val="10"/>
                <w:color w:val="auto"/>
              </w:rPr>
            </w:pPr>
          </w:p>
        </w:tc>
        <w:tc>
          <w:tcPr>
            <w:tcW w:w="740" w:type="dxa"/>
            <w:vAlign w:val="bottom"/>
            <w:shd w:val="clear" w:color="auto" w:fill="F4F9F9"/>
          </w:tcPr>
          <w:p>
            <w:pPr>
              <w:spacing w:after="0"/>
              <w:rPr>
                <w:sz w:val="10"/>
                <w:szCs w:val="10"/>
                <w:color w:val="auto"/>
              </w:rPr>
            </w:pPr>
          </w:p>
        </w:tc>
        <w:tc>
          <w:tcPr>
            <w:tcW w:w="40" w:type="dxa"/>
            <w:vAlign w:val="bottom"/>
            <w:shd w:val="clear" w:color="auto" w:fill="F4F9F9"/>
          </w:tcPr>
          <w:p>
            <w:pPr>
              <w:spacing w:after="0"/>
              <w:rPr>
                <w:sz w:val="10"/>
                <w:szCs w:val="10"/>
                <w:color w:val="auto"/>
              </w:rPr>
            </w:pPr>
          </w:p>
        </w:tc>
      </w:tr>
      <w:tr>
        <w:trPr>
          <w:trHeight w:val="141"/>
        </w:trPr>
        <w:tc>
          <w:tcPr>
            <w:tcW w:w="20" w:type="dxa"/>
            <w:vAlign w:val="bottom"/>
          </w:tcPr>
          <w:p>
            <w:pPr>
              <w:spacing w:after="0"/>
              <w:rPr>
                <w:sz w:val="12"/>
                <w:szCs w:val="12"/>
                <w:color w:val="auto"/>
              </w:rPr>
            </w:pPr>
          </w:p>
        </w:tc>
        <w:tc>
          <w:tcPr>
            <w:tcW w:w="2360" w:type="dxa"/>
            <w:vAlign w:val="bottom"/>
            <w:tcBorders>
              <w:bottom w:val="single" w:sz="8" w:color="C1CECC"/>
            </w:tcBorders>
            <w:shd w:val="clear" w:color="auto" w:fill="F4F9F9"/>
          </w:tcPr>
          <w:p>
            <w:pPr>
              <w:spacing w:after="0" w:line="141" w:lineRule="exact"/>
              <w:rPr>
                <w:sz w:val="20"/>
                <w:szCs w:val="20"/>
                <w:color w:val="auto"/>
              </w:rPr>
            </w:pPr>
            <w:r>
              <w:rPr>
                <w:rFonts w:ascii="Arial" w:cs="Arial" w:eastAsia="Arial" w:hAnsi="Arial"/>
                <w:sz w:val="13"/>
                <w:szCs w:val="13"/>
                <w:color w:val="auto"/>
              </w:rPr>
              <w:t>Mr. Nelson</w:t>
            </w:r>
          </w:p>
        </w:tc>
        <w:tc>
          <w:tcPr>
            <w:tcW w:w="760" w:type="dxa"/>
            <w:vAlign w:val="bottom"/>
            <w:tcBorders>
              <w:bottom w:val="single" w:sz="8" w:color="C1CECC"/>
            </w:tcBorders>
            <w:shd w:val="clear" w:color="auto" w:fill="F4F9F9"/>
          </w:tcPr>
          <w:p>
            <w:pPr>
              <w:jc w:val="center"/>
              <w:ind w:left="97"/>
              <w:spacing w:after="0" w:line="141" w:lineRule="exact"/>
              <w:rPr>
                <w:sz w:val="20"/>
                <w:szCs w:val="20"/>
                <w:color w:val="auto"/>
              </w:rPr>
            </w:pPr>
            <w:r>
              <w:rPr>
                <w:rFonts w:ascii="Arial" w:cs="Arial" w:eastAsia="Arial" w:hAnsi="Arial"/>
                <w:sz w:val="13"/>
                <w:szCs w:val="13"/>
                <w:color w:val="auto"/>
                <w:w w:val="96"/>
              </w:rPr>
              <w:t>1/27/2010</w:t>
            </w:r>
          </w:p>
        </w:tc>
        <w:tc>
          <w:tcPr>
            <w:tcW w:w="1100" w:type="dxa"/>
            <w:vAlign w:val="bottom"/>
            <w:tcBorders>
              <w:bottom w:val="single" w:sz="8" w:color="C1CECC"/>
            </w:tcBorders>
            <w:gridSpan w:val="2"/>
            <w:shd w:val="clear" w:color="auto" w:fill="F4F9F9"/>
          </w:tcPr>
          <w:p>
            <w:pPr>
              <w:jc w:val="right"/>
              <w:ind w:right="42"/>
              <w:spacing w:after="0" w:line="141" w:lineRule="exact"/>
              <w:rPr>
                <w:sz w:val="20"/>
                <w:szCs w:val="20"/>
                <w:color w:val="auto"/>
              </w:rPr>
            </w:pPr>
            <w:r>
              <w:rPr>
                <w:rFonts w:ascii="Arial" w:cs="Arial" w:eastAsia="Arial" w:hAnsi="Arial"/>
                <w:sz w:val="13"/>
                <w:szCs w:val="13"/>
                <w:color w:val="auto"/>
              </w:rPr>
              <w:t>160,000</w:t>
            </w:r>
          </w:p>
        </w:tc>
        <w:tc>
          <w:tcPr>
            <w:tcW w:w="1020" w:type="dxa"/>
            <w:vAlign w:val="bottom"/>
            <w:tcBorders>
              <w:bottom w:val="single" w:sz="8" w:color="C1CECC"/>
            </w:tcBorders>
            <w:shd w:val="clear" w:color="auto" w:fill="F4F9F9"/>
          </w:tcPr>
          <w:p>
            <w:pPr>
              <w:spacing w:after="0"/>
              <w:rPr>
                <w:sz w:val="12"/>
                <w:szCs w:val="12"/>
                <w:color w:val="auto"/>
              </w:rPr>
            </w:pPr>
          </w:p>
        </w:tc>
        <w:tc>
          <w:tcPr>
            <w:tcW w:w="1020" w:type="dxa"/>
            <w:vAlign w:val="bottom"/>
            <w:tcBorders>
              <w:bottom w:val="single" w:sz="8" w:color="C1CECC"/>
            </w:tcBorders>
            <w:shd w:val="clear" w:color="auto" w:fill="F4F9F9"/>
          </w:tcPr>
          <w:p>
            <w:pPr>
              <w:spacing w:after="0"/>
              <w:rPr>
                <w:sz w:val="12"/>
                <w:szCs w:val="12"/>
                <w:color w:val="auto"/>
              </w:rPr>
            </w:pPr>
          </w:p>
        </w:tc>
        <w:tc>
          <w:tcPr>
            <w:tcW w:w="700" w:type="dxa"/>
            <w:vAlign w:val="bottom"/>
            <w:tcBorders>
              <w:bottom w:val="single" w:sz="8" w:color="C1CECC"/>
            </w:tcBorders>
            <w:shd w:val="clear" w:color="auto" w:fill="F4F9F9"/>
          </w:tcPr>
          <w:p>
            <w:pPr>
              <w:jc w:val="right"/>
              <w:ind w:right="60"/>
              <w:spacing w:after="0" w:line="141" w:lineRule="exact"/>
              <w:rPr>
                <w:sz w:val="20"/>
                <w:szCs w:val="20"/>
                <w:color w:val="auto"/>
              </w:rPr>
            </w:pPr>
            <w:r>
              <w:rPr>
                <w:rFonts w:ascii="Arial" w:cs="Arial" w:eastAsia="Arial" w:hAnsi="Arial"/>
                <w:sz w:val="13"/>
                <w:szCs w:val="13"/>
                <w:color w:val="auto"/>
              </w:rPr>
              <w:t>11.53</w:t>
            </w:r>
          </w:p>
        </w:tc>
        <w:tc>
          <w:tcPr>
            <w:tcW w:w="720" w:type="dxa"/>
            <w:vAlign w:val="bottom"/>
            <w:tcBorders>
              <w:bottom w:val="single" w:sz="8" w:color="C1CECC"/>
            </w:tcBorders>
            <w:shd w:val="clear" w:color="auto" w:fill="F4F9F9"/>
          </w:tcPr>
          <w:p>
            <w:pPr>
              <w:jc w:val="right"/>
              <w:spacing w:after="0" w:line="141" w:lineRule="exact"/>
              <w:rPr>
                <w:sz w:val="20"/>
                <w:szCs w:val="20"/>
                <w:color w:val="auto"/>
              </w:rPr>
            </w:pPr>
            <w:r>
              <w:rPr>
                <w:rFonts w:ascii="Arial" w:cs="Arial" w:eastAsia="Arial" w:hAnsi="Arial"/>
                <w:sz w:val="13"/>
                <w:szCs w:val="13"/>
                <w:color w:val="auto"/>
              </w:rPr>
              <w:t>1/27/2020</w:t>
            </w:r>
          </w:p>
        </w:tc>
        <w:tc>
          <w:tcPr>
            <w:tcW w:w="220" w:type="dxa"/>
            <w:vAlign w:val="bottom"/>
            <w:tcBorders>
              <w:bottom w:val="single" w:sz="8" w:color="C1CECC"/>
            </w:tcBorders>
            <w:shd w:val="clear" w:color="auto" w:fill="F4F9F9"/>
          </w:tcPr>
          <w:p>
            <w:pPr>
              <w:spacing w:after="0"/>
              <w:rPr>
                <w:sz w:val="12"/>
                <w:szCs w:val="12"/>
                <w:color w:val="auto"/>
              </w:rPr>
            </w:pPr>
          </w:p>
        </w:tc>
        <w:tc>
          <w:tcPr>
            <w:tcW w:w="700" w:type="dxa"/>
            <w:vAlign w:val="bottom"/>
            <w:tcBorders>
              <w:bottom w:val="single" w:sz="8" w:color="C1CECC"/>
            </w:tcBorders>
            <w:shd w:val="clear" w:color="auto" w:fill="F4F9F9"/>
          </w:tcPr>
          <w:p>
            <w:pPr>
              <w:spacing w:after="0"/>
              <w:rPr>
                <w:sz w:val="12"/>
                <w:szCs w:val="12"/>
                <w:color w:val="auto"/>
              </w:rPr>
            </w:pPr>
          </w:p>
        </w:tc>
        <w:tc>
          <w:tcPr>
            <w:tcW w:w="820" w:type="dxa"/>
            <w:vAlign w:val="bottom"/>
            <w:tcBorders>
              <w:bottom w:val="single" w:sz="8" w:color="C1CECC"/>
            </w:tcBorders>
            <w:shd w:val="clear" w:color="auto" w:fill="F4F9F9"/>
          </w:tcPr>
          <w:p>
            <w:pPr>
              <w:spacing w:after="0"/>
              <w:rPr>
                <w:sz w:val="12"/>
                <w:szCs w:val="12"/>
                <w:color w:val="auto"/>
              </w:rPr>
            </w:pPr>
          </w:p>
        </w:tc>
        <w:tc>
          <w:tcPr>
            <w:tcW w:w="820" w:type="dxa"/>
            <w:vAlign w:val="bottom"/>
            <w:tcBorders>
              <w:bottom w:val="single" w:sz="8" w:color="C1CECC"/>
            </w:tcBorders>
            <w:shd w:val="clear" w:color="auto" w:fill="F4F9F9"/>
          </w:tcPr>
          <w:p>
            <w:pPr>
              <w:spacing w:after="0"/>
              <w:rPr>
                <w:sz w:val="12"/>
                <w:szCs w:val="12"/>
                <w:color w:val="auto"/>
              </w:rPr>
            </w:pPr>
          </w:p>
        </w:tc>
        <w:tc>
          <w:tcPr>
            <w:tcW w:w="740" w:type="dxa"/>
            <w:vAlign w:val="bottom"/>
            <w:tcBorders>
              <w:bottom w:val="single" w:sz="8" w:color="C1CECC"/>
            </w:tcBorders>
            <w:shd w:val="clear" w:color="auto" w:fill="F4F9F9"/>
          </w:tcPr>
          <w:p>
            <w:pPr>
              <w:spacing w:after="0"/>
              <w:rPr>
                <w:sz w:val="12"/>
                <w:szCs w:val="12"/>
                <w:color w:val="auto"/>
              </w:rPr>
            </w:pPr>
          </w:p>
        </w:tc>
        <w:tc>
          <w:tcPr>
            <w:tcW w:w="40" w:type="dxa"/>
            <w:vAlign w:val="bottom"/>
            <w:tcBorders>
              <w:bottom w:val="single" w:sz="8" w:color="C1CECC"/>
            </w:tcBorders>
            <w:shd w:val="clear" w:color="auto" w:fill="F4F9F9"/>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2360" w:type="dxa"/>
            <w:vAlign w:val="bottom"/>
          </w:tcPr>
          <w:p>
            <w:pPr>
              <w:spacing w:after="0" w:line="123" w:lineRule="exact"/>
              <w:rPr>
                <w:sz w:val="20"/>
                <w:szCs w:val="20"/>
                <w:color w:val="auto"/>
              </w:rPr>
            </w:pPr>
            <w:r>
              <w:rPr>
                <w:rFonts w:ascii="Arial" w:cs="Arial" w:eastAsia="Arial" w:hAnsi="Arial"/>
                <w:sz w:val="13"/>
                <w:szCs w:val="13"/>
                <w:color w:val="auto"/>
              </w:rPr>
              <w:t>Mr. Ferraro</w:t>
            </w:r>
          </w:p>
        </w:tc>
        <w:tc>
          <w:tcPr>
            <w:tcW w:w="760" w:type="dxa"/>
            <w:vAlign w:val="bottom"/>
          </w:tcPr>
          <w:p>
            <w:pPr>
              <w:jc w:val="center"/>
              <w:ind w:left="97"/>
              <w:spacing w:after="0" w:line="123" w:lineRule="exact"/>
              <w:rPr>
                <w:sz w:val="20"/>
                <w:szCs w:val="20"/>
                <w:color w:val="auto"/>
              </w:rPr>
            </w:pPr>
            <w:r>
              <w:rPr>
                <w:rFonts w:ascii="Arial" w:cs="Arial" w:eastAsia="Arial" w:hAnsi="Arial"/>
                <w:sz w:val="13"/>
                <w:szCs w:val="13"/>
                <w:color w:val="auto"/>
                <w:w w:val="96"/>
              </w:rPr>
              <w:t>9/19/2017</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79"/>
              <w:spacing w:after="0" w:line="123" w:lineRule="exact"/>
              <w:rPr>
                <w:sz w:val="20"/>
                <w:szCs w:val="20"/>
                <w:color w:val="auto"/>
              </w:rPr>
            </w:pPr>
            <w:r>
              <w:rPr>
                <w:rFonts w:ascii="Arial" w:cs="Arial" w:eastAsia="Arial" w:hAnsi="Arial"/>
                <w:sz w:val="13"/>
                <w:szCs w:val="13"/>
                <w:color w:val="auto"/>
                <w:w w:val="98"/>
              </w:rPr>
              <w:t>46,397(c)</w:t>
            </w:r>
          </w:p>
        </w:tc>
        <w:tc>
          <w:tcPr>
            <w:tcW w:w="820" w:type="dxa"/>
            <w:vAlign w:val="bottom"/>
          </w:tcPr>
          <w:p>
            <w:pPr>
              <w:jc w:val="right"/>
              <w:ind w:right="59"/>
              <w:spacing w:after="0" w:line="123" w:lineRule="exact"/>
              <w:rPr>
                <w:sz w:val="20"/>
                <w:szCs w:val="20"/>
                <w:color w:val="auto"/>
              </w:rPr>
            </w:pPr>
            <w:r>
              <w:rPr>
                <w:rFonts w:ascii="Arial" w:cs="Arial" w:eastAsia="Arial" w:hAnsi="Arial"/>
                <w:sz w:val="13"/>
                <w:szCs w:val="13"/>
                <w:color w:val="auto"/>
              </w:rPr>
              <w:t>2,035,900</w:t>
            </w: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2380" w:type="dxa"/>
            <w:vAlign w:val="bottom"/>
            <w:gridSpan w:val="2"/>
          </w:tcPr>
          <w:p>
            <w:pPr>
              <w:spacing w:after="0" w:line="135" w:lineRule="exact"/>
              <w:rPr>
                <w:sz w:val="20"/>
                <w:szCs w:val="20"/>
                <w:color w:val="auto"/>
              </w:rPr>
            </w:pPr>
            <w:r>
              <w:rPr>
                <w:rFonts w:ascii="Arial" w:cs="Arial" w:eastAsia="Arial" w:hAnsi="Arial"/>
                <w:sz w:val="13"/>
                <w:szCs w:val="13"/>
                <w:color w:val="auto"/>
              </w:rPr>
              <w:t>Mr. Ferraro</w:t>
            </w:r>
          </w:p>
        </w:tc>
        <w:tc>
          <w:tcPr>
            <w:tcW w:w="7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4"/>
              </w:rPr>
              <w:t>3/1/2017</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79"/>
              <w:spacing w:after="0" w:line="135" w:lineRule="exact"/>
              <w:rPr>
                <w:sz w:val="20"/>
                <w:szCs w:val="20"/>
                <w:color w:val="auto"/>
              </w:rPr>
            </w:pPr>
            <w:r>
              <w:rPr>
                <w:rFonts w:ascii="Arial" w:cs="Arial" w:eastAsia="Arial" w:hAnsi="Arial"/>
                <w:sz w:val="13"/>
                <w:szCs w:val="13"/>
                <w:color w:val="auto"/>
                <w:w w:val="96"/>
              </w:rPr>
              <w:t>17,437(d)</w:t>
            </w:r>
          </w:p>
        </w:tc>
        <w:tc>
          <w:tcPr>
            <w:tcW w:w="820" w:type="dxa"/>
            <w:vAlign w:val="bottom"/>
          </w:tcPr>
          <w:p>
            <w:pPr>
              <w:jc w:val="right"/>
              <w:ind w:right="59"/>
              <w:spacing w:after="0" w:line="135" w:lineRule="exact"/>
              <w:rPr>
                <w:sz w:val="20"/>
                <w:szCs w:val="20"/>
                <w:color w:val="auto"/>
              </w:rPr>
            </w:pPr>
            <w:r>
              <w:rPr>
                <w:rFonts w:ascii="Arial" w:cs="Arial" w:eastAsia="Arial" w:hAnsi="Arial"/>
                <w:sz w:val="13"/>
                <w:szCs w:val="13"/>
                <w:color w:val="auto"/>
              </w:rPr>
              <w:t>765,136</w:t>
            </w:r>
          </w:p>
        </w:tc>
        <w:tc>
          <w:tcPr>
            <w:tcW w:w="820" w:type="dxa"/>
            <w:vAlign w:val="bottom"/>
          </w:tcPr>
          <w:p>
            <w:pPr>
              <w:jc w:val="right"/>
              <w:ind w:right="59"/>
              <w:spacing w:after="0" w:line="135" w:lineRule="exact"/>
              <w:rPr>
                <w:sz w:val="20"/>
                <w:szCs w:val="20"/>
                <w:color w:val="auto"/>
              </w:rPr>
            </w:pPr>
            <w:r>
              <w:rPr>
                <w:rFonts w:ascii="Arial" w:cs="Arial" w:eastAsia="Arial" w:hAnsi="Arial"/>
                <w:sz w:val="13"/>
                <w:szCs w:val="13"/>
                <w:color w:val="auto"/>
              </w:rPr>
              <w:t>17,437(i)</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765,136</w:t>
            </w:r>
          </w:p>
        </w:tc>
        <w:tc>
          <w:tcPr>
            <w:tcW w:w="40" w:type="dxa"/>
            <w:vAlign w:val="bottom"/>
          </w:tcPr>
          <w:p>
            <w:pPr>
              <w:spacing w:after="0"/>
              <w:rPr>
                <w:sz w:val="11"/>
                <w:szCs w:val="11"/>
                <w:color w:val="auto"/>
              </w:rPr>
            </w:pPr>
          </w:p>
        </w:tc>
      </w:tr>
      <w:tr>
        <w:trPr>
          <w:trHeight w:val="135"/>
        </w:trPr>
        <w:tc>
          <w:tcPr>
            <w:tcW w:w="2380" w:type="dxa"/>
            <w:vAlign w:val="bottom"/>
            <w:gridSpan w:val="2"/>
          </w:tcPr>
          <w:p>
            <w:pPr>
              <w:spacing w:after="0" w:line="135" w:lineRule="exact"/>
              <w:rPr>
                <w:sz w:val="20"/>
                <w:szCs w:val="20"/>
                <w:color w:val="auto"/>
              </w:rPr>
            </w:pPr>
            <w:r>
              <w:rPr>
                <w:rFonts w:ascii="Arial" w:cs="Arial" w:eastAsia="Arial" w:hAnsi="Arial"/>
                <w:sz w:val="13"/>
                <w:szCs w:val="13"/>
                <w:color w:val="auto"/>
              </w:rPr>
              <w:t>Mr. Ferraro</w:t>
            </w:r>
          </w:p>
        </w:tc>
        <w:tc>
          <w:tcPr>
            <w:tcW w:w="7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6"/>
              </w:rPr>
              <w:t>1/28/2016</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79"/>
              <w:spacing w:after="0" w:line="135" w:lineRule="exact"/>
              <w:rPr>
                <w:sz w:val="20"/>
                <w:szCs w:val="20"/>
                <w:color w:val="auto"/>
              </w:rPr>
            </w:pPr>
            <w:r>
              <w:rPr>
                <w:rFonts w:ascii="Arial" w:cs="Arial" w:eastAsia="Arial" w:hAnsi="Arial"/>
                <w:sz w:val="13"/>
                <w:szCs w:val="13"/>
                <w:color w:val="auto"/>
              </w:rPr>
              <w:t>12,880(f)</w:t>
            </w:r>
          </w:p>
        </w:tc>
        <w:tc>
          <w:tcPr>
            <w:tcW w:w="820" w:type="dxa"/>
            <w:vAlign w:val="bottom"/>
          </w:tcPr>
          <w:p>
            <w:pPr>
              <w:jc w:val="right"/>
              <w:ind w:right="59"/>
              <w:spacing w:after="0" w:line="135" w:lineRule="exact"/>
              <w:rPr>
                <w:sz w:val="20"/>
                <w:szCs w:val="20"/>
                <w:color w:val="auto"/>
              </w:rPr>
            </w:pPr>
            <w:r>
              <w:rPr>
                <w:rFonts w:ascii="Arial" w:cs="Arial" w:eastAsia="Arial" w:hAnsi="Arial"/>
                <w:sz w:val="13"/>
                <w:szCs w:val="13"/>
                <w:color w:val="auto"/>
              </w:rPr>
              <w:t>565,174</w:t>
            </w:r>
          </w:p>
        </w:tc>
        <w:tc>
          <w:tcPr>
            <w:tcW w:w="820" w:type="dxa"/>
            <w:vAlign w:val="bottom"/>
          </w:tcPr>
          <w:p>
            <w:pPr>
              <w:jc w:val="right"/>
              <w:ind w:right="59"/>
              <w:spacing w:after="0" w:line="135" w:lineRule="exact"/>
              <w:rPr>
                <w:sz w:val="20"/>
                <w:szCs w:val="20"/>
                <w:color w:val="auto"/>
              </w:rPr>
            </w:pPr>
            <w:r>
              <w:rPr>
                <w:rFonts w:ascii="Arial" w:cs="Arial" w:eastAsia="Arial" w:hAnsi="Arial"/>
                <w:sz w:val="13"/>
                <w:szCs w:val="13"/>
                <w:color w:val="auto"/>
              </w:rPr>
              <w:t>19,320(j)</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847,762</w:t>
            </w:r>
          </w:p>
        </w:tc>
        <w:tc>
          <w:tcPr>
            <w:tcW w:w="40" w:type="dxa"/>
            <w:vAlign w:val="bottom"/>
          </w:tcPr>
          <w:p>
            <w:pPr>
              <w:spacing w:after="0"/>
              <w:rPr>
                <w:sz w:val="11"/>
                <w:szCs w:val="11"/>
                <w:color w:val="auto"/>
              </w:rPr>
            </w:pPr>
          </w:p>
        </w:tc>
      </w:tr>
      <w:tr>
        <w:trPr>
          <w:trHeight w:val="141"/>
        </w:trPr>
        <w:tc>
          <w:tcPr>
            <w:tcW w:w="2380" w:type="dxa"/>
            <w:vAlign w:val="bottom"/>
            <w:gridSpan w:val="2"/>
          </w:tcPr>
          <w:p>
            <w:pPr>
              <w:spacing w:after="0" w:line="141" w:lineRule="exact"/>
              <w:rPr>
                <w:sz w:val="20"/>
                <w:szCs w:val="20"/>
                <w:color w:val="auto"/>
              </w:rPr>
            </w:pPr>
            <w:r>
              <w:rPr>
                <w:rFonts w:ascii="Arial" w:cs="Arial" w:eastAsia="Arial" w:hAnsi="Arial"/>
                <w:sz w:val="13"/>
                <w:szCs w:val="13"/>
                <w:color w:val="auto"/>
              </w:rPr>
              <w:t>Mr. Ferraro</w:t>
            </w:r>
          </w:p>
        </w:tc>
        <w:tc>
          <w:tcPr>
            <w:tcW w:w="760" w:type="dxa"/>
            <w:vAlign w:val="bottom"/>
          </w:tcPr>
          <w:p>
            <w:pPr>
              <w:jc w:val="center"/>
              <w:ind w:left="97"/>
              <w:spacing w:after="0" w:line="141" w:lineRule="exact"/>
              <w:rPr>
                <w:sz w:val="20"/>
                <w:szCs w:val="20"/>
                <w:color w:val="auto"/>
              </w:rPr>
            </w:pPr>
            <w:r>
              <w:rPr>
                <w:rFonts w:ascii="Arial" w:cs="Arial" w:eastAsia="Arial" w:hAnsi="Arial"/>
                <w:sz w:val="13"/>
                <w:szCs w:val="13"/>
                <w:color w:val="auto"/>
                <w:w w:val="96"/>
              </w:rPr>
              <w:t>1/21/2015</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79"/>
              <w:spacing w:after="0" w:line="141" w:lineRule="exact"/>
              <w:rPr>
                <w:sz w:val="20"/>
                <w:szCs w:val="20"/>
                <w:color w:val="auto"/>
              </w:rPr>
            </w:pPr>
            <w:r>
              <w:rPr>
                <w:rFonts w:ascii="Arial" w:cs="Arial" w:eastAsia="Arial" w:hAnsi="Arial"/>
                <w:sz w:val="13"/>
                <w:szCs w:val="13"/>
                <w:color w:val="auto"/>
              </w:rPr>
              <w:t>5,450(h)</w:t>
            </w:r>
          </w:p>
        </w:tc>
        <w:tc>
          <w:tcPr>
            <w:tcW w:w="820" w:type="dxa"/>
            <w:vAlign w:val="bottom"/>
          </w:tcPr>
          <w:p>
            <w:pPr>
              <w:jc w:val="right"/>
              <w:ind w:right="59"/>
              <w:spacing w:after="0" w:line="141" w:lineRule="exact"/>
              <w:rPr>
                <w:sz w:val="20"/>
                <w:szCs w:val="20"/>
                <w:color w:val="auto"/>
              </w:rPr>
            </w:pPr>
            <w:r>
              <w:rPr>
                <w:rFonts w:ascii="Arial" w:cs="Arial" w:eastAsia="Arial" w:hAnsi="Arial"/>
                <w:sz w:val="13"/>
                <w:szCs w:val="13"/>
                <w:color w:val="auto"/>
              </w:rPr>
              <w:t>239,146</w:t>
            </w:r>
          </w:p>
        </w:tc>
        <w:tc>
          <w:tcPr>
            <w:tcW w:w="820" w:type="dxa"/>
            <w:vAlign w:val="bottom"/>
          </w:tcPr>
          <w:p>
            <w:pPr>
              <w:jc w:val="right"/>
              <w:ind w:right="59"/>
              <w:spacing w:after="0" w:line="141" w:lineRule="exact"/>
              <w:rPr>
                <w:sz w:val="20"/>
                <w:szCs w:val="20"/>
                <w:color w:val="auto"/>
              </w:rPr>
            </w:pPr>
            <w:r>
              <w:rPr>
                <w:rFonts w:ascii="Arial" w:cs="Arial" w:eastAsia="Arial" w:hAnsi="Arial"/>
                <w:sz w:val="13"/>
                <w:szCs w:val="13"/>
                <w:color w:val="auto"/>
              </w:rPr>
              <w:t>16,348(k)</w:t>
            </w: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717,350</w:t>
            </w:r>
          </w:p>
        </w:tc>
        <w:tc>
          <w:tcPr>
            <w:tcW w:w="40" w:type="dxa"/>
            <w:vAlign w:val="bottom"/>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2360" w:type="dxa"/>
            <w:vAlign w:val="bottom"/>
            <w:tcBorders>
              <w:top w:val="single" w:sz="8" w:color="C1CECC"/>
            </w:tcBorders>
            <w:shd w:val="clear" w:color="auto" w:fill="F4F9F9"/>
          </w:tcPr>
          <w:p>
            <w:pPr>
              <w:spacing w:after="0" w:line="123" w:lineRule="exact"/>
              <w:rPr>
                <w:sz w:val="20"/>
                <w:szCs w:val="20"/>
                <w:color w:val="auto"/>
              </w:rPr>
            </w:pPr>
            <w:r>
              <w:rPr>
                <w:rFonts w:ascii="Arial" w:cs="Arial" w:eastAsia="Arial" w:hAnsi="Arial"/>
                <w:sz w:val="13"/>
                <w:szCs w:val="13"/>
                <w:color w:val="auto"/>
              </w:rPr>
              <w:t>Mr. Servodidio</w:t>
            </w:r>
          </w:p>
        </w:tc>
        <w:tc>
          <w:tcPr>
            <w:tcW w:w="760" w:type="dxa"/>
            <w:vAlign w:val="bottom"/>
            <w:tcBorders>
              <w:top w:val="single" w:sz="8" w:color="C1CECC"/>
            </w:tcBorders>
            <w:shd w:val="clear" w:color="auto" w:fill="F4F9F9"/>
          </w:tcPr>
          <w:p>
            <w:pPr>
              <w:jc w:val="center"/>
              <w:ind w:left="97"/>
              <w:spacing w:after="0" w:line="123" w:lineRule="exact"/>
              <w:rPr>
                <w:sz w:val="20"/>
                <w:szCs w:val="20"/>
                <w:color w:val="auto"/>
              </w:rPr>
            </w:pPr>
            <w:r>
              <w:rPr>
                <w:rFonts w:ascii="Arial" w:cs="Arial" w:eastAsia="Arial" w:hAnsi="Arial"/>
                <w:sz w:val="13"/>
                <w:szCs w:val="13"/>
                <w:color w:val="auto"/>
                <w:w w:val="96"/>
              </w:rPr>
              <w:t>9/19/2017</w:t>
            </w:r>
          </w:p>
        </w:tc>
        <w:tc>
          <w:tcPr>
            <w:tcW w:w="160" w:type="dxa"/>
            <w:vAlign w:val="bottom"/>
            <w:tcBorders>
              <w:top w:val="single" w:sz="8" w:color="C1CECC"/>
            </w:tcBorders>
            <w:shd w:val="clear" w:color="auto" w:fill="F4F9F9"/>
          </w:tcPr>
          <w:p>
            <w:pPr>
              <w:spacing w:after="0"/>
              <w:rPr>
                <w:sz w:val="10"/>
                <w:szCs w:val="10"/>
                <w:color w:val="auto"/>
              </w:rPr>
            </w:pPr>
          </w:p>
        </w:tc>
        <w:tc>
          <w:tcPr>
            <w:tcW w:w="940" w:type="dxa"/>
            <w:vAlign w:val="bottom"/>
            <w:tcBorders>
              <w:top w:val="single" w:sz="8" w:color="C1CECC"/>
            </w:tcBorders>
            <w:shd w:val="clear" w:color="auto" w:fill="F4F9F9"/>
          </w:tcPr>
          <w:p>
            <w:pPr>
              <w:spacing w:after="0"/>
              <w:rPr>
                <w:sz w:val="10"/>
                <w:szCs w:val="10"/>
                <w:color w:val="auto"/>
              </w:rPr>
            </w:pPr>
          </w:p>
        </w:tc>
        <w:tc>
          <w:tcPr>
            <w:tcW w:w="1020" w:type="dxa"/>
            <w:vAlign w:val="bottom"/>
            <w:tcBorders>
              <w:top w:val="single" w:sz="8" w:color="C1CECC"/>
            </w:tcBorders>
            <w:shd w:val="clear" w:color="auto" w:fill="F4F9F9"/>
          </w:tcPr>
          <w:p>
            <w:pPr>
              <w:spacing w:after="0"/>
              <w:rPr>
                <w:sz w:val="10"/>
                <w:szCs w:val="10"/>
                <w:color w:val="auto"/>
              </w:rPr>
            </w:pPr>
          </w:p>
        </w:tc>
        <w:tc>
          <w:tcPr>
            <w:tcW w:w="1020" w:type="dxa"/>
            <w:vAlign w:val="bottom"/>
            <w:tcBorders>
              <w:top w:val="single" w:sz="8" w:color="C1CECC"/>
            </w:tcBorders>
            <w:shd w:val="clear" w:color="auto" w:fill="F4F9F9"/>
          </w:tcPr>
          <w:p>
            <w:pPr>
              <w:spacing w:after="0"/>
              <w:rPr>
                <w:sz w:val="10"/>
                <w:szCs w:val="10"/>
                <w:color w:val="auto"/>
              </w:rPr>
            </w:pPr>
          </w:p>
        </w:tc>
        <w:tc>
          <w:tcPr>
            <w:tcW w:w="700" w:type="dxa"/>
            <w:vAlign w:val="bottom"/>
            <w:tcBorders>
              <w:top w:val="single" w:sz="8" w:color="C1CECC"/>
            </w:tcBorders>
            <w:shd w:val="clear" w:color="auto" w:fill="F4F9F9"/>
          </w:tcPr>
          <w:p>
            <w:pPr>
              <w:spacing w:after="0"/>
              <w:rPr>
                <w:sz w:val="10"/>
                <w:szCs w:val="10"/>
                <w:color w:val="auto"/>
              </w:rPr>
            </w:pPr>
          </w:p>
        </w:tc>
        <w:tc>
          <w:tcPr>
            <w:tcW w:w="720" w:type="dxa"/>
            <w:vAlign w:val="bottom"/>
            <w:tcBorders>
              <w:top w:val="single" w:sz="8" w:color="C1CECC"/>
            </w:tcBorders>
            <w:shd w:val="clear" w:color="auto" w:fill="F4F9F9"/>
          </w:tcPr>
          <w:p>
            <w:pPr>
              <w:spacing w:after="0"/>
              <w:rPr>
                <w:sz w:val="10"/>
                <w:szCs w:val="10"/>
                <w:color w:val="auto"/>
              </w:rPr>
            </w:pPr>
          </w:p>
        </w:tc>
        <w:tc>
          <w:tcPr>
            <w:tcW w:w="220" w:type="dxa"/>
            <w:vAlign w:val="bottom"/>
            <w:tcBorders>
              <w:top w:val="single" w:sz="8" w:color="C1CECC"/>
            </w:tcBorders>
            <w:shd w:val="clear" w:color="auto" w:fill="F4F9F9"/>
          </w:tcPr>
          <w:p>
            <w:pPr>
              <w:spacing w:after="0"/>
              <w:rPr>
                <w:sz w:val="10"/>
                <w:szCs w:val="10"/>
                <w:color w:val="auto"/>
              </w:rPr>
            </w:pPr>
          </w:p>
        </w:tc>
        <w:tc>
          <w:tcPr>
            <w:tcW w:w="700" w:type="dxa"/>
            <w:vAlign w:val="bottom"/>
            <w:tcBorders>
              <w:top w:val="single" w:sz="8" w:color="C1CECC"/>
            </w:tcBorders>
            <w:shd w:val="clear" w:color="auto" w:fill="F4F9F9"/>
          </w:tcPr>
          <w:p>
            <w:pPr>
              <w:jc w:val="right"/>
              <w:ind w:right="79"/>
              <w:spacing w:after="0" w:line="123" w:lineRule="exact"/>
              <w:rPr>
                <w:sz w:val="20"/>
                <w:szCs w:val="20"/>
                <w:color w:val="auto"/>
              </w:rPr>
            </w:pPr>
            <w:r>
              <w:rPr>
                <w:rFonts w:ascii="Arial" w:cs="Arial" w:eastAsia="Arial" w:hAnsi="Arial"/>
                <w:sz w:val="13"/>
                <w:szCs w:val="13"/>
                <w:color w:val="auto"/>
                <w:w w:val="98"/>
              </w:rPr>
              <w:t>17,740(c)</w:t>
            </w:r>
          </w:p>
        </w:tc>
        <w:tc>
          <w:tcPr>
            <w:tcW w:w="820" w:type="dxa"/>
            <w:vAlign w:val="bottom"/>
            <w:tcBorders>
              <w:top w:val="single" w:sz="8" w:color="C1CECC"/>
            </w:tcBorders>
            <w:shd w:val="clear" w:color="auto" w:fill="F4F9F9"/>
          </w:tcPr>
          <w:p>
            <w:pPr>
              <w:jc w:val="right"/>
              <w:ind w:right="59"/>
              <w:spacing w:after="0" w:line="123" w:lineRule="exact"/>
              <w:rPr>
                <w:sz w:val="20"/>
                <w:szCs w:val="20"/>
                <w:color w:val="auto"/>
              </w:rPr>
            </w:pPr>
            <w:r>
              <w:rPr>
                <w:rFonts w:ascii="Arial" w:cs="Arial" w:eastAsia="Arial" w:hAnsi="Arial"/>
                <w:sz w:val="13"/>
                <w:szCs w:val="13"/>
                <w:color w:val="auto"/>
              </w:rPr>
              <w:t>778,431</w:t>
            </w:r>
          </w:p>
        </w:tc>
        <w:tc>
          <w:tcPr>
            <w:tcW w:w="820" w:type="dxa"/>
            <w:vAlign w:val="bottom"/>
            <w:tcBorders>
              <w:top w:val="single" w:sz="8" w:color="C1CECC"/>
            </w:tcBorders>
            <w:shd w:val="clear" w:color="auto" w:fill="F4F9F9"/>
          </w:tcPr>
          <w:p>
            <w:pPr>
              <w:spacing w:after="0"/>
              <w:rPr>
                <w:sz w:val="10"/>
                <w:szCs w:val="10"/>
                <w:color w:val="auto"/>
              </w:rPr>
            </w:pPr>
          </w:p>
        </w:tc>
        <w:tc>
          <w:tcPr>
            <w:tcW w:w="740" w:type="dxa"/>
            <w:vAlign w:val="bottom"/>
            <w:tcBorders>
              <w:top w:val="single" w:sz="8" w:color="C1CECC"/>
            </w:tcBorders>
            <w:shd w:val="clear" w:color="auto" w:fill="F4F9F9"/>
          </w:tcPr>
          <w:p>
            <w:pPr>
              <w:spacing w:after="0"/>
              <w:rPr>
                <w:sz w:val="10"/>
                <w:szCs w:val="10"/>
                <w:color w:val="auto"/>
              </w:rPr>
            </w:pPr>
          </w:p>
        </w:tc>
        <w:tc>
          <w:tcPr>
            <w:tcW w:w="40" w:type="dxa"/>
            <w:vAlign w:val="bottom"/>
            <w:tcBorders>
              <w:top w:val="single" w:sz="8" w:color="C1CECC"/>
            </w:tcBorders>
            <w:shd w:val="clear" w:color="auto" w:fill="F4F9F9"/>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F4F9F9"/>
          </w:tcPr>
          <w:p>
            <w:pPr>
              <w:spacing w:after="0" w:line="135" w:lineRule="exact"/>
              <w:rPr>
                <w:sz w:val="20"/>
                <w:szCs w:val="20"/>
                <w:color w:val="auto"/>
              </w:rPr>
            </w:pPr>
            <w:r>
              <w:rPr>
                <w:rFonts w:ascii="Arial" w:cs="Arial" w:eastAsia="Arial" w:hAnsi="Arial"/>
                <w:sz w:val="13"/>
                <w:szCs w:val="13"/>
                <w:color w:val="auto"/>
              </w:rPr>
              <w:t>Mr. Servodidio</w:t>
            </w:r>
          </w:p>
        </w:tc>
        <w:tc>
          <w:tcPr>
            <w:tcW w:w="760" w:type="dxa"/>
            <w:vAlign w:val="bottom"/>
            <w:shd w:val="clear" w:color="auto" w:fill="F4F9F9"/>
          </w:tcPr>
          <w:p>
            <w:pPr>
              <w:jc w:val="center"/>
              <w:ind w:left="97"/>
              <w:spacing w:after="0" w:line="135" w:lineRule="exact"/>
              <w:rPr>
                <w:sz w:val="20"/>
                <w:szCs w:val="20"/>
                <w:color w:val="auto"/>
              </w:rPr>
            </w:pPr>
            <w:r>
              <w:rPr>
                <w:rFonts w:ascii="Arial" w:cs="Arial" w:eastAsia="Arial" w:hAnsi="Arial"/>
                <w:sz w:val="13"/>
                <w:szCs w:val="13"/>
                <w:color w:val="auto"/>
                <w:w w:val="94"/>
              </w:rPr>
              <w:t>3/1/2017</w:t>
            </w:r>
          </w:p>
        </w:tc>
        <w:tc>
          <w:tcPr>
            <w:tcW w:w="160" w:type="dxa"/>
            <w:vAlign w:val="bottom"/>
            <w:shd w:val="clear" w:color="auto" w:fill="F4F9F9"/>
          </w:tcPr>
          <w:p>
            <w:pPr>
              <w:spacing w:after="0"/>
              <w:rPr>
                <w:sz w:val="11"/>
                <w:szCs w:val="11"/>
                <w:color w:val="auto"/>
              </w:rPr>
            </w:pPr>
          </w:p>
        </w:tc>
        <w:tc>
          <w:tcPr>
            <w:tcW w:w="940" w:type="dxa"/>
            <w:vAlign w:val="bottom"/>
            <w:shd w:val="clear" w:color="auto" w:fill="F4F9F9"/>
          </w:tcPr>
          <w:p>
            <w:pPr>
              <w:spacing w:after="0"/>
              <w:rPr>
                <w:sz w:val="11"/>
                <w:szCs w:val="11"/>
                <w:color w:val="auto"/>
              </w:rPr>
            </w:pPr>
          </w:p>
        </w:tc>
        <w:tc>
          <w:tcPr>
            <w:tcW w:w="1020" w:type="dxa"/>
            <w:vAlign w:val="bottom"/>
            <w:shd w:val="clear" w:color="auto" w:fill="F4F9F9"/>
          </w:tcPr>
          <w:p>
            <w:pPr>
              <w:spacing w:after="0"/>
              <w:rPr>
                <w:sz w:val="11"/>
                <w:szCs w:val="11"/>
                <w:color w:val="auto"/>
              </w:rPr>
            </w:pPr>
          </w:p>
        </w:tc>
        <w:tc>
          <w:tcPr>
            <w:tcW w:w="1020" w:type="dxa"/>
            <w:vAlign w:val="bottom"/>
            <w:shd w:val="clear" w:color="auto" w:fill="F4F9F9"/>
          </w:tcPr>
          <w:p>
            <w:pPr>
              <w:spacing w:after="0"/>
              <w:rPr>
                <w:sz w:val="11"/>
                <w:szCs w:val="11"/>
                <w:color w:val="auto"/>
              </w:rPr>
            </w:pPr>
          </w:p>
        </w:tc>
        <w:tc>
          <w:tcPr>
            <w:tcW w:w="700" w:type="dxa"/>
            <w:vAlign w:val="bottom"/>
            <w:shd w:val="clear" w:color="auto" w:fill="F4F9F9"/>
          </w:tcPr>
          <w:p>
            <w:pPr>
              <w:spacing w:after="0"/>
              <w:rPr>
                <w:sz w:val="11"/>
                <w:szCs w:val="11"/>
                <w:color w:val="auto"/>
              </w:rPr>
            </w:pPr>
          </w:p>
        </w:tc>
        <w:tc>
          <w:tcPr>
            <w:tcW w:w="720" w:type="dxa"/>
            <w:vAlign w:val="bottom"/>
            <w:shd w:val="clear" w:color="auto" w:fill="F4F9F9"/>
          </w:tcPr>
          <w:p>
            <w:pPr>
              <w:spacing w:after="0"/>
              <w:rPr>
                <w:sz w:val="11"/>
                <w:szCs w:val="11"/>
                <w:color w:val="auto"/>
              </w:rPr>
            </w:pPr>
          </w:p>
        </w:tc>
        <w:tc>
          <w:tcPr>
            <w:tcW w:w="220" w:type="dxa"/>
            <w:vAlign w:val="bottom"/>
            <w:shd w:val="clear" w:color="auto" w:fill="F4F9F9"/>
          </w:tcPr>
          <w:p>
            <w:pPr>
              <w:spacing w:after="0"/>
              <w:rPr>
                <w:sz w:val="11"/>
                <w:szCs w:val="11"/>
                <w:color w:val="auto"/>
              </w:rPr>
            </w:pPr>
          </w:p>
        </w:tc>
        <w:tc>
          <w:tcPr>
            <w:tcW w:w="700" w:type="dxa"/>
            <w:vAlign w:val="bottom"/>
            <w:shd w:val="clear" w:color="auto" w:fill="F4F9F9"/>
          </w:tcPr>
          <w:p>
            <w:pPr>
              <w:jc w:val="right"/>
              <w:ind w:right="79"/>
              <w:spacing w:after="0" w:line="135" w:lineRule="exact"/>
              <w:rPr>
                <w:sz w:val="20"/>
                <w:szCs w:val="20"/>
                <w:color w:val="auto"/>
              </w:rPr>
            </w:pPr>
            <w:r>
              <w:rPr>
                <w:rFonts w:ascii="Arial" w:cs="Arial" w:eastAsia="Arial" w:hAnsi="Arial"/>
                <w:sz w:val="13"/>
                <w:szCs w:val="13"/>
                <w:color w:val="auto"/>
                <w:w w:val="96"/>
              </w:rPr>
              <w:t>17,437(d)</w:t>
            </w:r>
          </w:p>
        </w:tc>
        <w:tc>
          <w:tcPr>
            <w:tcW w:w="820" w:type="dxa"/>
            <w:vAlign w:val="bottom"/>
            <w:shd w:val="clear" w:color="auto" w:fill="F4F9F9"/>
          </w:tcPr>
          <w:p>
            <w:pPr>
              <w:jc w:val="right"/>
              <w:ind w:right="59"/>
              <w:spacing w:after="0" w:line="135" w:lineRule="exact"/>
              <w:rPr>
                <w:sz w:val="20"/>
                <w:szCs w:val="20"/>
                <w:color w:val="auto"/>
              </w:rPr>
            </w:pPr>
            <w:r>
              <w:rPr>
                <w:rFonts w:ascii="Arial" w:cs="Arial" w:eastAsia="Arial" w:hAnsi="Arial"/>
                <w:sz w:val="13"/>
                <w:szCs w:val="13"/>
                <w:color w:val="auto"/>
              </w:rPr>
              <w:t>765,136</w:t>
            </w:r>
          </w:p>
        </w:tc>
        <w:tc>
          <w:tcPr>
            <w:tcW w:w="820" w:type="dxa"/>
            <w:vAlign w:val="bottom"/>
            <w:shd w:val="clear" w:color="auto" w:fill="F4F9F9"/>
          </w:tcPr>
          <w:p>
            <w:pPr>
              <w:jc w:val="right"/>
              <w:ind w:right="59"/>
              <w:spacing w:after="0" w:line="135" w:lineRule="exact"/>
              <w:rPr>
                <w:sz w:val="20"/>
                <w:szCs w:val="20"/>
                <w:color w:val="auto"/>
              </w:rPr>
            </w:pPr>
            <w:r>
              <w:rPr>
                <w:rFonts w:ascii="Arial" w:cs="Arial" w:eastAsia="Arial" w:hAnsi="Arial"/>
                <w:sz w:val="13"/>
                <w:szCs w:val="13"/>
                <w:color w:val="auto"/>
              </w:rPr>
              <w:t>17,437(i)</w:t>
            </w:r>
          </w:p>
        </w:tc>
        <w:tc>
          <w:tcPr>
            <w:tcW w:w="740" w:type="dxa"/>
            <w:vAlign w:val="bottom"/>
            <w:shd w:val="clear" w:color="auto" w:fill="F4F9F9"/>
          </w:tcPr>
          <w:p>
            <w:pPr>
              <w:jc w:val="right"/>
              <w:spacing w:after="0" w:line="135" w:lineRule="exact"/>
              <w:rPr>
                <w:sz w:val="20"/>
                <w:szCs w:val="20"/>
                <w:color w:val="auto"/>
              </w:rPr>
            </w:pPr>
            <w:r>
              <w:rPr>
                <w:rFonts w:ascii="Arial" w:cs="Arial" w:eastAsia="Arial" w:hAnsi="Arial"/>
                <w:sz w:val="13"/>
                <w:szCs w:val="13"/>
                <w:color w:val="auto"/>
              </w:rPr>
              <w:t>765,136</w:t>
            </w:r>
          </w:p>
        </w:tc>
        <w:tc>
          <w:tcPr>
            <w:tcW w:w="40" w:type="dxa"/>
            <w:vAlign w:val="bottom"/>
            <w:shd w:val="clear" w:color="auto" w:fill="F4F9F9"/>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F4F9F9"/>
          </w:tcPr>
          <w:p>
            <w:pPr>
              <w:spacing w:after="0" w:line="135" w:lineRule="exact"/>
              <w:rPr>
                <w:sz w:val="20"/>
                <w:szCs w:val="20"/>
                <w:color w:val="auto"/>
              </w:rPr>
            </w:pPr>
            <w:r>
              <w:rPr>
                <w:rFonts w:ascii="Arial" w:cs="Arial" w:eastAsia="Arial" w:hAnsi="Arial"/>
                <w:sz w:val="13"/>
                <w:szCs w:val="13"/>
                <w:color w:val="auto"/>
              </w:rPr>
              <w:t>Mr. Servodidio</w:t>
            </w:r>
          </w:p>
        </w:tc>
        <w:tc>
          <w:tcPr>
            <w:tcW w:w="760" w:type="dxa"/>
            <w:vAlign w:val="bottom"/>
            <w:shd w:val="clear" w:color="auto" w:fill="F4F9F9"/>
          </w:tcPr>
          <w:p>
            <w:pPr>
              <w:jc w:val="center"/>
              <w:ind w:left="97"/>
              <w:spacing w:after="0" w:line="135" w:lineRule="exact"/>
              <w:rPr>
                <w:sz w:val="20"/>
                <w:szCs w:val="20"/>
                <w:color w:val="auto"/>
              </w:rPr>
            </w:pPr>
            <w:r>
              <w:rPr>
                <w:rFonts w:ascii="Arial" w:cs="Arial" w:eastAsia="Arial" w:hAnsi="Arial"/>
                <w:sz w:val="13"/>
                <w:szCs w:val="13"/>
                <w:color w:val="auto"/>
                <w:w w:val="96"/>
              </w:rPr>
              <w:t>1/28/2016</w:t>
            </w:r>
          </w:p>
        </w:tc>
        <w:tc>
          <w:tcPr>
            <w:tcW w:w="160" w:type="dxa"/>
            <w:vAlign w:val="bottom"/>
            <w:shd w:val="clear" w:color="auto" w:fill="F4F9F9"/>
          </w:tcPr>
          <w:p>
            <w:pPr>
              <w:spacing w:after="0"/>
              <w:rPr>
                <w:sz w:val="11"/>
                <w:szCs w:val="11"/>
                <w:color w:val="auto"/>
              </w:rPr>
            </w:pPr>
          </w:p>
        </w:tc>
        <w:tc>
          <w:tcPr>
            <w:tcW w:w="940" w:type="dxa"/>
            <w:vAlign w:val="bottom"/>
            <w:shd w:val="clear" w:color="auto" w:fill="F4F9F9"/>
          </w:tcPr>
          <w:p>
            <w:pPr>
              <w:spacing w:after="0"/>
              <w:rPr>
                <w:sz w:val="11"/>
                <w:szCs w:val="11"/>
                <w:color w:val="auto"/>
              </w:rPr>
            </w:pPr>
          </w:p>
        </w:tc>
        <w:tc>
          <w:tcPr>
            <w:tcW w:w="1020" w:type="dxa"/>
            <w:vAlign w:val="bottom"/>
            <w:shd w:val="clear" w:color="auto" w:fill="F4F9F9"/>
          </w:tcPr>
          <w:p>
            <w:pPr>
              <w:spacing w:after="0"/>
              <w:rPr>
                <w:sz w:val="11"/>
                <w:szCs w:val="11"/>
                <w:color w:val="auto"/>
              </w:rPr>
            </w:pPr>
          </w:p>
        </w:tc>
        <w:tc>
          <w:tcPr>
            <w:tcW w:w="1020" w:type="dxa"/>
            <w:vAlign w:val="bottom"/>
            <w:shd w:val="clear" w:color="auto" w:fill="F4F9F9"/>
          </w:tcPr>
          <w:p>
            <w:pPr>
              <w:spacing w:after="0"/>
              <w:rPr>
                <w:sz w:val="11"/>
                <w:szCs w:val="11"/>
                <w:color w:val="auto"/>
              </w:rPr>
            </w:pPr>
          </w:p>
        </w:tc>
        <w:tc>
          <w:tcPr>
            <w:tcW w:w="700" w:type="dxa"/>
            <w:vAlign w:val="bottom"/>
            <w:shd w:val="clear" w:color="auto" w:fill="F4F9F9"/>
          </w:tcPr>
          <w:p>
            <w:pPr>
              <w:spacing w:after="0"/>
              <w:rPr>
                <w:sz w:val="11"/>
                <w:szCs w:val="11"/>
                <w:color w:val="auto"/>
              </w:rPr>
            </w:pPr>
          </w:p>
        </w:tc>
        <w:tc>
          <w:tcPr>
            <w:tcW w:w="720" w:type="dxa"/>
            <w:vAlign w:val="bottom"/>
            <w:shd w:val="clear" w:color="auto" w:fill="F4F9F9"/>
          </w:tcPr>
          <w:p>
            <w:pPr>
              <w:spacing w:after="0"/>
              <w:rPr>
                <w:sz w:val="11"/>
                <w:szCs w:val="11"/>
                <w:color w:val="auto"/>
              </w:rPr>
            </w:pPr>
          </w:p>
        </w:tc>
        <w:tc>
          <w:tcPr>
            <w:tcW w:w="220" w:type="dxa"/>
            <w:vAlign w:val="bottom"/>
            <w:shd w:val="clear" w:color="auto" w:fill="F4F9F9"/>
          </w:tcPr>
          <w:p>
            <w:pPr>
              <w:spacing w:after="0"/>
              <w:rPr>
                <w:sz w:val="11"/>
                <w:szCs w:val="11"/>
                <w:color w:val="auto"/>
              </w:rPr>
            </w:pPr>
          </w:p>
        </w:tc>
        <w:tc>
          <w:tcPr>
            <w:tcW w:w="700" w:type="dxa"/>
            <w:vAlign w:val="bottom"/>
            <w:shd w:val="clear" w:color="auto" w:fill="F4F9F9"/>
          </w:tcPr>
          <w:p>
            <w:pPr>
              <w:jc w:val="right"/>
              <w:ind w:right="79"/>
              <w:spacing w:after="0" w:line="135" w:lineRule="exact"/>
              <w:rPr>
                <w:sz w:val="20"/>
                <w:szCs w:val="20"/>
                <w:color w:val="auto"/>
              </w:rPr>
            </w:pPr>
            <w:r>
              <w:rPr>
                <w:rFonts w:ascii="Arial" w:cs="Arial" w:eastAsia="Arial" w:hAnsi="Arial"/>
                <w:sz w:val="13"/>
                <w:szCs w:val="13"/>
                <w:color w:val="auto"/>
              </w:rPr>
              <w:t>12,880(f)</w:t>
            </w:r>
          </w:p>
        </w:tc>
        <w:tc>
          <w:tcPr>
            <w:tcW w:w="820" w:type="dxa"/>
            <w:vAlign w:val="bottom"/>
            <w:shd w:val="clear" w:color="auto" w:fill="F4F9F9"/>
          </w:tcPr>
          <w:p>
            <w:pPr>
              <w:jc w:val="right"/>
              <w:ind w:right="59"/>
              <w:spacing w:after="0" w:line="135" w:lineRule="exact"/>
              <w:rPr>
                <w:sz w:val="20"/>
                <w:szCs w:val="20"/>
                <w:color w:val="auto"/>
              </w:rPr>
            </w:pPr>
            <w:r>
              <w:rPr>
                <w:rFonts w:ascii="Arial" w:cs="Arial" w:eastAsia="Arial" w:hAnsi="Arial"/>
                <w:sz w:val="13"/>
                <w:szCs w:val="13"/>
                <w:color w:val="auto"/>
              </w:rPr>
              <w:t>565,174</w:t>
            </w:r>
          </w:p>
        </w:tc>
        <w:tc>
          <w:tcPr>
            <w:tcW w:w="820" w:type="dxa"/>
            <w:vAlign w:val="bottom"/>
            <w:shd w:val="clear" w:color="auto" w:fill="F4F9F9"/>
          </w:tcPr>
          <w:p>
            <w:pPr>
              <w:jc w:val="right"/>
              <w:ind w:right="59"/>
              <w:spacing w:after="0" w:line="135" w:lineRule="exact"/>
              <w:rPr>
                <w:sz w:val="20"/>
                <w:szCs w:val="20"/>
                <w:color w:val="auto"/>
              </w:rPr>
            </w:pPr>
            <w:r>
              <w:rPr>
                <w:rFonts w:ascii="Arial" w:cs="Arial" w:eastAsia="Arial" w:hAnsi="Arial"/>
                <w:sz w:val="13"/>
                <w:szCs w:val="13"/>
                <w:color w:val="auto"/>
              </w:rPr>
              <w:t>19,320(j)</w:t>
            </w:r>
          </w:p>
        </w:tc>
        <w:tc>
          <w:tcPr>
            <w:tcW w:w="740" w:type="dxa"/>
            <w:vAlign w:val="bottom"/>
            <w:shd w:val="clear" w:color="auto" w:fill="F4F9F9"/>
          </w:tcPr>
          <w:p>
            <w:pPr>
              <w:jc w:val="right"/>
              <w:spacing w:after="0" w:line="135" w:lineRule="exact"/>
              <w:rPr>
                <w:sz w:val="20"/>
                <w:szCs w:val="20"/>
                <w:color w:val="auto"/>
              </w:rPr>
            </w:pPr>
            <w:r>
              <w:rPr>
                <w:rFonts w:ascii="Arial" w:cs="Arial" w:eastAsia="Arial" w:hAnsi="Arial"/>
                <w:sz w:val="13"/>
                <w:szCs w:val="13"/>
                <w:color w:val="auto"/>
              </w:rPr>
              <w:t>847,762</w:t>
            </w:r>
          </w:p>
        </w:tc>
        <w:tc>
          <w:tcPr>
            <w:tcW w:w="40" w:type="dxa"/>
            <w:vAlign w:val="bottom"/>
            <w:shd w:val="clear" w:color="auto" w:fill="F4F9F9"/>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2360" w:type="dxa"/>
            <w:vAlign w:val="bottom"/>
            <w:tcBorders>
              <w:bottom w:val="single" w:sz="8" w:color="auto"/>
            </w:tcBorders>
            <w:shd w:val="clear" w:color="auto" w:fill="F4F9F9"/>
          </w:tcPr>
          <w:p>
            <w:pPr>
              <w:spacing w:after="0" w:line="141" w:lineRule="exact"/>
              <w:rPr>
                <w:sz w:val="20"/>
                <w:szCs w:val="20"/>
                <w:color w:val="auto"/>
              </w:rPr>
            </w:pPr>
            <w:r>
              <w:rPr>
                <w:rFonts w:ascii="Arial" w:cs="Arial" w:eastAsia="Arial" w:hAnsi="Arial"/>
                <w:sz w:val="13"/>
                <w:szCs w:val="13"/>
                <w:color w:val="auto"/>
              </w:rPr>
              <w:t>Mr. Servodidio</w:t>
            </w:r>
          </w:p>
        </w:tc>
        <w:tc>
          <w:tcPr>
            <w:tcW w:w="760" w:type="dxa"/>
            <w:vAlign w:val="bottom"/>
            <w:tcBorders>
              <w:bottom w:val="single" w:sz="8" w:color="auto"/>
            </w:tcBorders>
            <w:shd w:val="clear" w:color="auto" w:fill="F4F9F9"/>
          </w:tcPr>
          <w:p>
            <w:pPr>
              <w:jc w:val="center"/>
              <w:ind w:left="97"/>
              <w:spacing w:after="0" w:line="141" w:lineRule="exact"/>
              <w:rPr>
                <w:sz w:val="20"/>
                <w:szCs w:val="20"/>
                <w:color w:val="auto"/>
              </w:rPr>
            </w:pPr>
            <w:r>
              <w:rPr>
                <w:rFonts w:ascii="Arial" w:cs="Arial" w:eastAsia="Arial" w:hAnsi="Arial"/>
                <w:sz w:val="13"/>
                <w:szCs w:val="13"/>
                <w:color w:val="auto"/>
                <w:w w:val="96"/>
              </w:rPr>
              <w:t>1/21/2015</w:t>
            </w:r>
          </w:p>
        </w:tc>
        <w:tc>
          <w:tcPr>
            <w:tcW w:w="160" w:type="dxa"/>
            <w:vAlign w:val="bottom"/>
            <w:tcBorders>
              <w:bottom w:val="single" w:sz="8" w:color="auto"/>
            </w:tcBorders>
            <w:shd w:val="clear" w:color="auto" w:fill="F4F9F9"/>
          </w:tcPr>
          <w:p>
            <w:pPr>
              <w:spacing w:after="0"/>
              <w:rPr>
                <w:sz w:val="12"/>
                <w:szCs w:val="12"/>
                <w:color w:val="auto"/>
              </w:rPr>
            </w:pPr>
          </w:p>
        </w:tc>
        <w:tc>
          <w:tcPr>
            <w:tcW w:w="940" w:type="dxa"/>
            <w:vAlign w:val="bottom"/>
            <w:tcBorders>
              <w:bottom w:val="single" w:sz="8" w:color="auto"/>
            </w:tcBorders>
            <w:shd w:val="clear" w:color="auto" w:fill="F4F9F9"/>
          </w:tcPr>
          <w:p>
            <w:pPr>
              <w:spacing w:after="0"/>
              <w:rPr>
                <w:sz w:val="12"/>
                <w:szCs w:val="12"/>
                <w:color w:val="auto"/>
              </w:rPr>
            </w:pPr>
          </w:p>
        </w:tc>
        <w:tc>
          <w:tcPr>
            <w:tcW w:w="1020" w:type="dxa"/>
            <w:vAlign w:val="bottom"/>
            <w:tcBorders>
              <w:bottom w:val="single" w:sz="8" w:color="auto"/>
            </w:tcBorders>
            <w:shd w:val="clear" w:color="auto" w:fill="F4F9F9"/>
          </w:tcPr>
          <w:p>
            <w:pPr>
              <w:spacing w:after="0"/>
              <w:rPr>
                <w:sz w:val="12"/>
                <w:szCs w:val="12"/>
                <w:color w:val="auto"/>
              </w:rPr>
            </w:pPr>
          </w:p>
        </w:tc>
        <w:tc>
          <w:tcPr>
            <w:tcW w:w="1020" w:type="dxa"/>
            <w:vAlign w:val="bottom"/>
            <w:tcBorders>
              <w:bottom w:val="single" w:sz="8" w:color="auto"/>
            </w:tcBorders>
            <w:shd w:val="clear" w:color="auto" w:fill="F4F9F9"/>
          </w:tcPr>
          <w:p>
            <w:pPr>
              <w:spacing w:after="0"/>
              <w:rPr>
                <w:sz w:val="12"/>
                <w:szCs w:val="12"/>
                <w:color w:val="auto"/>
              </w:rPr>
            </w:pPr>
          </w:p>
        </w:tc>
        <w:tc>
          <w:tcPr>
            <w:tcW w:w="700" w:type="dxa"/>
            <w:vAlign w:val="bottom"/>
            <w:tcBorders>
              <w:bottom w:val="single" w:sz="8" w:color="auto"/>
            </w:tcBorders>
            <w:shd w:val="clear" w:color="auto" w:fill="F4F9F9"/>
          </w:tcPr>
          <w:p>
            <w:pPr>
              <w:spacing w:after="0"/>
              <w:rPr>
                <w:sz w:val="12"/>
                <w:szCs w:val="12"/>
                <w:color w:val="auto"/>
              </w:rPr>
            </w:pPr>
          </w:p>
        </w:tc>
        <w:tc>
          <w:tcPr>
            <w:tcW w:w="720" w:type="dxa"/>
            <w:vAlign w:val="bottom"/>
            <w:tcBorders>
              <w:bottom w:val="single" w:sz="8" w:color="auto"/>
            </w:tcBorders>
            <w:shd w:val="clear" w:color="auto" w:fill="F4F9F9"/>
          </w:tcPr>
          <w:p>
            <w:pPr>
              <w:spacing w:after="0"/>
              <w:rPr>
                <w:sz w:val="12"/>
                <w:szCs w:val="12"/>
                <w:color w:val="auto"/>
              </w:rPr>
            </w:pPr>
          </w:p>
        </w:tc>
        <w:tc>
          <w:tcPr>
            <w:tcW w:w="220" w:type="dxa"/>
            <w:vAlign w:val="bottom"/>
            <w:tcBorders>
              <w:bottom w:val="single" w:sz="8" w:color="auto"/>
            </w:tcBorders>
            <w:shd w:val="clear" w:color="auto" w:fill="F4F9F9"/>
          </w:tcPr>
          <w:p>
            <w:pPr>
              <w:spacing w:after="0"/>
              <w:rPr>
                <w:sz w:val="12"/>
                <w:szCs w:val="12"/>
                <w:color w:val="auto"/>
              </w:rPr>
            </w:pPr>
          </w:p>
        </w:tc>
        <w:tc>
          <w:tcPr>
            <w:tcW w:w="700" w:type="dxa"/>
            <w:vAlign w:val="bottom"/>
            <w:tcBorders>
              <w:bottom w:val="single" w:sz="8" w:color="auto"/>
            </w:tcBorders>
            <w:shd w:val="clear" w:color="auto" w:fill="F4F9F9"/>
          </w:tcPr>
          <w:p>
            <w:pPr>
              <w:jc w:val="right"/>
              <w:ind w:right="79"/>
              <w:spacing w:after="0" w:line="141" w:lineRule="exact"/>
              <w:rPr>
                <w:sz w:val="20"/>
                <w:szCs w:val="20"/>
                <w:color w:val="auto"/>
              </w:rPr>
            </w:pPr>
            <w:r>
              <w:rPr>
                <w:rFonts w:ascii="Arial" w:cs="Arial" w:eastAsia="Arial" w:hAnsi="Arial"/>
                <w:sz w:val="13"/>
                <w:szCs w:val="13"/>
                <w:color w:val="auto"/>
              </w:rPr>
              <w:t>2,861(h)</w:t>
            </w:r>
          </w:p>
        </w:tc>
        <w:tc>
          <w:tcPr>
            <w:tcW w:w="820" w:type="dxa"/>
            <w:vAlign w:val="bottom"/>
            <w:tcBorders>
              <w:bottom w:val="single" w:sz="8" w:color="auto"/>
            </w:tcBorders>
            <w:shd w:val="clear" w:color="auto" w:fill="F4F9F9"/>
          </w:tcPr>
          <w:p>
            <w:pPr>
              <w:jc w:val="right"/>
              <w:ind w:right="59"/>
              <w:spacing w:after="0" w:line="141" w:lineRule="exact"/>
              <w:rPr>
                <w:sz w:val="20"/>
                <w:szCs w:val="20"/>
                <w:color w:val="auto"/>
              </w:rPr>
            </w:pPr>
            <w:r>
              <w:rPr>
                <w:rFonts w:ascii="Arial" w:cs="Arial" w:eastAsia="Arial" w:hAnsi="Arial"/>
                <w:sz w:val="13"/>
                <w:szCs w:val="13"/>
                <w:color w:val="auto"/>
              </w:rPr>
              <w:t>125,541</w:t>
            </w:r>
          </w:p>
        </w:tc>
        <w:tc>
          <w:tcPr>
            <w:tcW w:w="820" w:type="dxa"/>
            <w:vAlign w:val="bottom"/>
            <w:tcBorders>
              <w:bottom w:val="single" w:sz="8" w:color="auto"/>
            </w:tcBorders>
            <w:shd w:val="clear" w:color="auto" w:fill="F4F9F9"/>
          </w:tcPr>
          <w:p>
            <w:pPr>
              <w:jc w:val="right"/>
              <w:ind w:right="59"/>
              <w:spacing w:after="0" w:line="141" w:lineRule="exact"/>
              <w:rPr>
                <w:sz w:val="20"/>
                <w:szCs w:val="20"/>
                <w:color w:val="auto"/>
              </w:rPr>
            </w:pPr>
            <w:r>
              <w:rPr>
                <w:rFonts w:ascii="Arial" w:cs="Arial" w:eastAsia="Arial" w:hAnsi="Arial"/>
                <w:sz w:val="13"/>
                <w:szCs w:val="13"/>
                <w:color w:val="auto"/>
              </w:rPr>
              <w:t>3,678(k)</w:t>
            </w:r>
          </w:p>
        </w:tc>
        <w:tc>
          <w:tcPr>
            <w:tcW w:w="740" w:type="dxa"/>
            <w:vAlign w:val="bottom"/>
            <w:tcBorders>
              <w:bottom w:val="single" w:sz="8" w:color="auto"/>
            </w:tcBorders>
            <w:shd w:val="clear" w:color="auto" w:fill="F4F9F9"/>
          </w:tcPr>
          <w:p>
            <w:pPr>
              <w:jc w:val="right"/>
              <w:spacing w:after="0" w:line="141" w:lineRule="exact"/>
              <w:rPr>
                <w:sz w:val="20"/>
                <w:szCs w:val="20"/>
                <w:color w:val="auto"/>
              </w:rPr>
            </w:pPr>
            <w:r>
              <w:rPr>
                <w:rFonts w:ascii="Arial" w:cs="Arial" w:eastAsia="Arial" w:hAnsi="Arial"/>
                <w:sz w:val="13"/>
                <w:szCs w:val="13"/>
                <w:color w:val="auto"/>
              </w:rPr>
              <w:t>161,391</w:t>
            </w:r>
          </w:p>
        </w:tc>
        <w:tc>
          <w:tcPr>
            <w:tcW w:w="40" w:type="dxa"/>
            <w:vAlign w:val="bottom"/>
            <w:tcBorders>
              <w:bottom w:val="single" w:sz="8" w:color="auto"/>
            </w:tcBorders>
            <w:shd w:val="clear" w:color="auto" w:fill="F4F9F9"/>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line="129" w:lineRule="exact"/>
              <w:rPr>
                <w:sz w:val="20"/>
                <w:szCs w:val="20"/>
                <w:color w:val="auto"/>
              </w:rPr>
            </w:pPr>
            <w:r>
              <w:rPr>
                <w:rFonts w:ascii="Arial" w:cs="Arial" w:eastAsia="Arial" w:hAnsi="Arial"/>
                <w:sz w:val="13"/>
                <w:szCs w:val="13"/>
                <w:color w:val="auto"/>
              </w:rPr>
              <w:t>Mr. Wyshner</w:t>
            </w:r>
          </w:p>
        </w:tc>
        <w:tc>
          <w:tcPr>
            <w:tcW w:w="760" w:type="dxa"/>
            <w:vAlign w:val="bottom"/>
          </w:tcPr>
          <w:p>
            <w:pPr>
              <w:jc w:val="center"/>
              <w:ind w:left="97"/>
              <w:spacing w:after="0" w:line="129" w:lineRule="exact"/>
              <w:rPr>
                <w:sz w:val="20"/>
                <w:szCs w:val="20"/>
                <w:color w:val="auto"/>
              </w:rPr>
            </w:pPr>
            <w:r>
              <w:rPr>
                <w:rFonts w:ascii="Arial" w:cs="Arial" w:eastAsia="Arial" w:hAnsi="Arial"/>
                <w:sz w:val="13"/>
                <w:szCs w:val="13"/>
                <w:color w:val="auto"/>
                <w:w w:val="96"/>
              </w:rPr>
              <w:t>1/28/2016</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jc w:val="right"/>
              <w:ind w:right="59"/>
              <w:spacing w:after="0" w:line="129" w:lineRule="exact"/>
              <w:rPr>
                <w:sz w:val="20"/>
                <w:szCs w:val="20"/>
                <w:color w:val="auto"/>
              </w:rPr>
            </w:pPr>
            <w:r>
              <w:rPr>
                <w:rFonts w:ascii="Arial" w:cs="Arial" w:eastAsia="Arial" w:hAnsi="Arial"/>
                <w:sz w:val="13"/>
                <w:szCs w:val="13"/>
                <w:color w:val="auto"/>
              </w:rPr>
              <w:t>54,096(j)</w:t>
            </w: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2,373,732</w:t>
            </w:r>
          </w:p>
        </w:tc>
        <w:tc>
          <w:tcPr>
            <w:tcW w:w="40" w:type="dxa"/>
            <w:vAlign w:val="bottom"/>
          </w:tcPr>
          <w:p>
            <w:pPr>
              <w:spacing w:after="0"/>
              <w:rPr>
                <w:sz w:val="11"/>
                <w:szCs w:val="11"/>
                <w:color w:val="auto"/>
              </w:rPr>
            </w:pPr>
          </w:p>
        </w:tc>
      </w:tr>
      <w:tr>
        <w:trPr>
          <w:trHeight w:val="135"/>
        </w:trPr>
        <w:tc>
          <w:tcPr>
            <w:tcW w:w="2380" w:type="dxa"/>
            <w:vAlign w:val="bottom"/>
            <w:gridSpan w:val="2"/>
          </w:tcPr>
          <w:p>
            <w:pPr>
              <w:spacing w:after="0" w:line="135" w:lineRule="exact"/>
              <w:rPr>
                <w:sz w:val="20"/>
                <w:szCs w:val="20"/>
                <w:color w:val="auto"/>
              </w:rPr>
            </w:pPr>
            <w:r>
              <w:rPr>
                <w:rFonts w:ascii="Arial" w:cs="Arial" w:eastAsia="Arial" w:hAnsi="Arial"/>
                <w:sz w:val="13"/>
                <w:szCs w:val="13"/>
                <w:color w:val="auto"/>
              </w:rPr>
              <w:t>Mr. Wyshner</w:t>
            </w:r>
          </w:p>
        </w:tc>
        <w:tc>
          <w:tcPr>
            <w:tcW w:w="7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6"/>
              </w:rPr>
              <w:t>1/21/2015</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jc w:val="right"/>
              <w:ind w:right="59"/>
              <w:spacing w:after="0" w:line="135" w:lineRule="exact"/>
              <w:rPr>
                <w:sz w:val="20"/>
                <w:szCs w:val="20"/>
                <w:color w:val="auto"/>
              </w:rPr>
            </w:pPr>
            <w:r>
              <w:rPr>
                <w:rFonts w:ascii="Arial" w:cs="Arial" w:eastAsia="Arial" w:hAnsi="Arial"/>
                <w:sz w:val="13"/>
                <w:szCs w:val="13"/>
                <w:color w:val="auto"/>
              </w:rPr>
              <w:t>10,626(k)</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466,269</w:t>
            </w:r>
          </w:p>
        </w:tc>
        <w:tc>
          <w:tcPr>
            <w:tcW w:w="40" w:type="dxa"/>
            <w:vAlign w:val="bottom"/>
          </w:tcPr>
          <w:p>
            <w:pPr>
              <w:spacing w:after="0"/>
              <w:rPr>
                <w:sz w:val="11"/>
                <w:szCs w:val="11"/>
                <w:color w:val="auto"/>
              </w:rPr>
            </w:pPr>
          </w:p>
        </w:tc>
      </w:tr>
      <w:tr>
        <w:trPr>
          <w:trHeight w:val="135"/>
        </w:trPr>
        <w:tc>
          <w:tcPr>
            <w:tcW w:w="2380" w:type="dxa"/>
            <w:vAlign w:val="bottom"/>
            <w:gridSpan w:val="2"/>
          </w:tcPr>
          <w:p>
            <w:pPr>
              <w:spacing w:after="0" w:line="135" w:lineRule="exact"/>
              <w:rPr>
                <w:sz w:val="20"/>
                <w:szCs w:val="20"/>
                <w:color w:val="auto"/>
              </w:rPr>
            </w:pPr>
            <w:r>
              <w:rPr>
                <w:rFonts w:ascii="Arial" w:cs="Arial" w:eastAsia="Arial" w:hAnsi="Arial"/>
                <w:sz w:val="13"/>
                <w:szCs w:val="13"/>
                <w:color w:val="auto"/>
              </w:rPr>
              <w:t>Mr. Wyshner</w:t>
            </w:r>
          </w:p>
        </w:tc>
        <w:tc>
          <w:tcPr>
            <w:tcW w:w="7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6"/>
              </w:rPr>
              <w:t>1/28/2009</w:t>
            </w:r>
          </w:p>
        </w:tc>
        <w:tc>
          <w:tcPr>
            <w:tcW w:w="110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12,500</w:t>
            </w: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jc w:val="right"/>
              <w:ind w:right="60"/>
              <w:spacing w:after="0" w:line="135" w:lineRule="exact"/>
              <w:rPr>
                <w:sz w:val="20"/>
                <w:szCs w:val="20"/>
                <w:color w:val="auto"/>
              </w:rPr>
            </w:pPr>
            <w:r>
              <w:rPr>
                <w:rFonts w:ascii="Arial" w:cs="Arial" w:eastAsia="Arial" w:hAnsi="Arial"/>
                <w:sz w:val="13"/>
                <w:szCs w:val="13"/>
                <w:color w:val="auto"/>
              </w:rPr>
              <w:t>0.79</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1/28/2019</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2380" w:type="dxa"/>
            <w:vAlign w:val="bottom"/>
            <w:tcBorders>
              <w:bottom w:val="single" w:sz="8" w:color="auto"/>
            </w:tcBorders>
            <w:gridSpan w:val="2"/>
          </w:tcPr>
          <w:p>
            <w:pPr>
              <w:spacing w:after="0" w:line="141" w:lineRule="exact"/>
              <w:rPr>
                <w:sz w:val="20"/>
                <w:szCs w:val="20"/>
                <w:color w:val="auto"/>
              </w:rPr>
            </w:pPr>
            <w:r>
              <w:rPr>
                <w:rFonts w:ascii="Arial" w:cs="Arial" w:eastAsia="Arial" w:hAnsi="Arial"/>
                <w:sz w:val="13"/>
                <w:szCs w:val="13"/>
                <w:color w:val="auto"/>
              </w:rPr>
              <w:t>Mr. Wyshner</w:t>
            </w:r>
          </w:p>
        </w:tc>
        <w:tc>
          <w:tcPr>
            <w:tcW w:w="760" w:type="dxa"/>
            <w:vAlign w:val="bottom"/>
            <w:tcBorders>
              <w:bottom w:val="single" w:sz="8" w:color="auto"/>
            </w:tcBorders>
          </w:tcPr>
          <w:p>
            <w:pPr>
              <w:jc w:val="center"/>
              <w:ind w:left="97"/>
              <w:spacing w:after="0" w:line="141" w:lineRule="exact"/>
              <w:rPr>
                <w:sz w:val="20"/>
                <w:szCs w:val="20"/>
                <w:color w:val="auto"/>
              </w:rPr>
            </w:pPr>
            <w:r>
              <w:rPr>
                <w:rFonts w:ascii="Arial" w:cs="Arial" w:eastAsia="Arial" w:hAnsi="Arial"/>
                <w:sz w:val="13"/>
                <w:szCs w:val="13"/>
                <w:color w:val="auto"/>
                <w:w w:val="96"/>
              </w:rPr>
              <w:t>1/28/2009</w:t>
            </w:r>
          </w:p>
        </w:tc>
        <w:tc>
          <w:tcPr>
            <w:tcW w:w="1100" w:type="dxa"/>
            <w:vAlign w:val="bottom"/>
            <w:tcBorders>
              <w:bottom w:val="single" w:sz="8" w:color="auto"/>
            </w:tcBorders>
            <w:gridSpan w:val="2"/>
          </w:tcPr>
          <w:p>
            <w:pPr>
              <w:jc w:val="right"/>
              <w:ind w:right="42"/>
              <w:spacing w:after="0" w:line="141" w:lineRule="exact"/>
              <w:rPr>
                <w:sz w:val="20"/>
                <w:szCs w:val="20"/>
                <w:color w:val="auto"/>
              </w:rPr>
            </w:pPr>
            <w:r>
              <w:rPr>
                <w:rFonts w:ascii="Arial" w:cs="Arial" w:eastAsia="Arial" w:hAnsi="Arial"/>
                <w:sz w:val="13"/>
                <w:szCs w:val="13"/>
                <w:color w:val="auto"/>
              </w:rPr>
              <w:t>50,000</w:t>
            </w:r>
          </w:p>
        </w:tc>
        <w:tc>
          <w:tcPr>
            <w:tcW w:w="10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0"/>
              <w:spacing w:after="0" w:line="141" w:lineRule="exact"/>
              <w:rPr>
                <w:sz w:val="20"/>
                <w:szCs w:val="20"/>
                <w:color w:val="auto"/>
              </w:rPr>
            </w:pPr>
            <w:r>
              <w:rPr>
                <w:rFonts w:ascii="Arial" w:cs="Arial" w:eastAsia="Arial" w:hAnsi="Arial"/>
                <w:sz w:val="13"/>
                <w:szCs w:val="13"/>
                <w:color w:val="auto"/>
              </w:rPr>
              <w:t>0.79</w:t>
            </w:r>
          </w:p>
        </w:tc>
        <w:tc>
          <w:tcPr>
            <w:tcW w:w="7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1/28/2019</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r>
    </w:tbl>
    <w:p>
      <w:pPr>
        <w:spacing w:after="0" w:line="80" w:lineRule="exact"/>
        <w:rPr>
          <w:sz w:val="20"/>
          <w:szCs w:val="20"/>
          <w:color w:val="auto"/>
        </w:rPr>
      </w:pPr>
    </w:p>
    <w:p>
      <w:pPr>
        <w:ind w:left="640" w:hanging="436"/>
        <w:spacing w:after="0"/>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fair market value of our Common Stock on the date of grant as approved by the Committee.</w:t>
      </w:r>
    </w:p>
    <w:p>
      <w:pPr>
        <w:spacing w:after="0" w:line="68" w:lineRule="exact"/>
        <w:rPr>
          <w:rFonts w:ascii="Arial" w:cs="Arial" w:eastAsia="Arial" w:hAnsi="Arial"/>
          <w:sz w:val="14"/>
          <w:szCs w:val="14"/>
          <w:color w:val="auto"/>
        </w:rPr>
      </w:pPr>
    </w:p>
    <w:p>
      <w:pPr>
        <w:ind w:left="640" w:hanging="436"/>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Stock awards include RSUs and PSUs. Values of units that have not vested are based on the closing price of our Common Stock on December 31, 2017 of $43.88. Notes (c)-</w:t>
      </w:r>
    </w:p>
    <w:p>
      <w:pPr>
        <w:spacing w:after="0" w:line="10" w:lineRule="exact"/>
        <w:rPr>
          <w:rFonts w:ascii="Arial" w:cs="Arial" w:eastAsia="Arial" w:hAnsi="Arial"/>
          <w:sz w:val="12"/>
          <w:szCs w:val="12"/>
          <w:color w:val="auto"/>
        </w:rPr>
      </w:pPr>
    </w:p>
    <w:p>
      <w:pPr>
        <w:ind w:left="640"/>
        <w:spacing w:after="0"/>
        <w:rPr>
          <w:rFonts w:ascii="Arial" w:cs="Arial" w:eastAsia="Arial" w:hAnsi="Arial"/>
          <w:sz w:val="12"/>
          <w:szCs w:val="12"/>
          <w:color w:val="auto"/>
        </w:rPr>
      </w:pPr>
      <w:r>
        <w:rPr>
          <w:rFonts w:ascii="Arial" w:cs="Arial" w:eastAsia="Arial" w:hAnsi="Arial"/>
          <w:sz w:val="14"/>
          <w:szCs w:val="14"/>
          <w:color w:val="auto"/>
        </w:rPr>
        <w:t>(k) are set forth below:</w:t>
      </w:r>
    </w:p>
    <w:p>
      <w:pPr>
        <w:spacing w:after="0" w:line="5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Scheduled Vesting</w:t>
      </w:r>
    </w:p>
    <w:p>
      <w:pPr>
        <w:spacing w:after="0" w:line="113"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380" w:type="dxa"/>
            <w:vAlign w:val="bottom"/>
          </w:tcPr>
          <w:p>
            <w:pPr>
              <w:spacing w:after="0"/>
              <w:rPr>
                <w:sz w:val="15"/>
                <w:szCs w:val="15"/>
                <w:color w:val="auto"/>
              </w:rPr>
            </w:pPr>
          </w:p>
        </w:tc>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Award</w:t>
            </w:r>
          </w:p>
        </w:tc>
        <w:tc>
          <w:tcPr>
            <w:tcW w:w="9500" w:type="dxa"/>
            <w:vAlign w:val="bottom"/>
          </w:tcPr>
          <w:p>
            <w:pPr>
              <w:ind w:left="160"/>
              <w:spacing w:after="0"/>
              <w:rPr>
                <w:sz w:val="20"/>
                <w:szCs w:val="20"/>
                <w:color w:val="auto"/>
              </w:rPr>
            </w:pPr>
            <w:r>
              <w:rPr>
                <w:rFonts w:ascii="Arial" w:cs="Arial" w:eastAsia="Arial" w:hAnsi="Arial"/>
                <w:sz w:val="14"/>
                <w:szCs w:val="14"/>
                <w:b w:val="1"/>
                <w:bCs w:val="1"/>
                <w:color w:val="auto"/>
              </w:rPr>
              <w:t>Scheduled Vesting</w:t>
            </w: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rPr>
              <w:t>(c)</w:t>
            </w:r>
          </w:p>
        </w:tc>
        <w:tc>
          <w:tcPr>
            <w:tcW w:w="780" w:type="dxa"/>
            <w:vAlign w:val="bottom"/>
          </w:tcPr>
          <w:p>
            <w:pPr>
              <w:ind w:left="200"/>
              <w:spacing w:after="0" w:line="149" w:lineRule="exact"/>
              <w:rPr>
                <w:sz w:val="20"/>
                <w:szCs w:val="20"/>
                <w:color w:val="auto"/>
              </w:rPr>
            </w:pPr>
            <w:r>
              <w:rPr>
                <w:rFonts w:ascii="Arial" w:cs="Arial" w:eastAsia="Arial" w:hAnsi="Arial"/>
                <w:sz w:val="14"/>
                <w:szCs w:val="14"/>
                <w:color w:val="auto"/>
              </w:rPr>
              <w:t>RSUs</w:t>
            </w:r>
          </w:p>
        </w:tc>
        <w:tc>
          <w:tcPr>
            <w:tcW w:w="9500" w:type="dxa"/>
            <w:vAlign w:val="bottom"/>
          </w:tcPr>
          <w:p>
            <w:pPr>
              <w:ind w:left="160"/>
              <w:spacing w:after="0" w:line="149" w:lineRule="exact"/>
              <w:rPr>
                <w:sz w:val="20"/>
                <w:szCs w:val="20"/>
                <w:color w:val="auto"/>
              </w:rPr>
            </w:pPr>
            <w:r>
              <w:rPr>
                <w:rFonts w:ascii="Arial" w:cs="Arial" w:eastAsia="Arial" w:hAnsi="Arial"/>
                <w:sz w:val="14"/>
                <w:szCs w:val="14"/>
                <w:color w:val="auto"/>
              </w:rPr>
              <w:t>Two equal installments on September 19, 2018 and 2019.</w:t>
            </w: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rPr>
              <w:t>(d)</w:t>
            </w:r>
          </w:p>
        </w:tc>
        <w:tc>
          <w:tcPr>
            <w:tcW w:w="780" w:type="dxa"/>
            <w:vAlign w:val="bottom"/>
          </w:tcPr>
          <w:p>
            <w:pPr>
              <w:ind w:left="200"/>
              <w:spacing w:after="0" w:line="149" w:lineRule="exact"/>
              <w:rPr>
                <w:sz w:val="20"/>
                <w:szCs w:val="20"/>
                <w:color w:val="auto"/>
              </w:rPr>
            </w:pPr>
            <w:r>
              <w:rPr>
                <w:rFonts w:ascii="Arial" w:cs="Arial" w:eastAsia="Arial" w:hAnsi="Arial"/>
                <w:sz w:val="14"/>
                <w:szCs w:val="14"/>
                <w:color w:val="auto"/>
              </w:rPr>
              <w:t>RSUs</w:t>
            </w:r>
          </w:p>
        </w:tc>
        <w:tc>
          <w:tcPr>
            <w:tcW w:w="9500" w:type="dxa"/>
            <w:vAlign w:val="bottom"/>
          </w:tcPr>
          <w:p>
            <w:pPr>
              <w:ind w:left="160"/>
              <w:spacing w:after="0" w:line="149" w:lineRule="exact"/>
              <w:rPr>
                <w:sz w:val="20"/>
                <w:szCs w:val="20"/>
                <w:color w:val="auto"/>
              </w:rPr>
            </w:pPr>
            <w:r>
              <w:rPr>
                <w:rFonts w:ascii="Arial" w:cs="Arial" w:eastAsia="Arial" w:hAnsi="Arial"/>
                <w:sz w:val="14"/>
                <w:szCs w:val="14"/>
                <w:color w:val="auto"/>
              </w:rPr>
              <w:t>Three equal installments on March 1, 2018, 2019 and 2020.</w:t>
            </w: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rPr>
              <w:t>(e)</w:t>
            </w:r>
          </w:p>
        </w:tc>
        <w:tc>
          <w:tcPr>
            <w:tcW w:w="780" w:type="dxa"/>
            <w:vAlign w:val="bottom"/>
          </w:tcPr>
          <w:p>
            <w:pPr>
              <w:ind w:left="200"/>
              <w:spacing w:after="0" w:line="149" w:lineRule="exact"/>
              <w:rPr>
                <w:sz w:val="20"/>
                <w:szCs w:val="20"/>
                <w:color w:val="auto"/>
              </w:rPr>
            </w:pPr>
            <w:r>
              <w:rPr>
                <w:rFonts w:ascii="Arial" w:cs="Arial" w:eastAsia="Arial" w:hAnsi="Arial"/>
                <w:sz w:val="14"/>
                <w:szCs w:val="14"/>
                <w:color w:val="auto"/>
              </w:rPr>
              <w:t>RSUs</w:t>
            </w:r>
          </w:p>
        </w:tc>
        <w:tc>
          <w:tcPr>
            <w:tcW w:w="9500" w:type="dxa"/>
            <w:vAlign w:val="bottom"/>
          </w:tcPr>
          <w:p>
            <w:pPr>
              <w:ind w:left="160"/>
              <w:spacing w:after="0" w:line="149" w:lineRule="exact"/>
              <w:rPr>
                <w:sz w:val="20"/>
                <w:szCs w:val="20"/>
                <w:color w:val="auto"/>
              </w:rPr>
            </w:pPr>
            <w:r>
              <w:rPr>
                <w:rFonts w:ascii="Arial" w:cs="Arial" w:eastAsia="Arial" w:hAnsi="Arial"/>
                <w:sz w:val="14"/>
                <w:szCs w:val="14"/>
                <w:color w:val="auto"/>
              </w:rPr>
              <w:t>March 1, 2018.</w:t>
            </w: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rPr>
              <w:t>(f)</w:t>
            </w:r>
          </w:p>
        </w:tc>
        <w:tc>
          <w:tcPr>
            <w:tcW w:w="780" w:type="dxa"/>
            <w:vAlign w:val="bottom"/>
          </w:tcPr>
          <w:p>
            <w:pPr>
              <w:ind w:left="200"/>
              <w:spacing w:after="0" w:line="149" w:lineRule="exact"/>
              <w:rPr>
                <w:sz w:val="20"/>
                <w:szCs w:val="20"/>
                <w:color w:val="auto"/>
              </w:rPr>
            </w:pPr>
            <w:r>
              <w:rPr>
                <w:rFonts w:ascii="Arial" w:cs="Arial" w:eastAsia="Arial" w:hAnsi="Arial"/>
                <w:sz w:val="14"/>
                <w:szCs w:val="14"/>
                <w:color w:val="auto"/>
              </w:rPr>
              <w:t>RSUs</w:t>
            </w:r>
          </w:p>
        </w:tc>
        <w:tc>
          <w:tcPr>
            <w:tcW w:w="9500" w:type="dxa"/>
            <w:vAlign w:val="bottom"/>
          </w:tcPr>
          <w:p>
            <w:pPr>
              <w:ind w:left="160"/>
              <w:spacing w:after="0" w:line="149" w:lineRule="exact"/>
              <w:rPr>
                <w:sz w:val="20"/>
                <w:szCs w:val="20"/>
                <w:color w:val="auto"/>
              </w:rPr>
            </w:pPr>
            <w:r>
              <w:rPr>
                <w:rFonts w:ascii="Arial" w:cs="Arial" w:eastAsia="Arial" w:hAnsi="Arial"/>
                <w:sz w:val="14"/>
                <w:szCs w:val="14"/>
                <w:color w:val="auto"/>
              </w:rPr>
              <w:t>Two equal installments on January 28, 2018 and 2019.</w:t>
            </w: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rPr>
              <w:t>(g)</w:t>
            </w:r>
          </w:p>
        </w:tc>
        <w:tc>
          <w:tcPr>
            <w:tcW w:w="780" w:type="dxa"/>
            <w:vAlign w:val="bottom"/>
          </w:tcPr>
          <w:p>
            <w:pPr>
              <w:ind w:left="200"/>
              <w:spacing w:after="0" w:line="149" w:lineRule="exact"/>
              <w:rPr>
                <w:sz w:val="20"/>
                <w:szCs w:val="20"/>
                <w:color w:val="auto"/>
              </w:rPr>
            </w:pPr>
            <w:r>
              <w:rPr>
                <w:rFonts w:ascii="Arial" w:cs="Arial" w:eastAsia="Arial" w:hAnsi="Arial"/>
                <w:sz w:val="14"/>
                <w:szCs w:val="14"/>
                <w:color w:val="auto"/>
              </w:rPr>
              <w:t>RSUs</w:t>
            </w:r>
          </w:p>
        </w:tc>
        <w:tc>
          <w:tcPr>
            <w:tcW w:w="9500" w:type="dxa"/>
            <w:vAlign w:val="bottom"/>
          </w:tcPr>
          <w:p>
            <w:pPr>
              <w:ind w:left="160"/>
              <w:spacing w:after="0" w:line="149" w:lineRule="exact"/>
              <w:rPr>
                <w:sz w:val="20"/>
                <w:szCs w:val="20"/>
                <w:color w:val="auto"/>
              </w:rPr>
            </w:pPr>
            <w:r>
              <w:rPr>
                <w:rFonts w:ascii="Arial" w:cs="Arial" w:eastAsia="Arial" w:hAnsi="Arial"/>
                <w:sz w:val="14"/>
                <w:szCs w:val="14"/>
                <w:color w:val="auto"/>
              </w:rPr>
              <w:t>September 15, 2018.</w:t>
            </w: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rPr>
              <w:t>(h)</w:t>
            </w:r>
          </w:p>
        </w:tc>
        <w:tc>
          <w:tcPr>
            <w:tcW w:w="780" w:type="dxa"/>
            <w:vAlign w:val="bottom"/>
          </w:tcPr>
          <w:p>
            <w:pPr>
              <w:ind w:left="200"/>
              <w:spacing w:after="0" w:line="149" w:lineRule="exact"/>
              <w:rPr>
                <w:sz w:val="20"/>
                <w:szCs w:val="20"/>
                <w:color w:val="auto"/>
              </w:rPr>
            </w:pPr>
            <w:r>
              <w:rPr>
                <w:rFonts w:ascii="Arial" w:cs="Arial" w:eastAsia="Arial" w:hAnsi="Arial"/>
                <w:sz w:val="14"/>
                <w:szCs w:val="14"/>
                <w:color w:val="auto"/>
              </w:rPr>
              <w:t>RSUs</w:t>
            </w:r>
          </w:p>
        </w:tc>
        <w:tc>
          <w:tcPr>
            <w:tcW w:w="9500" w:type="dxa"/>
            <w:vAlign w:val="bottom"/>
          </w:tcPr>
          <w:p>
            <w:pPr>
              <w:ind w:left="160"/>
              <w:spacing w:after="0" w:line="149" w:lineRule="exact"/>
              <w:rPr>
                <w:sz w:val="20"/>
                <w:szCs w:val="20"/>
                <w:color w:val="auto"/>
              </w:rPr>
            </w:pPr>
            <w:r>
              <w:rPr>
                <w:rFonts w:ascii="Arial" w:cs="Arial" w:eastAsia="Arial" w:hAnsi="Arial"/>
                <w:sz w:val="14"/>
                <w:szCs w:val="14"/>
                <w:color w:val="auto"/>
              </w:rPr>
              <w:t>January 21, 2018.</w:t>
            </w: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rPr>
              <w:t>(i)</w:t>
            </w:r>
          </w:p>
        </w:tc>
        <w:tc>
          <w:tcPr>
            <w:tcW w:w="780" w:type="dxa"/>
            <w:vAlign w:val="bottom"/>
          </w:tcPr>
          <w:p>
            <w:pPr>
              <w:ind w:left="200"/>
              <w:spacing w:after="0" w:line="149" w:lineRule="exact"/>
              <w:rPr>
                <w:sz w:val="20"/>
                <w:szCs w:val="20"/>
                <w:color w:val="auto"/>
              </w:rPr>
            </w:pPr>
            <w:r>
              <w:rPr>
                <w:rFonts w:ascii="Arial" w:cs="Arial" w:eastAsia="Arial" w:hAnsi="Arial"/>
                <w:sz w:val="14"/>
                <w:szCs w:val="14"/>
                <w:color w:val="auto"/>
              </w:rPr>
              <w:t>PSUs</w:t>
            </w:r>
          </w:p>
        </w:tc>
        <w:tc>
          <w:tcPr>
            <w:tcW w:w="9500" w:type="dxa"/>
            <w:vAlign w:val="bottom"/>
          </w:tcPr>
          <w:p>
            <w:pPr>
              <w:ind w:left="160"/>
              <w:spacing w:after="0" w:line="149" w:lineRule="exact"/>
              <w:rPr>
                <w:sz w:val="20"/>
                <w:szCs w:val="20"/>
                <w:color w:val="auto"/>
              </w:rPr>
            </w:pPr>
            <w:r>
              <w:rPr>
                <w:rFonts w:ascii="Arial" w:cs="Arial" w:eastAsia="Arial" w:hAnsi="Arial"/>
                <w:sz w:val="14"/>
                <w:szCs w:val="14"/>
                <w:color w:val="auto"/>
              </w:rPr>
              <w:t>March 1, 2020, from a threshold of 50% to a maximum of 200% based on Adjusted EBITDA Margin goals.</w:t>
            </w: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rPr>
              <w:t>(j)</w:t>
            </w:r>
          </w:p>
        </w:tc>
        <w:tc>
          <w:tcPr>
            <w:tcW w:w="780" w:type="dxa"/>
            <w:vAlign w:val="bottom"/>
          </w:tcPr>
          <w:p>
            <w:pPr>
              <w:ind w:left="200"/>
              <w:spacing w:after="0" w:line="149" w:lineRule="exact"/>
              <w:rPr>
                <w:sz w:val="20"/>
                <w:szCs w:val="20"/>
                <w:color w:val="auto"/>
              </w:rPr>
            </w:pPr>
            <w:r>
              <w:rPr>
                <w:rFonts w:ascii="Arial" w:cs="Arial" w:eastAsia="Arial" w:hAnsi="Arial"/>
                <w:sz w:val="14"/>
                <w:szCs w:val="14"/>
                <w:color w:val="auto"/>
              </w:rPr>
              <w:t>PSUs</w:t>
            </w:r>
          </w:p>
        </w:tc>
        <w:tc>
          <w:tcPr>
            <w:tcW w:w="9500" w:type="dxa"/>
            <w:vAlign w:val="bottom"/>
          </w:tcPr>
          <w:p>
            <w:pPr>
              <w:ind w:left="160"/>
              <w:spacing w:after="0" w:line="149" w:lineRule="exact"/>
              <w:rPr>
                <w:sz w:val="20"/>
                <w:szCs w:val="20"/>
                <w:color w:val="auto"/>
              </w:rPr>
            </w:pPr>
            <w:r>
              <w:rPr>
                <w:rFonts w:ascii="Arial" w:cs="Arial" w:eastAsia="Arial" w:hAnsi="Arial"/>
                <w:sz w:val="14"/>
                <w:szCs w:val="14"/>
                <w:color w:val="auto"/>
              </w:rPr>
              <w:t>January 28, 2019, from a threshold of 50% to a maximum of 150% based on Adjusted EBITDA and TSR goals.</w:t>
            </w: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rPr>
              <w:t>(k)</w:t>
            </w:r>
          </w:p>
        </w:tc>
        <w:tc>
          <w:tcPr>
            <w:tcW w:w="780" w:type="dxa"/>
            <w:vAlign w:val="bottom"/>
          </w:tcPr>
          <w:p>
            <w:pPr>
              <w:ind w:left="200"/>
              <w:spacing w:after="0" w:line="149" w:lineRule="exact"/>
              <w:rPr>
                <w:sz w:val="20"/>
                <w:szCs w:val="20"/>
                <w:color w:val="auto"/>
              </w:rPr>
            </w:pPr>
            <w:r>
              <w:rPr>
                <w:rFonts w:ascii="Arial" w:cs="Arial" w:eastAsia="Arial" w:hAnsi="Arial"/>
                <w:sz w:val="14"/>
                <w:szCs w:val="14"/>
                <w:color w:val="auto"/>
              </w:rPr>
              <w:t>PSUs</w:t>
            </w:r>
          </w:p>
        </w:tc>
        <w:tc>
          <w:tcPr>
            <w:tcW w:w="9500" w:type="dxa"/>
            <w:vAlign w:val="bottom"/>
          </w:tcPr>
          <w:p>
            <w:pPr>
              <w:ind w:left="160"/>
              <w:spacing w:after="0" w:line="149" w:lineRule="exact"/>
              <w:rPr>
                <w:sz w:val="20"/>
                <w:szCs w:val="20"/>
                <w:color w:val="auto"/>
              </w:rPr>
            </w:pPr>
            <w:r>
              <w:rPr>
                <w:rFonts w:ascii="Arial" w:cs="Arial" w:eastAsia="Arial" w:hAnsi="Arial"/>
                <w:sz w:val="14"/>
                <w:szCs w:val="14"/>
                <w:color w:val="auto"/>
                <w:w w:val="96"/>
              </w:rPr>
              <w:t>January 21, 2018, from a threshold of 50% to a maximum of 150% based on Adjusted EBITDA and TSR goals. Awards were cancelled in January 2018 as a</w:t>
            </w:r>
          </w:p>
        </w:tc>
      </w:tr>
      <w:tr>
        <w:trPr>
          <w:trHeight w:val="162"/>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500" w:type="dxa"/>
            <w:vAlign w:val="bottom"/>
          </w:tcPr>
          <w:p>
            <w:pPr>
              <w:ind w:left="160"/>
              <w:spacing w:after="0"/>
              <w:rPr>
                <w:sz w:val="20"/>
                <w:szCs w:val="20"/>
                <w:color w:val="auto"/>
              </w:rPr>
            </w:pPr>
            <w:r>
              <w:rPr>
                <w:rFonts w:ascii="Arial" w:cs="Arial" w:eastAsia="Arial" w:hAnsi="Arial"/>
                <w:sz w:val="14"/>
                <w:szCs w:val="14"/>
                <w:color w:val="auto"/>
              </w:rPr>
              <w:t>result of non-attainment of the threshold performance goals.</w:t>
            </w:r>
          </w:p>
        </w:tc>
      </w:tr>
      <w:tr>
        <w:trPr>
          <w:trHeight w:val="352"/>
        </w:trPr>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00" w:type="dxa"/>
            <w:vAlign w:val="bottom"/>
          </w:tcPr>
          <w:p>
            <w:pPr>
              <w:ind w:left="426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Option Exercises and Stock Vested Table</w:t>
      </w:r>
    </w:p>
    <w:p>
      <w:pPr>
        <w:spacing w:after="0" w:line="14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280" w:type="dxa"/>
            <w:vAlign w:val="bottom"/>
            <w:tcBorders>
              <w:bottom w:val="single" w:sz="8" w:color="auto"/>
            </w:tcBorders>
            <w:gridSpan w:val="2"/>
          </w:tcPr>
          <w:p>
            <w:pPr>
              <w:jc w:val="right"/>
              <w:ind w:right="557"/>
              <w:spacing w:after="0"/>
              <w:rPr>
                <w:sz w:val="20"/>
                <w:szCs w:val="20"/>
                <w:color w:val="auto"/>
              </w:rPr>
            </w:pPr>
            <w:r>
              <w:rPr>
                <w:rFonts w:ascii="Arial" w:cs="Arial" w:eastAsia="Arial" w:hAnsi="Arial"/>
                <w:sz w:val="14"/>
                <w:szCs w:val="14"/>
                <w:b w:val="1"/>
                <w:bCs w:val="1"/>
                <w:color w:val="auto"/>
              </w:rPr>
              <w:t>Option Awards</w:t>
            </w:r>
          </w:p>
        </w:tc>
        <w:tc>
          <w:tcPr>
            <w:tcW w:w="480" w:type="dxa"/>
            <w:vAlign w:val="bottom"/>
          </w:tcPr>
          <w:p>
            <w:pPr>
              <w:spacing w:after="0"/>
              <w:rPr>
                <w:sz w:val="15"/>
                <w:szCs w:val="15"/>
                <w:color w:val="auto"/>
              </w:rPr>
            </w:pPr>
          </w:p>
        </w:tc>
        <w:tc>
          <w:tcPr>
            <w:tcW w:w="2360" w:type="dxa"/>
            <w:vAlign w:val="bottom"/>
            <w:tcBorders>
              <w:bottom w:val="single" w:sz="8" w:color="auto"/>
            </w:tcBorders>
            <w:gridSpan w:val="2"/>
          </w:tcPr>
          <w:p>
            <w:pPr>
              <w:jc w:val="right"/>
              <w:ind w:right="637"/>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00" w:type="dxa"/>
            <w:vAlign w:val="bottom"/>
          </w:tcPr>
          <w:p>
            <w:pPr>
              <w:jc w:val="center"/>
              <w:ind w:right="179"/>
              <w:spacing w:after="0" w:line="143" w:lineRule="exact"/>
              <w:rPr>
                <w:sz w:val="20"/>
                <w:szCs w:val="20"/>
                <w:color w:val="auto"/>
              </w:rPr>
            </w:pPr>
            <w:r>
              <w:rPr>
                <w:rFonts w:ascii="Arial" w:cs="Arial" w:eastAsia="Arial" w:hAnsi="Arial"/>
                <w:sz w:val="14"/>
                <w:szCs w:val="14"/>
                <w:b w:val="1"/>
                <w:bCs w:val="1"/>
                <w:color w:val="auto"/>
              </w:rPr>
              <w:t>Number of</w:t>
            </w: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jc w:val="center"/>
              <w:ind w:right="377"/>
              <w:spacing w:after="0" w:line="143" w:lineRule="exact"/>
              <w:rPr>
                <w:sz w:val="20"/>
                <w:szCs w:val="20"/>
                <w:color w:val="auto"/>
              </w:rPr>
            </w:pPr>
            <w:r>
              <w:rPr>
                <w:rFonts w:ascii="Arial" w:cs="Arial" w:eastAsia="Arial" w:hAnsi="Arial"/>
                <w:sz w:val="14"/>
                <w:szCs w:val="14"/>
                <w:b w:val="1"/>
                <w:bCs w:val="1"/>
                <w:color w:val="auto"/>
              </w:rPr>
              <w:t>Number of</w:t>
            </w:r>
          </w:p>
        </w:tc>
        <w:tc>
          <w:tcPr>
            <w:tcW w:w="1120" w:type="dxa"/>
            <w:vAlign w:val="bottom"/>
            <w:gridSpan w:val="2"/>
            <w:vMerge w:val="restart"/>
          </w:tcPr>
          <w:p>
            <w:pPr>
              <w:jc w:val="center"/>
              <w:ind w:left="3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rPr>
              <w:t>Shares</w:t>
            </w:r>
          </w:p>
        </w:tc>
        <w:tc>
          <w:tcPr>
            <w:tcW w:w="1180" w:type="dxa"/>
            <w:vAlign w:val="bottom"/>
          </w:tcPr>
          <w:p>
            <w:pPr>
              <w:jc w:val="center"/>
              <w:ind w:left="117"/>
              <w:spacing w:after="0" w:line="149" w:lineRule="exact"/>
              <w:rPr>
                <w:sz w:val="20"/>
                <w:szCs w:val="20"/>
                <w:color w:val="auto"/>
              </w:rPr>
            </w:pPr>
            <w:r>
              <w:rPr>
                <w:rFonts w:ascii="Arial" w:cs="Arial" w:eastAsia="Arial" w:hAnsi="Arial"/>
                <w:sz w:val="14"/>
                <w:szCs w:val="14"/>
                <w:b w:val="1"/>
                <w:bCs w:val="1"/>
                <w:color w:val="auto"/>
              </w:rPr>
              <w:t>Value</w:t>
            </w:r>
          </w:p>
        </w:tc>
        <w:tc>
          <w:tcPr>
            <w:tcW w:w="480" w:type="dxa"/>
            <w:vAlign w:val="bottom"/>
          </w:tcPr>
          <w:p>
            <w:pPr>
              <w:spacing w:after="0"/>
              <w:rPr>
                <w:sz w:val="12"/>
                <w:szCs w:val="12"/>
                <w:color w:val="auto"/>
              </w:rPr>
            </w:pPr>
          </w:p>
        </w:tc>
        <w:tc>
          <w:tcPr>
            <w:tcW w:w="1300" w:type="dxa"/>
            <w:vAlign w:val="bottom"/>
          </w:tcPr>
          <w:p>
            <w:pPr>
              <w:jc w:val="center"/>
              <w:ind w:right="377"/>
              <w:spacing w:after="0" w:line="149" w:lineRule="exact"/>
              <w:rPr>
                <w:sz w:val="20"/>
                <w:szCs w:val="20"/>
                <w:color w:val="auto"/>
              </w:rPr>
            </w:pPr>
            <w:r>
              <w:rPr>
                <w:rFonts w:ascii="Arial" w:cs="Arial" w:eastAsia="Arial" w:hAnsi="Arial"/>
                <w:sz w:val="14"/>
                <w:szCs w:val="14"/>
                <w:b w:val="1"/>
                <w:bCs w:val="1"/>
                <w:color w:val="auto"/>
              </w:rPr>
              <w:t>Shares</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460" w:type="dxa"/>
            <w:vAlign w:val="bottom"/>
            <w:gridSpan w:val="2"/>
          </w:tcPr>
          <w:p>
            <w:pPr>
              <w:jc w:val="center"/>
              <w:ind w:left="2019"/>
              <w:spacing w:after="0"/>
              <w:rPr>
                <w:sz w:val="20"/>
                <w:szCs w:val="20"/>
                <w:color w:val="auto"/>
              </w:rPr>
            </w:pPr>
            <w:r>
              <w:rPr>
                <w:rFonts w:ascii="Arial" w:cs="Arial" w:eastAsia="Arial" w:hAnsi="Arial"/>
                <w:sz w:val="14"/>
                <w:szCs w:val="14"/>
                <w:b w:val="1"/>
                <w:bCs w:val="1"/>
                <w:color w:val="auto"/>
              </w:rPr>
              <w:t>Acquired on</w:t>
            </w:r>
          </w:p>
        </w:tc>
        <w:tc>
          <w:tcPr>
            <w:tcW w:w="1180" w:type="dxa"/>
            <w:vAlign w:val="bottom"/>
          </w:tcPr>
          <w:p>
            <w:pPr>
              <w:jc w:val="center"/>
              <w:ind w:left="117"/>
              <w:spacing w:after="0"/>
              <w:rPr>
                <w:sz w:val="20"/>
                <w:szCs w:val="20"/>
                <w:color w:val="auto"/>
              </w:rPr>
            </w:pPr>
            <w:r>
              <w:rPr>
                <w:rFonts w:ascii="Arial" w:cs="Arial" w:eastAsia="Arial" w:hAnsi="Arial"/>
                <w:sz w:val="14"/>
                <w:szCs w:val="14"/>
                <w:b w:val="1"/>
                <w:bCs w:val="1"/>
                <w:color w:val="auto"/>
              </w:rPr>
              <w:t>Realized</w:t>
            </w: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Acquired on</w:t>
            </w:r>
          </w:p>
        </w:tc>
        <w:tc>
          <w:tcPr>
            <w:tcW w:w="1120" w:type="dxa"/>
            <w:vAlign w:val="bottom"/>
            <w:gridSpan w:val="2"/>
          </w:tcPr>
          <w:p>
            <w:pPr>
              <w:jc w:val="center"/>
              <w:ind w:left="37"/>
              <w:spacing w:after="0"/>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00" w:type="dxa"/>
            <w:vAlign w:val="bottom"/>
          </w:tcPr>
          <w:p>
            <w:pPr>
              <w:jc w:val="center"/>
              <w:ind w:right="179"/>
              <w:spacing w:after="0"/>
              <w:rPr>
                <w:sz w:val="20"/>
                <w:szCs w:val="20"/>
                <w:color w:val="auto"/>
              </w:rPr>
            </w:pPr>
            <w:r>
              <w:rPr>
                <w:rFonts w:ascii="Arial" w:cs="Arial" w:eastAsia="Arial" w:hAnsi="Arial"/>
                <w:sz w:val="14"/>
                <w:szCs w:val="14"/>
                <w:b w:val="1"/>
                <w:bCs w:val="1"/>
                <w:color w:val="auto"/>
              </w:rPr>
              <w:t>Exercise</w:t>
            </w:r>
          </w:p>
        </w:tc>
        <w:tc>
          <w:tcPr>
            <w:tcW w:w="1180" w:type="dxa"/>
            <w:vAlign w:val="bottom"/>
          </w:tcPr>
          <w:p>
            <w:pPr>
              <w:jc w:val="center"/>
              <w:ind w:left="137"/>
              <w:spacing w:after="0"/>
              <w:rPr>
                <w:sz w:val="20"/>
                <w:szCs w:val="20"/>
                <w:color w:val="auto"/>
              </w:rPr>
            </w:pPr>
            <w:r>
              <w:rPr>
                <w:rFonts w:ascii="Arial" w:cs="Arial" w:eastAsia="Arial" w:hAnsi="Arial"/>
                <w:sz w:val="14"/>
                <w:szCs w:val="14"/>
                <w:b w:val="1"/>
                <w:bCs w:val="1"/>
                <w:color w:val="auto"/>
              </w:rPr>
              <w:t>on Exercise</w:t>
            </w:r>
          </w:p>
        </w:tc>
        <w:tc>
          <w:tcPr>
            <w:tcW w:w="480" w:type="dxa"/>
            <w:vAlign w:val="bottom"/>
          </w:tcPr>
          <w:p>
            <w:pPr>
              <w:spacing w:after="0"/>
              <w:rPr>
                <w:sz w:val="14"/>
                <w:szCs w:val="14"/>
                <w:color w:val="auto"/>
              </w:rPr>
            </w:pPr>
          </w:p>
        </w:tc>
        <w:tc>
          <w:tcPr>
            <w:tcW w:w="1300" w:type="dxa"/>
            <w:vAlign w:val="bottom"/>
          </w:tcPr>
          <w:p>
            <w:pPr>
              <w:jc w:val="center"/>
              <w:ind w:right="397"/>
              <w:spacing w:after="0"/>
              <w:rPr>
                <w:sz w:val="20"/>
                <w:szCs w:val="20"/>
                <w:color w:val="auto"/>
              </w:rPr>
            </w:pPr>
            <w:r>
              <w:rPr>
                <w:rFonts w:ascii="Arial" w:cs="Arial" w:eastAsia="Arial" w:hAnsi="Arial"/>
                <w:sz w:val="14"/>
                <w:szCs w:val="14"/>
                <w:b w:val="1"/>
                <w:bCs w:val="1"/>
                <w:color w:val="auto"/>
                <w:w w:val="98"/>
              </w:rPr>
              <w:t>Vesting</w:t>
            </w:r>
          </w:p>
        </w:tc>
        <w:tc>
          <w:tcPr>
            <w:tcW w:w="1120" w:type="dxa"/>
            <w:vAlign w:val="bottom"/>
            <w:gridSpan w:val="2"/>
          </w:tcPr>
          <w:p>
            <w:pPr>
              <w:jc w:val="center"/>
              <w:ind w:left="37"/>
              <w:spacing w:after="0"/>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189"/>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360" w:type="dxa"/>
            <w:vAlign w:val="bottom"/>
          </w:tcPr>
          <w:p>
            <w:pPr>
              <w:spacing w:after="0"/>
              <w:rPr>
                <w:sz w:val="16"/>
                <w:szCs w:val="16"/>
                <w:color w:val="auto"/>
              </w:rPr>
            </w:pPr>
          </w:p>
        </w:tc>
        <w:tc>
          <w:tcPr>
            <w:tcW w:w="1100" w:type="dxa"/>
            <w:vAlign w:val="bottom"/>
          </w:tcPr>
          <w:p>
            <w:pPr>
              <w:jc w:val="center"/>
              <w:ind w:right="179"/>
              <w:spacing w:after="0"/>
              <w:rPr>
                <w:sz w:val="20"/>
                <w:szCs w:val="20"/>
                <w:color w:val="auto"/>
              </w:rPr>
            </w:pPr>
            <w:r>
              <w:rPr>
                <w:rFonts w:ascii="Arial" w:cs="Arial" w:eastAsia="Arial" w:hAnsi="Arial"/>
                <w:sz w:val="14"/>
                <w:szCs w:val="14"/>
                <w:b w:val="1"/>
                <w:bCs w:val="1"/>
                <w:color w:val="auto"/>
              </w:rPr>
              <w:t>(#)(a)</w:t>
            </w:r>
          </w:p>
        </w:tc>
        <w:tc>
          <w:tcPr>
            <w:tcW w:w="1180" w:type="dxa"/>
            <w:vAlign w:val="bottom"/>
          </w:tcPr>
          <w:p>
            <w:pPr>
              <w:jc w:val="center"/>
              <w:ind w:left="137"/>
              <w:spacing w:after="0"/>
              <w:rPr>
                <w:sz w:val="20"/>
                <w:szCs w:val="20"/>
                <w:color w:val="auto"/>
              </w:rPr>
            </w:pPr>
            <w:r>
              <w:rPr>
                <w:rFonts w:ascii="Arial" w:cs="Arial" w:eastAsia="Arial" w:hAnsi="Arial"/>
                <w:sz w:val="14"/>
                <w:szCs w:val="14"/>
                <w:b w:val="1"/>
                <w:bCs w:val="1"/>
                <w:color w:val="auto"/>
              </w:rPr>
              <w:t>($)(b)</w:t>
            </w: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center"/>
              <w:ind w:left="97"/>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top w:val="single" w:sz="8" w:color="auto"/>
              <w:bottom w:val="single" w:sz="8" w:color="C1CECC"/>
            </w:tcBorders>
            <w:shd w:val="clear" w:color="auto" w:fill="F4F9F9"/>
          </w:tcPr>
          <w:p>
            <w:pPr>
              <w:spacing w:after="0" w:line="196" w:lineRule="exact"/>
              <w:rPr>
                <w:sz w:val="20"/>
                <w:szCs w:val="20"/>
                <w:color w:val="auto"/>
              </w:rPr>
            </w:pPr>
            <w:r>
              <w:rPr>
                <w:rFonts w:ascii="Arial" w:cs="Arial" w:eastAsia="Arial" w:hAnsi="Arial"/>
                <w:sz w:val="18"/>
                <w:szCs w:val="18"/>
                <w:color w:val="auto"/>
              </w:rPr>
              <w:t>Mr. De Shon</w:t>
            </w:r>
          </w:p>
        </w:tc>
        <w:tc>
          <w:tcPr>
            <w:tcW w:w="2360" w:type="dxa"/>
            <w:vAlign w:val="bottom"/>
            <w:tcBorders>
              <w:top w:val="single" w:sz="8" w:color="auto"/>
              <w:bottom w:val="single" w:sz="8" w:color="C1CECC"/>
            </w:tcBorders>
            <w:shd w:val="clear" w:color="auto" w:fill="F4F9F9"/>
          </w:tcPr>
          <w:p>
            <w:pPr>
              <w:spacing w:after="0"/>
              <w:rPr>
                <w:sz w:val="17"/>
                <w:szCs w:val="17"/>
                <w:color w:val="auto"/>
              </w:rPr>
            </w:pPr>
          </w:p>
        </w:tc>
        <w:tc>
          <w:tcPr>
            <w:tcW w:w="1100" w:type="dxa"/>
            <w:vAlign w:val="bottom"/>
            <w:tcBorders>
              <w:top w:val="single" w:sz="8" w:color="auto"/>
              <w:bottom w:val="single" w:sz="8" w:color="C1CECC"/>
            </w:tcBorders>
            <w:shd w:val="clear" w:color="auto" w:fill="F4F9F9"/>
          </w:tcPr>
          <w:p>
            <w:pPr>
              <w:jc w:val="right"/>
              <w:ind w:right="179"/>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1CECC"/>
            </w:tcBorders>
            <w:shd w:val="clear" w:color="auto" w:fill="F4F9F9"/>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C1CECC"/>
            </w:tcBorders>
            <w:shd w:val="clear" w:color="auto" w:fill="F4F9F9"/>
          </w:tcPr>
          <w:p>
            <w:pPr>
              <w:spacing w:after="0"/>
              <w:rPr>
                <w:sz w:val="17"/>
                <w:szCs w:val="17"/>
                <w:color w:val="auto"/>
              </w:rPr>
            </w:pPr>
          </w:p>
        </w:tc>
        <w:tc>
          <w:tcPr>
            <w:tcW w:w="1300" w:type="dxa"/>
            <w:vAlign w:val="bottom"/>
            <w:tcBorders>
              <w:top w:val="single" w:sz="8" w:color="auto"/>
              <w:bottom w:val="single" w:sz="8" w:color="C1CECC"/>
            </w:tcBorders>
            <w:shd w:val="clear" w:color="auto" w:fill="F4F9F9"/>
          </w:tcPr>
          <w:p>
            <w:pPr>
              <w:jc w:val="right"/>
              <w:ind w:right="177"/>
              <w:spacing w:after="0" w:line="196" w:lineRule="exact"/>
              <w:rPr>
                <w:sz w:val="20"/>
                <w:szCs w:val="20"/>
                <w:color w:val="auto"/>
              </w:rPr>
            </w:pPr>
            <w:r>
              <w:rPr>
                <w:rFonts w:ascii="Arial" w:cs="Arial" w:eastAsia="Arial" w:hAnsi="Arial"/>
                <w:sz w:val="18"/>
                <w:szCs w:val="18"/>
                <w:color w:val="auto"/>
              </w:rPr>
              <w:t>57,570(c)</w:t>
            </w:r>
          </w:p>
        </w:tc>
        <w:tc>
          <w:tcPr>
            <w:tcW w:w="1060" w:type="dxa"/>
            <w:vAlign w:val="bottom"/>
            <w:tcBorders>
              <w:top w:val="single" w:sz="8" w:color="auto"/>
              <w:bottom w:val="single" w:sz="8" w:color="C1CECC"/>
            </w:tcBorders>
            <w:shd w:val="clear" w:color="auto" w:fill="F4F9F9"/>
          </w:tcPr>
          <w:p>
            <w:pPr>
              <w:jc w:val="right"/>
              <w:spacing w:after="0" w:line="196" w:lineRule="exact"/>
              <w:rPr>
                <w:sz w:val="20"/>
                <w:szCs w:val="20"/>
                <w:color w:val="auto"/>
              </w:rPr>
            </w:pPr>
            <w:r>
              <w:rPr>
                <w:rFonts w:ascii="Arial" w:cs="Arial" w:eastAsia="Arial" w:hAnsi="Arial"/>
                <w:sz w:val="18"/>
                <w:szCs w:val="18"/>
                <w:color w:val="auto"/>
              </w:rPr>
              <w:t>2,066,556</w:t>
            </w:r>
          </w:p>
        </w:tc>
        <w:tc>
          <w:tcPr>
            <w:tcW w:w="60" w:type="dxa"/>
            <w:vAlign w:val="bottom"/>
            <w:tcBorders>
              <w:top w:val="single" w:sz="8" w:color="auto"/>
              <w:bottom w:val="single" w:sz="8" w:color="C1CECC"/>
            </w:tcBorders>
            <w:shd w:val="clear" w:color="auto" w:fill="F4F9F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Mr. Smith</w:t>
            </w:r>
          </w:p>
        </w:tc>
        <w:tc>
          <w:tcPr>
            <w:tcW w:w="2360" w:type="dxa"/>
            <w:vAlign w:val="bottom"/>
            <w:tcBorders>
              <w:bottom w:val="single" w:sz="8" w:color="C1CECC"/>
            </w:tcBorders>
          </w:tcPr>
          <w:p>
            <w:pPr>
              <w:spacing w:after="0"/>
              <w:rPr>
                <w:sz w:val="17"/>
                <w:szCs w:val="17"/>
                <w:color w:val="auto"/>
              </w:rPr>
            </w:pPr>
          </w:p>
        </w:tc>
        <w:tc>
          <w:tcPr>
            <w:tcW w:w="1100" w:type="dxa"/>
            <w:vAlign w:val="bottom"/>
            <w:tcBorders>
              <w:bottom w:val="single" w:sz="8" w:color="C1CECC"/>
            </w:tcBorders>
          </w:tcPr>
          <w:p>
            <w:pPr>
              <w:jc w:val="right"/>
              <w:ind w:right="179"/>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1CECC"/>
            </w:tcBorders>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C1CECC"/>
            </w:tcBorders>
          </w:tcPr>
          <w:p>
            <w:pPr>
              <w:spacing w:after="0"/>
              <w:rPr>
                <w:sz w:val="17"/>
                <w:szCs w:val="17"/>
                <w:color w:val="auto"/>
              </w:rPr>
            </w:pPr>
          </w:p>
        </w:tc>
        <w:tc>
          <w:tcPr>
            <w:tcW w:w="1300" w:type="dxa"/>
            <w:vAlign w:val="bottom"/>
            <w:tcBorders>
              <w:bottom w:val="single" w:sz="8" w:color="C1CECC"/>
            </w:tcBorders>
          </w:tcPr>
          <w:p>
            <w:pPr>
              <w:jc w:val="right"/>
              <w:ind w:right="157"/>
              <w:spacing w:after="0" w:line="196" w:lineRule="exact"/>
              <w:rPr>
                <w:sz w:val="20"/>
                <w:szCs w:val="20"/>
                <w:color w:val="auto"/>
              </w:rPr>
            </w:pPr>
            <w:r>
              <w:rPr>
                <w:rFonts w:ascii="Arial" w:cs="Arial" w:eastAsia="Arial" w:hAnsi="Arial"/>
                <w:sz w:val="18"/>
                <w:szCs w:val="18"/>
                <w:color w:val="auto"/>
              </w:rPr>
              <w:t>5,229(d)</w:t>
            </w:r>
          </w:p>
        </w:tc>
        <w:tc>
          <w:tcPr>
            <w:tcW w:w="1060" w:type="dxa"/>
            <w:vAlign w:val="bottom"/>
            <w:tcBorders>
              <w:bottom w:val="single" w:sz="8" w:color="C1CECC"/>
            </w:tcBorders>
          </w:tcPr>
          <w:p>
            <w:pPr>
              <w:jc w:val="right"/>
              <w:spacing w:after="0" w:line="196" w:lineRule="exact"/>
              <w:rPr>
                <w:sz w:val="20"/>
                <w:szCs w:val="20"/>
                <w:color w:val="auto"/>
              </w:rPr>
            </w:pPr>
            <w:r>
              <w:rPr>
                <w:rFonts w:ascii="Arial" w:cs="Arial" w:eastAsia="Arial" w:hAnsi="Arial"/>
                <w:sz w:val="18"/>
                <w:szCs w:val="18"/>
                <w:color w:val="auto"/>
              </w:rPr>
              <w:t>184,709</w:t>
            </w:r>
          </w:p>
        </w:tc>
        <w:tc>
          <w:tcPr>
            <w:tcW w:w="60" w:type="dxa"/>
            <w:vAlign w:val="bottom"/>
            <w:tcBorders>
              <w:bottom w:val="single" w:sz="8" w:color="C1CEC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bottom w:val="single" w:sz="8" w:color="C1CECC"/>
            </w:tcBorders>
            <w:shd w:val="clear" w:color="auto" w:fill="F4F9F9"/>
          </w:tcPr>
          <w:p>
            <w:pPr>
              <w:spacing w:after="0" w:line="196" w:lineRule="exact"/>
              <w:rPr>
                <w:sz w:val="20"/>
                <w:szCs w:val="20"/>
                <w:color w:val="auto"/>
              </w:rPr>
            </w:pPr>
            <w:r>
              <w:rPr>
                <w:rFonts w:ascii="Arial" w:cs="Arial" w:eastAsia="Arial" w:hAnsi="Arial"/>
                <w:sz w:val="18"/>
                <w:szCs w:val="18"/>
                <w:color w:val="auto"/>
              </w:rPr>
              <w:t>Mr. Nelson</w:t>
            </w:r>
          </w:p>
        </w:tc>
        <w:tc>
          <w:tcPr>
            <w:tcW w:w="3460" w:type="dxa"/>
            <w:vAlign w:val="bottom"/>
            <w:tcBorders>
              <w:bottom w:val="single" w:sz="8" w:color="C1CECC"/>
            </w:tcBorders>
            <w:gridSpan w:val="2"/>
            <w:shd w:val="clear" w:color="auto" w:fill="F4F9F9"/>
          </w:tcPr>
          <w:p>
            <w:pPr>
              <w:jc w:val="right"/>
              <w:ind w:right="179"/>
              <w:spacing w:after="0" w:line="196" w:lineRule="exact"/>
              <w:rPr>
                <w:sz w:val="20"/>
                <w:szCs w:val="20"/>
                <w:color w:val="auto"/>
              </w:rPr>
            </w:pPr>
            <w:r>
              <w:rPr>
                <w:rFonts w:ascii="Arial" w:cs="Arial" w:eastAsia="Arial" w:hAnsi="Arial"/>
                <w:sz w:val="18"/>
                <w:szCs w:val="18"/>
                <w:color w:val="auto"/>
              </w:rPr>
              <w:t>425,000</w:t>
            </w:r>
          </w:p>
        </w:tc>
        <w:tc>
          <w:tcPr>
            <w:tcW w:w="1180" w:type="dxa"/>
            <w:vAlign w:val="bottom"/>
            <w:tcBorders>
              <w:bottom w:val="single" w:sz="8" w:color="C1CECC"/>
            </w:tcBorders>
            <w:shd w:val="clear" w:color="auto" w:fill="F4F9F9"/>
          </w:tcPr>
          <w:p>
            <w:pPr>
              <w:jc w:val="right"/>
              <w:spacing w:after="0" w:line="196" w:lineRule="exact"/>
              <w:rPr>
                <w:sz w:val="20"/>
                <w:szCs w:val="20"/>
                <w:color w:val="auto"/>
              </w:rPr>
            </w:pPr>
            <w:r>
              <w:rPr>
                <w:rFonts w:ascii="Arial" w:cs="Arial" w:eastAsia="Arial" w:hAnsi="Arial"/>
                <w:sz w:val="18"/>
                <w:szCs w:val="18"/>
                <w:color w:val="auto"/>
              </w:rPr>
              <w:t>16,756,831</w:t>
            </w:r>
          </w:p>
        </w:tc>
        <w:tc>
          <w:tcPr>
            <w:tcW w:w="480" w:type="dxa"/>
            <w:vAlign w:val="bottom"/>
            <w:tcBorders>
              <w:bottom w:val="single" w:sz="8" w:color="C1CECC"/>
            </w:tcBorders>
            <w:shd w:val="clear" w:color="auto" w:fill="F4F9F9"/>
          </w:tcPr>
          <w:p>
            <w:pPr>
              <w:spacing w:after="0"/>
              <w:rPr>
                <w:sz w:val="17"/>
                <w:szCs w:val="17"/>
                <w:color w:val="auto"/>
              </w:rPr>
            </w:pPr>
          </w:p>
        </w:tc>
        <w:tc>
          <w:tcPr>
            <w:tcW w:w="1300" w:type="dxa"/>
            <w:vAlign w:val="bottom"/>
            <w:tcBorders>
              <w:bottom w:val="single" w:sz="8" w:color="C1CECC"/>
            </w:tcBorders>
            <w:shd w:val="clear" w:color="auto" w:fill="F4F9F9"/>
          </w:tcPr>
          <w:p>
            <w:pPr>
              <w:jc w:val="right"/>
              <w:ind w:right="157"/>
              <w:spacing w:after="0" w:line="196" w:lineRule="exact"/>
              <w:rPr>
                <w:sz w:val="20"/>
                <w:szCs w:val="20"/>
                <w:color w:val="auto"/>
              </w:rPr>
            </w:pPr>
            <w:r>
              <w:rPr>
                <w:rFonts w:ascii="Arial" w:cs="Arial" w:eastAsia="Arial" w:hAnsi="Arial"/>
                <w:sz w:val="18"/>
                <w:szCs w:val="18"/>
                <w:color w:val="auto"/>
              </w:rPr>
              <w:t>61,824(e)</w:t>
            </w:r>
          </w:p>
        </w:tc>
        <w:tc>
          <w:tcPr>
            <w:tcW w:w="1060" w:type="dxa"/>
            <w:vAlign w:val="bottom"/>
            <w:tcBorders>
              <w:bottom w:val="single" w:sz="8" w:color="C1CECC"/>
            </w:tcBorders>
            <w:shd w:val="clear" w:color="auto" w:fill="F4F9F9"/>
          </w:tcPr>
          <w:p>
            <w:pPr>
              <w:jc w:val="right"/>
              <w:spacing w:after="0" w:line="196" w:lineRule="exact"/>
              <w:rPr>
                <w:sz w:val="20"/>
                <w:szCs w:val="20"/>
                <w:color w:val="auto"/>
              </w:rPr>
            </w:pPr>
            <w:r>
              <w:rPr>
                <w:rFonts w:ascii="Arial" w:cs="Arial" w:eastAsia="Arial" w:hAnsi="Arial"/>
                <w:sz w:val="18"/>
                <w:szCs w:val="18"/>
                <w:color w:val="auto"/>
              </w:rPr>
              <w:t>2,314,381</w:t>
            </w:r>
          </w:p>
        </w:tc>
        <w:tc>
          <w:tcPr>
            <w:tcW w:w="60" w:type="dxa"/>
            <w:vAlign w:val="bottom"/>
            <w:tcBorders>
              <w:bottom w:val="single" w:sz="8" w:color="C1CECC"/>
            </w:tcBorders>
            <w:shd w:val="clear" w:color="auto" w:fill="F4F9F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Mr. Ferraro</w:t>
            </w:r>
          </w:p>
        </w:tc>
        <w:tc>
          <w:tcPr>
            <w:tcW w:w="2360" w:type="dxa"/>
            <w:vAlign w:val="bottom"/>
            <w:tcBorders>
              <w:bottom w:val="single" w:sz="8" w:color="C1CECC"/>
            </w:tcBorders>
          </w:tcPr>
          <w:p>
            <w:pPr>
              <w:spacing w:after="0"/>
              <w:rPr>
                <w:sz w:val="17"/>
                <w:szCs w:val="17"/>
                <w:color w:val="auto"/>
              </w:rPr>
            </w:pPr>
          </w:p>
        </w:tc>
        <w:tc>
          <w:tcPr>
            <w:tcW w:w="1100" w:type="dxa"/>
            <w:vAlign w:val="bottom"/>
            <w:tcBorders>
              <w:bottom w:val="single" w:sz="8" w:color="C1CECC"/>
            </w:tcBorders>
          </w:tcPr>
          <w:p>
            <w:pPr>
              <w:jc w:val="right"/>
              <w:ind w:right="179"/>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1CECC"/>
            </w:tcBorders>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C1CECC"/>
            </w:tcBorders>
          </w:tcPr>
          <w:p>
            <w:pPr>
              <w:spacing w:after="0"/>
              <w:rPr>
                <w:sz w:val="17"/>
                <w:szCs w:val="17"/>
                <w:color w:val="auto"/>
              </w:rPr>
            </w:pPr>
          </w:p>
        </w:tc>
        <w:tc>
          <w:tcPr>
            <w:tcW w:w="1300" w:type="dxa"/>
            <w:vAlign w:val="bottom"/>
            <w:tcBorders>
              <w:bottom w:val="single" w:sz="8" w:color="C1CECC"/>
            </w:tcBorders>
          </w:tcPr>
          <w:p>
            <w:pPr>
              <w:jc w:val="right"/>
              <w:ind w:right="177"/>
              <w:spacing w:after="0" w:line="196" w:lineRule="exact"/>
              <w:rPr>
                <w:sz w:val="20"/>
                <w:szCs w:val="20"/>
                <w:color w:val="auto"/>
              </w:rPr>
            </w:pPr>
            <w:r>
              <w:rPr>
                <w:rFonts w:ascii="Arial" w:cs="Arial" w:eastAsia="Arial" w:hAnsi="Arial"/>
                <w:sz w:val="18"/>
                <w:szCs w:val="18"/>
                <w:color w:val="auto"/>
              </w:rPr>
              <w:t>18,697(c)</w:t>
            </w:r>
          </w:p>
        </w:tc>
        <w:tc>
          <w:tcPr>
            <w:tcW w:w="1060" w:type="dxa"/>
            <w:vAlign w:val="bottom"/>
            <w:tcBorders>
              <w:bottom w:val="single" w:sz="8" w:color="C1CECC"/>
            </w:tcBorders>
          </w:tcPr>
          <w:p>
            <w:pPr>
              <w:jc w:val="right"/>
              <w:spacing w:after="0" w:line="196" w:lineRule="exact"/>
              <w:rPr>
                <w:sz w:val="20"/>
                <w:szCs w:val="20"/>
                <w:color w:val="auto"/>
              </w:rPr>
            </w:pPr>
            <w:r>
              <w:rPr>
                <w:rFonts w:ascii="Arial" w:cs="Arial" w:eastAsia="Arial" w:hAnsi="Arial"/>
                <w:sz w:val="18"/>
                <w:szCs w:val="18"/>
                <w:color w:val="auto"/>
              </w:rPr>
              <w:t>688,450</w:t>
            </w:r>
          </w:p>
        </w:tc>
        <w:tc>
          <w:tcPr>
            <w:tcW w:w="60" w:type="dxa"/>
            <w:vAlign w:val="bottom"/>
            <w:tcBorders>
              <w:bottom w:val="single" w:sz="8" w:color="C1CEC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bottom w:val="single" w:sz="8" w:color="C1CECC"/>
            </w:tcBorders>
            <w:shd w:val="clear" w:color="auto" w:fill="F4F9F9"/>
          </w:tcPr>
          <w:p>
            <w:pPr>
              <w:spacing w:after="0" w:line="196" w:lineRule="exact"/>
              <w:rPr>
                <w:sz w:val="20"/>
                <w:szCs w:val="20"/>
                <w:color w:val="auto"/>
              </w:rPr>
            </w:pPr>
            <w:r>
              <w:rPr>
                <w:rFonts w:ascii="Arial" w:cs="Arial" w:eastAsia="Arial" w:hAnsi="Arial"/>
                <w:sz w:val="18"/>
                <w:szCs w:val="18"/>
                <w:color w:val="auto"/>
              </w:rPr>
              <w:t>Mr. Servodidio</w:t>
            </w:r>
          </w:p>
        </w:tc>
        <w:tc>
          <w:tcPr>
            <w:tcW w:w="2360" w:type="dxa"/>
            <w:vAlign w:val="bottom"/>
            <w:tcBorders>
              <w:bottom w:val="single" w:sz="8" w:color="C1CECC"/>
            </w:tcBorders>
            <w:shd w:val="clear" w:color="auto" w:fill="F4F9F9"/>
          </w:tcPr>
          <w:p>
            <w:pPr>
              <w:spacing w:after="0"/>
              <w:rPr>
                <w:sz w:val="17"/>
                <w:szCs w:val="17"/>
                <w:color w:val="auto"/>
              </w:rPr>
            </w:pPr>
          </w:p>
        </w:tc>
        <w:tc>
          <w:tcPr>
            <w:tcW w:w="1100" w:type="dxa"/>
            <w:vAlign w:val="bottom"/>
            <w:tcBorders>
              <w:bottom w:val="single" w:sz="8" w:color="C1CECC"/>
            </w:tcBorders>
            <w:shd w:val="clear" w:color="auto" w:fill="F4F9F9"/>
          </w:tcPr>
          <w:p>
            <w:pPr>
              <w:jc w:val="right"/>
              <w:ind w:right="179"/>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1CECC"/>
            </w:tcBorders>
            <w:shd w:val="clear" w:color="auto" w:fill="F4F9F9"/>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C1CECC"/>
            </w:tcBorders>
            <w:shd w:val="clear" w:color="auto" w:fill="F4F9F9"/>
          </w:tcPr>
          <w:p>
            <w:pPr>
              <w:spacing w:after="0"/>
              <w:rPr>
                <w:sz w:val="17"/>
                <w:szCs w:val="17"/>
                <w:color w:val="auto"/>
              </w:rPr>
            </w:pPr>
          </w:p>
        </w:tc>
        <w:tc>
          <w:tcPr>
            <w:tcW w:w="1300" w:type="dxa"/>
            <w:vAlign w:val="bottom"/>
            <w:tcBorders>
              <w:bottom w:val="single" w:sz="8" w:color="C1CECC"/>
            </w:tcBorders>
            <w:shd w:val="clear" w:color="auto" w:fill="F4F9F9"/>
          </w:tcPr>
          <w:p>
            <w:pPr>
              <w:jc w:val="right"/>
              <w:ind w:right="177"/>
              <w:spacing w:after="0" w:line="196" w:lineRule="exact"/>
              <w:rPr>
                <w:sz w:val="20"/>
                <w:szCs w:val="20"/>
                <w:color w:val="auto"/>
              </w:rPr>
            </w:pPr>
            <w:r>
              <w:rPr>
                <w:rFonts w:ascii="Arial" w:cs="Arial" w:eastAsia="Arial" w:hAnsi="Arial"/>
                <w:sz w:val="18"/>
                <w:szCs w:val="18"/>
                <w:color w:val="auto"/>
              </w:rPr>
              <w:t>19,514(c)</w:t>
            </w:r>
          </w:p>
        </w:tc>
        <w:tc>
          <w:tcPr>
            <w:tcW w:w="1060" w:type="dxa"/>
            <w:vAlign w:val="bottom"/>
            <w:tcBorders>
              <w:bottom w:val="single" w:sz="8" w:color="C1CECC"/>
            </w:tcBorders>
            <w:shd w:val="clear" w:color="auto" w:fill="F4F9F9"/>
          </w:tcPr>
          <w:p>
            <w:pPr>
              <w:jc w:val="right"/>
              <w:spacing w:after="0" w:line="196" w:lineRule="exact"/>
              <w:rPr>
                <w:sz w:val="20"/>
                <w:szCs w:val="20"/>
                <w:color w:val="auto"/>
              </w:rPr>
            </w:pPr>
            <w:r>
              <w:rPr>
                <w:rFonts w:ascii="Arial" w:cs="Arial" w:eastAsia="Arial" w:hAnsi="Arial"/>
                <w:sz w:val="18"/>
                <w:szCs w:val="18"/>
                <w:color w:val="auto"/>
              </w:rPr>
              <w:t>714,598</w:t>
            </w:r>
          </w:p>
        </w:tc>
        <w:tc>
          <w:tcPr>
            <w:tcW w:w="60" w:type="dxa"/>
            <w:vAlign w:val="bottom"/>
            <w:tcBorders>
              <w:bottom w:val="single" w:sz="8" w:color="C1CECC"/>
            </w:tcBorders>
            <w:shd w:val="clear" w:color="auto" w:fill="F4F9F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1CECC"/>
            </w:tcBorders>
          </w:tcPr>
          <w:p>
            <w:pPr>
              <w:spacing w:after="0"/>
              <w:rPr>
                <w:sz w:val="17"/>
                <w:szCs w:val="17"/>
                <w:color w:val="auto"/>
              </w:rPr>
            </w:pPr>
          </w:p>
        </w:tc>
        <w:tc>
          <w:tcPr>
            <w:tcW w:w="348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Mr. Wyshner</w:t>
            </w:r>
          </w:p>
        </w:tc>
        <w:tc>
          <w:tcPr>
            <w:tcW w:w="2360" w:type="dxa"/>
            <w:vAlign w:val="bottom"/>
            <w:tcBorders>
              <w:bottom w:val="single" w:sz="8" w:color="C1CECC"/>
            </w:tcBorders>
          </w:tcPr>
          <w:p>
            <w:pPr>
              <w:spacing w:after="0"/>
              <w:rPr>
                <w:sz w:val="17"/>
                <w:szCs w:val="17"/>
                <w:color w:val="auto"/>
              </w:rPr>
            </w:pPr>
          </w:p>
        </w:tc>
        <w:tc>
          <w:tcPr>
            <w:tcW w:w="1100" w:type="dxa"/>
            <w:vAlign w:val="bottom"/>
            <w:tcBorders>
              <w:bottom w:val="single" w:sz="8" w:color="C1CECC"/>
            </w:tcBorders>
          </w:tcPr>
          <w:p>
            <w:pPr>
              <w:jc w:val="right"/>
              <w:ind w:right="179"/>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1CECC"/>
            </w:tcBorders>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C1CECC"/>
            </w:tcBorders>
          </w:tcPr>
          <w:p>
            <w:pPr>
              <w:spacing w:after="0"/>
              <w:rPr>
                <w:sz w:val="17"/>
                <w:szCs w:val="17"/>
                <w:color w:val="auto"/>
              </w:rPr>
            </w:pPr>
          </w:p>
        </w:tc>
        <w:tc>
          <w:tcPr>
            <w:tcW w:w="1300" w:type="dxa"/>
            <w:vAlign w:val="bottom"/>
            <w:tcBorders>
              <w:bottom w:val="single" w:sz="8" w:color="C1CECC"/>
            </w:tcBorders>
          </w:tcPr>
          <w:p>
            <w:pPr>
              <w:jc w:val="right"/>
              <w:ind w:right="217"/>
              <w:spacing w:after="0" w:line="196" w:lineRule="exact"/>
              <w:rPr>
                <w:sz w:val="20"/>
                <w:szCs w:val="20"/>
                <w:color w:val="auto"/>
              </w:rPr>
            </w:pPr>
            <w:r>
              <w:rPr>
                <w:rFonts w:ascii="Arial" w:cs="Arial" w:eastAsia="Arial" w:hAnsi="Arial"/>
                <w:sz w:val="18"/>
                <w:szCs w:val="18"/>
                <w:color w:val="auto"/>
              </w:rPr>
              <w:t>110,429(f)</w:t>
            </w:r>
          </w:p>
        </w:tc>
        <w:tc>
          <w:tcPr>
            <w:tcW w:w="1060" w:type="dxa"/>
            <w:vAlign w:val="bottom"/>
            <w:tcBorders>
              <w:bottom w:val="single" w:sz="8" w:color="C1CECC"/>
            </w:tcBorders>
          </w:tcPr>
          <w:p>
            <w:pPr>
              <w:jc w:val="right"/>
              <w:spacing w:after="0" w:line="196" w:lineRule="exact"/>
              <w:rPr>
                <w:sz w:val="20"/>
                <w:szCs w:val="20"/>
                <w:color w:val="auto"/>
              </w:rPr>
            </w:pPr>
            <w:r>
              <w:rPr>
                <w:rFonts w:ascii="Arial" w:cs="Arial" w:eastAsia="Arial" w:hAnsi="Arial"/>
                <w:sz w:val="18"/>
                <w:szCs w:val="18"/>
                <w:color w:val="auto"/>
              </w:rPr>
              <w:t>2,867,400</w:t>
            </w:r>
          </w:p>
        </w:tc>
        <w:tc>
          <w:tcPr>
            <w:tcW w:w="60" w:type="dxa"/>
            <w:vAlign w:val="bottom"/>
            <w:tcBorders>
              <w:bottom w:val="single" w:sz="8" w:color="C1CEC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40" w:hanging="436"/>
        <w:spacing w:after="0"/>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Mr. Nelson, represents the exercise of stock options granted in 2009 with an average stock price of approximately $40.22 at exercise.</w:t>
      </w:r>
    </w:p>
    <w:p>
      <w:pPr>
        <w:spacing w:after="0" w:line="109" w:lineRule="exact"/>
        <w:rPr>
          <w:rFonts w:ascii="Arial" w:cs="Arial" w:eastAsia="Arial" w:hAnsi="Arial"/>
          <w:sz w:val="14"/>
          <w:szCs w:val="14"/>
          <w:color w:val="auto"/>
        </w:rPr>
      </w:pPr>
    </w:p>
    <w:p>
      <w:pPr>
        <w:ind w:left="640" w:hanging="436"/>
        <w:spacing w:after="0"/>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value represents the difference between the price of our Common Stock at the time of exercise and the exercise price.</w:t>
      </w:r>
    </w:p>
    <w:p>
      <w:pPr>
        <w:spacing w:after="0" w:line="109" w:lineRule="exact"/>
        <w:rPr>
          <w:rFonts w:ascii="Arial" w:cs="Arial" w:eastAsia="Arial" w:hAnsi="Arial"/>
          <w:sz w:val="14"/>
          <w:szCs w:val="14"/>
          <w:color w:val="auto"/>
        </w:rPr>
      </w:pPr>
    </w:p>
    <w:p>
      <w:pPr>
        <w:ind w:left="640" w:hanging="436"/>
        <w:spacing w:after="0"/>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the vesting of 109% of a PSU award granted in 2014, and 33% of RSU awards granted in 2014, 2015 and 2016.</w:t>
      </w:r>
    </w:p>
    <w:p>
      <w:pPr>
        <w:spacing w:after="0" w:line="109" w:lineRule="exact"/>
        <w:rPr>
          <w:rFonts w:ascii="Arial" w:cs="Arial" w:eastAsia="Arial" w:hAnsi="Arial"/>
          <w:sz w:val="14"/>
          <w:szCs w:val="14"/>
          <w:color w:val="auto"/>
        </w:rPr>
      </w:pPr>
    </w:p>
    <w:p>
      <w:pPr>
        <w:ind w:left="640" w:hanging="436"/>
        <w:spacing w:after="0"/>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the vesting of 109% of a PSU award granted in 2014, and 33% of RSU awards granted in 2014 and 2015.</w:t>
      </w:r>
    </w:p>
    <w:p>
      <w:pPr>
        <w:spacing w:after="0" w:line="109" w:lineRule="exact"/>
        <w:rPr>
          <w:rFonts w:ascii="Arial" w:cs="Arial" w:eastAsia="Arial" w:hAnsi="Arial"/>
          <w:sz w:val="14"/>
          <w:szCs w:val="14"/>
          <w:color w:val="auto"/>
        </w:rPr>
      </w:pPr>
    </w:p>
    <w:p>
      <w:pPr>
        <w:ind w:left="640" w:hanging="436"/>
        <w:spacing w:after="0"/>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the vesting of 60% of a PSU award and 100% of an RSU award granted in 2016.</w:t>
      </w:r>
    </w:p>
    <w:p>
      <w:pPr>
        <w:spacing w:after="0" w:line="109" w:lineRule="exact"/>
        <w:rPr>
          <w:rFonts w:ascii="Arial" w:cs="Arial" w:eastAsia="Arial" w:hAnsi="Arial"/>
          <w:sz w:val="14"/>
          <w:szCs w:val="14"/>
          <w:color w:val="auto"/>
        </w:rPr>
      </w:pPr>
    </w:p>
    <w:p>
      <w:pPr>
        <w:jc w:val="both"/>
        <w:ind w:left="640" w:right="20" w:hanging="436"/>
        <w:spacing w:after="0" w:line="228" w:lineRule="auto"/>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the regular vesting of 109% of a PSU award granted in 2014, and 33% of RSU awards granted in 2014, 2015 and 2016. Also reflects, pursuant to the terms of the separation agreement between the Company and Mr. Wyshner, the vesting of all remaining RSU awards scheduled to vest within two years following separation from the Company.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Pension Benefits Table</w:t>
      </w:r>
    </w:p>
    <w:p>
      <w:pPr>
        <w:spacing w:after="0" w:line="1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Present Value</w:t>
            </w:r>
          </w:p>
        </w:tc>
        <w:tc>
          <w:tcPr>
            <w:tcW w:w="1060" w:type="dxa"/>
            <w:vAlign w:val="bottom"/>
          </w:tcPr>
          <w:p>
            <w:pPr>
              <w:jc w:val="center"/>
              <w:ind w:left="22"/>
              <w:spacing w:after="0"/>
              <w:rPr>
                <w:sz w:val="20"/>
                <w:szCs w:val="20"/>
                <w:color w:val="auto"/>
              </w:rPr>
            </w:pPr>
            <w:r>
              <w:rPr>
                <w:rFonts w:ascii="Arial" w:cs="Arial" w:eastAsia="Arial" w:hAnsi="Arial"/>
                <w:sz w:val="14"/>
                <w:szCs w:val="14"/>
                <w:b w:val="1"/>
                <w:bCs w:val="1"/>
                <w:color w:val="auto"/>
              </w:rPr>
              <w:t>Payments</w:t>
            </w:r>
          </w:p>
        </w:tc>
      </w:t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600" w:type="dxa"/>
            <w:vAlign w:val="bottom"/>
          </w:tcPr>
          <w:p>
            <w:pPr>
              <w:jc w:val="center"/>
              <w:ind w:left="661"/>
              <w:spacing w:after="0"/>
              <w:rPr>
                <w:sz w:val="20"/>
                <w:szCs w:val="20"/>
                <w:color w:val="auto"/>
              </w:rPr>
            </w:pPr>
            <w:r>
              <w:rPr>
                <w:rFonts w:ascii="Arial" w:cs="Arial" w:eastAsia="Arial" w:hAnsi="Arial"/>
                <w:sz w:val="14"/>
                <w:szCs w:val="14"/>
                <w:b w:val="1"/>
                <w:bCs w:val="1"/>
                <w:color w:val="auto"/>
              </w:rPr>
              <w:t>Number of Years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1060" w:type="dxa"/>
            <w:vAlign w:val="bottom"/>
          </w:tcPr>
          <w:p>
            <w:pPr>
              <w:jc w:val="center"/>
              <w:ind w:left="22"/>
              <w:spacing w:after="0"/>
              <w:rPr>
                <w:sz w:val="20"/>
                <w:szCs w:val="20"/>
                <w:color w:val="auto"/>
              </w:rPr>
            </w:pPr>
            <w:r>
              <w:rPr>
                <w:rFonts w:ascii="Arial" w:cs="Arial" w:eastAsia="Arial" w:hAnsi="Arial"/>
                <w:sz w:val="14"/>
                <w:szCs w:val="14"/>
                <w:b w:val="1"/>
                <w:bCs w:val="1"/>
                <w:color w:val="auto"/>
              </w:rPr>
              <w:t>During Last</w:t>
            </w:r>
          </w:p>
        </w:tc>
      </w:t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600" w:type="dxa"/>
            <w:vAlign w:val="bottom"/>
          </w:tcPr>
          <w:p>
            <w:pPr>
              <w:jc w:val="center"/>
              <w:ind w:left="661"/>
              <w:spacing w:after="0"/>
              <w:rPr>
                <w:sz w:val="20"/>
                <w:szCs w:val="20"/>
                <w:color w:val="auto"/>
              </w:rPr>
            </w:pPr>
            <w:r>
              <w:rPr>
                <w:rFonts w:ascii="Arial" w:cs="Arial" w:eastAsia="Arial" w:hAnsi="Arial"/>
                <w:sz w:val="14"/>
                <w:szCs w:val="14"/>
                <w:b w:val="1"/>
                <w:bCs w:val="1"/>
                <w:color w:val="auto"/>
              </w:rPr>
              <w:t>Credited Service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1060" w:type="dxa"/>
            <w:vAlign w:val="bottom"/>
          </w:tcPr>
          <w:p>
            <w:pPr>
              <w:jc w:val="center"/>
              <w:ind w:left="42"/>
              <w:spacing w:after="0"/>
              <w:rPr>
                <w:sz w:val="20"/>
                <w:szCs w:val="20"/>
                <w:color w:val="auto"/>
              </w:rPr>
            </w:pPr>
            <w:r>
              <w:rPr>
                <w:rFonts w:ascii="Arial" w:cs="Arial" w:eastAsia="Arial" w:hAnsi="Arial"/>
                <w:sz w:val="14"/>
                <w:szCs w:val="14"/>
                <w:b w:val="1"/>
                <w:bCs w:val="1"/>
                <w:color w:val="auto"/>
              </w:rPr>
              <w:t>Fiscal Year</w:t>
            </w:r>
          </w:p>
        </w:tc>
      </w:tr>
      <w:tr>
        <w:trPr>
          <w:trHeight w:val="17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80" w:type="dxa"/>
            <w:vAlign w:val="bottom"/>
          </w:tcPr>
          <w:p>
            <w:pPr>
              <w:ind w:left="2500"/>
              <w:spacing w:after="0"/>
              <w:rPr>
                <w:sz w:val="20"/>
                <w:szCs w:val="20"/>
                <w:color w:val="auto"/>
              </w:rPr>
            </w:pPr>
            <w:r>
              <w:rPr>
                <w:rFonts w:ascii="Arial" w:cs="Arial" w:eastAsia="Arial" w:hAnsi="Arial"/>
                <w:sz w:val="14"/>
                <w:szCs w:val="14"/>
                <w:b w:val="1"/>
                <w:bCs w:val="1"/>
                <w:color w:val="auto"/>
              </w:rPr>
              <w:t>Plan Name</w:t>
            </w:r>
          </w:p>
        </w:tc>
        <w:tc>
          <w:tcPr>
            <w:tcW w:w="2600" w:type="dxa"/>
            <w:vAlign w:val="bottom"/>
          </w:tcPr>
          <w:p>
            <w:pPr>
              <w:jc w:val="center"/>
              <w:ind w:left="661"/>
              <w:spacing w:after="0"/>
              <w:rPr>
                <w:sz w:val="20"/>
                <w:szCs w:val="20"/>
                <w:color w:val="auto"/>
              </w:rPr>
            </w:pPr>
            <w:r>
              <w:rPr>
                <w:rFonts w:ascii="Arial" w:cs="Arial" w:eastAsia="Arial" w:hAnsi="Arial"/>
                <w:sz w:val="14"/>
                <w:szCs w:val="14"/>
                <w:b w:val="1"/>
                <w:bCs w:val="1"/>
                <w:color w:val="auto"/>
                <w:w w:val="99"/>
              </w:rPr>
              <w:t>(#)(a)</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Benefit ($)(a)</w:t>
            </w:r>
          </w:p>
        </w:tc>
        <w:tc>
          <w:tcPr>
            <w:tcW w:w="1060" w:type="dxa"/>
            <w:vAlign w:val="bottom"/>
          </w:tcPr>
          <w:p>
            <w:pPr>
              <w:jc w:val="center"/>
              <w:ind w:left="42"/>
              <w:spacing w:after="0"/>
              <w:rPr>
                <w:sz w:val="20"/>
                <w:szCs w:val="20"/>
                <w:color w:val="auto"/>
              </w:rPr>
            </w:pPr>
            <w:r>
              <w:rPr>
                <w:rFonts w:ascii="Arial" w:cs="Arial" w:eastAsia="Arial" w:hAnsi="Arial"/>
                <w:sz w:val="14"/>
                <w:szCs w:val="14"/>
                <w:b w:val="1"/>
                <w:bCs w:val="1"/>
                <w:color w:val="auto"/>
              </w:rPr>
              <w:t>($)</w:t>
            </w:r>
          </w:p>
        </w:tc>
      </w:tr>
      <w:tr>
        <w:trPr>
          <w:trHeight w:val="196"/>
        </w:trPr>
        <w:tc>
          <w:tcPr>
            <w:tcW w:w="20" w:type="dxa"/>
            <w:vAlign w:val="bottom"/>
          </w:tcPr>
          <w:p>
            <w:pPr>
              <w:spacing w:after="0"/>
              <w:rPr>
                <w:sz w:val="17"/>
                <w:szCs w:val="17"/>
                <w:color w:val="auto"/>
              </w:rPr>
            </w:pPr>
          </w:p>
        </w:tc>
        <w:tc>
          <w:tcPr>
            <w:tcW w:w="1140" w:type="dxa"/>
            <w:vAlign w:val="bottom"/>
            <w:tcBorders>
              <w:top w:val="single" w:sz="8" w:color="auto"/>
              <w:bottom w:val="single" w:sz="8" w:color="C1CECC"/>
            </w:tcBorders>
            <w:shd w:val="clear" w:color="auto" w:fill="CCEEFF"/>
          </w:tcPr>
          <w:p>
            <w:pPr>
              <w:spacing w:after="0" w:line="196" w:lineRule="exact"/>
              <w:rPr>
                <w:sz w:val="20"/>
                <w:szCs w:val="20"/>
                <w:color w:val="auto"/>
              </w:rPr>
            </w:pPr>
            <w:r>
              <w:rPr>
                <w:rFonts w:ascii="Arial" w:cs="Arial" w:eastAsia="Arial" w:hAnsi="Arial"/>
                <w:sz w:val="18"/>
                <w:szCs w:val="18"/>
                <w:color w:val="auto"/>
              </w:rPr>
              <w:t>Mr. Ferraro</w:t>
            </w:r>
          </w:p>
        </w:tc>
        <w:tc>
          <w:tcPr>
            <w:tcW w:w="4880" w:type="dxa"/>
            <w:vAlign w:val="bottom"/>
            <w:tcBorders>
              <w:top w:val="single" w:sz="8" w:color="auto"/>
              <w:bottom w:val="single" w:sz="8" w:color="C1CECC"/>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Avis Rent A Car System, LLC Pension Plan</w:t>
            </w:r>
            <w:r>
              <w:rPr>
                <w:rFonts w:ascii="Arial" w:cs="Arial" w:eastAsia="Arial" w:hAnsi="Arial"/>
                <w:sz w:val="15"/>
                <w:szCs w:val="15"/>
                <w:color w:val="auto"/>
              </w:rPr>
              <w:t>(a)</w:t>
            </w:r>
          </w:p>
        </w:tc>
        <w:tc>
          <w:tcPr>
            <w:tcW w:w="2600" w:type="dxa"/>
            <w:vAlign w:val="bottom"/>
            <w:tcBorders>
              <w:top w:val="single" w:sz="8" w:color="auto"/>
              <w:bottom w:val="single" w:sz="8" w:color="C1CECC"/>
            </w:tcBorders>
            <w:shd w:val="clear" w:color="auto" w:fill="CCEEFF"/>
          </w:tcPr>
          <w:p>
            <w:pPr>
              <w:jc w:val="right"/>
              <w:ind w:right="101"/>
              <w:spacing w:after="0" w:line="196" w:lineRule="exact"/>
              <w:rPr>
                <w:sz w:val="20"/>
                <w:szCs w:val="20"/>
                <w:color w:val="auto"/>
              </w:rPr>
            </w:pPr>
            <w:r>
              <w:rPr>
                <w:rFonts w:ascii="Arial" w:cs="Arial" w:eastAsia="Arial" w:hAnsi="Arial"/>
                <w:sz w:val="18"/>
                <w:szCs w:val="18"/>
                <w:color w:val="auto"/>
              </w:rPr>
              <w:t>21 years, 1 month</w:t>
            </w:r>
          </w:p>
        </w:tc>
        <w:tc>
          <w:tcPr>
            <w:tcW w:w="1340" w:type="dxa"/>
            <w:vAlign w:val="bottom"/>
            <w:tcBorders>
              <w:top w:val="single" w:sz="8" w:color="auto"/>
              <w:bottom w:val="single" w:sz="8" w:color="C1CECC"/>
            </w:tcBorders>
            <w:shd w:val="clear" w:color="auto" w:fill="CCEEFF"/>
          </w:tcPr>
          <w:p>
            <w:pPr>
              <w:jc w:val="right"/>
              <w:ind w:right="122"/>
              <w:spacing w:after="0" w:line="196" w:lineRule="exact"/>
              <w:rPr>
                <w:sz w:val="20"/>
                <w:szCs w:val="20"/>
                <w:color w:val="auto"/>
              </w:rPr>
            </w:pPr>
            <w:r>
              <w:rPr>
                <w:rFonts w:ascii="Arial" w:cs="Arial" w:eastAsia="Arial" w:hAnsi="Arial"/>
                <w:sz w:val="18"/>
                <w:szCs w:val="18"/>
                <w:color w:val="auto"/>
              </w:rPr>
              <w:t>396,296</w:t>
            </w:r>
          </w:p>
        </w:tc>
        <w:tc>
          <w:tcPr>
            <w:tcW w:w="1060" w:type="dxa"/>
            <w:vAlign w:val="bottom"/>
            <w:tcBorders>
              <w:top w:val="single" w:sz="8" w:color="auto"/>
              <w:bottom w:val="single" w:sz="8" w:color="C1CECC"/>
            </w:tcBorders>
            <w:shd w:val="clear" w:color="auto" w:fill="CCEEFF"/>
          </w:tcPr>
          <w:p>
            <w:pPr>
              <w:jc w:val="right"/>
              <w:ind w:right="282"/>
              <w:spacing w:after="0" w:line="196"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Borders>
              <w:bottom w:val="single" w:sz="8" w:color="C1CECC"/>
            </w:tcBorders>
          </w:tcPr>
          <w:p>
            <w:pPr>
              <w:spacing w:after="0"/>
              <w:rPr>
                <w:sz w:val="17"/>
                <w:szCs w:val="17"/>
                <w:color w:val="auto"/>
              </w:rPr>
            </w:pPr>
          </w:p>
        </w:tc>
        <w:tc>
          <w:tcPr>
            <w:tcW w:w="114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Mr. Smith</w:t>
            </w:r>
          </w:p>
        </w:tc>
        <w:tc>
          <w:tcPr>
            <w:tcW w:w="4880" w:type="dxa"/>
            <w:vAlign w:val="bottom"/>
            <w:tcBorders>
              <w:bottom w:val="single" w:sz="8" w:color="C1CECC"/>
            </w:tcBorders>
          </w:tcPr>
          <w:p>
            <w:pPr>
              <w:ind w:left="240"/>
              <w:spacing w:after="0" w:line="196" w:lineRule="exact"/>
              <w:rPr>
                <w:sz w:val="20"/>
                <w:szCs w:val="20"/>
                <w:color w:val="auto"/>
              </w:rPr>
            </w:pPr>
            <w:r>
              <w:rPr>
                <w:rFonts w:ascii="Arial" w:cs="Arial" w:eastAsia="Arial" w:hAnsi="Arial"/>
                <w:sz w:val="18"/>
                <w:szCs w:val="18"/>
                <w:color w:val="auto"/>
              </w:rPr>
              <w:t>Avis UK Pension Plan</w:t>
            </w:r>
            <w:r>
              <w:rPr>
                <w:rFonts w:ascii="Arial" w:cs="Arial" w:eastAsia="Arial" w:hAnsi="Arial"/>
                <w:sz w:val="15"/>
                <w:szCs w:val="15"/>
                <w:color w:val="auto"/>
              </w:rPr>
              <w:t>(b)</w:t>
            </w:r>
          </w:p>
        </w:tc>
        <w:tc>
          <w:tcPr>
            <w:tcW w:w="2600" w:type="dxa"/>
            <w:vAlign w:val="bottom"/>
            <w:tcBorders>
              <w:bottom w:val="single" w:sz="8" w:color="C1CECC"/>
            </w:tcBorders>
          </w:tcPr>
          <w:p>
            <w:pPr>
              <w:jc w:val="right"/>
              <w:ind w:right="101"/>
              <w:spacing w:after="0" w:line="196" w:lineRule="exact"/>
              <w:rPr>
                <w:sz w:val="20"/>
                <w:szCs w:val="20"/>
                <w:color w:val="auto"/>
              </w:rPr>
            </w:pPr>
            <w:r>
              <w:rPr>
                <w:rFonts w:ascii="Arial" w:cs="Arial" w:eastAsia="Arial" w:hAnsi="Arial"/>
                <w:sz w:val="18"/>
                <w:szCs w:val="18"/>
                <w:color w:val="auto"/>
              </w:rPr>
              <w:t>3 years, 6 months</w:t>
            </w:r>
          </w:p>
        </w:tc>
        <w:tc>
          <w:tcPr>
            <w:tcW w:w="1340" w:type="dxa"/>
            <w:vAlign w:val="bottom"/>
            <w:tcBorders>
              <w:bottom w:val="single" w:sz="8" w:color="C1CECC"/>
            </w:tcBorders>
          </w:tcPr>
          <w:p>
            <w:pPr>
              <w:jc w:val="right"/>
              <w:ind w:right="122"/>
              <w:spacing w:after="0" w:line="196" w:lineRule="exact"/>
              <w:rPr>
                <w:sz w:val="20"/>
                <w:szCs w:val="20"/>
                <w:color w:val="auto"/>
              </w:rPr>
            </w:pPr>
            <w:r>
              <w:rPr>
                <w:rFonts w:ascii="Arial" w:cs="Arial" w:eastAsia="Arial" w:hAnsi="Arial"/>
                <w:sz w:val="18"/>
                <w:szCs w:val="18"/>
                <w:color w:val="auto"/>
              </w:rPr>
              <w:t>205,537</w:t>
            </w:r>
          </w:p>
        </w:tc>
        <w:tc>
          <w:tcPr>
            <w:tcW w:w="1060" w:type="dxa"/>
            <w:vAlign w:val="bottom"/>
            <w:tcBorders>
              <w:bottom w:val="single" w:sz="8" w:color="C1CECC"/>
            </w:tcBorders>
          </w:tcPr>
          <w:p>
            <w:pPr>
              <w:jc w:val="right"/>
              <w:spacing w:after="0" w:line="196" w:lineRule="exact"/>
              <w:rPr>
                <w:sz w:val="20"/>
                <w:szCs w:val="20"/>
                <w:color w:val="auto"/>
              </w:rPr>
            </w:pPr>
            <w:r>
              <w:rPr>
                <w:rFonts w:ascii="Arial" w:cs="Arial" w:eastAsia="Arial" w:hAnsi="Arial"/>
                <w:sz w:val="18"/>
                <w:szCs w:val="18"/>
                <w:color w:val="auto"/>
              </w:rPr>
              <w:t>53,929</w:t>
            </w:r>
          </w:p>
        </w:tc>
      </w:tr>
    </w:tbl>
    <w:p>
      <w:pPr>
        <w:spacing w:after="0" w:line="121" w:lineRule="exact"/>
        <w:rPr>
          <w:sz w:val="20"/>
          <w:szCs w:val="20"/>
          <w:color w:val="auto"/>
        </w:rPr>
      </w:pPr>
    </w:p>
    <w:p>
      <w:pPr>
        <w:jc w:val="both"/>
        <w:ind w:left="640" w:right="20" w:hanging="436"/>
        <w:spacing w:after="0" w:line="226" w:lineRule="auto"/>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Avis froze its qualified defined benefit pension plan to new participation and future benefit accruals as of December 31, 1998. Mr. Ferraro is the only NEO who participated in this plan. Prior to December 31, 1998, Mr. Ferraro earned the right to receive certain benefits upon retirement at the retirement age of 65 or upon early retirement on or after age 55. For a discussion of the calculation of retirement benefits, please see Note 17 to our audited financial statements for the fiscal year ended December 31, 2017, included in our 2017 Form 10-K.</w:t>
      </w:r>
    </w:p>
    <w:p>
      <w:pPr>
        <w:spacing w:after="0" w:line="68" w:lineRule="exact"/>
        <w:rPr>
          <w:rFonts w:ascii="Arial" w:cs="Arial" w:eastAsia="Arial" w:hAnsi="Arial"/>
          <w:sz w:val="14"/>
          <w:szCs w:val="14"/>
          <w:color w:val="auto"/>
        </w:rPr>
      </w:pPr>
    </w:p>
    <w:p>
      <w:pPr>
        <w:jc w:val="both"/>
        <w:ind w:left="640" w:right="20"/>
        <w:spacing w:after="0" w:line="225" w:lineRule="auto"/>
        <w:rPr>
          <w:rFonts w:ascii="Arial" w:cs="Arial" w:eastAsia="Arial" w:hAnsi="Arial"/>
          <w:sz w:val="14"/>
          <w:szCs w:val="14"/>
          <w:color w:val="auto"/>
        </w:rPr>
      </w:pPr>
      <w:r>
        <w:rPr>
          <w:rFonts w:ascii="Arial" w:cs="Arial" w:eastAsia="Arial" w:hAnsi="Arial"/>
          <w:sz w:val="14"/>
          <w:szCs w:val="14"/>
          <w:color w:val="auto"/>
        </w:rPr>
        <w:t>The Avis Rent A Car System, LLC Pension Plan is a qualified, final average pay type of retirement plan that pays unreduced benefits upon attainment of age 65. The retirement benefit is calculated by multiplying years of credited service and final average pay (five highest consecutive years earnings in the ten years immediately preceding the December 31, 1998 plan freeze date) and reducing that amount by a portion of estimated Social Security old age benefits payable at age 65. The normal form of payment is a 50% joint and survivor annuity (assuming the participant is married at the time benefit payments commence). Alternate forms of annuity payments and a lump-sum option may be selected, if approved by the spouse.</w:t>
      </w:r>
    </w:p>
    <w:p>
      <w:pPr>
        <w:spacing w:after="0" w:line="69" w:lineRule="exact"/>
        <w:rPr>
          <w:rFonts w:ascii="Arial" w:cs="Arial" w:eastAsia="Arial" w:hAnsi="Arial"/>
          <w:sz w:val="14"/>
          <w:szCs w:val="14"/>
          <w:color w:val="auto"/>
        </w:rPr>
      </w:pPr>
    </w:p>
    <w:p>
      <w:pPr>
        <w:jc w:val="both"/>
        <w:ind w:left="640" w:right="20" w:hanging="436"/>
        <w:spacing w:after="0" w:line="224" w:lineRule="auto"/>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 of December 31, 2017, Mr. Smith participated in the Avis UK Pension Plan, a funded pension plan, set up and administered under UK trust law and other relevant UK legislation. The plan has defined benefit and defined contribution sections. Mr. Smith participates in the defined benefit component of the Plan, which provides pension benefits based on service and final salary, and are payable to Mr. Smith upon attainment of age 62. Pension benefits increase in line with price inflation, subject to limits set out in the Plan’s governing documents. For Mr. Smith, the present value of accumulated benefits reflects £/$ exchange rate as of December 31, 2017, and payments during last fiscal year reflect a £/$ exchange rate as of the date paid, received or allocated. For a discussion of the calculation of retirement benefits, please see Note 17 to our audited financial statements for the fiscal year ended December 31, 2017, included in our 2017 Form 10-K.</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Non-qualified Deferred Compensation Table</w:t>
      </w: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960" w:type="dxa"/>
            <w:vAlign w:val="bottom"/>
          </w:tcPr>
          <w:p>
            <w:pPr>
              <w:jc w:val="center"/>
              <w:ind w:left="1457"/>
              <w:spacing w:after="0"/>
              <w:rPr>
                <w:sz w:val="20"/>
                <w:szCs w:val="20"/>
                <w:color w:val="auto"/>
              </w:rPr>
            </w:pPr>
            <w:r>
              <w:rPr>
                <w:rFonts w:ascii="Arial" w:cs="Arial" w:eastAsia="Arial" w:hAnsi="Arial"/>
                <w:sz w:val="14"/>
                <w:szCs w:val="14"/>
                <w:b w:val="1"/>
                <w:bCs w:val="1"/>
                <w:color w:val="auto"/>
              </w:rPr>
              <w:t>Executive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Registrant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140" w:type="dxa"/>
            <w:vAlign w:val="bottom"/>
          </w:tcPr>
          <w:p>
            <w:pPr>
              <w:jc w:val="center"/>
              <w:ind w:left="57"/>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960" w:type="dxa"/>
            <w:vAlign w:val="bottom"/>
          </w:tcPr>
          <w:p>
            <w:pPr>
              <w:jc w:val="center"/>
              <w:ind w:left="1457"/>
              <w:spacing w:after="0"/>
              <w:rPr>
                <w:sz w:val="20"/>
                <w:szCs w:val="20"/>
                <w:color w:val="auto"/>
              </w:rPr>
            </w:pPr>
            <w:r>
              <w:rPr>
                <w:rFonts w:ascii="Arial" w:cs="Arial" w:eastAsia="Arial" w:hAnsi="Arial"/>
                <w:sz w:val="14"/>
                <w:szCs w:val="14"/>
                <w:b w:val="1"/>
                <w:bCs w:val="1"/>
                <w:color w:val="auto"/>
              </w:rPr>
              <w:t>Contributions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Withdrawals/</w:t>
            </w:r>
          </w:p>
        </w:tc>
        <w:tc>
          <w:tcPr>
            <w:tcW w:w="1140" w:type="dxa"/>
            <w:vAlign w:val="bottom"/>
          </w:tcPr>
          <w:p>
            <w:pPr>
              <w:jc w:val="center"/>
              <w:ind w:left="57"/>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960" w:type="dxa"/>
            <w:vAlign w:val="bottom"/>
          </w:tcPr>
          <w:p>
            <w:pPr>
              <w:jc w:val="center"/>
              <w:ind w:left="1457"/>
              <w:spacing w:after="0"/>
              <w:rPr>
                <w:sz w:val="20"/>
                <w:szCs w:val="20"/>
                <w:color w:val="auto"/>
              </w:rPr>
            </w:pPr>
            <w:r>
              <w:rPr>
                <w:rFonts w:ascii="Arial" w:cs="Arial" w:eastAsia="Arial" w:hAnsi="Arial"/>
                <w:sz w:val="14"/>
                <w:szCs w:val="14"/>
                <w:b w:val="1"/>
                <w:bCs w:val="1"/>
                <w:color w:val="auto"/>
              </w:rPr>
              <w:t>in Last FY</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in Last FY</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in Last FY</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Distributions</w:t>
            </w:r>
          </w:p>
        </w:tc>
        <w:tc>
          <w:tcPr>
            <w:tcW w:w="1140" w:type="dxa"/>
            <w:vAlign w:val="bottom"/>
          </w:tcPr>
          <w:p>
            <w:pPr>
              <w:jc w:val="center"/>
              <w:ind w:left="57"/>
              <w:spacing w:after="0"/>
              <w:rPr>
                <w:sz w:val="20"/>
                <w:szCs w:val="20"/>
                <w:color w:val="auto"/>
              </w:rPr>
            </w:pPr>
            <w:r>
              <w:rPr>
                <w:rFonts w:ascii="Arial" w:cs="Arial" w:eastAsia="Arial" w:hAnsi="Arial"/>
                <w:sz w:val="14"/>
                <w:szCs w:val="14"/>
                <w:b w:val="1"/>
                <w:bCs w:val="1"/>
                <w:color w:val="auto"/>
              </w:rPr>
              <w:t>Last FYE</w:t>
            </w:r>
          </w:p>
        </w:tc>
      </w:tr>
      <w:tr>
        <w:trPr>
          <w:trHeight w:val="175"/>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960" w:type="dxa"/>
            <w:vAlign w:val="bottom"/>
          </w:tcPr>
          <w:p>
            <w:pPr>
              <w:jc w:val="center"/>
              <w:ind w:left="1457"/>
              <w:spacing w:after="0"/>
              <w:rPr>
                <w:sz w:val="20"/>
                <w:szCs w:val="20"/>
                <w:color w:val="auto"/>
              </w:rPr>
            </w:pPr>
            <w:r>
              <w:rPr>
                <w:rFonts w:ascii="Arial" w:cs="Arial" w:eastAsia="Arial" w:hAnsi="Arial"/>
                <w:sz w:val="14"/>
                <w:szCs w:val="14"/>
                <w:b w:val="1"/>
                <w:bCs w:val="1"/>
                <w:color w:val="auto"/>
                <w:w w:val="99"/>
              </w:rPr>
              <w:t>($)(a)</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9"/>
              </w:rPr>
              <w:t>($)(c)</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1140" w:type="dxa"/>
            <w:vAlign w:val="bottom"/>
          </w:tcPr>
          <w:p>
            <w:pPr>
              <w:jc w:val="center"/>
              <w:ind w:left="57"/>
              <w:spacing w:after="0"/>
              <w:rPr>
                <w:sz w:val="20"/>
                <w:szCs w:val="20"/>
                <w:color w:val="auto"/>
              </w:rPr>
            </w:pPr>
            <w:r>
              <w:rPr>
                <w:rFonts w:ascii="Arial" w:cs="Arial" w:eastAsia="Arial" w:hAnsi="Arial"/>
                <w:sz w:val="14"/>
                <w:szCs w:val="14"/>
                <w:b w:val="1"/>
                <w:bCs w:val="1"/>
                <w:color w:val="auto"/>
              </w:rPr>
              <w:t>($)(e)</w:t>
            </w:r>
          </w:p>
        </w:tc>
      </w:tr>
      <w:tr>
        <w:trPr>
          <w:trHeight w:val="203"/>
        </w:trPr>
        <w:tc>
          <w:tcPr>
            <w:tcW w:w="20" w:type="dxa"/>
            <w:vAlign w:val="bottom"/>
          </w:tcPr>
          <w:p>
            <w:pPr>
              <w:spacing w:after="0"/>
              <w:rPr>
                <w:sz w:val="17"/>
                <w:szCs w:val="17"/>
                <w:color w:val="auto"/>
              </w:rPr>
            </w:pPr>
          </w:p>
        </w:tc>
        <w:tc>
          <w:tcPr>
            <w:tcW w:w="2920" w:type="dxa"/>
            <w:vAlign w:val="bottom"/>
            <w:tcBorders>
              <w:top w:val="single" w:sz="8" w:color="auto"/>
              <w:bottom w:val="single" w:sz="8" w:color="E5E5E5"/>
            </w:tcBorders>
            <w:shd w:val="clear" w:color="auto" w:fill="F2F2F2"/>
          </w:tcPr>
          <w:p>
            <w:pPr>
              <w:spacing w:after="0" w:line="196" w:lineRule="exact"/>
              <w:rPr>
                <w:sz w:val="20"/>
                <w:szCs w:val="20"/>
                <w:color w:val="auto"/>
              </w:rPr>
            </w:pPr>
            <w:r>
              <w:rPr>
                <w:rFonts w:ascii="Arial" w:cs="Arial" w:eastAsia="Arial" w:hAnsi="Arial"/>
                <w:sz w:val="18"/>
                <w:szCs w:val="18"/>
                <w:color w:val="auto"/>
              </w:rPr>
              <w:t>Mr. De Shon</w:t>
            </w:r>
          </w:p>
        </w:tc>
        <w:tc>
          <w:tcPr>
            <w:tcW w:w="2960" w:type="dxa"/>
            <w:vAlign w:val="bottom"/>
            <w:tcBorders>
              <w:top w:val="single" w:sz="8" w:color="auto"/>
              <w:bottom w:val="single" w:sz="8" w:color="E5E5E5"/>
            </w:tcBorders>
            <w:shd w:val="clear" w:color="auto" w:fill="F2F2F2"/>
          </w:tcPr>
          <w:p>
            <w:pPr>
              <w:jc w:val="right"/>
              <w:ind w:right="157"/>
              <w:spacing w:after="0" w:line="196" w:lineRule="exact"/>
              <w:rPr>
                <w:sz w:val="20"/>
                <w:szCs w:val="20"/>
                <w:color w:val="auto"/>
              </w:rPr>
            </w:pPr>
            <w:r>
              <w:rPr>
                <w:rFonts w:ascii="Arial" w:cs="Arial" w:eastAsia="Arial" w:hAnsi="Arial"/>
                <w:sz w:val="18"/>
                <w:szCs w:val="18"/>
                <w:color w:val="auto"/>
              </w:rPr>
              <w:t>707,628</w:t>
            </w:r>
          </w:p>
        </w:tc>
        <w:tc>
          <w:tcPr>
            <w:tcW w:w="1420" w:type="dxa"/>
            <w:vAlign w:val="bottom"/>
            <w:tcBorders>
              <w:top w:val="single" w:sz="8" w:color="auto"/>
              <w:bottom w:val="single" w:sz="8" w:color="E5E5E5"/>
            </w:tcBorders>
            <w:shd w:val="clear" w:color="auto" w:fill="F2F2F2"/>
          </w:tcPr>
          <w:p>
            <w:pPr>
              <w:jc w:val="right"/>
              <w:ind w:right="157"/>
              <w:spacing w:after="0" w:line="196" w:lineRule="exact"/>
              <w:rPr>
                <w:sz w:val="20"/>
                <w:szCs w:val="20"/>
                <w:color w:val="auto"/>
              </w:rPr>
            </w:pPr>
            <w:r>
              <w:rPr>
                <w:rFonts w:ascii="Arial" w:cs="Arial" w:eastAsia="Arial" w:hAnsi="Arial"/>
                <w:sz w:val="18"/>
                <w:szCs w:val="18"/>
                <w:color w:val="auto"/>
              </w:rPr>
              <w:t>104,538</w:t>
            </w:r>
          </w:p>
        </w:tc>
        <w:tc>
          <w:tcPr>
            <w:tcW w:w="1180" w:type="dxa"/>
            <w:vAlign w:val="bottom"/>
            <w:tcBorders>
              <w:top w:val="single" w:sz="8" w:color="auto"/>
              <w:bottom w:val="single" w:sz="8" w:color="E5E5E5"/>
            </w:tcBorders>
            <w:shd w:val="clear" w:color="auto" w:fill="F2F2F2"/>
          </w:tcPr>
          <w:p>
            <w:pPr>
              <w:jc w:val="right"/>
              <w:ind w:right="157"/>
              <w:spacing w:after="0" w:line="196" w:lineRule="exact"/>
              <w:rPr>
                <w:sz w:val="20"/>
                <w:szCs w:val="20"/>
                <w:color w:val="auto"/>
              </w:rPr>
            </w:pPr>
            <w:r>
              <w:rPr>
                <w:rFonts w:ascii="Arial" w:cs="Arial" w:eastAsia="Arial" w:hAnsi="Arial"/>
                <w:sz w:val="18"/>
                <w:szCs w:val="18"/>
                <w:color w:val="auto"/>
              </w:rPr>
              <w:t>315,155</w:t>
            </w:r>
          </w:p>
        </w:tc>
        <w:tc>
          <w:tcPr>
            <w:tcW w:w="1400" w:type="dxa"/>
            <w:vAlign w:val="bottom"/>
            <w:tcBorders>
              <w:top w:val="single" w:sz="8" w:color="auto"/>
              <w:bottom w:val="single" w:sz="8" w:color="E5E5E5"/>
            </w:tcBorders>
            <w:shd w:val="clear" w:color="auto" w:fill="F2F2F2"/>
          </w:tcPr>
          <w:p>
            <w:pPr>
              <w:jc w:val="right"/>
              <w:ind w:right="177"/>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E5E5E5"/>
            </w:tcBorders>
            <w:shd w:val="clear" w:color="auto" w:fill="F2F2F2"/>
          </w:tcPr>
          <w:p>
            <w:pPr>
              <w:jc w:val="right"/>
              <w:spacing w:after="0" w:line="196" w:lineRule="exact"/>
              <w:rPr>
                <w:sz w:val="20"/>
                <w:szCs w:val="20"/>
                <w:color w:val="auto"/>
              </w:rPr>
            </w:pPr>
            <w:r>
              <w:rPr>
                <w:rFonts w:ascii="Arial" w:cs="Arial" w:eastAsia="Arial" w:hAnsi="Arial"/>
                <w:sz w:val="18"/>
                <w:szCs w:val="18"/>
                <w:color w:val="auto"/>
              </w:rPr>
              <w:t>2,744,412</w:t>
            </w:r>
          </w:p>
        </w:tc>
      </w:tr>
      <w:tr>
        <w:trPr>
          <w:trHeight w:val="210"/>
        </w:trPr>
        <w:tc>
          <w:tcPr>
            <w:tcW w:w="20" w:type="dxa"/>
            <w:vAlign w:val="bottom"/>
          </w:tcPr>
          <w:p>
            <w:pPr>
              <w:spacing w:after="0"/>
              <w:rPr>
                <w:sz w:val="18"/>
                <w:szCs w:val="18"/>
                <w:color w:val="auto"/>
              </w:rPr>
            </w:pPr>
          </w:p>
        </w:tc>
        <w:tc>
          <w:tcPr>
            <w:tcW w:w="2920" w:type="dxa"/>
            <w:vAlign w:val="bottom"/>
            <w:tcBorders>
              <w:bottom w:val="single" w:sz="8" w:color="E5E5E5"/>
            </w:tcBorders>
          </w:tcPr>
          <w:p>
            <w:pPr>
              <w:spacing w:after="0" w:line="202" w:lineRule="exact"/>
              <w:rPr>
                <w:sz w:val="20"/>
                <w:szCs w:val="20"/>
                <w:color w:val="auto"/>
              </w:rPr>
            </w:pPr>
            <w:r>
              <w:rPr>
                <w:rFonts w:ascii="Arial" w:cs="Arial" w:eastAsia="Arial" w:hAnsi="Arial"/>
                <w:sz w:val="18"/>
                <w:szCs w:val="18"/>
                <w:color w:val="auto"/>
              </w:rPr>
              <w:t>Mr. Smith</w:t>
            </w:r>
          </w:p>
        </w:tc>
        <w:tc>
          <w:tcPr>
            <w:tcW w:w="2960" w:type="dxa"/>
            <w:vAlign w:val="bottom"/>
            <w:tcBorders>
              <w:bottom w:val="single" w:sz="8" w:color="E5E5E5"/>
            </w:tcBorders>
          </w:tcPr>
          <w:p>
            <w:pPr>
              <w:jc w:val="right"/>
              <w:ind w:right="157"/>
              <w:spacing w:after="0" w:line="202"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E5E5E5"/>
            </w:tcBorders>
          </w:tcPr>
          <w:p>
            <w:pPr>
              <w:jc w:val="right"/>
              <w:ind w:right="157"/>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E5E5E5"/>
            </w:tcBorders>
          </w:tcPr>
          <w:p>
            <w:pPr>
              <w:jc w:val="right"/>
              <w:ind w:right="157"/>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E5E5E5"/>
            </w:tcBorders>
          </w:tcPr>
          <w:p>
            <w:pPr>
              <w:jc w:val="right"/>
              <w:ind w:right="177"/>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E5E5E5"/>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2920" w:type="dxa"/>
            <w:vAlign w:val="bottom"/>
            <w:tcBorders>
              <w:bottom w:val="single" w:sz="8" w:color="E5E5E5"/>
            </w:tcBorders>
            <w:shd w:val="clear" w:color="auto" w:fill="F2F2F2"/>
          </w:tcPr>
          <w:p>
            <w:pPr>
              <w:spacing w:after="0" w:line="202" w:lineRule="exact"/>
              <w:rPr>
                <w:sz w:val="20"/>
                <w:szCs w:val="20"/>
                <w:color w:val="auto"/>
              </w:rPr>
            </w:pPr>
            <w:r>
              <w:rPr>
                <w:rFonts w:ascii="Arial" w:cs="Arial" w:eastAsia="Arial" w:hAnsi="Arial"/>
                <w:sz w:val="18"/>
                <w:szCs w:val="18"/>
                <w:color w:val="auto"/>
              </w:rPr>
              <w:t>Mr. Nelson</w:t>
            </w:r>
          </w:p>
        </w:tc>
        <w:tc>
          <w:tcPr>
            <w:tcW w:w="2960" w:type="dxa"/>
            <w:vAlign w:val="bottom"/>
            <w:tcBorders>
              <w:bottom w:val="single" w:sz="8" w:color="E5E5E5"/>
            </w:tcBorders>
            <w:shd w:val="clear" w:color="auto" w:fill="F2F2F2"/>
          </w:tcPr>
          <w:p>
            <w:pPr>
              <w:jc w:val="right"/>
              <w:ind w:right="157"/>
              <w:spacing w:after="0" w:line="202" w:lineRule="exact"/>
              <w:rPr>
                <w:sz w:val="20"/>
                <w:szCs w:val="20"/>
                <w:color w:val="auto"/>
              </w:rPr>
            </w:pPr>
            <w:r>
              <w:rPr>
                <w:rFonts w:ascii="Arial" w:cs="Arial" w:eastAsia="Arial" w:hAnsi="Arial"/>
                <w:sz w:val="18"/>
                <w:szCs w:val="18"/>
                <w:color w:val="auto"/>
              </w:rPr>
              <w:t>47,077</w:t>
            </w:r>
          </w:p>
        </w:tc>
        <w:tc>
          <w:tcPr>
            <w:tcW w:w="1420" w:type="dxa"/>
            <w:vAlign w:val="bottom"/>
            <w:tcBorders>
              <w:bottom w:val="single" w:sz="8" w:color="E5E5E5"/>
            </w:tcBorders>
            <w:shd w:val="clear" w:color="auto" w:fill="F2F2F2"/>
          </w:tcPr>
          <w:p>
            <w:pPr>
              <w:jc w:val="right"/>
              <w:ind w:right="157"/>
              <w:spacing w:after="0" w:line="202" w:lineRule="exact"/>
              <w:rPr>
                <w:sz w:val="20"/>
                <w:szCs w:val="20"/>
                <w:color w:val="auto"/>
              </w:rPr>
            </w:pPr>
            <w:r>
              <w:rPr>
                <w:rFonts w:ascii="Arial" w:cs="Arial" w:eastAsia="Arial" w:hAnsi="Arial"/>
                <w:sz w:val="18"/>
                <w:szCs w:val="18"/>
                <w:color w:val="auto"/>
              </w:rPr>
              <w:t>47,077</w:t>
            </w:r>
          </w:p>
        </w:tc>
        <w:tc>
          <w:tcPr>
            <w:tcW w:w="1180" w:type="dxa"/>
            <w:vAlign w:val="bottom"/>
            <w:tcBorders>
              <w:bottom w:val="single" w:sz="8" w:color="E5E5E5"/>
            </w:tcBorders>
            <w:shd w:val="clear" w:color="auto" w:fill="F2F2F2"/>
          </w:tcPr>
          <w:p>
            <w:pPr>
              <w:jc w:val="right"/>
              <w:ind w:right="157"/>
              <w:spacing w:after="0" w:line="202" w:lineRule="exact"/>
              <w:rPr>
                <w:sz w:val="20"/>
                <w:szCs w:val="20"/>
                <w:color w:val="auto"/>
              </w:rPr>
            </w:pPr>
            <w:r>
              <w:rPr>
                <w:rFonts w:ascii="Arial" w:cs="Arial" w:eastAsia="Arial" w:hAnsi="Arial"/>
                <w:sz w:val="18"/>
                <w:szCs w:val="18"/>
                <w:color w:val="auto"/>
              </w:rPr>
              <w:t>21,354</w:t>
            </w:r>
          </w:p>
        </w:tc>
        <w:tc>
          <w:tcPr>
            <w:tcW w:w="1400" w:type="dxa"/>
            <w:vAlign w:val="bottom"/>
            <w:tcBorders>
              <w:bottom w:val="single" w:sz="8" w:color="E5E5E5"/>
            </w:tcBorders>
            <w:shd w:val="clear" w:color="auto" w:fill="F2F2F2"/>
          </w:tcPr>
          <w:p>
            <w:pPr>
              <w:jc w:val="right"/>
              <w:ind w:right="177"/>
              <w:spacing w:after="0" w:line="202" w:lineRule="exact"/>
              <w:rPr>
                <w:sz w:val="20"/>
                <w:szCs w:val="20"/>
                <w:color w:val="auto"/>
              </w:rPr>
            </w:pPr>
            <w:r>
              <w:rPr>
                <w:rFonts w:ascii="Arial" w:cs="Arial" w:eastAsia="Arial" w:hAnsi="Arial"/>
                <w:sz w:val="18"/>
                <w:szCs w:val="18"/>
                <w:color w:val="auto"/>
              </w:rPr>
              <w:t>(393,948)</w:t>
            </w:r>
          </w:p>
        </w:tc>
        <w:tc>
          <w:tcPr>
            <w:tcW w:w="1140" w:type="dxa"/>
            <w:vAlign w:val="bottom"/>
            <w:tcBorders>
              <w:bottom w:val="single" w:sz="8" w:color="E5E5E5"/>
            </w:tcBorders>
            <w:shd w:val="clear" w:color="auto" w:fill="F2F2F2"/>
          </w:tcPr>
          <w:p>
            <w:pPr>
              <w:jc w:val="right"/>
              <w:spacing w:after="0" w:line="202" w:lineRule="exact"/>
              <w:rPr>
                <w:sz w:val="20"/>
                <w:szCs w:val="20"/>
                <w:color w:val="auto"/>
              </w:rPr>
            </w:pPr>
            <w:r>
              <w:rPr>
                <w:rFonts w:ascii="Arial" w:cs="Arial" w:eastAsia="Arial" w:hAnsi="Arial"/>
                <w:sz w:val="18"/>
                <w:szCs w:val="18"/>
                <w:color w:val="auto"/>
              </w:rPr>
              <w:t>204,167</w:t>
            </w:r>
          </w:p>
        </w:tc>
      </w:tr>
      <w:tr>
        <w:trPr>
          <w:trHeight w:val="210"/>
        </w:trPr>
        <w:tc>
          <w:tcPr>
            <w:tcW w:w="20" w:type="dxa"/>
            <w:vAlign w:val="bottom"/>
          </w:tcPr>
          <w:p>
            <w:pPr>
              <w:spacing w:after="0"/>
              <w:rPr>
                <w:sz w:val="18"/>
                <w:szCs w:val="18"/>
                <w:color w:val="auto"/>
              </w:rPr>
            </w:pPr>
          </w:p>
        </w:tc>
        <w:tc>
          <w:tcPr>
            <w:tcW w:w="2920" w:type="dxa"/>
            <w:vAlign w:val="bottom"/>
            <w:tcBorders>
              <w:bottom w:val="single" w:sz="8" w:color="E5E5E5"/>
            </w:tcBorders>
          </w:tcPr>
          <w:p>
            <w:pPr>
              <w:spacing w:after="0" w:line="202" w:lineRule="exact"/>
              <w:rPr>
                <w:sz w:val="20"/>
                <w:szCs w:val="20"/>
                <w:color w:val="auto"/>
              </w:rPr>
            </w:pPr>
            <w:r>
              <w:rPr>
                <w:rFonts w:ascii="Arial" w:cs="Arial" w:eastAsia="Arial" w:hAnsi="Arial"/>
                <w:sz w:val="18"/>
                <w:szCs w:val="18"/>
                <w:color w:val="auto"/>
              </w:rPr>
              <w:t>Mr. Ferraro</w:t>
            </w:r>
          </w:p>
        </w:tc>
        <w:tc>
          <w:tcPr>
            <w:tcW w:w="2960" w:type="dxa"/>
            <w:vAlign w:val="bottom"/>
            <w:tcBorders>
              <w:bottom w:val="single" w:sz="8" w:color="E5E5E5"/>
            </w:tcBorders>
          </w:tcPr>
          <w:p>
            <w:pPr>
              <w:jc w:val="right"/>
              <w:ind w:right="157"/>
              <w:spacing w:after="0" w:line="202"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E5E5E5"/>
            </w:tcBorders>
          </w:tcPr>
          <w:p>
            <w:pPr>
              <w:jc w:val="right"/>
              <w:ind w:right="157"/>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E5E5E5"/>
            </w:tcBorders>
          </w:tcPr>
          <w:p>
            <w:pPr>
              <w:jc w:val="right"/>
              <w:ind w:right="157"/>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E5E5E5"/>
            </w:tcBorders>
          </w:tcPr>
          <w:p>
            <w:pPr>
              <w:jc w:val="right"/>
              <w:ind w:right="177"/>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E5E5E5"/>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2920" w:type="dxa"/>
            <w:vAlign w:val="bottom"/>
            <w:tcBorders>
              <w:bottom w:val="single" w:sz="8" w:color="E5E5E5"/>
            </w:tcBorders>
            <w:shd w:val="clear" w:color="auto" w:fill="F2F2F2"/>
          </w:tcPr>
          <w:p>
            <w:pPr>
              <w:spacing w:after="0" w:line="202" w:lineRule="exact"/>
              <w:rPr>
                <w:sz w:val="20"/>
                <w:szCs w:val="20"/>
                <w:color w:val="auto"/>
              </w:rPr>
            </w:pPr>
            <w:r>
              <w:rPr>
                <w:rFonts w:ascii="Arial" w:cs="Arial" w:eastAsia="Arial" w:hAnsi="Arial"/>
                <w:sz w:val="18"/>
                <w:szCs w:val="18"/>
                <w:color w:val="auto"/>
              </w:rPr>
              <w:t>Mr. Servodidio</w:t>
            </w:r>
          </w:p>
        </w:tc>
        <w:tc>
          <w:tcPr>
            <w:tcW w:w="2960" w:type="dxa"/>
            <w:vAlign w:val="bottom"/>
            <w:tcBorders>
              <w:bottom w:val="single" w:sz="8" w:color="E5E5E5"/>
            </w:tcBorders>
            <w:shd w:val="clear" w:color="auto" w:fill="F2F2F2"/>
          </w:tcPr>
          <w:p>
            <w:pPr>
              <w:jc w:val="right"/>
              <w:ind w:right="157"/>
              <w:spacing w:after="0" w:line="202" w:lineRule="exact"/>
              <w:rPr>
                <w:sz w:val="20"/>
                <w:szCs w:val="20"/>
                <w:color w:val="auto"/>
              </w:rPr>
            </w:pPr>
            <w:r>
              <w:rPr>
                <w:rFonts w:ascii="Arial" w:cs="Arial" w:eastAsia="Arial" w:hAnsi="Arial"/>
                <w:sz w:val="18"/>
                <w:szCs w:val="18"/>
                <w:color w:val="auto"/>
              </w:rPr>
              <w:t>84,515</w:t>
            </w:r>
          </w:p>
        </w:tc>
        <w:tc>
          <w:tcPr>
            <w:tcW w:w="1420" w:type="dxa"/>
            <w:vAlign w:val="bottom"/>
            <w:tcBorders>
              <w:bottom w:val="single" w:sz="8" w:color="E5E5E5"/>
            </w:tcBorders>
            <w:shd w:val="clear" w:color="auto" w:fill="F2F2F2"/>
          </w:tcPr>
          <w:p>
            <w:pPr>
              <w:jc w:val="right"/>
              <w:ind w:right="157"/>
              <w:spacing w:after="0" w:line="202" w:lineRule="exact"/>
              <w:rPr>
                <w:sz w:val="20"/>
                <w:szCs w:val="20"/>
                <w:color w:val="auto"/>
              </w:rPr>
            </w:pPr>
            <w:r>
              <w:rPr>
                <w:rFonts w:ascii="Arial" w:cs="Arial" w:eastAsia="Arial" w:hAnsi="Arial"/>
                <w:sz w:val="18"/>
                <w:szCs w:val="18"/>
                <w:color w:val="auto"/>
              </w:rPr>
              <w:t>60,188</w:t>
            </w:r>
          </w:p>
        </w:tc>
        <w:tc>
          <w:tcPr>
            <w:tcW w:w="1180" w:type="dxa"/>
            <w:vAlign w:val="bottom"/>
            <w:tcBorders>
              <w:bottom w:val="single" w:sz="8" w:color="E5E5E5"/>
            </w:tcBorders>
            <w:shd w:val="clear" w:color="auto" w:fill="F2F2F2"/>
          </w:tcPr>
          <w:p>
            <w:pPr>
              <w:jc w:val="right"/>
              <w:ind w:right="157"/>
              <w:spacing w:after="0" w:line="202" w:lineRule="exact"/>
              <w:rPr>
                <w:sz w:val="20"/>
                <w:szCs w:val="20"/>
                <w:color w:val="auto"/>
              </w:rPr>
            </w:pPr>
            <w:r>
              <w:rPr>
                <w:rFonts w:ascii="Arial" w:cs="Arial" w:eastAsia="Arial" w:hAnsi="Arial"/>
                <w:sz w:val="18"/>
                <w:szCs w:val="18"/>
                <w:color w:val="auto"/>
              </w:rPr>
              <w:t>71,076</w:t>
            </w:r>
          </w:p>
        </w:tc>
        <w:tc>
          <w:tcPr>
            <w:tcW w:w="1400" w:type="dxa"/>
            <w:vAlign w:val="bottom"/>
            <w:tcBorders>
              <w:bottom w:val="single" w:sz="8" w:color="E5E5E5"/>
            </w:tcBorders>
            <w:shd w:val="clear" w:color="auto" w:fill="F2F2F2"/>
          </w:tcPr>
          <w:p>
            <w:pPr>
              <w:jc w:val="right"/>
              <w:ind w:right="177"/>
              <w:spacing w:after="0" w:line="202" w:lineRule="exact"/>
              <w:rPr>
                <w:sz w:val="20"/>
                <w:szCs w:val="20"/>
                <w:color w:val="auto"/>
              </w:rPr>
            </w:pPr>
            <w:r>
              <w:rPr>
                <w:rFonts w:ascii="Arial" w:cs="Arial" w:eastAsia="Arial" w:hAnsi="Arial"/>
                <w:sz w:val="18"/>
                <w:szCs w:val="18"/>
                <w:color w:val="auto"/>
              </w:rPr>
              <w:t>(30,036)</w:t>
            </w:r>
          </w:p>
        </w:tc>
        <w:tc>
          <w:tcPr>
            <w:tcW w:w="1140" w:type="dxa"/>
            <w:vAlign w:val="bottom"/>
            <w:tcBorders>
              <w:bottom w:val="single" w:sz="8" w:color="E5E5E5"/>
            </w:tcBorders>
            <w:shd w:val="clear" w:color="auto" w:fill="F2F2F2"/>
          </w:tcPr>
          <w:p>
            <w:pPr>
              <w:jc w:val="right"/>
              <w:spacing w:after="0" w:line="202" w:lineRule="exact"/>
              <w:rPr>
                <w:sz w:val="20"/>
                <w:szCs w:val="20"/>
                <w:color w:val="auto"/>
              </w:rPr>
            </w:pPr>
            <w:r>
              <w:rPr>
                <w:rFonts w:ascii="Arial" w:cs="Arial" w:eastAsia="Arial" w:hAnsi="Arial"/>
                <w:sz w:val="18"/>
                <w:szCs w:val="18"/>
                <w:color w:val="auto"/>
              </w:rPr>
              <w:t>431,732</w:t>
            </w:r>
          </w:p>
        </w:tc>
      </w:tr>
      <w:tr>
        <w:trPr>
          <w:trHeight w:val="210"/>
        </w:trPr>
        <w:tc>
          <w:tcPr>
            <w:tcW w:w="20" w:type="dxa"/>
            <w:vAlign w:val="bottom"/>
            <w:tcBorders>
              <w:bottom w:val="single" w:sz="8" w:color="E5E5E5"/>
            </w:tcBorders>
          </w:tcPr>
          <w:p>
            <w:pPr>
              <w:spacing w:after="0"/>
              <w:rPr>
                <w:sz w:val="18"/>
                <w:szCs w:val="18"/>
                <w:color w:val="auto"/>
              </w:rPr>
            </w:pPr>
          </w:p>
        </w:tc>
        <w:tc>
          <w:tcPr>
            <w:tcW w:w="2920" w:type="dxa"/>
            <w:vAlign w:val="bottom"/>
            <w:tcBorders>
              <w:bottom w:val="single" w:sz="8" w:color="E5E5E5"/>
            </w:tcBorders>
          </w:tcPr>
          <w:p>
            <w:pPr>
              <w:spacing w:after="0" w:line="202" w:lineRule="exact"/>
              <w:rPr>
                <w:sz w:val="20"/>
                <w:szCs w:val="20"/>
                <w:color w:val="auto"/>
              </w:rPr>
            </w:pPr>
            <w:r>
              <w:rPr>
                <w:rFonts w:ascii="Arial" w:cs="Arial" w:eastAsia="Arial" w:hAnsi="Arial"/>
                <w:sz w:val="18"/>
                <w:szCs w:val="18"/>
                <w:color w:val="auto"/>
              </w:rPr>
              <w:t>Mr. Wyshner</w:t>
            </w:r>
          </w:p>
        </w:tc>
        <w:tc>
          <w:tcPr>
            <w:tcW w:w="2960" w:type="dxa"/>
            <w:vAlign w:val="bottom"/>
            <w:tcBorders>
              <w:bottom w:val="single" w:sz="8" w:color="E5E5E5"/>
            </w:tcBorders>
          </w:tcPr>
          <w:p>
            <w:pPr>
              <w:jc w:val="right"/>
              <w:ind w:right="157"/>
              <w:spacing w:after="0" w:line="202" w:lineRule="exact"/>
              <w:rPr>
                <w:sz w:val="20"/>
                <w:szCs w:val="20"/>
                <w:color w:val="auto"/>
              </w:rPr>
            </w:pPr>
            <w:r>
              <w:rPr>
                <w:rFonts w:ascii="Arial" w:cs="Arial" w:eastAsia="Arial" w:hAnsi="Arial"/>
                <w:sz w:val="18"/>
                <w:szCs w:val="18"/>
                <w:color w:val="auto"/>
              </w:rPr>
              <w:t>50,077</w:t>
            </w:r>
          </w:p>
        </w:tc>
        <w:tc>
          <w:tcPr>
            <w:tcW w:w="1420" w:type="dxa"/>
            <w:vAlign w:val="bottom"/>
            <w:tcBorders>
              <w:bottom w:val="single" w:sz="8" w:color="E5E5E5"/>
            </w:tcBorders>
          </w:tcPr>
          <w:p>
            <w:pPr>
              <w:jc w:val="right"/>
              <w:ind w:right="157"/>
              <w:spacing w:after="0" w:line="202" w:lineRule="exact"/>
              <w:rPr>
                <w:sz w:val="20"/>
                <w:szCs w:val="20"/>
                <w:color w:val="auto"/>
              </w:rPr>
            </w:pPr>
            <w:r>
              <w:rPr>
                <w:rFonts w:ascii="Arial" w:cs="Arial" w:eastAsia="Arial" w:hAnsi="Arial"/>
                <w:sz w:val="18"/>
                <w:szCs w:val="18"/>
                <w:color w:val="auto"/>
              </w:rPr>
              <w:t>50,077</w:t>
            </w:r>
          </w:p>
        </w:tc>
        <w:tc>
          <w:tcPr>
            <w:tcW w:w="1180" w:type="dxa"/>
            <w:vAlign w:val="bottom"/>
            <w:tcBorders>
              <w:bottom w:val="single" w:sz="8" w:color="E5E5E5"/>
            </w:tcBorders>
          </w:tcPr>
          <w:p>
            <w:pPr>
              <w:jc w:val="right"/>
              <w:ind w:right="157"/>
              <w:spacing w:after="0" w:line="202" w:lineRule="exact"/>
              <w:rPr>
                <w:sz w:val="20"/>
                <w:szCs w:val="20"/>
                <w:color w:val="auto"/>
              </w:rPr>
            </w:pPr>
            <w:r>
              <w:rPr>
                <w:rFonts w:ascii="Arial" w:cs="Arial" w:eastAsia="Arial" w:hAnsi="Arial"/>
                <w:sz w:val="18"/>
                <w:szCs w:val="18"/>
                <w:color w:val="auto"/>
              </w:rPr>
              <w:t>124,404</w:t>
            </w:r>
          </w:p>
        </w:tc>
        <w:tc>
          <w:tcPr>
            <w:tcW w:w="1400" w:type="dxa"/>
            <w:vAlign w:val="bottom"/>
            <w:tcBorders>
              <w:bottom w:val="single" w:sz="8" w:color="E5E5E5"/>
            </w:tcBorders>
          </w:tcPr>
          <w:p>
            <w:pPr>
              <w:jc w:val="right"/>
              <w:ind w:right="177"/>
              <w:spacing w:after="0" w:line="202" w:lineRule="exact"/>
              <w:rPr>
                <w:sz w:val="20"/>
                <w:szCs w:val="20"/>
                <w:color w:val="auto"/>
              </w:rPr>
            </w:pPr>
            <w:r>
              <w:rPr>
                <w:rFonts w:ascii="Arial" w:cs="Arial" w:eastAsia="Arial" w:hAnsi="Arial"/>
                <w:sz w:val="18"/>
                <w:szCs w:val="18"/>
                <w:color w:val="auto"/>
              </w:rPr>
              <w:t>(161,396)</w:t>
            </w:r>
          </w:p>
        </w:tc>
        <w:tc>
          <w:tcPr>
            <w:tcW w:w="1140" w:type="dxa"/>
            <w:vAlign w:val="bottom"/>
            <w:tcBorders>
              <w:bottom w:val="single" w:sz="8" w:color="E5E5E5"/>
            </w:tcBorders>
          </w:tcPr>
          <w:p>
            <w:pPr>
              <w:jc w:val="right"/>
              <w:spacing w:after="0" w:line="202" w:lineRule="exact"/>
              <w:rPr>
                <w:sz w:val="20"/>
                <w:szCs w:val="20"/>
                <w:color w:val="auto"/>
              </w:rPr>
            </w:pPr>
            <w:r>
              <w:rPr>
                <w:rFonts w:ascii="Arial" w:cs="Arial" w:eastAsia="Arial" w:hAnsi="Arial"/>
                <w:sz w:val="18"/>
                <w:szCs w:val="18"/>
                <w:color w:val="auto"/>
              </w:rPr>
              <w:t>706,403</w:t>
            </w:r>
          </w:p>
        </w:tc>
      </w:tr>
    </w:tbl>
    <w:p>
      <w:pPr>
        <w:spacing w:after="0" w:line="121" w:lineRule="exact"/>
        <w:rPr>
          <w:sz w:val="20"/>
          <w:szCs w:val="20"/>
          <w:color w:val="auto"/>
        </w:rPr>
      </w:pPr>
    </w:p>
    <w:p>
      <w:pPr>
        <w:jc w:val="both"/>
        <w:ind w:left="520" w:right="20" w:hanging="316"/>
        <w:spacing w:after="0" w:line="265" w:lineRule="auto"/>
        <w:tabs>
          <w:tab w:leader="none" w:pos="5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Under the deferred compensation plan, participants can elect to defer a maximum of 80% of base salary and 98% of annual cash incentives. The agreements between participants and the Company must provide that the deferrals under the plan are (1) irrevocable; (2) agreed to before the compensation is earned; and (3) for a specified length of time. Amounts deferred by participants, as well as any matching contributions made by the Company, are typically contributed to a rabbi trust established for the purpose of holding plan assets. Participants may allocate deferrals to one or more deemed investments under the plan. Matching contributions may be subject to such distribution provisions as determined from time to time; however, all of a participant’s accounts under this plan will be distributed in the event of a change in control (as defined in the deferred compensation plan) or in the event that the participant’s service with us terminates as a result of death or disability. A participant in this plan may elect a single lump-sum payment of his or her account, or may elect installments over a period of up to 10 years; however, the participant’s entire account balance will be paid in a single lump-sum following a change in control.</w:t>
      </w:r>
    </w:p>
    <w:p>
      <w:pPr>
        <w:spacing w:after="0" w:line="94" w:lineRule="exact"/>
        <w:rPr>
          <w:rFonts w:ascii="Arial" w:cs="Arial" w:eastAsia="Arial" w:hAnsi="Arial"/>
          <w:sz w:val="12"/>
          <w:szCs w:val="12"/>
          <w:color w:val="auto"/>
        </w:rPr>
      </w:pPr>
    </w:p>
    <w:p>
      <w:pPr>
        <w:ind w:left="520" w:hanging="316"/>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Company provides matching contributions for its NEOs up to a cap of 6% of base salary and annual incentive, as applicable.</w:t>
      </w:r>
    </w:p>
    <w:p>
      <w:pPr>
        <w:spacing w:after="0" w:line="109" w:lineRule="exact"/>
        <w:rPr>
          <w:rFonts w:ascii="Arial" w:cs="Arial" w:eastAsia="Arial" w:hAnsi="Arial"/>
          <w:sz w:val="14"/>
          <w:szCs w:val="14"/>
          <w:color w:val="auto"/>
        </w:rPr>
      </w:pPr>
    </w:p>
    <w:p>
      <w:pPr>
        <w:jc w:val="both"/>
        <w:ind w:left="520" w:right="20" w:hanging="316"/>
        <w:spacing w:after="0" w:line="228" w:lineRule="auto"/>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All participant deferrals and matching contributions are immediately vested and are held in a grantor trust. Under this arrangement, the Company takes no tax deduction, and the beneficiaries pay no tax on contributions to the trust until amounts are paid. Although funds are potentially subject to the employer’s creditors, they are inaccessible to present and future management until payment is required to be made in accordance with the terms of the plan.</w:t>
      </w:r>
    </w:p>
    <w:p>
      <w:pPr>
        <w:spacing w:after="0" w:line="108" w:lineRule="exact"/>
        <w:rPr>
          <w:rFonts w:ascii="Arial" w:cs="Arial" w:eastAsia="Arial" w:hAnsi="Arial"/>
          <w:sz w:val="14"/>
          <w:szCs w:val="14"/>
          <w:color w:val="auto"/>
        </w:rPr>
      </w:pPr>
    </w:p>
    <w:p>
      <w:pPr>
        <w:ind w:left="520" w:right="20" w:hanging="316"/>
        <w:spacing w:after="0" w:line="231" w:lineRule="auto"/>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Amounts represent ordinary-course distributions pursuant to prior payment elections made by the NEOs in accordance with the terms and conditions of the applicable plan (as further discussed in note (a) above).</w:t>
      </w:r>
    </w:p>
    <w:p>
      <w:pPr>
        <w:spacing w:after="0" w:line="108" w:lineRule="exact"/>
        <w:rPr>
          <w:rFonts w:ascii="Arial" w:cs="Arial" w:eastAsia="Arial" w:hAnsi="Arial"/>
          <w:sz w:val="14"/>
          <w:szCs w:val="14"/>
          <w:color w:val="auto"/>
        </w:rPr>
      </w:pPr>
    </w:p>
    <w:p>
      <w:pPr>
        <w:ind w:left="520" w:right="20" w:hanging="316"/>
        <w:spacing w:after="0" w:line="231" w:lineRule="auto"/>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total trust assets accumulated for all periods of plan participation through the end of 2017. The aggregate balance is the sum of all participant and registrant contributions and investment earnings less any withdrawals or distributions.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Employment Agreements and Other Arrangements</w:t>
      </w:r>
    </w:p>
    <w:p>
      <w:pPr>
        <w:spacing w:after="0" w:line="215"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Each NEO, other than our Chairman, is employed by us pursuant to a written agreement of employment or has a severance agreement, as summarized below and discussed under “Employment and Change of Control Agreements; Severance Arrangements.” As noted above, effective December 31, 2017, the employment agreement with our Chairman expired and was not extended or renewed and his employment continues “at will.”</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Mr. De Shon</w:t>
      </w:r>
    </w:p>
    <w:p>
      <w:pPr>
        <w:spacing w:after="0" w:line="211"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In addition to providing for a minimum base salary of $1,000,000 (pursuant to Committee discretion such salary was increased to $1,100,000 in 2017) and employee benefit plans generally available to our executive officers, Mr. De Shon’s agreement provides for an annual incentive award with a target amount equal to 150% of his base salary, which may be subject to the attainment of performance goals, and grants of long-term incentive awards, upon such terms and conditions as determined by our Board of Directors or the Committee. Mr. De Shon’s agreement provides that if his employment with the Company is terminated without “Cause” or due to a “Constructive Discharge” (as described below), he will be entitled to a lump-sum payment equal to 200% of the sum of his then-current base salary plus his then-current target annual bonus, and perquisites to include car usage, financial planning and health coverage for a period of 24 months. In addition, in this event, Mr. De Shon’s then outstanding equity awards, scheduled to vest in accordance with the original vesting schedule by the two-year anniversary of termination of employment would immediately vest in full. However, awards that vest</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based on the achievement of specified objective performance goals will remain outstanding following such termination and become vested or be forfeited based on actual achievement of the applicable performance goals during the two-year period following such termination. Mr. De Shon’s agreement provides for non-competition and non-solicitation covenants which will last two years following Mr. De Shon’s employment with us.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Messrs. Ferraro and Servodidio</w:t>
      </w:r>
    </w:p>
    <w:p>
      <w:pPr>
        <w:spacing w:after="0" w:line="130"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The severance agreement for each of Mr. Ferraro and Mr. Servodidio provides that if the executive’s employment is terminated by us other than for “Cause” (as described below), disability or death, he will receive a lump-sum severance payout equal to 200% of the sum of base salary plus target incentive bonus, and perquisites to include car usage, financial planning and health coverage for a period of 24 months. In addition, in connection with such termination, each agreement also generally provides for accelerated vesting on termination of the stock-based awards which would have vested in accordance with their original vesting schedule by the two-year anniversary of termination of employment. However, awards that vest based on the achievement of specified objective performance goals will remain outstanding following such termination and become vested or be forfeited based on actual achievement of the applicable performance goals during the two-year period following such termination. Severance is contingent upon execution of a separation agreement containing a release of claims against the Company and non-competition covenants.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Mr. Smith</w:t>
      </w:r>
    </w:p>
    <w:p>
      <w:pPr>
        <w:spacing w:after="0" w:line="197"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In June 2017, the Company entered into a letter agreement with Mr. Smith. In addition to providing for a minimum base salary of $575,000 and employee benefit plans generally available to our executive officers, including expatriate benefits, Mr. Smith’s agreement provides for an annual incentive award with a target amount equal to 80% of his base salary, subject to attainment of performance goals. The agreement also provides for certain tax and short-term relocation benefits generally in accordance with the Company’s standard policies.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noted above, no NEO is entitled to any tax gross-up or other payments for any “golden parachute” excise taxes, interest or penalties.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Certain Defined Terms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Mr. De Shon:</w:t>
      </w:r>
    </w:p>
    <w:p>
      <w:pPr>
        <w:spacing w:after="0" w:line="171" w:lineRule="exact"/>
        <w:rPr>
          <w:sz w:val="20"/>
          <w:szCs w:val="20"/>
          <w:color w:val="auto"/>
        </w:rPr>
      </w:pPr>
    </w:p>
    <w:p>
      <w:pPr>
        <w:jc w:val="both"/>
        <w:ind w:left="200"/>
        <w:spacing w:after="0" w:line="234" w:lineRule="auto"/>
        <w:rPr>
          <w:sz w:val="20"/>
          <w:szCs w:val="20"/>
          <w:color w:val="auto"/>
        </w:rPr>
      </w:pPr>
      <w:r>
        <w:rPr>
          <w:rFonts w:ascii="Arial" w:cs="Arial" w:eastAsia="Arial" w:hAnsi="Arial"/>
          <w:sz w:val="18"/>
          <w:szCs w:val="18"/>
          <w:color w:val="auto"/>
        </w:rPr>
        <w:t>“Constructive Discharge” generally means (a) any material diminution to Mr. De Shon’s duties and responsibilities, including Mr. De Shon ceasing to be the most senior executive officer of a public company, (b) Mr. De Shon does not report directly to the Board of Directors,</w:t>
      </w:r>
    </w:p>
    <w:p>
      <w:pPr>
        <w:spacing w:after="0" w:line="2" w:lineRule="exact"/>
        <w:rPr>
          <w:sz w:val="20"/>
          <w:szCs w:val="20"/>
          <w:color w:val="auto"/>
        </w:rPr>
      </w:pPr>
    </w:p>
    <w:p>
      <w:pPr>
        <w:ind w:left="200" w:firstLine="4"/>
        <w:spacing w:after="0" w:line="246" w:lineRule="auto"/>
        <w:tabs>
          <w:tab w:leader="none" w:pos="49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material failure of the Company to fulfill its obligations under the applicable employment agreement, (d) the relocation of our business office more than 30 miles, or (e) the failure of a successor to the Company to assume the applicable employment agreement.</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all our NEOs:</w:t>
      </w:r>
    </w:p>
    <w:p>
      <w:pPr>
        <w:spacing w:after="0" w:line="185"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“Cause” is defined in the agreement for each NEO and generally includes the willful failure to substantially perform duties, any act of fraud, embezzlement or similar conduct and conviction of a felony.</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Discussion of Change-in-Control Provisions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Equity Awards</w:t>
      </w:r>
    </w:p>
    <w:p>
      <w:pPr>
        <w:spacing w:after="0" w:line="189"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The Company’s Amended and Restated Equity and Incentive Plan generally provides that equity awards accelerate following a Change in Control (as defined in the Amended and Restated Equity and</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Incentive Plan) of the Company only if a participant is also terminated without cause or experiences a constructive discharge within two years following a Change in Control. Under the Amended and Restated Equity and Incentive Plan, “Change in Control” is generally defined as:</w:t>
      </w:r>
    </w:p>
    <w:p>
      <w:pPr>
        <w:spacing w:after="0" w:line="176" w:lineRule="exact"/>
        <w:rPr>
          <w:sz w:val="20"/>
          <w:szCs w:val="20"/>
          <w:color w:val="auto"/>
        </w:rPr>
      </w:pPr>
    </w:p>
    <w:p>
      <w:pPr>
        <w:jc w:val="both"/>
        <w:ind w:left="200" w:right="20" w:firstLine="4"/>
        <w:spacing w:after="0" w:line="239"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person or entity is or becomes the “beneficial owner” of 50% or more of the combined voting power of the Company’s then outstanding voting securities; (b) a change in the majority of the members of the Board; (c) there is a merger or consolidation of the Company; or (d) shareholders of the Company approve a plan of complete liquidation or dissolution of the Company or there is a sale or disposition by the Company, of all or substantially all of the Company’s assets.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Severance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Potential severance payments are described above, none of which are payable solely due to a Change in Control (as defined above).</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Termination, Severance and Change of Control Arrangements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shows the potential severance payments for each NEO, as of December 31, 2017.</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80" w:type="dxa"/>
            <w:vAlign w:val="bottom"/>
          </w:tcPr>
          <w:p>
            <w:pPr>
              <w:jc w:val="center"/>
              <w:ind w:left="168"/>
              <w:spacing w:after="0"/>
              <w:rPr>
                <w:sz w:val="20"/>
                <w:szCs w:val="20"/>
                <w:color w:val="auto"/>
              </w:rPr>
            </w:pPr>
            <w:r>
              <w:rPr>
                <w:rFonts w:ascii="Arial" w:cs="Arial" w:eastAsia="Arial" w:hAnsi="Arial"/>
                <w:sz w:val="14"/>
                <w:szCs w:val="14"/>
                <w:b w:val="1"/>
                <w:bCs w:val="1"/>
                <w:color w:val="auto"/>
              </w:rPr>
              <w:t>Accelerated</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Continuation</w:t>
            </w:r>
          </w:p>
        </w:tc>
        <w:tc>
          <w:tcPr>
            <w:tcW w:w="10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180" w:type="dxa"/>
            <w:vAlign w:val="bottom"/>
          </w:tcPr>
          <w:p>
            <w:pPr>
              <w:jc w:val="center"/>
              <w:ind w:left="348"/>
              <w:spacing w:after="0"/>
              <w:rPr>
                <w:sz w:val="20"/>
                <w:szCs w:val="20"/>
                <w:color w:val="auto"/>
              </w:rPr>
            </w:pPr>
            <w:r>
              <w:rPr>
                <w:rFonts w:ascii="Arial" w:cs="Arial" w:eastAsia="Arial" w:hAnsi="Arial"/>
                <w:sz w:val="14"/>
                <w:szCs w:val="14"/>
                <w:b w:val="1"/>
                <w:bCs w:val="1"/>
                <w:color w:val="auto"/>
              </w:rPr>
              <w:t>Lump-Sum</w:t>
            </w:r>
          </w:p>
        </w:tc>
        <w:tc>
          <w:tcPr>
            <w:tcW w:w="1580" w:type="dxa"/>
            <w:vAlign w:val="bottom"/>
          </w:tcPr>
          <w:p>
            <w:pPr>
              <w:jc w:val="center"/>
              <w:ind w:left="148"/>
              <w:spacing w:after="0"/>
              <w:rPr>
                <w:sz w:val="20"/>
                <w:szCs w:val="20"/>
                <w:color w:val="auto"/>
              </w:rPr>
            </w:pPr>
            <w:r>
              <w:rPr>
                <w:rFonts w:ascii="Arial" w:cs="Arial" w:eastAsia="Arial" w:hAnsi="Arial"/>
                <w:sz w:val="14"/>
                <w:szCs w:val="14"/>
                <w:b w:val="1"/>
                <w:bCs w:val="1"/>
                <w:color w:val="auto"/>
              </w:rPr>
              <w:t>Vesting of</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of Benefits</w:t>
            </w:r>
          </w:p>
        </w:tc>
        <w:tc>
          <w:tcPr>
            <w:tcW w:w="10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180" w:type="dxa"/>
            <w:vAlign w:val="bottom"/>
          </w:tcPr>
          <w:p>
            <w:pPr>
              <w:jc w:val="center"/>
              <w:ind w:left="348"/>
              <w:spacing w:after="0"/>
              <w:rPr>
                <w:sz w:val="20"/>
                <w:szCs w:val="20"/>
                <w:color w:val="auto"/>
              </w:rPr>
            </w:pPr>
            <w:r>
              <w:rPr>
                <w:rFonts w:ascii="Arial" w:cs="Arial" w:eastAsia="Arial" w:hAnsi="Arial"/>
                <w:sz w:val="14"/>
                <w:szCs w:val="14"/>
                <w:b w:val="1"/>
                <w:bCs w:val="1"/>
                <w:color w:val="auto"/>
              </w:rPr>
              <w:t>Severance</w:t>
            </w:r>
          </w:p>
        </w:tc>
        <w:tc>
          <w:tcPr>
            <w:tcW w:w="1580" w:type="dxa"/>
            <w:vAlign w:val="bottom"/>
          </w:tcPr>
          <w:p>
            <w:pPr>
              <w:jc w:val="center"/>
              <w:ind w:left="168"/>
              <w:spacing w:after="0"/>
              <w:rPr>
                <w:sz w:val="20"/>
                <w:szCs w:val="20"/>
                <w:color w:val="auto"/>
              </w:rPr>
            </w:pPr>
            <w:r>
              <w:rPr>
                <w:rFonts w:ascii="Arial" w:cs="Arial" w:eastAsia="Arial" w:hAnsi="Arial"/>
                <w:sz w:val="14"/>
                <w:szCs w:val="14"/>
                <w:b w:val="1"/>
                <w:bCs w:val="1"/>
                <w:color w:val="auto"/>
              </w:rPr>
              <w:t>Stock-based</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and</w:t>
            </w:r>
          </w:p>
        </w:tc>
        <w:tc>
          <w:tcPr>
            <w:tcW w:w="10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180" w:type="dxa"/>
            <w:vAlign w:val="bottom"/>
          </w:tcPr>
          <w:p>
            <w:pPr>
              <w:jc w:val="center"/>
              <w:ind w:left="348"/>
              <w:spacing w:after="0"/>
              <w:rPr>
                <w:sz w:val="20"/>
                <w:szCs w:val="20"/>
                <w:color w:val="auto"/>
              </w:rPr>
            </w:pPr>
            <w:r>
              <w:rPr>
                <w:rFonts w:ascii="Arial" w:cs="Arial" w:eastAsia="Arial" w:hAnsi="Arial"/>
                <w:sz w:val="14"/>
                <w:szCs w:val="14"/>
                <w:b w:val="1"/>
                <w:bCs w:val="1"/>
                <w:color w:val="auto"/>
              </w:rPr>
              <w:t>Payment</w:t>
            </w:r>
          </w:p>
        </w:tc>
        <w:tc>
          <w:tcPr>
            <w:tcW w:w="1580" w:type="dxa"/>
            <w:vAlign w:val="bottom"/>
          </w:tcPr>
          <w:p>
            <w:pPr>
              <w:jc w:val="center"/>
              <w:ind w:left="148"/>
              <w:spacing w:after="0"/>
              <w:rPr>
                <w:sz w:val="20"/>
                <w:szCs w:val="20"/>
                <w:color w:val="auto"/>
              </w:rPr>
            </w:pPr>
            <w:r>
              <w:rPr>
                <w:rFonts w:ascii="Arial" w:cs="Arial" w:eastAsia="Arial" w:hAnsi="Arial"/>
                <w:sz w:val="14"/>
                <w:szCs w:val="14"/>
                <w:b w:val="1"/>
                <w:bCs w:val="1"/>
                <w:color w:val="auto"/>
              </w:rPr>
              <w:t>Awards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Perquisites</w:t>
            </w: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r>
      <w:tr>
        <w:trPr>
          <w:trHeight w:val="175"/>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Name and Triggering Event(a)</w:t>
            </w:r>
          </w:p>
        </w:tc>
        <w:tc>
          <w:tcPr>
            <w:tcW w:w="1180" w:type="dxa"/>
            <w:vAlign w:val="bottom"/>
          </w:tcPr>
          <w:p>
            <w:pPr>
              <w:jc w:val="center"/>
              <w:ind w:left="348"/>
              <w:spacing w:after="0"/>
              <w:rPr>
                <w:sz w:val="20"/>
                <w:szCs w:val="20"/>
                <w:color w:val="auto"/>
              </w:rPr>
            </w:pPr>
            <w:r>
              <w:rPr>
                <w:rFonts w:ascii="Arial" w:cs="Arial" w:eastAsia="Arial" w:hAnsi="Arial"/>
                <w:sz w:val="14"/>
                <w:szCs w:val="14"/>
                <w:b w:val="1"/>
                <w:bCs w:val="1"/>
                <w:color w:val="auto"/>
              </w:rPr>
              <w:t>($)(b)</w:t>
            </w:r>
          </w:p>
        </w:tc>
        <w:tc>
          <w:tcPr>
            <w:tcW w:w="1580" w:type="dxa"/>
            <w:vAlign w:val="bottom"/>
          </w:tcPr>
          <w:p>
            <w:pPr>
              <w:jc w:val="center"/>
              <w:ind w:left="148"/>
              <w:spacing w:after="0"/>
              <w:rPr>
                <w:sz w:val="20"/>
                <w:szCs w:val="20"/>
                <w:color w:val="auto"/>
              </w:rPr>
            </w:pPr>
            <w:r>
              <w:rPr>
                <w:rFonts w:ascii="Arial" w:cs="Arial" w:eastAsia="Arial" w:hAnsi="Arial"/>
                <w:sz w:val="14"/>
                <w:szCs w:val="14"/>
                <w:b w:val="1"/>
                <w:bCs w:val="1"/>
                <w:color w:val="auto"/>
              </w:rPr>
              <w:t>($)(c)</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104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r>
      <w:tr>
        <w:trPr>
          <w:trHeight w:val="156"/>
        </w:trPr>
        <w:tc>
          <w:tcPr>
            <w:tcW w:w="20" w:type="dxa"/>
            <w:vAlign w:val="bottom"/>
          </w:tcPr>
          <w:p>
            <w:pPr>
              <w:spacing w:after="0"/>
              <w:rPr>
                <w:sz w:val="13"/>
                <w:szCs w:val="13"/>
                <w:color w:val="auto"/>
              </w:rPr>
            </w:pPr>
          </w:p>
        </w:tc>
        <w:tc>
          <w:tcPr>
            <w:tcW w:w="5840" w:type="dxa"/>
            <w:vAlign w:val="bottom"/>
            <w:tcBorders>
              <w:top w:val="single" w:sz="8" w:color="auto"/>
            </w:tcBorders>
            <w:shd w:val="clear" w:color="auto" w:fill="F4F9F9"/>
          </w:tcPr>
          <w:p>
            <w:pPr>
              <w:spacing w:after="0" w:line="155" w:lineRule="exact"/>
              <w:rPr>
                <w:sz w:val="20"/>
                <w:szCs w:val="20"/>
                <w:color w:val="auto"/>
              </w:rPr>
            </w:pPr>
            <w:r>
              <w:rPr>
                <w:rFonts w:ascii="Arial" w:cs="Arial" w:eastAsia="Arial" w:hAnsi="Arial"/>
                <w:sz w:val="14"/>
                <w:szCs w:val="14"/>
                <w:b w:val="1"/>
                <w:bCs w:val="1"/>
                <w:color w:val="auto"/>
              </w:rPr>
              <w:t>Mr. De Shon</w:t>
            </w:r>
          </w:p>
        </w:tc>
        <w:tc>
          <w:tcPr>
            <w:tcW w:w="1180" w:type="dxa"/>
            <w:vAlign w:val="bottom"/>
            <w:tcBorders>
              <w:top w:val="single" w:sz="8" w:color="auto"/>
            </w:tcBorders>
            <w:shd w:val="clear" w:color="auto" w:fill="F4F9F9"/>
          </w:tcPr>
          <w:p>
            <w:pPr>
              <w:spacing w:after="0"/>
              <w:rPr>
                <w:sz w:val="13"/>
                <w:szCs w:val="13"/>
                <w:color w:val="auto"/>
              </w:rPr>
            </w:pPr>
          </w:p>
        </w:tc>
        <w:tc>
          <w:tcPr>
            <w:tcW w:w="1580" w:type="dxa"/>
            <w:vAlign w:val="bottom"/>
            <w:tcBorders>
              <w:top w:val="single" w:sz="8" w:color="auto"/>
            </w:tcBorders>
            <w:shd w:val="clear" w:color="auto" w:fill="F4F9F9"/>
          </w:tcPr>
          <w:p>
            <w:pPr>
              <w:spacing w:after="0"/>
              <w:rPr>
                <w:sz w:val="13"/>
                <w:szCs w:val="13"/>
                <w:color w:val="auto"/>
              </w:rPr>
            </w:pPr>
          </w:p>
        </w:tc>
        <w:tc>
          <w:tcPr>
            <w:tcW w:w="1380" w:type="dxa"/>
            <w:vAlign w:val="bottom"/>
            <w:tcBorders>
              <w:top w:val="single" w:sz="8" w:color="auto"/>
            </w:tcBorders>
            <w:shd w:val="clear" w:color="auto" w:fill="F4F9F9"/>
          </w:tcPr>
          <w:p>
            <w:pPr>
              <w:spacing w:after="0"/>
              <w:rPr>
                <w:sz w:val="13"/>
                <w:szCs w:val="13"/>
                <w:color w:val="auto"/>
              </w:rPr>
            </w:pPr>
          </w:p>
        </w:tc>
        <w:tc>
          <w:tcPr>
            <w:tcW w:w="1040" w:type="dxa"/>
            <w:vAlign w:val="bottom"/>
            <w:tcBorders>
              <w:top w:val="single" w:sz="8" w:color="auto"/>
            </w:tcBorders>
            <w:shd w:val="clear" w:color="auto" w:fill="F4F9F9"/>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F4F9F9"/>
          </w:tcPr>
          <w:p>
            <w:pPr>
              <w:spacing w:after="0"/>
              <w:rPr>
                <w:sz w:val="20"/>
                <w:szCs w:val="20"/>
                <w:color w:val="auto"/>
              </w:rPr>
            </w:pPr>
            <w:r>
              <w:rPr>
                <w:rFonts w:ascii="Arial" w:cs="Arial" w:eastAsia="Arial" w:hAnsi="Arial"/>
                <w:sz w:val="14"/>
                <w:szCs w:val="14"/>
                <w:color w:val="auto"/>
              </w:rPr>
              <w:t>Resignation or Termination by Company for Cause</w:t>
            </w:r>
          </w:p>
        </w:tc>
        <w:tc>
          <w:tcPr>
            <w:tcW w:w="1180" w:type="dxa"/>
            <w:vAlign w:val="bottom"/>
            <w:shd w:val="clear" w:color="auto" w:fill="F4F9F9"/>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F4F9F9"/>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shd w:val="clear" w:color="auto" w:fill="F4F9F9"/>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9F9"/>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5840" w:type="dxa"/>
            <w:vAlign w:val="bottom"/>
            <w:shd w:val="clear" w:color="auto" w:fill="F4F9F9"/>
          </w:tcPr>
          <w:p>
            <w:pPr>
              <w:spacing w:after="0"/>
              <w:rPr>
                <w:sz w:val="20"/>
                <w:szCs w:val="20"/>
                <w:color w:val="auto"/>
              </w:rPr>
            </w:pPr>
            <w:r>
              <w:rPr>
                <w:rFonts w:ascii="Arial" w:cs="Arial" w:eastAsia="Arial" w:hAnsi="Arial"/>
                <w:sz w:val="14"/>
                <w:szCs w:val="14"/>
                <w:color w:val="auto"/>
              </w:rPr>
              <w:t>Termination due to Death or Disability</w:t>
            </w:r>
          </w:p>
        </w:tc>
        <w:tc>
          <w:tcPr>
            <w:tcW w:w="1180" w:type="dxa"/>
            <w:vAlign w:val="bottom"/>
            <w:shd w:val="clear" w:color="auto" w:fill="F4F9F9"/>
          </w:tcPr>
          <w:p>
            <w:pPr>
              <w:jc w:val="right"/>
              <w:spacing w:after="0"/>
              <w:rPr>
                <w:sz w:val="20"/>
                <w:szCs w:val="20"/>
                <w:color w:val="auto"/>
              </w:rPr>
            </w:pPr>
            <w:r>
              <w:rPr>
                <w:rFonts w:ascii="Arial" w:cs="Arial" w:eastAsia="Arial" w:hAnsi="Arial"/>
                <w:sz w:val="14"/>
                <w:szCs w:val="14"/>
                <w:color w:val="auto"/>
              </w:rPr>
              <w:t>1,650,000</w:t>
            </w:r>
          </w:p>
        </w:tc>
        <w:tc>
          <w:tcPr>
            <w:tcW w:w="1580" w:type="dxa"/>
            <w:vAlign w:val="bottom"/>
            <w:shd w:val="clear" w:color="auto" w:fill="F4F9F9"/>
          </w:tcPr>
          <w:p>
            <w:pPr>
              <w:jc w:val="right"/>
              <w:ind w:right="168"/>
              <w:spacing w:after="0"/>
              <w:rPr>
                <w:sz w:val="20"/>
                <w:szCs w:val="20"/>
                <w:color w:val="auto"/>
              </w:rPr>
            </w:pPr>
            <w:r>
              <w:rPr>
                <w:rFonts w:ascii="Arial" w:cs="Arial" w:eastAsia="Arial" w:hAnsi="Arial"/>
                <w:sz w:val="14"/>
                <w:szCs w:val="14"/>
                <w:color w:val="auto"/>
              </w:rPr>
              <w:t>13,128,810</w:t>
            </w:r>
          </w:p>
        </w:tc>
        <w:tc>
          <w:tcPr>
            <w:tcW w:w="1380" w:type="dxa"/>
            <w:vAlign w:val="bottom"/>
            <w:shd w:val="clear" w:color="auto" w:fill="F4F9F9"/>
          </w:tcPr>
          <w:p>
            <w:pPr>
              <w:jc w:val="right"/>
              <w:ind w:right="188"/>
              <w:spacing w:after="0"/>
              <w:rPr>
                <w:sz w:val="20"/>
                <w:szCs w:val="20"/>
                <w:color w:val="auto"/>
              </w:rPr>
            </w:pPr>
            <w:r>
              <w:rPr>
                <w:rFonts w:ascii="Arial" w:cs="Arial" w:eastAsia="Arial" w:hAnsi="Arial"/>
                <w:sz w:val="14"/>
                <w:szCs w:val="14"/>
                <w:color w:val="auto"/>
              </w:rPr>
              <w:t>33,398</w:t>
            </w:r>
          </w:p>
        </w:tc>
        <w:tc>
          <w:tcPr>
            <w:tcW w:w="1040" w:type="dxa"/>
            <w:vAlign w:val="bottom"/>
            <w:shd w:val="clear" w:color="auto" w:fill="F4F9F9"/>
          </w:tcPr>
          <w:p>
            <w:pPr>
              <w:jc w:val="right"/>
              <w:spacing w:after="0"/>
              <w:rPr>
                <w:sz w:val="20"/>
                <w:szCs w:val="20"/>
                <w:color w:val="auto"/>
              </w:rPr>
            </w:pPr>
            <w:r>
              <w:rPr>
                <w:rFonts w:ascii="Arial" w:cs="Arial" w:eastAsia="Arial" w:hAnsi="Arial"/>
                <w:sz w:val="14"/>
                <w:szCs w:val="14"/>
                <w:color w:val="auto"/>
              </w:rPr>
              <w:t>14,812,208</w:t>
            </w:r>
          </w:p>
        </w:tc>
      </w:tr>
      <w:tr>
        <w:trPr>
          <w:trHeight w:val="162"/>
        </w:trPr>
        <w:tc>
          <w:tcPr>
            <w:tcW w:w="20" w:type="dxa"/>
            <w:vAlign w:val="bottom"/>
          </w:tcPr>
          <w:p>
            <w:pPr>
              <w:spacing w:after="0"/>
              <w:rPr>
                <w:sz w:val="14"/>
                <w:szCs w:val="14"/>
                <w:color w:val="auto"/>
              </w:rPr>
            </w:pPr>
          </w:p>
        </w:tc>
        <w:tc>
          <w:tcPr>
            <w:tcW w:w="5840" w:type="dxa"/>
            <w:vAlign w:val="bottom"/>
            <w:shd w:val="clear" w:color="auto" w:fill="F4F9F9"/>
          </w:tcPr>
          <w:p>
            <w:pPr>
              <w:spacing w:after="0"/>
              <w:rPr>
                <w:sz w:val="20"/>
                <w:szCs w:val="20"/>
                <w:color w:val="auto"/>
              </w:rPr>
            </w:pPr>
            <w:r>
              <w:rPr>
                <w:rFonts w:ascii="Arial" w:cs="Arial" w:eastAsia="Arial" w:hAnsi="Arial"/>
                <w:sz w:val="14"/>
                <w:szCs w:val="14"/>
                <w:color w:val="auto"/>
              </w:rPr>
              <w:t>Termination by Company without Cause or due to Constructive Discharge</w:t>
            </w:r>
          </w:p>
        </w:tc>
        <w:tc>
          <w:tcPr>
            <w:tcW w:w="1180" w:type="dxa"/>
            <w:vAlign w:val="bottom"/>
            <w:shd w:val="clear" w:color="auto" w:fill="F4F9F9"/>
          </w:tcPr>
          <w:p>
            <w:pPr>
              <w:jc w:val="right"/>
              <w:spacing w:after="0"/>
              <w:rPr>
                <w:sz w:val="20"/>
                <w:szCs w:val="20"/>
                <w:color w:val="auto"/>
              </w:rPr>
            </w:pPr>
            <w:r>
              <w:rPr>
                <w:rFonts w:ascii="Arial" w:cs="Arial" w:eastAsia="Arial" w:hAnsi="Arial"/>
                <w:sz w:val="14"/>
                <w:szCs w:val="14"/>
                <w:color w:val="auto"/>
              </w:rPr>
              <w:t>5,500,000</w:t>
            </w:r>
          </w:p>
        </w:tc>
        <w:tc>
          <w:tcPr>
            <w:tcW w:w="1580" w:type="dxa"/>
            <w:vAlign w:val="bottom"/>
            <w:shd w:val="clear" w:color="auto" w:fill="F4F9F9"/>
          </w:tcPr>
          <w:p>
            <w:pPr>
              <w:jc w:val="right"/>
              <w:ind w:right="168"/>
              <w:spacing w:after="0"/>
              <w:rPr>
                <w:sz w:val="20"/>
                <w:szCs w:val="20"/>
                <w:color w:val="auto"/>
              </w:rPr>
            </w:pPr>
            <w:r>
              <w:rPr>
                <w:rFonts w:ascii="Arial" w:cs="Arial" w:eastAsia="Arial" w:hAnsi="Arial"/>
                <w:sz w:val="14"/>
                <w:szCs w:val="14"/>
                <w:color w:val="auto"/>
              </w:rPr>
              <w:t>7,985,458</w:t>
            </w:r>
          </w:p>
        </w:tc>
        <w:tc>
          <w:tcPr>
            <w:tcW w:w="1380" w:type="dxa"/>
            <w:vAlign w:val="bottom"/>
            <w:shd w:val="clear" w:color="auto" w:fill="F4F9F9"/>
          </w:tcPr>
          <w:p>
            <w:pPr>
              <w:jc w:val="right"/>
              <w:ind w:right="188"/>
              <w:spacing w:after="0"/>
              <w:rPr>
                <w:sz w:val="20"/>
                <w:szCs w:val="20"/>
                <w:color w:val="auto"/>
              </w:rPr>
            </w:pPr>
            <w:r>
              <w:rPr>
                <w:rFonts w:ascii="Arial" w:cs="Arial" w:eastAsia="Arial" w:hAnsi="Arial"/>
                <w:sz w:val="14"/>
                <w:szCs w:val="14"/>
                <w:color w:val="auto"/>
              </w:rPr>
              <w:t>89,124</w:t>
            </w:r>
          </w:p>
        </w:tc>
        <w:tc>
          <w:tcPr>
            <w:tcW w:w="1040" w:type="dxa"/>
            <w:vAlign w:val="bottom"/>
            <w:shd w:val="clear" w:color="auto" w:fill="F4F9F9"/>
          </w:tcPr>
          <w:p>
            <w:pPr>
              <w:jc w:val="right"/>
              <w:spacing w:after="0"/>
              <w:rPr>
                <w:sz w:val="20"/>
                <w:szCs w:val="20"/>
                <w:color w:val="auto"/>
              </w:rPr>
            </w:pPr>
            <w:r>
              <w:rPr>
                <w:rFonts w:ascii="Arial" w:cs="Arial" w:eastAsia="Arial" w:hAnsi="Arial"/>
                <w:sz w:val="14"/>
                <w:szCs w:val="14"/>
                <w:color w:val="auto"/>
              </w:rPr>
              <w:t>13,574,582</w:t>
            </w:r>
          </w:p>
        </w:tc>
      </w:tr>
      <w:tr>
        <w:trPr>
          <w:trHeight w:val="167"/>
        </w:trPr>
        <w:tc>
          <w:tcPr>
            <w:tcW w:w="20" w:type="dxa"/>
            <w:vAlign w:val="bottom"/>
          </w:tcPr>
          <w:p>
            <w:pPr>
              <w:spacing w:after="0"/>
              <w:rPr>
                <w:sz w:val="14"/>
                <w:szCs w:val="14"/>
                <w:color w:val="auto"/>
              </w:rPr>
            </w:pPr>
          </w:p>
        </w:tc>
        <w:tc>
          <w:tcPr>
            <w:tcW w:w="5840" w:type="dxa"/>
            <w:vAlign w:val="bottom"/>
            <w:shd w:val="clear" w:color="auto" w:fill="F4F9F9"/>
          </w:tcPr>
          <w:p>
            <w:pPr>
              <w:spacing w:after="0"/>
              <w:rPr>
                <w:sz w:val="20"/>
                <w:szCs w:val="20"/>
                <w:color w:val="auto"/>
              </w:rPr>
            </w:pPr>
            <w:r>
              <w:rPr>
                <w:rFonts w:ascii="Arial" w:cs="Arial" w:eastAsia="Arial" w:hAnsi="Arial"/>
                <w:sz w:val="14"/>
                <w:szCs w:val="14"/>
                <w:color w:val="auto"/>
              </w:rPr>
              <w:t>Change of Control Transaction and Termination by Company without Cause or due to</w:t>
            </w:r>
          </w:p>
        </w:tc>
        <w:tc>
          <w:tcPr>
            <w:tcW w:w="1180" w:type="dxa"/>
            <w:vAlign w:val="bottom"/>
            <w:shd w:val="clear" w:color="auto" w:fill="F4F9F9"/>
          </w:tcPr>
          <w:p>
            <w:pPr>
              <w:spacing w:after="0"/>
              <w:rPr>
                <w:sz w:val="14"/>
                <w:szCs w:val="14"/>
                <w:color w:val="auto"/>
              </w:rPr>
            </w:pPr>
          </w:p>
        </w:tc>
        <w:tc>
          <w:tcPr>
            <w:tcW w:w="1580" w:type="dxa"/>
            <w:vAlign w:val="bottom"/>
            <w:shd w:val="clear" w:color="auto" w:fill="F4F9F9"/>
          </w:tcPr>
          <w:p>
            <w:pPr>
              <w:spacing w:after="0"/>
              <w:rPr>
                <w:sz w:val="14"/>
                <w:szCs w:val="14"/>
                <w:color w:val="auto"/>
              </w:rPr>
            </w:pPr>
          </w:p>
        </w:tc>
        <w:tc>
          <w:tcPr>
            <w:tcW w:w="1380" w:type="dxa"/>
            <w:vAlign w:val="bottom"/>
            <w:shd w:val="clear" w:color="auto" w:fill="F4F9F9"/>
          </w:tcPr>
          <w:p>
            <w:pPr>
              <w:spacing w:after="0"/>
              <w:rPr>
                <w:sz w:val="14"/>
                <w:szCs w:val="14"/>
                <w:color w:val="auto"/>
              </w:rPr>
            </w:pPr>
          </w:p>
        </w:tc>
        <w:tc>
          <w:tcPr>
            <w:tcW w:w="1040" w:type="dxa"/>
            <w:vAlign w:val="bottom"/>
            <w:shd w:val="clear" w:color="auto" w:fill="F4F9F9"/>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840" w:type="dxa"/>
            <w:vAlign w:val="bottom"/>
            <w:shd w:val="clear" w:color="auto" w:fill="F4F9F9"/>
          </w:tcPr>
          <w:p>
            <w:pPr>
              <w:ind w:left="120"/>
              <w:spacing w:after="0" w:line="157" w:lineRule="exact"/>
              <w:rPr>
                <w:sz w:val="20"/>
                <w:szCs w:val="20"/>
                <w:color w:val="auto"/>
              </w:rPr>
            </w:pPr>
            <w:r>
              <w:rPr>
                <w:rFonts w:ascii="Arial" w:cs="Arial" w:eastAsia="Arial" w:hAnsi="Arial"/>
                <w:sz w:val="14"/>
                <w:szCs w:val="14"/>
                <w:color w:val="auto"/>
              </w:rPr>
              <w:t>Constructive Discharge</w:t>
            </w:r>
          </w:p>
        </w:tc>
        <w:tc>
          <w:tcPr>
            <w:tcW w:w="1180" w:type="dxa"/>
            <w:vAlign w:val="bottom"/>
            <w:shd w:val="clear" w:color="auto" w:fill="F4F9F9"/>
          </w:tcPr>
          <w:p>
            <w:pPr>
              <w:jc w:val="right"/>
              <w:spacing w:after="0" w:line="157" w:lineRule="exact"/>
              <w:rPr>
                <w:sz w:val="20"/>
                <w:szCs w:val="20"/>
                <w:color w:val="auto"/>
              </w:rPr>
            </w:pPr>
            <w:r>
              <w:rPr>
                <w:rFonts w:ascii="Arial" w:cs="Arial" w:eastAsia="Arial" w:hAnsi="Arial"/>
                <w:sz w:val="14"/>
                <w:szCs w:val="14"/>
                <w:color w:val="auto"/>
              </w:rPr>
              <w:t>5,500,000</w:t>
            </w:r>
          </w:p>
        </w:tc>
        <w:tc>
          <w:tcPr>
            <w:tcW w:w="1580" w:type="dxa"/>
            <w:vAlign w:val="bottom"/>
            <w:shd w:val="clear" w:color="auto" w:fill="F4F9F9"/>
          </w:tcPr>
          <w:p>
            <w:pPr>
              <w:jc w:val="right"/>
              <w:ind w:right="168"/>
              <w:spacing w:after="0" w:line="157" w:lineRule="exact"/>
              <w:rPr>
                <w:sz w:val="20"/>
                <w:szCs w:val="20"/>
                <w:color w:val="auto"/>
              </w:rPr>
            </w:pPr>
            <w:r>
              <w:rPr>
                <w:rFonts w:ascii="Arial" w:cs="Arial" w:eastAsia="Arial" w:hAnsi="Arial"/>
                <w:sz w:val="14"/>
                <w:szCs w:val="14"/>
                <w:color w:val="auto"/>
              </w:rPr>
              <w:t>13,128,810</w:t>
            </w:r>
          </w:p>
        </w:tc>
        <w:tc>
          <w:tcPr>
            <w:tcW w:w="1380" w:type="dxa"/>
            <w:vAlign w:val="bottom"/>
            <w:shd w:val="clear" w:color="auto" w:fill="F4F9F9"/>
          </w:tcPr>
          <w:p>
            <w:pPr>
              <w:jc w:val="right"/>
              <w:ind w:right="188"/>
              <w:spacing w:after="0" w:line="157" w:lineRule="exact"/>
              <w:rPr>
                <w:sz w:val="20"/>
                <w:szCs w:val="20"/>
                <w:color w:val="auto"/>
              </w:rPr>
            </w:pPr>
            <w:r>
              <w:rPr>
                <w:rFonts w:ascii="Arial" w:cs="Arial" w:eastAsia="Arial" w:hAnsi="Arial"/>
                <w:sz w:val="14"/>
                <w:szCs w:val="14"/>
                <w:color w:val="auto"/>
              </w:rPr>
              <w:t>89,124</w:t>
            </w:r>
          </w:p>
        </w:tc>
        <w:tc>
          <w:tcPr>
            <w:tcW w:w="1040" w:type="dxa"/>
            <w:vAlign w:val="bottom"/>
            <w:shd w:val="clear" w:color="auto" w:fill="F4F9F9"/>
          </w:tcPr>
          <w:p>
            <w:pPr>
              <w:jc w:val="right"/>
              <w:spacing w:after="0" w:line="157" w:lineRule="exact"/>
              <w:rPr>
                <w:sz w:val="20"/>
                <w:szCs w:val="20"/>
                <w:color w:val="auto"/>
              </w:rPr>
            </w:pPr>
            <w:r>
              <w:rPr>
                <w:rFonts w:ascii="Arial" w:cs="Arial" w:eastAsia="Arial" w:hAnsi="Arial"/>
                <w:sz w:val="14"/>
                <w:szCs w:val="14"/>
                <w:color w:val="auto"/>
              </w:rPr>
              <w:t>18,717,934</w:t>
            </w:r>
          </w:p>
        </w:tc>
      </w:tr>
      <w:tr>
        <w:trPr>
          <w:trHeight w:val="162"/>
        </w:trPr>
        <w:tc>
          <w:tcPr>
            <w:tcW w:w="20" w:type="dxa"/>
            <w:vAlign w:val="bottom"/>
          </w:tcPr>
          <w:p>
            <w:pPr>
              <w:spacing w:after="0"/>
              <w:rPr>
                <w:sz w:val="14"/>
                <w:szCs w:val="14"/>
                <w:color w:val="auto"/>
              </w:rPr>
            </w:pPr>
          </w:p>
        </w:tc>
        <w:tc>
          <w:tcPr>
            <w:tcW w:w="5840" w:type="dxa"/>
            <w:vAlign w:val="bottom"/>
            <w:tcBorders>
              <w:bottom w:val="single" w:sz="8" w:color="C1CECC"/>
            </w:tcBorders>
            <w:shd w:val="clear" w:color="auto" w:fill="F4F9F9"/>
          </w:tcPr>
          <w:p>
            <w:pPr>
              <w:spacing w:after="0"/>
              <w:rPr>
                <w:sz w:val="20"/>
                <w:szCs w:val="20"/>
                <w:color w:val="auto"/>
              </w:rPr>
            </w:pPr>
            <w:r>
              <w:rPr>
                <w:rFonts w:ascii="Arial" w:cs="Arial" w:eastAsia="Arial" w:hAnsi="Arial"/>
                <w:sz w:val="14"/>
                <w:szCs w:val="14"/>
                <w:color w:val="auto"/>
              </w:rPr>
              <w:t>Change of Control Transaction without Termination</w:t>
            </w:r>
          </w:p>
        </w:tc>
        <w:tc>
          <w:tcPr>
            <w:tcW w:w="1180" w:type="dxa"/>
            <w:vAlign w:val="bottom"/>
            <w:tcBorders>
              <w:bottom w:val="single" w:sz="8" w:color="C1CECC"/>
            </w:tcBorders>
            <w:shd w:val="clear" w:color="auto" w:fill="F4F9F9"/>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1CECC"/>
            </w:tcBorders>
            <w:shd w:val="clear" w:color="auto" w:fill="F4F9F9"/>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1CECC"/>
            </w:tcBorders>
            <w:shd w:val="clear" w:color="auto" w:fill="F4F9F9"/>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1CECC"/>
            </w:tcBorders>
            <w:shd w:val="clear" w:color="auto" w:fill="F4F9F9"/>
          </w:tcPr>
          <w:p>
            <w:pPr>
              <w:jc w:val="right"/>
              <w:spacing w:after="0"/>
              <w:rPr>
                <w:sz w:val="20"/>
                <w:szCs w:val="20"/>
                <w:color w:val="auto"/>
              </w:rPr>
            </w:pPr>
            <w:r>
              <w:rPr>
                <w:rFonts w:ascii="Arial" w:cs="Arial" w:eastAsia="Arial" w:hAnsi="Arial"/>
                <w:sz w:val="14"/>
                <w:szCs w:val="14"/>
                <w:color w:val="auto"/>
              </w:rPr>
              <w:t>—</w:t>
            </w:r>
          </w:p>
        </w:tc>
      </w:tr>
      <w:tr>
        <w:trPr>
          <w:trHeight w:val="160"/>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4"/>
                <w:szCs w:val="14"/>
                <w:b w:val="1"/>
                <w:bCs w:val="1"/>
                <w:color w:val="auto"/>
              </w:rPr>
              <w:t>Mr. Smith (e)</w:t>
            </w:r>
          </w:p>
        </w:tc>
        <w:tc>
          <w:tcPr>
            <w:tcW w:w="1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2"/>
        </w:trPr>
        <w:tc>
          <w:tcPr>
            <w:tcW w:w="5860" w:type="dxa"/>
            <w:vAlign w:val="bottom"/>
            <w:gridSpan w:val="2"/>
          </w:tcPr>
          <w:p>
            <w:pPr>
              <w:spacing w:after="0"/>
              <w:rPr>
                <w:sz w:val="20"/>
                <w:szCs w:val="20"/>
                <w:color w:val="auto"/>
              </w:rPr>
            </w:pPr>
            <w:r>
              <w:rPr>
                <w:rFonts w:ascii="Arial" w:cs="Arial" w:eastAsia="Arial" w:hAnsi="Arial"/>
                <w:sz w:val="14"/>
                <w:szCs w:val="14"/>
                <w:color w:val="auto"/>
              </w:rPr>
              <w:t>Resignation or Termination by Company for Cause</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60" w:type="dxa"/>
            <w:vAlign w:val="bottom"/>
            <w:gridSpan w:val="2"/>
          </w:tcPr>
          <w:p>
            <w:pPr>
              <w:spacing w:after="0"/>
              <w:rPr>
                <w:sz w:val="20"/>
                <w:szCs w:val="20"/>
                <w:color w:val="auto"/>
              </w:rPr>
            </w:pPr>
            <w:r>
              <w:rPr>
                <w:rFonts w:ascii="Arial" w:cs="Arial" w:eastAsia="Arial" w:hAnsi="Arial"/>
                <w:sz w:val="14"/>
                <w:szCs w:val="14"/>
                <w:color w:val="auto"/>
              </w:rPr>
              <w:t>Termination due to Death or Disability</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168"/>
              <w:spacing w:after="0"/>
              <w:rPr>
                <w:sz w:val="20"/>
                <w:szCs w:val="20"/>
                <w:color w:val="auto"/>
              </w:rPr>
            </w:pPr>
            <w:r>
              <w:rPr>
                <w:rFonts w:ascii="Arial" w:cs="Arial" w:eastAsia="Arial" w:hAnsi="Arial"/>
                <w:sz w:val="14"/>
                <w:szCs w:val="14"/>
                <w:color w:val="auto"/>
              </w:rPr>
              <w:t>114,790</w:t>
            </w:r>
          </w:p>
        </w:tc>
        <w:tc>
          <w:tcPr>
            <w:tcW w:w="1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114,790</w:t>
            </w:r>
          </w:p>
        </w:tc>
      </w:tr>
      <w:tr>
        <w:trPr>
          <w:trHeight w:val="162"/>
        </w:trPr>
        <w:tc>
          <w:tcPr>
            <w:tcW w:w="5860" w:type="dxa"/>
            <w:vAlign w:val="bottom"/>
            <w:gridSpan w:val="2"/>
          </w:tcPr>
          <w:p>
            <w:pPr>
              <w:spacing w:after="0"/>
              <w:rPr>
                <w:sz w:val="20"/>
                <w:szCs w:val="20"/>
                <w:color w:val="auto"/>
              </w:rPr>
            </w:pPr>
            <w:r>
              <w:rPr>
                <w:rFonts w:ascii="Arial" w:cs="Arial" w:eastAsia="Arial" w:hAnsi="Arial"/>
                <w:sz w:val="14"/>
                <w:szCs w:val="14"/>
                <w:color w:val="auto"/>
              </w:rPr>
              <w:t>Termination by Company without Cause or due to Constructive Discharge</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60" w:type="dxa"/>
            <w:vAlign w:val="bottom"/>
            <w:gridSpan w:val="2"/>
          </w:tcPr>
          <w:p>
            <w:pPr>
              <w:spacing w:after="0"/>
              <w:rPr>
                <w:sz w:val="20"/>
                <w:szCs w:val="20"/>
                <w:color w:val="auto"/>
              </w:rPr>
            </w:pPr>
            <w:r>
              <w:rPr>
                <w:rFonts w:ascii="Arial" w:cs="Arial" w:eastAsia="Arial" w:hAnsi="Arial"/>
                <w:sz w:val="14"/>
                <w:szCs w:val="14"/>
                <w:color w:val="auto"/>
              </w:rPr>
              <w:t>Change of Control Transaction and Termination by Company without Cause or due to</w:t>
            </w:r>
          </w:p>
        </w:tc>
        <w:tc>
          <w:tcPr>
            <w:tcW w:w="1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120"/>
              <w:spacing w:after="0"/>
              <w:rPr>
                <w:sz w:val="20"/>
                <w:szCs w:val="20"/>
                <w:color w:val="auto"/>
              </w:rPr>
            </w:pPr>
            <w:r>
              <w:rPr>
                <w:rFonts w:ascii="Arial" w:cs="Arial" w:eastAsia="Arial" w:hAnsi="Arial"/>
                <w:sz w:val="14"/>
                <w:szCs w:val="14"/>
                <w:color w:val="auto"/>
              </w:rPr>
              <w:t>Constructive Discharge</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168"/>
              <w:spacing w:after="0"/>
              <w:rPr>
                <w:sz w:val="20"/>
                <w:szCs w:val="20"/>
                <w:color w:val="auto"/>
              </w:rPr>
            </w:pPr>
            <w:r>
              <w:rPr>
                <w:rFonts w:ascii="Arial" w:cs="Arial" w:eastAsia="Arial" w:hAnsi="Arial"/>
                <w:sz w:val="14"/>
                <w:szCs w:val="14"/>
                <w:color w:val="auto"/>
              </w:rPr>
              <w:t>114,790</w:t>
            </w:r>
          </w:p>
        </w:tc>
        <w:tc>
          <w:tcPr>
            <w:tcW w:w="1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114,790</w:t>
            </w:r>
          </w:p>
        </w:tc>
      </w:tr>
      <w:tr>
        <w:trPr>
          <w:trHeight w:val="157"/>
        </w:trPr>
        <w:tc>
          <w:tcPr>
            <w:tcW w:w="5860" w:type="dxa"/>
            <w:vAlign w:val="bottom"/>
            <w:gridSpan w:val="2"/>
          </w:tcPr>
          <w:p>
            <w:pPr>
              <w:spacing w:after="0" w:line="157" w:lineRule="exact"/>
              <w:rPr>
                <w:sz w:val="20"/>
                <w:szCs w:val="20"/>
                <w:color w:val="auto"/>
              </w:rPr>
            </w:pPr>
            <w:r>
              <w:rPr>
                <w:rFonts w:ascii="Arial" w:cs="Arial" w:eastAsia="Arial" w:hAnsi="Arial"/>
                <w:sz w:val="14"/>
                <w:szCs w:val="14"/>
                <w:color w:val="auto"/>
              </w:rPr>
              <w:t>Change of Control Transaction without Termination</w:t>
            </w:r>
          </w:p>
        </w:tc>
        <w:tc>
          <w:tcPr>
            <w:tcW w:w="11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580" w:type="dxa"/>
            <w:vAlign w:val="bottom"/>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138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5840" w:type="dxa"/>
            <w:vAlign w:val="bottom"/>
            <w:tcBorders>
              <w:top w:val="single" w:sz="8" w:color="C1CECC"/>
            </w:tcBorders>
            <w:shd w:val="clear" w:color="auto" w:fill="F4F9F9"/>
          </w:tcPr>
          <w:p>
            <w:pPr>
              <w:spacing w:after="0" w:line="155" w:lineRule="exact"/>
              <w:rPr>
                <w:sz w:val="20"/>
                <w:szCs w:val="20"/>
                <w:color w:val="auto"/>
              </w:rPr>
            </w:pPr>
            <w:r>
              <w:rPr>
                <w:rFonts w:ascii="Arial" w:cs="Arial" w:eastAsia="Arial" w:hAnsi="Arial"/>
                <w:sz w:val="14"/>
                <w:szCs w:val="14"/>
                <w:b w:val="1"/>
                <w:bCs w:val="1"/>
                <w:color w:val="auto"/>
              </w:rPr>
              <w:t>Mr. Nelson</w:t>
            </w:r>
          </w:p>
        </w:tc>
        <w:tc>
          <w:tcPr>
            <w:tcW w:w="1180" w:type="dxa"/>
            <w:vAlign w:val="bottom"/>
            <w:tcBorders>
              <w:top w:val="single" w:sz="8" w:color="C1CECC"/>
            </w:tcBorders>
            <w:shd w:val="clear" w:color="auto" w:fill="F4F9F9"/>
          </w:tcPr>
          <w:p>
            <w:pPr>
              <w:spacing w:after="0"/>
              <w:rPr>
                <w:sz w:val="13"/>
                <w:szCs w:val="13"/>
                <w:color w:val="auto"/>
              </w:rPr>
            </w:pPr>
          </w:p>
        </w:tc>
        <w:tc>
          <w:tcPr>
            <w:tcW w:w="1580" w:type="dxa"/>
            <w:vAlign w:val="bottom"/>
            <w:tcBorders>
              <w:top w:val="single" w:sz="8" w:color="C1CECC"/>
            </w:tcBorders>
            <w:shd w:val="clear" w:color="auto" w:fill="F4F9F9"/>
          </w:tcPr>
          <w:p>
            <w:pPr>
              <w:spacing w:after="0"/>
              <w:rPr>
                <w:sz w:val="13"/>
                <w:szCs w:val="13"/>
                <w:color w:val="auto"/>
              </w:rPr>
            </w:pPr>
          </w:p>
        </w:tc>
        <w:tc>
          <w:tcPr>
            <w:tcW w:w="1380" w:type="dxa"/>
            <w:vAlign w:val="bottom"/>
            <w:tcBorders>
              <w:top w:val="single" w:sz="8" w:color="C1CECC"/>
            </w:tcBorders>
            <w:shd w:val="clear" w:color="auto" w:fill="F4F9F9"/>
          </w:tcPr>
          <w:p>
            <w:pPr>
              <w:spacing w:after="0"/>
              <w:rPr>
                <w:sz w:val="13"/>
                <w:szCs w:val="13"/>
                <w:color w:val="auto"/>
              </w:rPr>
            </w:pPr>
          </w:p>
        </w:tc>
        <w:tc>
          <w:tcPr>
            <w:tcW w:w="1040" w:type="dxa"/>
            <w:vAlign w:val="bottom"/>
            <w:tcBorders>
              <w:top w:val="single" w:sz="8" w:color="C1CECC"/>
            </w:tcBorders>
            <w:shd w:val="clear" w:color="auto" w:fill="F4F9F9"/>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F4F9F9"/>
          </w:tcPr>
          <w:p>
            <w:pPr>
              <w:spacing w:after="0"/>
              <w:rPr>
                <w:sz w:val="20"/>
                <w:szCs w:val="20"/>
                <w:color w:val="auto"/>
              </w:rPr>
            </w:pPr>
            <w:r>
              <w:rPr>
                <w:rFonts w:ascii="Arial" w:cs="Arial" w:eastAsia="Arial" w:hAnsi="Arial"/>
                <w:sz w:val="14"/>
                <w:szCs w:val="14"/>
                <w:color w:val="auto"/>
              </w:rPr>
              <w:t>Resignation or Termination by Company for Cause</w:t>
            </w:r>
          </w:p>
        </w:tc>
        <w:tc>
          <w:tcPr>
            <w:tcW w:w="1180" w:type="dxa"/>
            <w:vAlign w:val="bottom"/>
            <w:shd w:val="clear" w:color="auto" w:fill="F4F9F9"/>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F4F9F9"/>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shd w:val="clear" w:color="auto" w:fill="F4F9F9"/>
          </w:tcPr>
          <w:p>
            <w:pPr>
              <w:jc w:val="right"/>
              <w:ind w:right="188"/>
              <w:spacing w:after="0"/>
              <w:rPr>
                <w:sz w:val="20"/>
                <w:szCs w:val="20"/>
                <w:color w:val="auto"/>
              </w:rPr>
            </w:pPr>
            <w:r>
              <w:rPr>
                <w:rFonts w:ascii="Arial" w:cs="Arial" w:eastAsia="Arial" w:hAnsi="Arial"/>
                <w:sz w:val="14"/>
                <w:szCs w:val="14"/>
                <w:color w:val="auto"/>
              </w:rPr>
              <w:t>165,689</w:t>
            </w:r>
          </w:p>
        </w:tc>
        <w:tc>
          <w:tcPr>
            <w:tcW w:w="1040" w:type="dxa"/>
            <w:vAlign w:val="bottom"/>
            <w:shd w:val="clear" w:color="auto" w:fill="F4F9F9"/>
          </w:tcPr>
          <w:p>
            <w:pPr>
              <w:jc w:val="right"/>
              <w:spacing w:after="0"/>
              <w:rPr>
                <w:sz w:val="20"/>
                <w:szCs w:val="20"/>
                <w:color w:val="auto"/>
              </w:rPr>
            </w:pPr>
            <w:r>
              <w:rPr>
                <w:rFonts w:ascii="Arial" w:cs="Arial" w:eastAsia="Arial" w:hAnsi="Arial"/>
                <w:sz w:val="14"/>
                <w:szCs w:val="14"/>
                <w:color w:val="auto"/>
              </w:rPr>
              <w:t>165,689</w:t>
            </w:r>
          </w:p>
        </w:tc>
      </w:tr>
      <w:tr>
        <w:trPr>
          <w:trHeight w:val="162"/>
        </w:trPr>
        <w:tc>
          <w:tcPr>
            <w:tcW w:w="20" w:type="dxa"/>
            <w:vAlign w:val="bottom"/>
          </w:tcPr>
          <w:p>
            <w:pPr>
              <w:spacing w:after="0"/>
              <w:rPr>
                <w:sz w:val="14"/>
                <w:szCs w:val="14"/>
                <w:color w:val="auto"/>
              </w:rPr>
            </w:pPr>
          </w:p>
        </w:tc>
        <w:tc>
          <w:tcPr>
            <w:tcW w:w="5840" w:type="dxa"/>
            <w:vAlign w:val="bottom"/>
            <w:shd w:val="clear" w:color="auto" w:fill="F4F9F9"/>
          </w:tcPr>
          <w:p>
            <w:pPr>
              <w:spacing w:after="0"/>
              <w:rPr>
                <w:sz w:val="20"/>
                <w:szCs w:val="20"/>
                <w:color w:val="auto"/>
              </w:rPr>
            </w:pPr>
            <w:r>
              <w:rPr>
                <w:rFonts w:ascii="Arial" w:cs="Arial" w:eastAsia="Arial" w:hAnsi="Arial"/>
                <w:sz w:val="14"/>
                <w:szCs w:val="14"/>
                <w:color w:val="auto"/>
              </w:rPr>
              <w:t>Termination due to Death or Disability</w:t>
            </w:r>
          </w:p>
        </w:tc>
        <w:tc>
          <w:tcPr>
            <w:tcW w:w="1180" w:type="dxa"/>
            <w:vAlign w:val="bottom"/>
            <w:shd w:val="clear" w:color="auto" w:fill="F4F9F9"/>
          </w:tcPr>
          <w:p>
            <w:pPr>
              <w:jc w:val="right"/>
              <w:spacing w:after="0"/>
              <w:rPr>
                <w:sz w:val="20"/>
                <w:szCs w:val="20"/>
                <w:color w:val="auto"/>
              </w:rPr>
            </w:pPr>
            <w:r>
              <w:rPr>
                <w:rFonts w:ascii="Arial" w:cs="Arial" w:eastAsia="Arial" w:hAnsi="Arial"/>
                <w:sz w:val="14"/>
                <w:szCs w:val="14"/>
                <w:color w:val="auto"/>
              </w:rPr>
              <w:t>1,000,000</w:t>
            </w:r>
          </w:p>
        </w:tc>
        <w:tc>
          <w:tcPr>
            <w:tcW w:w="1580" w:type="dxa"/>
            <w:vAlign w:val="bottom"/>
            <w:shd w:val="clear" w:color="auto" w:fill="F4F9F9"/>
          </w:tcPr>
          <w:p>
            <w:pPr>
              <w:jc w:val="right"/>
              <w:ind w:right="168"/>
              <w:spacing w:after="0"/>
              <w:rPr>
                <w:sz w:val="20"/>
                <w:szCs w:val="20"/>
                <w:color w:val="auto"/>
              </w:rPr>
            </w:pPr>
            <w:r>
              <w:rPr>
                <w:rFonts w:ascii="Arial" w:cs="Arial" w:eastAsia="Arial" w:hAnsi="Arial"/>
                <w:sz w:val="14"/>
                <w:szCs w:val="14"/>
                <w:color w:val="auto"/>
              </w:rPr>
              <w:t>1,275,197</w:t>
            </w:r>
          </w:p>
        </w:tc>
        <w:tc>
          <w:tcPr>
            <w:tcW w:w="1380" w:type="dxa"/>
            <w:vAlign w:val="bottom"/>
            <w:shd w:val="clear" w:color="auto" w:fill="F4F9F9"/>
          </w:tcPr>
          <w:p>
            <w:pPr>
              <w:jc w:val="right"/>
              <w:ind w:right="188"/>
              <w:spacing w:after="0"/>
              <w:rPr>
                <w:sz w:val="20"/>
                <w:szCs w:val="20"/>
                <w:color w:val="auto"/>
              </w:rPr>
            </w:pPr>
            <w:r>
              <w:rPr>
                <w:rFonts w:ascii="Arial" w:cs="Arial" w:eastAsia="Arial" w:hAnsi="Arial"/>
                <w:sz w:val="14"/>
                <w:szCs w:val="14"/>
                <w:color w:val="auto"/>
              </w:rPr>
              <w:t>165,689</w:t>
            </w:r>
          </w:p>
        </w:tc>
        <w:tc>
          <w:tcPr>
            <w:tcW w:w="1040" w:type="dxa"/>
            <w:vAlign w:val="bottom"/>
            <w:shd w:val="clear" w:color="auto" w:fill="F4F9F9"/>
          </w:tcPr>
          <w:p>
            <w:pPr>
              <w:jc w:val="right"/>
              <w:spacing w:after="0"/>
              <w:rPr>
                <w:sz w:val="20"/>
                <w:szCs w:val="20"/>
                <w:color w:val="auto"/>
              </w:rPr>
            </w:pPr>
            <w:r>
              <w:rPr>
                <w:rFonts w:ascii="Arial" w:cs="Arial" w:eastAsia="Arial" w:hAnsi="Arial"/>
                <w:sz w:val="14"/>
                <w:szCs w:val="14"/>
                <w:color w:val="auto"/>
              </w:rPr>
              <w:t>2,440,886</w:t>
            </w:r>
          </w:p>
        </w:tc>
      </w:tr>
      <w:tr>
        <w:trPr>
          <w:trHeight w:val="162"/>
        </w:trPr>
        <w:tc>
          <w:tcPr>
            <w:tcW w:w="20" w:type="dxa"/>
            <w:vAlign w:val="bottom"/>
          </w:tcPr>
          <w:p>
            <w:pPr>
              <w:spacing w:after="0"/>
              <w:rPr>
                <w:sz w:val="14"/>
                <w:szCs w:val="14"/>
                <w:color w:val="auto"/>
              </w:rPr>
            </w:pPr>
          </w:p>
        </w:tc>
        <w:tc>
          <w:tcPr>
            <w:tcW w:w="5840" w:type="dxa"/>
            <w:vAlign w:val="bottom"/>
            <w:shd w:val="clear" w:color="auto" w:fill="F4F9F9"/>
          </w:tcPr>
          <w:p>
            <w:pPr>
              <w:spacing w:after="0"/>
              <w:rPr>
                <w:sz w:val="20"/>
                <w:szCs w:val="20"/>
                <w:color w:val="auto"/>
              </w:rPr>
            </w:pPr>
            <w:r>
              <w:rPr>
                <w:rFonts w:ascii="Arial" w:cs="Arial" w:eastAsia="Arial" w:hAnsi="Arial"/>
                <w:sz w:val="14"/>
                <w:szCs w:val="14"/>
                <w:color w:val="auto"/>
              </w:rPr>
              <w:t>Termination by Company without Cause or due to Constructive Discharge</w:t>
            </w:r>
          </w:p>
        </w:tc>
        <w:tc>
          <w:tcPr>
            <w:tcW w:w="1180" w:type="dxa"/>
            <w:vAlign w:val="bottom"/>
            <w:shd w:val="clear" w:color="auto" w:fill="F4F9F9"/>
          </w:tcPr>
          <w:p>
            <w:pPr>
              <w:jc w:val="right"/>
              <w:spacing w:after="0"/>
              <w:rPr>
                <w:sz w:val="20"/>
                <w:szCs w:val="20"/>
                <w:color w:val="auto"/>
              </w:rPr>
            </w:pPr>
            <w:r>
              <w:rPr>
                <w:rFonts w:ascii="Arial" w:cs="Arial" w:eastAsia="Arial" w:hAnsi="Arial"/>
                <w:sz w:val="14"/>
                <w:szCs w:val="14"/>
                <w:color w:val="auto"/>
              </w:rPr>
              <w:t>3,600,000</w:t>
            </w:r>
          </w:p>
        </w:tc>
        <w:tc>
          <w:tcPr>
            <w:tcW w:w="1580" w:type="dxa"/>
            <w:vAlign w:val="bottom"/>
            <w:shd w:val="clear" w:color="auto" w:fill="F4F9F9"/>
          </w:tcPr>
          <w:p>
            <w:pPr>
              <w:jc w:val="right"/>
              <w:ind w:right="168"/>
              <w:spacing w:after="0"/>
              <w:rPr>
                <w:sz w:val="20"/>
                <w:szCs w:val="20"/>
                <w:color w:val="auto"/>
              </w:rPr>
            </w:pPr>
            <w:r>
              <w:rPr>
                <w:rFonts w:ascii="Arial" w:cs="Arial" w:eastAsia="Arial" w:hAnsi="Arial"/>
                <w:sz w:val="14"/>
                <w:szCs w:val="14"/>
                <w:color w:val="auto"/>
              </w:rPr>
              <w:t>1,275,197</w:t>
            </w:r>
          </w:p>
        </w:tc>
        <w:tc>
          <w:tcPr>
            <w:tcW w:w="1380" w:type="dxa"/>
            <w:vAlign w:val="bottom"/>
            <w:shd w:val="clear" w:color="auto" w:fill="F4F9F9"/>
          </w:tcPr>
          <w:p>
            <w:pPr>
              <w:jc w:val="right"/>
              <w:ind w:right="188"/>
              <w:spacing w:after="0"/>
              <w:rPr>
                <w:sz w:val="20"/>
                <w:szCs w:val="20"/>
                <w:color w:val="auto"/>
              </w:rPr>
            </w:pPr>
            <w:r>
              <w:rPr>
                <w:rFonts w:ascii="Arial" w:cs="Arial" w:eastAsia="Arial" w:hAnsi="Arial"/>
                <w:sz w:val="14"/>
                <w:szCs w:val="14"/>
                <w:color w:val="auto"/>
              </w:rPr>
              <w:t>236,467</w:t>
            </w:r>
          </w:p>
        </w:tc>
        <w:tc>
          <w:tcPr>
            <w:tcW w:w="1040" w:type="dxa"/>
            <w:vAlign w:val="bottom"/>
            <w:shd w:val="clear" w:color="auto" w:fill="F4F9F9"/>
          </w:tcPr>
          <w:p>
            <w:pPr>
              <w:jc w:val="right"/>
              <w:spacing w:after="0"/>
              <w:rPr>
                <w:sz w:val="20"/>
                <w:szCs w:val="20"/>
                <w:color w:val="auto"/>
              </w:rPr>
            </w:pPr>
            <w:r>
              <w:rPr>
                <w:rFonts w:ascii="Arial" w:cs="Arial" w:eastAsia="Arial" w:hAnsi="Arial"/>
                <w:sz w:val="14"/>
                <w:szCs w:val="14"/>
                <w:color w:val="auto"/>
              </w:rPr>
              <w:t>5,111,664</w:t>
            </w:r>
          </w:p>
        </w:tc>
      </w:tr>
      <w:tr>
        <w:trPr>
          <w:trHeight w:val="167"/>
        </w:trPr>
        <w:tc>
          <w:tcPr>
            <w:tcW w:w="20" w:type="dxa"/>
            <w:vAlign w:val="bottom"/>
          </w:tcPr>
          <w:p>
            <w:pPr>
              <w:spacing w:after="0"/>
              <w:rPr>
                <w:sz w:val="14"/>
                <w:szCs w:val="14"/>
                <w:color w:val="auto"/>
              </w:rPr>
            </w:pPr>
          </w:p>
        </w:tc>
        <w:tc>
          <w:tcPr>
            <w:tcW w:w="5840" w:type="dxa"/>
            <w:vAlign w:val="bottom"/>
            <w:shd w:val="clear" w:color="auto" w:fill="F4F9F9"/>
          </w:tcPr>
          <w:p>
            <w:pPr>
              <w:spacing w:after="0"/>
              <w:rPr>
                <w:sz w:val="20"/>
                <w:szCs w:val="20"/>
                <w:color w:val="auto"/>
              </w:rPr>
            </w:pPr>
            <w:r>
              <w:rPr>
                <w:rFonts w:ascii="Arial" w:cs="Arial" w:eastAsia="Arial" w:hAnsi="Arial"/>
                <w:sz w:val="14"/>
                <w:szCs w:val="14"/>
                <w:color w:val="auto"/>
              </w:rPr>
              <w:t>Change of Control Transaction and Termination by Company without Cause or due to</w:t>
            </w:r>
          </w:p>
        </w:tc>
        <w:tc>
          <w:tcPr>
            <w:tcW w:w="1180" w:type="dxa"/>
            <w:vAlign w:val="bottom"/>
            <w:shd w:val="clear" w:color="auto" w:fill="F4F9F9"/>
          </w:tcPr>
          <w:p>
            <w:pPr>
              <w:spacing w:after="0"/>
              <w:rPr>
                <w:sz w:val="14"/>
                <w:szCs w:val="14"/>
                <w:color w:val="auto"/>
              </w:rPr>
            </w:pPr>
          </w:p>
        </w:tc>
        <w:tc>
          <w:tcPr>
            <w:tcW w:w="1580" w:type="dxa"/>
            <w:vAlign w:val="bottom"/>
            <w:shd w:val="clear" w:color="auto" w:fill="F4F9F9"/>
          </w:tcPr>
          <w:p>
            <w:pPr>
              <w:spacing w:after="0"/>
              <w:rPr>
                <w:sz w:val="14"/>
                <w:szCs w:val="14"/>
                <w:color w:val="auto"/>
              </w:rPr>
            </w:pPr>
          </w:p>
        </w:tc>
        <w:tc>
          <w:tcPr>
            <w:tcW w:w="1380" w:type="dxa"/>
            <w:vAlign w:val="bottom"/>
            <w:shd w:val="clear" w:color="auto" w:fill="F4F9F9"/>
          </w:tcPr>
          <w:p>
            <w:pPr>
              <w:spacing w:after="0"/>
              <w:rPr>
                <w:sz w:val="14"/>
                <w:szCs w:val="14"/>
                <w:color w:val="auto"/>
              </w:rPr>
            </w:pPr>
          </w:p>
        </w:tc>
        <w:tc>
          <w:tcPr>
            <w:tcW w:w="1040" w:type="dxa"/>
            <w:vAlign w:val="bottom"/>
            <w:shd w:val="clear" w:color="auto" w:fill="F4F9F9"/>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840" w:type="dxa"/>
            <w:vAlign w:val="bottom"/>
            <w:shd w:val="clear" w:color="auto" w:fill="F4F9F9"/>
          </w:tcPr>
          <w:p>
            <w:pPr>
              <w:ind w:left="120"/>
              <w:spacing w:after="0" w:line="157" w:lineRule="exact"/>
              <w:rPr>
                <w:sz w:val="20"/>
                <w:szCs w:val="20"/>
                <w:color w:val="auto"/>
              </w:rPr>
            </w:pPr>
            <w:r>
              <w:rPr>
                <w:rFonts w:ascii="Arial" w:cs="Arial" w:eastAsia="Arial" w:hAnsi="Arial"/>
                <w:sz w:val="14"/>
                <w:szCs w:val="14"/>
                <w:color w:val="auto"/>
              </w:rPr>
              <w:t>Constructive Discharge</w:t>
            </w:r>
          </w:p>
        </w:tc>
        <w:tc>
          <w:tcPr>
            <w:tcW w:w="1180" w:type="dxa"/>
            <w:vAlign w:val="bottom"/>
            <w:shd w:val="clear" w:color="auto" w:fill="F4F9F9"/>
          </w:tcPr>
          <w:p>
            <w:pPr>
              <w:jc w:val="right"/>
              <w:spacing w:after="0" w:line="157" w:lineRule="exact"/>
              <w:rPr>
                <w:sz w:val="20"/>
                <w:szCs w:val="20"/>
                <w:color w:val="auto"/>
              </w:rPr>
            </w:pPr>
            <w:r>
              <w:rPr>
                <w:rFonts w:ascii="Arial" w:cs="Arial" w:eastAsia="Arial" w:hAnsi="Arial"/>
                <w:sz w:val="14"/>
                <w:szCs w:val="14"/>
                <w:color w:val="auto"/>
              </w:rPr>
              <w:t>3,600,000</w:t>
            </w:r>
          </w:p>
        </w:tc>
        <w:tc>
          <w:tcPr>
            <w:tcW w:w="1580" w:type="dxa"/>
            <w:vAlign w:val="bottom"/>
            <w:shd w:val="clear" w:color="auto" w:fill="F4F9F9"/>
          </w:tcPr>
          <w:p>
            <w:pPr>
              <w:jc w:val="right"/>
              <w:ind w:right="168"/>
              <w:spacing w:after="0" w:line="157" w:lineRule="exact"/>
              <w:rPr>
                <w:sz w:val="20"/>
                <w:szCs w:val="20"/>
                <w:color w:val="auto"/>
              </w:rPr>
            </w:pPr>
            <w:r>
              <w:rPr>
                <w:rFonts w:ascii="Arial" w:cs="Arial" w:eastAsia="Arial" w:hAnsi="Arial"/>
                <w:sz w:val="14"/>
                <w:szCs w:val="14"/>
                <w:color w:val="auto"/>
              </w:rPr>
              <w:t>1,275,197</w:t>
            </w:r>
          </w:p>
        </w:tc>
        <w:tc>
          <w:tcPr>
            <w:tcW w:w="1380" w:type="dxa"/>
            <w:vAlign w:val="bottom"/>
            <w:shd w:val="clear" w:color="auto" w:fill="F4F9F9"/>
          </w:tcPr>
          <w:p>
            <w:pPr>
              <w:jc w:val="right"/>
              <w:ind w:right="188"/>
              <w:spacing w:after="0" w:line="157" w:lineRule="exact"/>
              <w:rPr>
                <w:sz w:val="20"/>
                <w:szCs w:val="20"/>
                <w:color w:val="auto"/>
              </w:rPr>
            </w:pPr>
            <w:r>
              <w:rPr>
                <w:rFonts w:ascii="Arial" w:cs="Arial" w:eastAsia="Arial" w:hAnsi="Arial"/>
                <w:sz w:val="14"/>
                <w:szCs w:val="14"/>
                <w:color w:val="auto"/>
              </w:rPr>
              <w:t>236,467</w:t>
            </w:r>
          </w:p>
        </w:tc>
        <w:tc>
          <w:tcPr>
            <w:tcW w:w="1040" w:type="dxa"/>
            <w:vAlign w:val="bottom"/>
            <w:shd w:val="clear" w:color="auto" w:fill="F4F9F9"/>
          </w:tcPr>
          <w:p>
            <w:pPr>
              <w:jc w:val="right"/>
              <w:spacing w:after="0" w:line="157" w:lineRule="exact"/>
              <w:rPr>
                <w:sz w:val="20"/>
                <w:szCs w:val="20"/>
                <w:color w:val="auto"/>
              </w:rPr>
            </w:pPr>
            <w:r>
              <w:rPr>
                <w:rFonts w:ascii="Arial" w:cs="Arial" w:eastAsia="Arial" w:hAnsi="Arial"/>
                <w:sz w:val="14"/>
                <w:szCs w:val="14"/>
                <w:color w:val="auto"/>
              </w:rPr>
              <w:t>5,111,664</w:t>
            </w:r>
          </w:p>
        </w:tc>
      </w:tr>
      <w:tr>
        <w:trPr>
          <w:trHeight w:val="162"/>
        </w:trPr>
        <w:tc>
          <w:tcPr>
            <w:tcW w:w="20" w:type="dxa"/>
            <w:vAlign w:val="bottom"/>
          </w:tcPr>
          <w:p>
            <w:pPr>
              <w:spacing w:after="0"/>
              <w:rPr>
                <w:sz w:val="14"/>
                <w:szCs w:val="14"/>
                <w:color w:val="auto"/>
              </w:rPr>
            </w:pPr>
          </w:p>
        </w:tc>
        <w:tc>
          <w:tcPr>
            <w:tcW w:w="5840" w:type="dxa"/>
            <w:vAlign w:val="bottom"/>
            <w:tcBorders>
              <w:bottom w:val="single" w:sz="8" w:color="C1CECC"/>
            </w:tcBorders>
            <w:shd w:val="clear" w:color="auto" w:fill="F4F9F9"/>
          </w:tcPr>
          <w:p>
            <w:pPr>
              <w:spacing w:after="0"/>
              <w:rPr>
                <w:sz w:val="20"/>
                <w:szCs w:val="20"/>
                <w:color w:val="auto"/>
              </w:rPr>
            </w:pPr>
            <w:r>
              <w:rPr>
                <w:rFonts w:ascii="Arial" w:cs="Arial" w:eastAsia="Arial" w:hAnsi="Arial"/>
                <w:sz w:val="14"/>
                <w:szCs w:val="14"/>
                <w:color w:val="auto"/>
              </w:rPr>
              <w:t>Change of Control Transaction without Termination</w:t>
            </w:r>
          </w:p>
        </w:tc>
        <w:tc>
          <w:tcPr>
            <w:tcW w:w="1180" w:type="dxa"/>
            <w:vAlign w:val="bottom"/>
            <w:tcBorders>
              <w:bottom w:val="single" w:sz="8" w:color="C1CECC"/>
            </w:tcBorders>
            <w:shd w:val="clear" w:color="auto" w:fill="F4F9F9"/>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1CECC"/>
            </w:tcBorders>
            <w:shd w:val="clear" w:color="auto" w:fill="F4F9F9"/>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1CECC"/>
            </w:tcBorders>
            <w:shd w:val="clear" w:color="auto" w:fill="F4F9F9"/>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1CECC"/>
            </w:tcBorders>
            <w:shd w:val="clear" w:color="auto" w:fill="F4F9F9"/>
          </w:tcPr>
          <w:p>
            <w:pPr>
              <w:jc w:val="right"/>
              <w:spacing w:after="0"/>
              <w:rPr>
                <w:sz w:val="20"/>
                <w:szCs w:val="20"/>
                <w:color w:val="auto"/>
              </w:rPr>
            </w:pPr>
            <w:r>
              <w:rPr>
                <w:rFonts w:ascii="Arial" w:cs="Arial" w:eastAsia="Arial" w:hAnsi="Arial"/>
                <w:sz w:val="14"/>
                <w:szCs w:val="14"/>
                <w:color w:val="auto"/>
              </w:rPr>
              <w:t>—</w:t>
            </w:r>
          </w:p>
        </w:tc>
      </w:tr>
      <w:tr>
        <w:trPr>
          <w:trHeight w:val="160"/>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4"/>
                <w:szCs w:val="14"/>
                <w:b w:val="1"/>
                <w:bCs w:val="1"/>
                <w:color w:val="auto"/>
              </w:rPr>
              <w:t>Mr. Ferraro</w:t>
            </w:r>
          </w:p>
        </w:tc>
        <w:tc>
          <w:tcPr>
            <w:tcW w:w="1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2"/>
        </w:trPr>
        <w:tc>
          <w:tcPr>
            <w:tcW w:w="5860" w:type="dxa"/>
            <w:vAlign w:val="bottom"/>
            <w:gridSpan w:val="2"/>
          </w:tcPr>
          <w:p>
            <w:pPr>
              <w:spacing w:after="0"/>
              <w:rPr>
                <w:sz w:val="20"/>
                <w:szCs w:val="20"/>
                <w:color w:val="auto"/>
              </w:rPr>
            </w:pPr>
            <w:r>
              <w:rPr>
                <w:rFonts w:ascii="Arial" w:cs="Arial" w:eastAsia="Arial" w:hAnsi="Arial"/>
                <w:sz w:val="14"/>
                <w:szCs w:val="14"/>
                <w:color w:val="auto"/>
              </w:rPr>
              <w:t>Resignation or Termination by Company for Cause</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860" w:type="dxa"/>
            <w:vAlign w:val="bottom"/>
            <w:gridSpan w:val="2"/>
          </w:tcPr>
          <w:p>
            <w:pPr>
              <w:spacing w:after="0"/>
              <w:rPr>
                <w:sz w:val="20"/>
                <w:szCs w:val="20"/>
                <w:color w:val="auto"/>
              </w:rPr>
            </w:pPr>
            <w:r>
              <w:rPr>
                <w:rFonts w:ascii="Arial" w:cs="Arial" w:eastAsia="Arial" w:hAnsi="Arial"/>
                <w:sz w:val="14"/>
                <w:szCs w:val="14"/>
                <w:color w:val="auto"/>
              </w:rPr>
              <w:t>Termination due to Death or Disability</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168"/>
              <w:spacing w:after="0"/>
              <w:rPr>
                <w:sz w:val="20"/>
                <w:szCs w:val="20"/>
                <w:color w:val="auto"/>
              </w:rPr>
            </w:pPr>
            <w:r>
              <w:rPr>
                <w:rFonts w:ascii="Arial" w:cs="Arial" w:eastAsia="Arial" w:hAnsi="Arial"/>
                <w:sz w:val="14"/>
                <w:szCs w:val="14"/>
                <w:color w:val="auto"/>
              </w:rPr>
              <w:t>5,935,604</w:t>
            </w:r>
          </w:p>
        </w:tc>
        <w:tc>
          <w:tcPr>
            <w:tcW w:w="1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5,935,604</w:t>
            </w:r>
          </w:p>
        </w:tc>
      </w:tr>
      <w:tr>
        <w:trPr>
          <w:trHeight w:val="162"/>
        </w:trPr>
        <w:tc>
          <w:tcPr>
            <w:tcW w:w="5860" w:type="dxa"/>
            <w:vAlign w:val="bottom"/>
            <w:gridSpan w:val="2"/>
          </w:tcPr>
          <w:p>
            <w:pPr>
              <w:spacing w:after="0"/>
              <w:rPr>
                <w:sz w:val="20"/>
                <w:szCs w:val="20"/>
                <w:color w:val="auto"/>
              </w:rPr>
            </w:pPr>
            <w:r>
              <w:rPr>
                <w:rFonts w:ascii="Arial" w:cs="Arial" w:eastAsia="Arial" w:hAnsi="Arial"/>
                <w:sz w:val="14"/>
                <w:szCs w:val="14"/>
                <w:color w:val="auto"/>
              </w:rPr>
              <w:t>Termination by Company without Cause or due to a Constructive Discharge</w:t>
            </w:r>
          </w:p>
        </w:tc>
        <w:tc>
          <w:tcPr>
            <w:tcW w:w="1180" w:type="dxa"/>
            <w:vAlign w:val="bottom"/>
          </w:tcPr>
          <w:p>
            <w:pPr>
              <w:jc w:val="right"/>
              <w:spacing w:after="0"/>
              <w:rPr>
                <w:sz w:val="20"/>
                <w:szCs w:val="20"/>
                <w:color w:val="auto"/>
              </w:rPr>
            </w:pPr>
            <w:r>
              <w:rPr>
                <w:rFonts w:ascii="Arial" w:cs="Arial" w:eastAsia="Arial" w:hAnsi="Arial"/>
                <w:sz w:val="14"/>
                <w:szCs w:val="14"/>
                <w:color w:val="auto"/>
              </w:rPr>
              <w:t>2,600,000</w:t>
            </w:r>
          </w:p>
        </w:tc>
        <w:tc>
          <w:tcPr>
            <w:tcW w:w="1580" w:type="dxa"/>
            <w:vAlign w:val="bottom"/>
          </w:tcPr>
          <w:p>
            <w:pPr>
              <w:jc w:val="right"/>
              <w:ind w:right="168"/>
              <w:spacing w:after="0"/>
              <w:rPr>
                <w:sz w:val="20"/>
                <w:szCs w:val="20"/>
                <w:color w:val="auto"/>
              </w:rPr>
            </w:pPr>
            <w:r>
              <w:rPr>
                <w:rFonts w:ascii="Arial" w:cs="Arial" w:eastAsia="Arial" w:hAnsi="Arial"/>
                <w:sz w:val="14"/>
                <w:szCs w:val="14"/>
                <w:color w:val="auto"/>
              </w:rPr>
              <w:t>4,915,394</w:t>
            </w:r>
          </w:p>
        </w:tc>
        <w:tc>
          <w:tcPr>
            <w:tcW w:w="1380" w:type="dxa"/>
            <w:vAlign w:val="bottom"/>
          </w:tcPr>
          <w:p>
            <w:pPr>
              <w:jc w:val="right"/>
              <w:ind w:right="188"/>
              <w:spacing w:after="0"/>
              <w:rPr>
                <w:sz w:val="20"/>
                <w:szCs w:val="20"/>
                <w:color w:val="auto"/>
              </w:rPr>
            </w:pPr>
            <w:r>
              <w:rPr>
                <w:rFonts w:ascii="Arial" w:cs="Arial" w:eastAsia="Arial" w:hAnsi="Arial"/>
                <w:sz w:val="14"/>
                <w:szCs w:val="14"/>
                <w:color w:val="auto"/>
              </w:rPr>
              <w:t>98,161</w:t>
            </w:r>
          </w:p>
        </w:tc>
        <w:tc>
          <w:tcPr>
            <w:tcW w:w="1040" w:type="dxa"/>
            <w:vAlign w:val="bottom"/>
          </w:tcPr>
          <w:p>
            <w:pPr>
              <w:jc w:val="right"/>
              <w:spacing w:after="0"/>
              <w:rPr>
                <w:sz w:val="20"/>
                <w:szCs w:val="20"/>
                <w:color w:val="auto"/>
              </w:rPr>
            </w:pPr>
            <w:r>
              <w:rPr>
                <w:rFonts w:ascii="Arial" w:cs="Arial" w:eastAsia="Arial" w:hAnsi="Arial"/>
                <w:sz w:val="14"/>
                <w:szCs w:val="14"/>
                <w:color w:val="auto"/>
              </w:rPr>
              <w:t>7,613,555</w:t>
            </w:r>
          </w:p>
        </w:tc>
      </w:tr>
      <w:tr>
        <w:trPr>
          <w:trHeight w:val="162"/>
        </w:trPr>
        <w:tc>
          <w:tcPr>
            <w:tcW w:w="5860" w:type="dxa"/>
            <w:vAlign w:val="bottom"/>
            <w:gridSpan w:val="2"/>
          </w:tcPr>
          <w:p>
            <w:pPr>
              <w:spacing w:after="0"/>
              <w:rPr>
                <w:sz w:val="20"/>
                <w:szCs w:val="20"/>
                <w:color w:val="auto"/>
              </w:rPr>
            </w:pPr>
            <w:r>
              <w:rPr>
                <w:rFonts w:ascii="Arial" w:cs="Arial" w:eastAsia="Arial" w:hAnsi="Arial"/>
                <w:sz w:val="14"/>
                <w:szCs w:val="14"/>
                <w:color w:val="auto"/>
              </w:rPr>
              <w:t>Change of Control Transaction and Termination by Company without Cause or due to a</w:t>
            </w:r>
          </w:p>
        </w:tc>
        <w:tc>
          <w:tcPr>
            <w:tcW w:w="1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120"/>
              <w:spacing w:after="0"/>
              <w:rPr>
                <w:sz w:val="20"/>
                <w:szCs w:val="20"/>
                <w:color w:val="auto"/>
              </w:rPr>
            </w:pPr>
            <w:r>
              <w:rPr>
                <w:rFonts w:ascii="Arial" w:cs="Arial" w:eastAsia="Arial" w:hAnsi="Arial"/>
                <w:sz w:val="14"/>
                <w:szCs w:val="14"/>
                <w:color w:val="auto"/>
              </w:rPr>
              <w:t>Constructive Discharge</w:t>
            </w:r>
          </w:p>
        </w:tc>
        <w:tc>
          <w:tcPr>
            <w:tcW w:w="1180" w:type="dxa"/>
            <w:vAlign w:val="bottom"/>
          </w:tcPr>
          <w:p>
            <w:pPr>
              <w:jc w:val="right"/>
              <w:spacing w:after="0"/>
              <w:rPr>
                <w:sz w:val="20"/>
                <w:szCs w:val="20"/>
                <w:color w:val="auto"/>
              </w:rPr>
            </w:pPr>
            <w:r>
              <w:rPr>
                <w:rFonts w:ascii="Arial" w:cs="Arial" w:eastAsia="Arial" w:hAnsi="Arial"/>
                <w:sz w:val="14"/>
                <w:szCs w:val="14"/>
                <w:color w:val="auto"/>
              </w:rPr>
              <w:t>2,600,000</w:t>
            </w:r>
          </w:p>
        </w:tc>
        <w:tc>
          <w:tcPr>
            <w:tcW w:w="1580" w:type="dxa"/>
            <w:vAlign w:val="bottom"/>
          </w:tcPr>
          <w:p>
            <w:pPr>
              <w:jc w:val="right"/>
              <w:ind w:right="168"/>
              <w:spacing w:after="0"/>
              <w:rPr>
                <w:sz w:val="20"/>
                <w:szCs w:val="20"/>
                <w:color w:val="auto"/>
              </w:rPr>
            </w:pPr>
            <w:r>
              <w:rPr>
                <w:rFonts w:ascii="Arial" w:cs="Arial" w:eastAsia="Arial" w:hAnsi="Arial"/>
                <w:sz w:val="14"/>
                <w:szCs w:val="14"/>
                <w:color w:val="auto"/>
              </w:rPr>
              <w:t>5,935,604</w:t>
            </w:r>
          </w:p>
        </w:tc>
        <w:tc>
          <w:tcPr>
            <w:tcW w:w="1380" w:type="dxa"/>
            <w:vAlign w:val="bottom"/>
          </w:tcPr>
          <w:p>
            <w:pPr>
              <w:jc w:val="right"/>
              <w:ind w:right="188"/>
              <w:spacing w:after="0"/>
              <w:rPr>
                <w:sz w:val="20"/>
                <w:szCs w:val="20"/>
                <w:color w:val="auto"/>
              </w:rPr>
            </w:pPr>
            <w:r>
              <w:rPr>
                <w:rFonts w:ascii="Arial" w:cs="Arial" w:eastAsia="Arial" w:hAnsi="Arial"/>
                <w:sz w:val="14"/>
                <w:szCs w:val="14"/>
                <w:color w:val="auto"/>
              </w:rPr>
              <w:t>98,161</w:t>
            </w:r>
          </w:p>
        </w:tc>
        <w:tc>
          <w:tcPr>
            <w:tcW w:w="1040" w:type="dxa"/>
            <w:vAlign w:val="bottom"/>
          </w:tcPr>
          <w:p>
            <w:pPr>
              <w:jc w:val="right"/>
              <w:spacing w:after="0"/>
              <w:rPr>
                <w:sz w:val="20"/>
                <w:szCs w:val="20"/>
                <w:color w:val="auto"/>
              </w:rPr>
            </w:pPr>
            <w:r>
              <w:rPr>
                <w:rFonts w:ascii="Arial" w:cs="Arial" w:eastAsia="Arial" w:hAnsi="Arial"/>
                <w:sz w:val="14"/>
                <w:szCs w:val="14"/>
                <w:color w:val="auto"/>
              </w:rPr>
              <w:t>8,633,765</w:t>
            </w:r>
          </w:p>
        </w:tc>
      </w:tr>
      <w:tr>
        <w:trPr>
          <w:trHeight w:val="157"/>
        </w:trPr>
        <w:tc>
          <w:tcPr>
            <w:tcW w:w="5860" w:type="dxa"/>
            <w:vAlign w:val="bottom"/>
            <w:tcBorders>
              <w:bottom w:val="single" w:sz="8" w:color="C1CECC"/>
            </w:tcBorders>
            <w:gridSpan w:val="2"/>
          </w:tcPr>
          <w:p>
            <w:pPr>
              <w:spacing w:after="0" w:line="157" w:lineRule="exact"/>
              <w:rPr>
                <w:sz w:val="20"/>
                <w:szCs w:val="20"/>
                <w:color w:val="auto"/>
              </w:rPr>
            </w:pPr>
            <w:r>
              <w:rPr>
                <w:rFonts w:ascii="Arial" w:cs="Arial" w:eastAsia="Arial" w:hAnsi="Arial"/>
                <w:sz w:val="14"/>
                <w:szCs w:val="14"/>
                <w:color w:val="auto"/>
              </w:rPr>
              <w:t>Change of Control Transaction without Termination</w:t>
            </w:r>
          </w:p>
        </w:tc>
        <w:tc>
          <w:tcPr>
            <w:tcW w:w="1180" w:type="dxa"/>
            <w:vAlign w:val="bottom"/>
            <w:tcBorders>
              <w:bottom w:val="single" w:sz="8" w:color="C1CECC"/>
            </w:tcBorders>
          </w:tcPr>
          <w:p>
            <w:pPr>
              <w:jc w:val="right"/>
              <w:spacing w:after="0" w:line="157"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C1CECC"/>
            </w:tcBorders>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C1CECC"/>
            </w:tcBorders>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C1CECC"/>
            </w:tcBorders>
          </w:tcPr>
          <w:p>
            <w:pPr>
              <w:jc w:val="right"/>
              <w:spacing w:after="0" w:line="157" w:lineRule="exact"/>
              <w:rPr>
                <w:sz w:val="20"/>
                <w:szCs w:val="20"/>
                <w:color w:val="auto"/>
              </w:rPr>
            </w:pPr>
            <w:r>
              <w:rPr>
                <w:rFonts w:ascii="Arial" w:cs="Arial" w:eastAsia="Arial" w:hAnsi="Arial"/>
                <w:sz w:val="14"/>
                <w:szCs w:val="14"/>
                <w:color w:val="auto"/>
              </w:rPr>
              <w:t>—</w:t>
            </w: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jc w:val="center"/>
              <w:ind w:left="148"/>
              <w:spacing w:after="0"/>
              <w:rPr>
                <w:sz w:val="20"/>
                <w:szCs w:val="20"/>
                <w:color w:val="auto"/>
              </w:rPr>
            </w:pPr>
            <w:r>
              <w:rPr>
                <w:rFonts w:ascii="Arial" w:cs="Arial" w:eastAsia="Arial" w:hAnsi="Arial"/>
                <w:sz w:val="14"/>
                <w:szCs w:val="14"/>
                <w:b w:val="1"/>
                <w:bCs w:val="1"/>
                <w:color w:val="auto"/>
              </w:rPr>
              <w:t>Accelerated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Continuation</w:t>
            </w:r>
          </w:p>
        </w:tc>
        <w:tc>
          <w:tcPr>
            <w:tcW w:w="9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160" w:type="dxa"/>
            <w:vAlign w:val="bottom"/>
          </w:tcPr>
          <w:p>
            <w:pPr>
              <w:jc w:val="center"/>
              <w:ind w:left="328"/>
              <w:spacing w:after="0"/>
              <w:rPr>
                <w:sz w:val="20"/>
                <w:szCs w:val="20"/>
                <w:color w:val="auto"/>
              </w:rPr>
            </w:pPr>
            <w:r>
              <w:rPr>
                <w:rFonts w:ascii="Arial" w:cs="Arial" w:eastAsia="Arial" w:hAnsi="Arial"/>
                <w:sz w:val="14"/>
                <w:szCs w:val="14"/>
                <w:b w:val="1"/>
                <w:bCs w:val="1"/>
                <w:color w:val="auto"/>
              </w:rPr>
              <w:t>Lump-Sum</w:t>
            </w:r>
          </w:p>
        </w:tc>
        <w:tc>
          <w:tcPr>
            <w:tcW w:w="1560" w:type="dxa"/>
            <w:vAlign w:val="bottom"/>
          </w:tcPr>
          <w:p>
            <w:pPr>
              <w:jc w:val="center"/>
              <w:ind w:left="148"/>
              <w:spacing w:after="0"/>
              <w:rPr>
                <w:sz w:val="20"/>
                <w:szCs w:val="20"/>
                <w:color w:val="auto"/>
              </w:rPr>
            </w:pPr>
            <w:r>
              <w:rPr>
                <w:rFonts w:ascii="Arial" w:cs="Arial" w:eastAsia="Arial" w:hAnsi="Arial"/>
                <w:sz w:val="14"/>
                <w:szCs w:val="14"/>
                <w:b w:val="1"/>
                <w:bCs w:val="1"/>
                <w:color w:val="auto"/>
              </w:rPr>
              <w:t>Vesting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of Benefits</w:t>
            </w:r>
          </w:p>
        </w:tc>
        <w:tc>
          <w:tcPr>
            <w:tcW w:w="9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160" w:type="dxa"/>
            <w:vAlign w:val="bottom"/>
          </w:tcPr>
          <w:p>
            <w:pPr>
              <w:jc w:val="center"/>
              <w:ind w:left="328"/>
              <w:spacing w:after="0"/>
              <w:rPr>
                <w:sz w:val="20"/>
                <w:szCs w:val="20"/>
                <w:color w:val="auto"/>
              </w:rPr>
            </w:pPr>
            <w:r>
              <w:rPr>
                <w:rFonts w:ascii="Arial" w:cs="Arial" w:eastAsia="Arial" w:hAnsi="Arial"/>
                <w:sz w:val="14"/>
                <w:szCs w:val="14"/>
                <w:b w:val="1"/>
                <w:bCs w:val="1"/>
                <w:color w:val="auto"/>
              </w:rPr>
              <w:t>Severance</w:t>
            </w:r>
          </w:p>
        </w:tc>
        <w:tc>
          <w:tcPr>
            <w:tcW w:w="1560" w:type="dxa"/>
            <w:vAlign w:val="bottom"/>
          </w:tcPr>
          <w:p>
            <w:pPr>
              <w:jc w:val="center"/>
              <w:ind w:left="148"/>
              <w:spacing w:after="0"/>
              <w:rPr>
                <w:sz w:val="20"/>
                <w:szCs w:val="20"/>
                <w:color w:val="auto"/>
              </w:rPr>
            </w:pPr>
            <w:r>
              <w:rPr>
                <w:rFonts w:ascii="Arial" w:cs="Arial" w:eastAsia="Arial" w:hAnsi="Arial"/>
                <w:sz w:val="14"/>
                <w:szCs w:val="14"/>
                <w:b w:val="1"/>
                <w:bCs w:val="1"/>
                <w:color w:val="auto"/>
              </w:rPr>
              <w:t>Stock-based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and</w:t>
            </w:r>
          </w:p>
        </w:tc>
        <w:tc>
          <w:tcPr>
            <w:tcW w:w="9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160" w:type="dxa"/>
            <w:vAlign w:val="bottom"/>
          </w:tcPr>
          <w:p>
            <w:pPr>
              <w:jc w:val="center"/>
              <w:ind w:left="328"/>
              <w:spacing w:after="0"/>
              <w:rPr>
                <w:sz w:val="20"/>
                <w:szCs w:val="20"/>
                <w:color w:val="auto"/>
              </w:rPr>
            </w:pPr>
            <w:r>
              <w:rPr>
                <w:rFonts w:ascii="Arial" w:cs="Arial" w:eastAsia="Arial" w:hAnsi="Arial"/>
                <w:sz w:val="14"/>
                <w:szCs w:val="14"/>
                <w:b w:val="1"/>
                <w:bCs w:val="1"/>
                <w:color w:val="auto"/>
              </w:rPr>
              <w:t>Payment</w:t>
            </w:r>
          </w:p>
        </w:tc>
        <w:tc>
          <w:tcPr>
            <w:tcW w:w="1560" w:type="dxa"/>
            <w:vAlign w:val="bottom"/>
          </w:tcPr>
          <w:p>
            <w:pPr>
              <w:jc w:val="center"/>
              <w:ind w:left="168"/>
              <w:spacing w:after="0"/>
              <w:rPr>
                <w:sz w:val="20"/>
                <w:szCs w:val="20"/>
                <w:color w:val="auto"/>
              </w:rPr>
            </w:pPr>
            <w:r>
              <w:rPr>
                <w:rFonts w:ascii="Arial" w:cs="Arial" w:eastAsia="Arial" w:hAnsi="Arial"/>
                <w:sz w:val="14"/>
                <w:szCs w:val="14"/>
                <w:b w:val="1"/>
                <w:bCs w:val="1"/>
                <w:color w:val="auto"/>
              </w:rPr>
              <w:t>Awards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Perquisites</w:t>
            </w: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Total</w:t>
            </w:r>
          </w:p>
        </w:tc>
      </w:tr>
      <w:tr>
        <w:trPr>
          <w:trHeight w:val="175"/>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Name and Triggering Event(a)</w:t>
            </w:r>
          </w:p>
        </w:tc>
        <w:tc>
          <w:tcPr>
            <w:tcW w:w="1160" w:type="dxa"/>
            <w:vAlign w:val="bottom"/>
          </w:tcPr>
          <w:p>
            <w:pPr>
              <w:jc w:val="center"/>
              <w:ind w:left="328"/>
              <w:spacing w:after="0"/>
              <w:rPr>
                <w:sz w:val="20"/>
                <w:szCs w:val="20"/>
                <w:color w:val="auto"/>
              </w:rPr>
            </w:pPr>
            <w:r>
              <w:rPr>
                <w:rFonts w:ascii="Arial" w:cs="Arial" w:eastAsia="Arial" w:hAnsi="Arial"/>
                <w:sz w:val="14"/>
                <w:szCs w:val="14"/>
                <w:b w:val="1"/>
                <w:bCs w:val="1"/>
                <w:color w:val="auto"/>
              </w:rPr>
              <w:t>($)(b)</w:t>
            </w:r>
          </w:p>
        </w:tc>
        <w:tc>
          <w:tcPr>
            <w:tcW w:w="1560" w:type="dxa"/>
            <w:vAlign w:val="bottom"/>
          </w:tcPr>
          <w:p>
            <w:pPr>
              <w:jc w:val="center"/>
              <w:ind w:left="148"/>
              <w:spacing w:after="0"/>
              <w:rPr>
                <w:sz w:val="20"/>
                <w:szCs w:val="20"/>
                <w:color w:val="auto"/>
              </w:rPr>
            </w:pPr>
            <w:r>
              <w:rPr>
                <w:rFonts w:ascii="Arial" w:cs="Arial" w:eastAsia="Arial" w:hAnsi="Arial"/>
                <w:sz w:val="14"/>
                <w:szCs w:val="14"/>
                <w:b w:val="1"/>
                <w:bCs w:val="1"/>
                <w:color w:val="auto"/>
                <w:w w:val="99"/>
              </w:rPr>
              <w:t>($)(c)</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($)(d)</w:t>
            </w:r>
          </w:p>
        </w:tc>
        <w:tc>
          <w:tcPr>
            <w:tcW w:w="96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r>
      <w:tr>
        <w:trPr>
          <w:trHeight w:val="156"/>
        </w:trPr>
        <w:tc>
          <w:tcPr>
            <w:tcW w:w="20" w:type="dxa"/>
            <w:vAlign w:val="bottom"/>
          </w:tcPr>
          <w:p>
            <w:pPr>
              <w:spacing w:after="0"/>
              <w:rPr>
                <w:sz w:val="13"/>
                <w:szCs w:val="13"/>
                <w:color w:val="auto"/>
              </w:rPr>
            </w:pPr>
          </w:p>
        </w:tc>
        <w:tc>
          <w:tcPr>
            <w:tcW w:w="5980" w:type="dxa"/>
            <w:vAlign w:val="bottom"/>
            <w:tcBorders>
              <w:top w:val="single" w:sz="8" w:color="auto"/>
            </w:tcBorders>
            <w:shd w:val="clear" w:color="auto" w:fill="F4F9F9"/>
          </w:tcPr>
          <w:p>
            <w:pPr>
              <w:spacing w:after="0" w:line="155" w:lineRule="exact"/>
              <w:rPr>
                <w:sz w:val="20"/>
                <w:szCs w:val="20"/>
                <w:color w:val="auto"/>
              </w:rPr>
            </w:pPr>
            <w:r>
              <w:rPr>
                <w:rFonts w:ascii="Arial" w:cs="Arial" w:eastAsia="Arial" w:hAnsi="Arial"/>
                <w:sz w:val="14"/>
                <w:szCs w:val="14"/>
                <w:b w:val="1"/>
                <w:bCs w:val="1"/>
                <w:color w:val="auto"/>
              </w:rPr>
              <w:t>Mr. Servodidio</w:t>
            </w:r>
          </w:p>
        </w:tc>
        <w:tc>
          <w:tcPr>
            <w:tcW w:w="1160" w:type="dxa"/>
            <w:vAlign w:val="bottom"/>
            <w:tcBorders>
              <w:top w:val="single" w:sz="8" w:color="auto"/>
            </w:tcBorders>
            <w:shd w:val="clear" w:color="auto" w:fill="F4F9F9"/>
          </w:tcPr>
          <w:p>
            <w:pPr>
              <w:spacing w:after="0"/>
              <w:rPr>
                <w:sz w:val="13"/>
                <w:szCs w:val="13"/>
                <w:color w:val="auto"/>
              </w:rPr>
            </w:pPr>
          </w:p>
        </w:tc>
        <w:tc>
          <w:tcPr>
            <w:tcW w:w="1560" w:type="dxa"/>
            <w:vAlign w:val="bottom"/>
            <w:tcBorders>
              <w:top w:val="single" w:sz="8" w:color="auto"/>
            </w:tcBorders>
            <w:shd w:val="clear" w:color="auto" w:fill="F4F9F9"/>
          </w:tcPr>
          <w:p>
            <w:pPr>
              <w:spacing w:after="0"/>
              <w:rPr>
                <w:sz w:val="13"/>
                <w:szCs w:val="13"/>
                <w:color w:val="auto"/>
              </w:rPr>
            </w:pPr>
          </w:p>
        </w:tc>
        <w:tc>
          <w:tcPr>
            <w:tcW w:w="1360" w:type="dxa"/>
            <w:vAlign w:val="bottom"/>
            <w:tcBorders>
              <w:top w:val="single" w:sz="8" w:color="auto"/>
            </w:tcBorders>
            <w:shd w:val="clear" w:color="auto" w:fill="F4F9F9"/>
          </w:tcPr>
          <w:p>
            <w:pPr>
              <w:spacing w:after="0"/>
              <w:rPr>
                <w:sz w:val="13"/>
                <w:szCs w:val="13"/>
                <w:color w:val="auto"/>
              </w:rPr>
            </w:pPr>
          </w:p>
        </w:tc>
        <w:tc>
          <w:tcPr>
            <w:tcW w:w="960" w:type="dxa"/>
            <w:vAlign w:val="bottom"/>
            <w:tcBorders>
              <w:top w:val="single" w:sz="8" w:color="auto"/>
            </w:tcBorders>
            <w:shd w:val="clear" w:color="auto" w:fill="F4F9F9"/>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F4F9F9"/>
          </w:tcPr>
          <w:p>
            <w:pPr>
              <w:spacing w:after="0"/>
              <w:rPr>
                <w:sz w:val="20"/>
                <w:szCs w:val="20"/>
                <w:color w:val="auto"/>
              </w:rPr>
            </w:pPr>
            <w:r>
              <w:rPr>
                <w:rFonts w:ascii="Arial" w:cs="Arial" w:eastAsia="Arial" w:hAnsi="Arial"/>
                <w:sz w:val="14"/>
                <w:szCs w:val="14"/>
                <w:color w:val="auto"/>
              </w:rPr>
              <w:t>Resignation or Termination by Company for Cause</w:t>
            </w:r>
          </w:p>
        </w:tc>
        <w:tc>
          <w:tcPr>
            <w:tcW w:w="1160" w:type="dxa"/>
            <w:vAlign w:val="bottom"/>
            <w:shd w:val="clear" w:color="auto" w:fill="F4F9F9"/>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F4F9F9"/>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F4F9F9"/>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shd w:val="clear" w:color="auto" w:fill="F4F9F9"/>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5980" w:type="dxa"/>
            <w:vAlign w:val="bottom"/>
            <w:shd w:val="clear" w:color="auto" w:fill="F4F9F9"/>
          </w:tcPr>
          <w:p>
            <w:pPr>
              <w:spacing w:after="0"/>
              <w:rPr>
                <w:sz w:val="20"/>
                <w:szCs w:val="20"/>
                <w:color w:val="auto"/>
              </w:rPr>
            </w:pPr>
            <w:r>
              <w:rPr>
                <w:rFonts w:ascii="Arial" w:cs="Arial" w:eastAsia="Arial" w:hAnsi="Arial"/>
                <w:sz w:val="14"/>
                <w:szCs w:val="14"/>
                <w:color w:val="auto"/>
              </w:rPr>
              <w:t>Termination due to Death or Disability</w:t>
            </w:r>
          </w:p>
        </w:tc>
        <w:tc>
          <w:tcPr>
            <w:tcW w:w="1160" w:type="dxa"/>
            <w:vAlign w:val="bottom"/>
            <w:shd w:val="clear" w:color="auto" w:fill="F4F9F9"/>
          </w:tcPr>
          <w:p>
            <w:pPr>
              <w:jc w:val="right"/>
              <w:spacing w:after="0"/>
              <w:rPr>
                <w:sz w:val="20"/>
                <w:szCs w:val="20"/>
                <w:color w:val="auto"/>
              </w:rPr>
            </w:pPr>
            <w:r>
              <w:rPr>
                <w:rFonts w:ascii="Arial" w:cs="Arial" w:eastAsia="Arial" w:hAnsi="Arial"/>
                <w:sz w:val="14"/>
                <w:szCs w:val="14"/>
                <w:color w:val="auto"/>
              </w:rPr>
              <w:t>302,950</w:t>
            </w:r>
          </w:p>
        </w:tc>
        <w:tc>
          <w:tcPr>
            <w:tcW w:w="1560" w:type="dxa"/>
            <w:vAlign w:val="bottom"/>
            <w:shd w:val="clear" w:color="auto" w:fill="F4F9F9"/>
          </w:tcPr>
          <w:p>
            <w:pPr>
              <w:jc w:val="right"/>
              <w:ind w:right="168"/>
              <w:spacing w:after="0"/>
              <w:rPr>
                <w:sz w:val="20"/>
                <w:szCs w:val="20"/>
                <w:color w:val="auto"/>
              </w:rPr>
            </w:pPr>
            <w:r>
              <w:rPr>
                <w:rFonts w:ascii="Arial" w:cs="Arial" w:eastAsia="Arial" w:hAnsi="Arial"/>
                <w:sz w:val="14"/>
                <w:szCs w:val="14"/>
                <w:color w:val="auto"/>
              </w:rPr>
              <w:t>4,008,571</w:t>
            </w:r>
          </w:p>
        </w:tc>
        <w:tc>
          <w:tcPr>
            <w:tcW w:w="1360" w:type="dxa"/>
            <w:vAlign w:val="bottom"/>
            <w:shd w:val="clear" w:color="auto" w:fill="F4F9F9"/>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shd w:val="clear" w:color="auto" w:fill="F4F9F9"/>
          </w:tcPr>
          <w:p>
            <w:pPr>
              <w:jc w:val="right"/>
              <w:spacing w:after="0"/>
              <w:rPr>
                <w:sz w:val="20"/>
                <w:szCs w:val="20"/>
                <w:color w:val="auto"/>
              </w:rPr>
            </w:pPr>
            <w:r>
              <w:rPr>
                <w:rFonts w:ascii="Arial" w:cs="Arial" w:eastAsia="Arial" w:hAnsi="Arial"/>
                <w:sz w:val="14"/>
                <w:szCs w:val="14"/>
                <w:color w:val="auto"/>
              </w:rPr>
              <w:t>4,311,521</w:t>
            </w:r>
          </w:p>
        </w:tc>
      </w:tr>
      <w:tr>
        <w:trPr>
          <w:trHeight w:val="162"/>
        </w:trPr>
        <w:tc>
          <w:tcPr>
            <w:tcW w:w="20" w:type="dxa"/>
            <w:vAlign w:val="bottom"/>
          </w:tcPr>
          <w:p>
            <w:pPr>
              <w:spacing w:after="0"/>
              <w:rPr>
                <w:sz w:val="14"/>
                <w:szCs w:val="14"/>
                <w:color w:val="auto"/>
              </w:rPr>
            </w:pPr>
          </w:p>
        </w:tc>
        <w:tc>
          <w:tcPr>
            <w:tcW w:w="5980" w:type="dxa"/>
            <w:vAlign w:val="bottom"/>
            <w:shd w:val="clear" w:color="auto" w:fill="F4F9F9"/>
          </w:tcPr>
          <w:p>
            <w:pPr>
              <w:spacing w:after="0"/>
              <w:rPr>
                <w:sz w:val="20"/>
                <w:szCs w:val="20"/>
                <w:color w:val="auto"/>
              </w:rPr>
            </w:pPr>
            <w:r>
              <w:rPr>
                <w:rFonts w:ascii="Arial" w:cs="Arial" w:eastAsia="Arial" w:hAnsi="Arial"/>
                <w:sz w:val="14"/>
                <w:szCs w:val="14"/>
                <w:color w:val="auto"/>
              </w:rPr>
              <w:t>Termination by Company without Cause or due to Constructive Discharge</w:t>
            </w:r>
          </w:p>
        </w:tc>
        <w:tc>
          <w:tcPr>
            <w:tcW w:w="1160" w:type="dxa"/>
            <w:vAlign w:val="bottom"/>
            <w:shd w:val="clear" w:color="auto" w:fill="F4F9F9"/>
          </w:tcPr>
          <w:p>
            <w:pPr>
              <w:jc w:val="right"/>
              <w:spacing w:after="0"/>
              <w:rPr>
                <w:sz w:val="20"/>
                <w:szCs w:val="20"/>
                <w:color w:val="auto"/>
              </w:rPr>
            </w:pPr>
            <w:r>
              <w:rPr>
                <w:rFonts w:ascii="Arial" w:cs="Arial" w:eastAsia="Arial" w:hAnsi="Arial"/>
                <w:sz w:val="14"/>
                <w:szCs w:val="14"/>
                <w:color w:val="auto"/>
              </w:rPr>
              <w:t>2,500,000</w:t>
            </w:r>
          </w:p>
        </w:tc>
        <w:tc>
          <w:tcPr>
            <w:tcW w:w="1560" w:type="dxa"/>
            <w:vAlign w:val="bottom"/>
            <w:shd w:val="clear" w:color="auto" w:fill="F4F9F9"/>
          </w:tcPr>
          <w:p>
            <w:pPr>
              <w:jc w:val="right"/>
              <w:ind w:right="168"/>
              <w:spacing w:after="0"/>
              <w:rPr>
                <w:sz w:val="20"/>
                <w:szCs w:val="20"/>
                <w:color w:val="auto"/>
              </w:rPr>
            </w:pPr>
            <w:r>
              <w:rPr>
                <w:rFonts w:ascii="Arial" w:cs="Arial" w:eastAsia="Arial" w:hAnsi="Arial"/>
                <w:sz w:val="14"/>
                <w:szCs w:val="14"/>
                <w:color w:val="auto"/>
              </w:rPr>
              <w:t>2,988,360</w:t>
            </w:r>
          </w:p>
        </w:tc>
        <w:tc>
          <w:tcPr>
            <w:tcW w:w="1360" w:type="dxa"/>
            <w:vAlign w:val="bottom"/>
            <w:shd w:val="clear" w:color="auto" w:fill="F4F9F9"/>
          </w:tcPr>
          <w:p>
            <w:pPr>
              <w:jc w:val="right"/>
              <w:ind w:right="168"/>
              <w:spacing w:after="0"/>
              <w:rPr>
                <w:sz w:val="20"/>
                <w:szCs w:val="20"/>
                <w:color w:val="auto"/>
              </w:rPr>
            </w:pPr>
            <w:r>
              <w:rPr>
                <w:rFonts w:ascii="Arial" w:cs="Arial" w:eastAsia="Arial" w:hAnsi="Arial"/>
                <w:sz w:val="14"/>
                <w:szCs w:val="14"/>
                <w:color w:val="auto"/>
              </w:rPr>
              <w:t>89,345</w:t>
            </w:r>
          </w:p>
        </w:tc>
        <w:tc>
          <w:tcPr>
            <w:tcW w:w="960" w:type="dxa"/>
            <w:vAlign w:val="bottom"/>
            <w:shd w:val="clear" w:color="auto" w:fill="F4F9F9"/>
          </w:tcPr>
          <w:p>
            <w:pPr>
              <w:jc w:val="right"/>
              <w:spacing w:after="0"/>
              <w:rPr>
                <w:sz w:val="20"/>
                <w:szCs w:val="20"/>
                <w:color w:val="auto"/>
              </w:rPr>
            </w:pPr>
            <w:r>
              <w:rPr>
                <w:rFonts w:ascii="Arial" w:cs="Arial" w:eastAsia="Arial" w:hAnsi="Arial"/>
                <w:sz w:val="14"/>
                <w:szCs w:val="14"/>
                <w:color w:val="auto"/>
              </w:rPr>
              <w:t>5,577,705</w:t>
            </w:r>
          </w:p>
        </w:tc>
      </w:tr>
      <w:tr>
        <w:trPr>
          <w:trHeight w:val="167"/>
        </w:trPr>
        <w:tc>
          <w:tcPr>
            <w:tcW w:w="20" w:type="dxa"/>
            <w:vAlign w:val="bottom"/>
          </w:tcPr>
          <w:p>
            <w:pPr>
              <w:spacing w:after="0"/>
              <w:rPr>
                <w:sz w:val="14"/>
                <w:szCs w:val="14"/>
                <w:color w:val="auto"/>
              </w:rPr>
            </w:pPr>
          </w:p>
        </w:tc>
        <w:tc>
          <w:tcPr>
            <w:tcW w:w="5980" w:type="dxa"/>
            <w:vAlign w:val="bottom"/>
            <w:shd w:val="clear" w:color="auto" w:fill="F4F9F9"/>
          </w:tcPr>
          <w:p>
            <w:pPr>
              <w:spacing w:after="0"/>
              <w:rPr>
                <w:sz w:val="20"/>
                <w:szCs w:val="20"/>
                <w:color w:val="auto"/>
              </w:rPr>
            </w:pPr>
            <w:r>
              <w:rPr>
                <w:rFonts w:ascii="Arial" w:cs="Arial" w:eastAsia="Arial" w:hAnsi="Arial"/>
                <w:sz w:val="14"/>
                <w:szCs w:val="14"/>
                <w:color w:val="auto"/>
              </w:rPr>
              <w:t>Change of Control Transaction and Termination by Company without Cause or due to</w:t>
            </w:r>
          </w:p>
        </w:tc>
        <w:tc>
          <w:tcPr>
            <w:tcW w:w="1160" w:type="dxa"/>
            <w:vAlign w:val="bottom"/>
            <w:shd w:val="clear" w:color="auto" w:fill="F4F9F9"/>
          </w:tcPr>
          <w:p>
            <w:pPr>
              <w:spacing w:after="0"/>
              <w:rPr>
                <w:sz w:val="14"/>
                <w:szCs w:val="14"/>
                <w:color w:val="auto"/>
              </w:rPr>
            </w:pPr>
          </w:p>
        </w:tc>
        <w:tc>
          <w:tcPr>
            <w:tcW w:w="1560" w:type="dxa"/>
            <w:vAlign w:val="bottom"/>
            <w:shd w:val="clear" w:color="auto" w:fill="F4F9F9"/>
          </w:tcPr>
          <w:p>
            <w:pPr>
              <w:spacing w:after="0"/>
              <w:rPr>
                <w:sz w:val="14"/>
                <w:szCs w:val="14"/>
                <w:color w:val="auto"/>
              </w:rPr>
            </w:pPr>
          </w:p>
        </w:tc>
        <w:tc>
          <w:tcPr>
            <w:tcW w:w="1360" w:type="dxa"/>
            <w:vAlign w:val="bottom"/>
            <w:shd w:val="clear" w:color="auto" w:fill="F4F9F9"/>
          </w:tcPr>
          <w:p>
            <w:pPr>
              <w:spacing w:after="0"/>
              <w:rPr>
                <w:sz w:val="14"/>
                <w:szCs w:val="14"/>
                <w:color w:val="auto"/>
              </w:rPr>
            </w:pPr>
          </w:p>
        </w:tc>
        <w:tc>
          <w:tcPr>
            <w:tcW w:w="960" w:type="dxa"/>
            <w:vAlign w:val="bottom"/>
            <w:shd w:val="clear" w:color="auto" w:fill="F4F9F9"/>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980" w:type="dxa"/>
            <w:vAlign w:val="bottom"/>
            <w:shd w:val="clear" w:color="auto" w:fill="F4F9F9"/>
          </w:tcPr>
          <w:p>
            <w:pPr>
              <w:ind w:left="120"/>
              <w:spacing w:after="0" w:line="157" w:lineRule="exact"/>
              <w:rPr>
                <w:sz w:val="20"/>
                <w:szCs w:val="20"/>
                <w:color w:val="auto"/>
              </w:rPr>
            </w:pPr>
            <w:r>
              <w:rPr>
                <w:rFonts w:ascii="Arial" w:cs="Arial" w:eastAsia="Arial" w:hAnsi="Arial"/>
                <w:sz w:val="14"/>
                <w:szCs w:val="14"/>
                <w:color w:val="auto"/>
              </w:rPr>
              <w:t>Constructive Discharge</w:t>
            </w:r>
          </w:p>
        </w:tc>
        <w:tc>
          <w:tcPr>
            <w:tcW w:w="1160" w:type="dxa"/>
            <w:vAlign w:val="bottom"/>
            <w:shd w:val="clear" w:color="auto" w:fill="F4F9F9"/>
          </w:tcPr>
          <w:p>
            <w:pPr>
              <w:jc w:val="right"/>
              <w:spacing w:after="0" w:line="157" w:lineRule="exact"/>
              <w:rPr>
                <w:sz w:val="20"/>
                <w:szCs w:val="20"/>
                <w:color w:val="auto"/>
              </w:rPr>
            </w:pPr>
            <w:r>
              <w:rPr>
                <w:rFonts w:ascii="Arial" w:cs="Arial" w:eastAsia="Arial" w:hAnsi="Arial"/>
                <w:sz w:val="14"/>
                <w:szCs w:val="14"/>
                <w:color w:val="auto"/>
              </w:rPr>
              <w:t>2,500,000</w:t>
            </w:r>
          </w:p>
        </w:tc>
        <w:tc>
          <w:tcPr>
            <w:tcW w:w="1560" w:type="dxa"/>
            <w:vAlign w:val="bottom"/>
            <w:shd w:val="clear" w:color="auto" w:fill="F4F9F9"/>
          </w:tcPr>
          <w:p>
            <w:pPr>
              <w:jc w:val="right"/>
              <w:ind w:right="168"/>
              <w:spacing w:after="0" w:line="157" w:lineRule="exact"/>
              <w:rPr>
                <w:sz w:val="20"/>
                <w:szCs w:val="20"/>
                <w:color w:val="auto"/>
              </w:rPr>
            </w:pPr>
            <w:r>
              <w:rPr>
                <w:rFonts w:ascii="Arial" w:cs="Arial" w:eastAsia="Arial" w:hAnsi="Arial"/>
                <w:sz w:val="14"/>
                <w:szCs w:val="14"/>
                <w:color w:val="auto"/>
              </w:rPr>
              <w:t>4,008,571</w:t>
            </w:r>
          </w:p>
        </w:tc>
        <w:tc>
          <w:tcPr>
            <w:tcW w:w="1360" w:type="dxa"/>
            <w:vAlign w:val="bottom"/>
            <w:shd w:val="clear" w:color="auto" w:fill="F4F9F9"/>
          </w:tcPr>
          <w:p>
            <w:pPr>
              <w:jc w:val="right"/>
              <w:ind w:right="168"/>
              <w:spacing w:after="0" w:line="157" w:lineRule="exact"/>
              <w:rPr>
                <w:sz w:val="20"/>
                <w:szCs w:val="20"/>
                <w:color w:val="auto"/>
              </w:rPr>
            </w:pPr>
            <w:r>
              <w:rPr>
                <w:rFonts w:ascii="Arial" w:cs="Arial" w:eastAsia="Arial" w:hAnsi="Arial"/>
                <w:sz w:val="14"/>
                <w:szCs w:val="14"/>
                <w:color w:val="auto"/>
              </w:rPr>
              <w:t>89,345</w:t>
            </w:r>
          </w:p>
        </w:tc>
        <w:tc>
          <w:tcPr>
            <w:tcW w:w="960" w:type="dxa"/>
            <w:vAlign w:val="bottom"/>
            <w:shd w:val="clear" w:color="auto" w:fill="F4F9F9"/>
          </w:tcPr>
          <w:p>
            <w:pPr>
              <w:jc w:val="right"/>
              <w:spacing w:after="0" w:line="157" w:lineRule="exact"/>
              <w:rPr>
                <w:sz w:val="20"/>
                <w:szCs w:val="20"/>
                <w:color w:val="auto"/>
              </w:rPr>
            </w:pPr>
            <w:r>
              <w:rPr>
                <w:rFonts w:ascii="Arial" w:cs="Arial" w:eastAsia="Arial" w:hAnsi="Arial"/>
                <w:sz w:val="14"/>
                <w:szCs w:val="14"/>
                <w:color w:val="auto"/>
              </w:rPr>
              <w:t>6,597,916</w:t>
            </w:r>
          </w:p>
        </w:tc>
      </w:tr>
      <w:tr>
        <w:trPr>
          <w:trHeight w:val="162"/>
        </w:trPr>
        <w:tc>
          <w:tcPr>
            <w:tcW w:w="20" w:type="dxa"/>
            <w:vAlign w:val="bottom"/>
          </w:tcPr>
          <w:p>
            <w:pPr>
              <w:spacing w:after="0"/>
              <w:rPr>
                <w:sz w:val="14"/>
                <w:szCs w:val="14"/>
                <w:color w:val="auto"/>
              </w:rPr>
            </w:pPr>
          </w:p>
        </w:tc>
        <w:tc>
          <w:tcPr>
            <w:tcW w:w="5980" w:type="dxa"/>
            <w:vAlign w:val="bottom"/>
            <w:tcBorders>
              <w:bottom w:val="single" w:sz="8" w:color="auto"/>
            </w:tcBorders>
            <w:shd w:val="clear" w:color="auto" w:fill="F4F9F9"/>
          </w:tcPr>
          <w:p>
            <w:pPr>
              <w:spacing w:after="0"/>
              <w:rPr>
                <w:sz w:val="20"/>
                <w:szCs w:val="20"/>
                <w:color w:val="auto"/>
              </w:rPr>
            </w:pPr>
            <w:r>
              <w:rPr>
                <w:rFonts w:ascii="Arial" w:cs="Arial" w:eastAsia="Arial" w:hAnsi="Arial"/>
                <w:sz w:val="14"/>
                <w:szCs w:val="14"/>
                <w:color w:val="auto"/>
              </w:rPr>
              <w:t>Change of Control Transaction without Termination</w:t>
            </w:r>
          </w:p>
        </w:tc>
        <w:tc>
          <w:tcPr>
            <w:tcW w:w="1160" w:type="dxa"/>
            <w:vAlign w:val="bottom"/>
            <w:tcBorders>
              <w:bottom w:val="single" w:sz="8" w:color="auto"/>
            </w:tcBorders>
            <w:shd w:val="clear" w:color="auto" w:fill="F4F9F9"/>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F4F9F9"/>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F4F9F9"/>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F4F9F9"/>
          </w:tcPr>
          <w:p>
            <w:pPr>
              <w:jc w:val="right"/>
              <w:spacing w:after="0"/>
              <w:rPr>
                <w:sz w:val="20"/>
                <w:szCs w:val="20"/>
                <w:color w:val="auto"/>
              </w:rPr>
            </w:pPr>
            <w:r>
              <w:rPr>
                <w:rFonts w:ascii="Arial" w:cs="Arial" w:eastAsia="Arial" w:hAnsi="Arial"/>
                <w:sz w:val="14"/>
                <w:szCs w:val="14"/>
                <w:color w:val="auto"/>
              </w:rPr>
              <w:t>—</w:t>
            </w:r>
          </w:p>
        </w:tc>
      </w:tr>
    </w:tbl>
    <w:p>
      <w:pPr>
        <w:spacing w:after="0" w:line="121" w:lineRule="exact"/>
        <w:rPr>
          <w:sz w:val="20"/>
          <w:szCs w:val="20"/>
          <w:color w:val="auto"/>
        </w:rPr>
      </w:pPr>
    </w:p>
    <w:p>
      <w:pPr>
        <w:ind w:left="520" w:right="20" w:hanging="316"/>
        <w:spacing w:after="0" w:line="231"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Descriptions of the terms “Cause” and “Constructive Discharge” are provided above under the section captioned “Employment Agreements and Other Arrangements - Certain Defined Terms.”</w:t>
      </w:r>
    </w:p>
    <w:p>
      <w:pPr>
        <w:spacing w:after="0" w:line="95"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4"/>
          <w:szCs w:val="14"/>
          <w:color w:val="auto"/>
        </w:rPr>
        <w:t>Our Former CFO is omitted from the table as his employment with the Company concluded in June 2017. As a result of the conclusion of his employment, he received:</w:t>
      </w:r>
    </w:p>
    <w:p>
      <w:pPr>
        <w:spacing w:after="0" w:line="96" w:lineRule="exact"/>
        <w:rPr>
          <w:rFonts w:ascii="Arial" w:cs="Arial" w:eastAsia="Arial" w:hAnsi="Arial"/>
          <w:sz w:val="14"/>
          <w:szCs w:val="14"/>
          <w:color w:val="auto"/>
        </w:rPr>
      </w:pPr>
    </w:p>
    <w:p>
      <w:pPr>
        <w:ind w:left="860" w:hanging="224"/>
        <w:spacing w:after="0"/>
        <w:tabs>
          <w:tab w:leader="none" w:pos="860" w:val="left"/>
        </w:tabs>
        <w:numPr>
          <w:ilvl w:val="1"/>
          <w:numId w:val="47"/>
        </w:numPr>
        <w:rPr>
          <w:rFonts w:ascii="Arial" w:cs="Arial" w:eastAsia="Arial" w:hAnsi="Arial"/>
          <w:sz w:val="14"/>
          <w:szCs w:val="14"/>
          <w:color w:val="auto"/>
        </w:rPr>
      </w:pPr>
      <w:r>
        <w:rPr>
          <w:rFonts w:ascii="Arial" w:cs="Arial" w:eastAsia="Arial" w:hAnsi="Arial"/>
          <w:sz w:val="14"/>
          <w:szCs w:val="14"/>
          <w:color w:val="auto"/>
        </w:rPr>
        <w:t>cash severance of $4,850,000, as discussed under “Employment and Change of Control Agreements; Severance Arrangements,” and</w:t>
      </w:r>
    </w:p>
    <w:p>
      <w:pPr>
        <w:ind w:left="860" w:hanging="224"/>
        <w:spacing w:after="0"/>
        <w:tabs>
          <w:tab w:leader="none" w:pos="860" w:val="left"/>
        </w:tabs>
        <w:numPr>
          <w:ilvl w:val="1"/>
          <w:numId w:val="47"/>
        </w:numPr>
        <w:rPr>
          <w:rFonts w:ascii="Arial" w:cs="Arial" w:eastAsia="Arial" w:hAnsi="Arial"/>
          <w:sz w:val="14"/>
          <w:szCs w:val="14"/>
          <w:color w:val="auto"/>
        </w:rPr>
      </w:pPr>
      <w:r>
        <w:rPr>
          <w:rFonts w:ascii="Arial" w:cs="Arial" w:eastAsia="Arial" w:hAnsi="Arial"/>
          <w:sz w:val="14"/>
          <w:szCs w:val="14"/>
          <w:color w:val="auto"/>
        </w:rPr>
        <w:t>accelerated vesting of RSUs with a value of $1,693,548 based on the closing price of our Common Stock of $21.60 on the date of termination.</w:t>
      </w:r>
    </w:p>
    <w:p>
      <w:pPr>
        <w:spacing w:after="0" w:line="96" w:lineRule="exact"/>
        <w:rPr>
          <w:sz w:val="20"/>
          <w:szCs w:val="20"/>
          <w:color w:val="auto"/>
        </w:rPr>
      </w:pPr>
    </w:p>
    <w:p>
      <w:pPr>
        <w:jc w:val="both"/>
        <w:ind w:left="540" w:right="20"/>
        <w:spacing w:after="0" w:line="226" w:lineRule="auto"/>
        <w:rPr>
          <w:sz w:val="20"/>
          <w:szCs w:val="20"/>
          <w:color w:val="auto"/>
        </w:rPr>
      </w:pPr>
      <w:r>
        <w:rPr>
          <w:rFonts w:ascii="Arial" w:cs="Arial" w:eastAsia="Arial" w:hAnsi="Arial"/>
          <w:sz w:val="14"/>
          <w:szCs w:val="14"/>
          <w:color w:val="auto"/>
        </w:rPr>
        <w:t>All other outstanding RSU awards and the 2017 PSUs were canceled, and the PSUs granted in 2015 and scheduled to vest in 2018 were also canceled as a result of below-target attainment of performance goals. PSUs granted in 2016 and scheduled to vest in 2019 remain outstanding and will vest or be canceled based on attainment of performance goals. As previously discussed, the Company does not expect the PSUs granted in 2016 to vest. Continuation of benefits and perquisites are not expected to exceed $65,000 in aggregate.</w:t>
      </w:r>
    </w:p>
    <w:p>
      <w:pPr>
        <w:spacing w:after="0" w:line="109" w:lineRule="exact"/>
        <w:rPr>
          <w:sz w:val="20"/>
          <w:szCs w:val="20"/>
          <w:color w:val="auto"/>
        </w:rPr>
      </w:pPr>
    </w:p>
    <w:p>
      <w:pPr>
        <w:jc w:val="both"/>
        <w:ind w:left="520" w:right="20" w:hanging="316"/>
        <w:spacing w:after="0" w:line="228" w:lineRule="auto"/>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For eligible NEOs, the lump-sum severance payments, other than due to death or disability, were calculated based on each executive’s base salary and target annual incentive as of December 31, 2017 and multiplied by 200%. Severance due to death and disability is calculated based on target annual incentives for Messrs. De Shon and Nelson and based on actual annual incentives for Mr. Ferraro and Mr. Servodidio.</w:t>
      </w:r>
    </w:p>
    <w:p>
      <w:pPr>
        <w:spacing w:after="0" w:line="108" w:lineRule="exact"/>
        <w:rPr>
          <w:rFonts w:ascii="Arial" w:cs="Arial" w:eastAsia="Arial" w:hAnsi="Arial"/>
          <w:sz w:val="14"/>
          <w:szCs w:val="14"/>
          <w:color w:val="auto"/>
        </w:rPr>
      </w:pPr>
    </w:p>
    <w:p>
      <w:pPr>
        <w:ind w:left="520" w:right="20" w:hanging="316"/>
        <w:spacing w:after="0" w:line="231" w:lineRule="auto"/>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values of RSUs and PSUs were calculated assuming accelerated vesting as of December 31, 2017 and based on the closing price of our Common Stock of $43.88. Descriptions of the accelerated vesting provisions are provided under “Employment Agreements and Other Arrangements.”</w:t>
      </w:r>
    </w:p>
    <w:p>
      <w:pPr>
        <w:spacing w:after="0" w:line="108" w:lineRule="exact"/>
        <w:rPr>
          <w:rFonts w:ascii="Arial" w:cs="Arial" w:eastAsia="Arial" w:hAnsi="Arial"/>
          <w:sz w:val="14"/>
          <w:szCs w:val="14"/>
          <w:color w:val="auto"/>
        </w:rPr>
      </w:pPr>
    </w:p>
    <w:p>
      <w:pPr>
        <w:jc w:val="both"/>
        <w:ind w:left="520" w:right="20" w:hanging="316"/>
        <w:spacing w:after="0" w:line="228" w:lineRule="auto"/>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For Mr. Nelson, reflects the continuation of benefit plans he participates in until age 75 in the event of a “Resignation or Termination by the Company for Cause” and all other amounts in the “Continuation of Benefits and Perquisites” column include the continuation of such benefits and 24 months of continued car benefits and financial planning. For all other NEOs, reflects 24 months of continued health, dental and car benefits and financial planning.</w:t>
      </w:r>
    </w:p>
    <w:p>
      <w:pPr>
        <w:spacing w:after="0" w:line="108" w:lineRule="exact"/>
        <w:rPr>
          <w:rFonts w:ascii="Arial" w:cs="Arial" w:eastAsia="Arial" w:hAnsi="Arial"/>
          <w:sz w:val="14"/>
          <w:szCs w:val="14"/>
          <w:color w:val="auto"/>
        </w:rPr>
      </w:pPr>
    </w:p>
    <w:p>
      <w:pPr>
        <w:ind w:left="520" w:hanging="316"/>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For Mr. Smith, there are no special termination, severance, and change of control arrangements under the terms of his employment letter with the Company.</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p>
      <w:pPr>
        <w:ind w:left="200"/>
        <w:spacing w:after="0"/>
        <w:rPr>
          <w:sz w:val="20"/>
          <w:szCs w:val="20"/>
          <w:color w:val="auto"/>
        </w:rPr>
      </w:pPr>
      <w:r>
        <w:rPr>
          <w:rFonts w:ascii="Arial" w:cs="Arial" w:eastAsia="Arial" w:hAnsi="Arial"/>
          <w:sz w:val="36"/>
          <w:szCs w:val="36"/>
          <w:b w:val="1"/>
          <w:bCs w:val="1"/>
          <w:color w:val="auto"/>
        </w:rPr>
        <w:t>2017 Director Compensation</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Non-employee directors are compensated for their service on the Board as described below.</w:t>
      </w:r>
    </w:p>
    <w:p>
      <w:pPr>
        <w:spacing w:after="0" w:line="7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Annual Compensation</w:t>
      </w:r>
    </w:p>
    <w:p>
      <w:pPr>
        <w:spacing w:after="0" w:line="147"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For 2017, our directors received an annual director retainer of $210,000. To reflect their additional responsibilities, the Presiding Director and the chairs and members of each of the Audit, Compensation, Corporate Governance and Executive Committees, respectively, receive additional retainers as set forth below.</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4420" w:type="dxa"/>
            <w:vAlign w:val="bottom"/>
          </w:tcPr>
          <w:p>
            <w:pPr>
              <w:jc w:val="right"/>
              <w:spacing w:after="0"/>
              <w:rPr>
                <w:sz w:val="20"/>
                <w:szCs w:val="20"/>
                <w:color w:val="auto"/>
              </w:rPr>
            </w:pPr>
            <w:r>
              <w:rPr>
                <w:rFonts w:ascii="Arial" w:cs="Arial" w:eastAsia="Arial" w:hAnsi="Arial"/>
                <w:sz w:val="14"/>
                <w:szCs w:val="14"/>
                <w:b w:val="1"/>
                <w:bCs w:val="1"/>
                <w:color w:val="auto"/>
              </w:rPr>
              <w:t>Annual Retainers</w:t>
            </w:r>
          </w:p>
        </w:tc>
      </w:tr>
      <w:tr>
        <w:trPr>
          <w:trHeight w:val="175"/>
        </w:trPr>
        <w:tc>
          <w:tcPr>
            <w:tcW w:w="20" w:type="dxa"/>
            <w:vAlign w:val="bottom"/>
          </w:tcPr>
          <w:p>
            <w:pPr>
              <w:spacing w:after="0"/>
              <w:rPr>
                <w:sz w:val="15"/>
                <w:szCs w:val="15"/>
                <w:color w:val="auto"/>
              </w:rPr>
            </w:pPr>
          </w:p>
        </w:tc>
        <w:tc>
          <w:tcPr>
            <w:tcW w:w="6600" w:type="dxa"/>
            <w:vAlign w:val="bottom"/>
            <w:tcBorders>
              <w:bottom w:val="single" w:sz="8" w:color="auto"/>
            </w:tcBorders>
          </w:tcPr>
          <w:p>
            <w:pPr>
              <w:spacing w:after="0"/>
              <w:rPr>
                <w:sz w:val="15"/>
                <w:szCs w:val="15"/>
                <w:color w:val="auto"/>
              </w:rPr>
            </w:pPr>
          </w:p>
        </w:tc>
        <w:tc>
          <w:tcPr>
            <w:tcW w:w="44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w:t>
            </w:r>
          </w:p>
        </w:tc>
      </w:tr>
      <w:tr>
        <w:trPr>
          <w:trHeight w:val="196"/>
        </w:trPr>
        <w:tc>
          <w:tcPr>
            <w:tcW w:w="20" w:type="dxa"/>
            <w:vAlign w:val="bottom"/>
          </w:tcPr>
          <w:p>
            <w:pPr>
              <w:spacing w:after="0"/>
              <w:rPr>
                <w:sz w:val="17"/>
                <w:szCs w:val="17"/>
                <w:color w:val="auto"/>
              </w:rPr>
            </w:pPr>
          </w:p>
        </w:tc>
        <w:tc>
          <w:tcPr>
            <w:tcW w:w="6600" w:type="dxa"/>
            <w:vAlign w:val="bottom"/>
            <w:tcBorders>
              <w:bottom w:val="single" w:sz="8" w:color="C1CECC"/>
            </w:tcBorders>
            <w:shd w:val="clear" w:color="auto" w:fill="F4F9F9"/>
          </w:tcPr>
          <w:p>
            <w:pPr>
              <w:spacing w:after="0" w:line="196" w:lineRule="exact"/>
              <w:rPr>
                <w:sz w:val="20"/>
                <w:szCs w:val="20"/>
                <w:color w:val="auto"/>
              </w:rPr>
            </w:pPr>
            <w:r>
              <w:rPr>
                <w:rFonts w:ascii="Arial" w:cs="Arial" w:eastAsia="Arial" w:hAnsi="Arial"/>
                <w:sz w:val="18"/>
                <w:szCs w:val="18"/>
                <w:color w:val="auto"/>
              </w:rPr>
              <w:t>Presiding Director</w:t>
            </w:r>
          </w:p>
        </w:tc>
        <w:tc>
          <w:tcPr>
            <w:tcW w:w="4420" w:type="dxa"/>
            <w:vAlign w:val="bottom"/>
            <w:tcBorders>
              <w:bottom w:val="single" w:sz="8" w:color="C1CECC"/>
            </w:tcBorders>
            <w:shd w:val="clear" w:color="auto" w:fill="F4F9F9"/>
          </w:tcPr>
          <w:p>
            <w:pPr>
              <w:jc w:val="right"/>
              <w:spacing w:after="0" w:line="196" w:lineRule="exact"/>
              <w:rPr>
                <w:sz w:val="20"/>
                <w:szCs w:val="20"/>
                <w:color w:val="auto"/>
              </w:rPr>
            </w:pPr>
            <w:r>
              <w:rPr>
                <w:rFonts w:ascii="Arial" w:cs="Arial" w:eastAsia="Arial" w:hAnsi="Arial"/>
                <w:sz w:val="18"/>
                <w:szCs w:val="18"/>
                <w:color w:val="auto"/>
              </w:rPr>
              <w:t>30,000</w:t>
            </w:r>
          </w:p>
        </w:tc>
      </w:tr>
      <w:tr>
        <w:trPr>
          <w:trHeight w:val="196"/>
        </w:trPr>
        <w:tc>
          <w:tcPr>
            <w:tcW w:w="20" w:type="dxa"/>
            <w:vAlign w:val="bottom"/>
          </w:tcPr>
          <w:p>
            <w:pPr>
              <w:spacing w:after="0"/>
              <w:rPr>
                <w:sz w:val="17"/>
                <w:szCs w:val="17"/>
                <w:color w:val="auto"/>
              </w:rPr>
            </w:pPr>
          </w:p>
        </w:tc>
        <w:tc>
          <w:tcPr>
            <w:tcW w:w="660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Audit Committee Chair</w:t>
            </w:r>
          </w:p>
        </w:tc>
        <w:tc>
          <w:tcPr>
            <w:tcW w:w="4420" w:type="dxa"/>
            <w:vAlign w:val="bottom"/>
            <w:tcBorders>
              <w:bottom w:val="single" w:sz="8" w:color="C1CECC"/>
            </w:tcBorders>
          </w:tcPr>
          <w:p>
            <w:pPr>
              <w:jc w:val="right"/>
              <w:spacing w:after="0" w:line="196" w:lineRule="exact"/>
              <w:rPr>
                <w:sz w:val="20"/>
                <w:szCs w:val="20"/>
                <w:color w:val="auto"/>
              </w:rPr>
            </w:pPr>
            <w:r>
              <w:rPr>
                <w:rFonts w:ascii="Arial" w:cs="Arial" w:eastAsia="Arial" w:hAnsi="Arial"/>
                <w:sz w:val="18"/>
                <w:szCs w:val="18"/>
                <w:color w:val="auto"/>
              </w:rPr>
              <w:t>25,000</w:t>
            </w:r>
          </w:p>
        </w:tc>
      </w:tr>
      <w:tr>
        <w:trPr>
          <w:trHeight w:val="196"/>
        </w:trPr>
        <w:tc>
          <w:tcPr>
            <w:tcW w:w="20" w:type="dxa"/>
            <w:vAlign w:val="bottom"/>
          </w:tcPr>
          <w:p>
            <w:pPr>
              <w:spacing w:after="0"/>
              <w:rPr>
                <w:sz w:val="17"/>
                <w:szCs w:val="17"/>
                <w:color w:val="auto"/>
              </w:rPr>
            </w:pPr>
          </w:p>
        </w:tc>
        <w:tc>
          <w:tcPr>
            <w:tcW w:w="6600" w:type="dxa"/>
            <w:vAlign w:val="bottom"/>
            <w:tcBorders>
              <w:bottom w:val="single" w:sz="8" w:color="C1CECC"/>
            </w:tcBorders>
            <w:shd w:val="clear" w:color="auto" w:fill="F4F9F9"/>
          </w:tcPr>
          <w:p>
            <w:pPr>
              <w:spacing w:after="0" w:line="196" w:lineRule="exact"/>
              <w:rPr>
                <w:sz w:val="20"/>
                <w:szCs w:val="20"/>
                <w:color w:val="auto"/>
              </w:rPr>
            </w:pPr>
            <w:r>
              <w:rPr>
                <w:rFonts w:ascii="Arial" w:cs="Arial" w:eastAsia="Arial" w:hAnsi="Arial"/>
                <w:sz w:val="18"/>
                <w:szCs w:val="18"/>
                <w:color w:val="auto"/>
              </w:rPr>
              <w:t>Audit Committee Member</w:t>
            </w:r>
          </w:p>
        </w:tc>
        <w:tc>
          <w:tcPr>
            <w:tcW w:w="4420" w:type="dxa"/>
            <w:vAlign w:val="bottom"/>
            <w:tcBorders>
              <w:bottom w:val="single" w:sz="8" w:color="C1CECC"/>
            </w:tcBorders>
            <w:shd w:val="clear" w:color="auto" w:fill="F4F9F9"/>
          </w:tcPr>
          <w:p>
            <w:pPr>
              <w:jc w:val="right"/>
              <w:spacing w:after="0" w:line="196" w:lineRule="exact"/>
              <w:rPr>
                <w:sz w:val="20"/>
                <w:szCs w:val="20"/>
                <w:color w:val="auto"/>
              </w:rPr>
            </w:pPr>
            <w:r>
              <w:rPr>
                <w:rFonts w:ascii="Arial" w:cs="Arial" w:eastAsia="Arial" w:hAnsi="Arial"/>
                <w:sz w:val="18"/>
                <w:szCs w:val="18"/>
                <w:color w:val="auto"/>
              </w:rPr>
              <w:t>10,000</w:t>
            </w:r>
          </w:p>
        </w:tc>
      </w:tr>
      <w:tr>
        <w:trPr>
          <w:trHeight w:val="196"/>
        </w:trPr>
        <w:tc>
          <w:tcPr>
            <w:tcW w:w="20" w:type="dxa"/>
            <w:vAlign w:val="bottom"/>
          </w:tcPr>
          <w:p>
            <w:pPr>
              <w:spacing w:after="0"/>
              <w:rPr>
                <w:sz w:val="17"/>
                <w:szCs w:val="17"/>
                <w:color w:val="auto"/>
              </w:rPr>
            </w:pPr>
          </w:p>
        </w:tc>
        <w:tc>
          <w:tcPr>
            <w:tcW w:w="660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Compensation Committee Chair</w:t>
            </w:r>
          </w:p>
        </w:tc>
        <w:tc>
          <w:tcPr>
            <w:tcW w:w="4420" w:type="dxa"/>
            <w:vAlign w:val="bottom"/>
            <w:tcBorders>
              <w:bottom w:val="single" w:sz="8" w:color="C1CECC"/>
            </w:tcBorders>
          </w:tcPr>
          <w:p>
            <w:pPr>
              <w:jc w:val="right"/>
              <w:spacing w:after="0" w:line="196" w:lineRule="exact"/>
              <w:rPr>
                <w:sz w:val="20"/>
                <w:szCs w:val="20"/>
                <w:color w:val="auto"/>
              </w:rPr>
            </w:pPr>
            <w:r>
              <w:rPr>
                <w:rFonts w:ascii="Arial" w:cs="Arial" w:eastAsia="Arial" w:hAnsi="Arial"/>
                <w:sz w:val="18"/>
                <w:szCs w:val="18"/>
                <w:color w:val="auto"/>
              </w:rPr>
              <w:t>25,000</w:t>
            </w:r>
          </w:p>
        </w:tc>
      </w:tr>
      <w:tr>
        <w:trPr>
          <w:trHeight w:val="196"/>
        </w:trPr>
        <w:tc>
          <w:tcPr>
            <w:tcW w:w="20" w:type="dxa"/>
            <w:vAlign w:val="bottom"/>
          </w:tcPr>
          <w:p>
            <w:pPr>
              <w:spacing w:after="0"/>
              <w:rPr>
                <w:sz w:val="17"/>
                <w:szCs w:val="17"/>
                <w:color w:val="auto"/>
              </w:rPr>
            </w:pPr>
          </w:p>
        </w:tc>
        <w:tc>
          <w:tcPr>
            <w:tcW w:w="6600" w:type="dxa"/>
            <w:vAlign w:val="bottom"/>
            <w:tcBorders>
              <w:bottom w:val="single" w:sz="8" w:color="C1CECC"/>
            </w:tcBorders>
            <w:shd w:val="clear" w:color="auto" w:fill="F4F9F9"/>
          </w:tcPr>
          <w:p>
            <w:pPr>
              <w:spacing w:after="0" w:line="196" w:lineRule="exact"/>
              <w:rPr>
                <w:sz w:val="20"/>
                <w:szCs w:val="20"/>
                <w:color w:val="auto"/>
              </w:rPr>
            </w:pPr>
            <w:r>
              <w:rPr>
                <w:rFonts w:ascii="Arial" w:cs="Arial" w:eastAsia="Arial" w:hAnsi="Arial"/>
                <w:sz w:val="18"/>
                <w:szCs w:val="18"/>
                <w:color w:val="auto"/>
              </w:rPr>
              <w:t>Compensation Committee Member</w:t>
            </w:r>
          </w:p>
        </w:tc>
        <w:tc>
          <w:tcPr>
            <w:tcW w:w="4420" w:type="dxa"/>
            <w:vAlign w:val="bottom"/>
            <w:tcBorders>
              <w:bottom w:val="single" w:sz="8" w:color="C1CECC"/>
            </w:tcBorders>
            <w:shd w:val="clear" w:color="auto" w:fill="F4F9F9"/>
          </w:tcPr>
          <w:p>
            <w:pPr>
              <w:jc w:val="right"/>
              <w:spacing w:after="0" w:line="196" w:lineRule="exact"/>
              <w:rPr>
                <w:sz w:val="20"/>
                <w:szCs w:val="20"/>
                <w:color w:val="auto"/>
              </w:rPr>
            </w:pPr>
            <w:r>
              <w:rPr>
                <w:rFonts w:ascii="Arial" w:cs="Arial" w:eastAsia="Arial" w:hAnsi="Arial"/>
                <w:sz w:val="18"/>
                <w:szCs w:val="18"/>
                <w:color w:val="auto"/>
              </w:rPr>
              <w:t>10,000</w:t>
            </w:r>
          </w:p>
        </w:tc>
      </w:tr>
      <w:tr>
        <w:trPr>
          <w:trHeight w:val="196"/>
        </w:trPr>
        <w:tc>
          <w:tcPr>
            <w:tcW w:w="20" w:type="dxa"/>
            <w:vAlign w:val="bottom"/>
          </w:tcPr>
          <w:p>
            <w:pPr>
              <w:spacing w:after="0"/>
              <w:rPr>
                <w:sz w:val="17"/>
                <w:szCs w:val="17"/>
                <w:color w:val="auto"/>
              </w:rPr>
            </w:pPr>
          </w:p>
        </w:tc>
        <w:tc>
          <w:tcPr>
            <w:tcW w:w="660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Corporate Governance Committee Chair</w:t>
            </w:r>
          </w:p>
        </w:tc>
        <w:tc>
          <w:tcPr>
            <w:tcW w:w="4420" w:type="dxa"/>
            <w:vAlign w:val="bottom"/>
            <w:tcBorders>
              <w:bottom w:val="single" w:sz="8" w:color="C1CECC"/>
            </w:tcBorders>
          </w:tcPr>
          <w:p>
            <w:pPr>
              <w:jc w:val="right"/>
              <w:spacing w:after="0" w:line="196" w:lineRule="exact"/>
              <w:rPr>
                <w:sz w:val="20"/>
                <w:szCs w:val="20"/>
                <w:color w:val="auto"/>
              </w:rPr>
            </w:pPr>
            <w:r>
              <w:rPr>
                <w:rFonts w:ascii="Arial" w:cs="Arial" w:eastAsia="Arial" w:hAnsi="Arial"/>
                <w:sz w:val="18"/>
                <w:szCs w:val="18"/>
                <w:color w:val="auto"/>
              </w:rPr>
              <w:t>15,000</w:t>
            </w:r>
          </w:p>
        </w:tc>
      </w:tr>
      <w:tr>
        <w:trPr>
          <w:trHeight w:val="196"/>
        </w:trPr>
        <w:tc>
          <w:tcPr>
            <w:tcW w:w="20" w:type="dxa"/>
            <w:vAlign w:val="bottom"/>
          </w:tcPr>
          <w:p>
            <w:pPr>
              <w:spacing w:after="0"/>
              <w:rPr>
                <w:sz w:val="17"/>
                <w:szCs w:val="17"/>
                <w:color w:val="auto"/>
              </w:rPr>
            </w:pPr>
          </w:p>
        </w:tc>
        <w:tc>
          <w:tcPr>
            <w:tcW w:w="6600" w:type="dxa"/>
            <w:vAlign w:val="bottom"/>
            <w:tcBorders>
              <w:bottom w:val="single" w:sz="8" w:color="C1CECC"/>
            </w:tcBorders>
            <w:shd w:val="clear" w:color="auto" w:fill="F4F9F9"/>
          </w:tcPr>
          <w:p>
            <w:pPr>
              <w:spacing w:after="0" w:line="196" w:lineRule="exact"/>
              <w:rPr>
                <w:sz w:val="20"/>
                <w:szCs w:val="20"/>
                <w:color w:val="auto"/>
              </w:rPr>
            </w:pPr>
            <w:r>
              <w:rPr>
                <w:rFonts w:ascii="Arial" w:cs="Arial" w:eastAsia="Arial" w:hAnsi="Arial"/>
                <w:sz w:val="18"/>
                <w:szCs w:val="18"/>
                <w:color w:val="auto"/>
              </w:rPr>
              <w:t>Corporate Governance Committee Member</w:t>
            </w:r>
          </w:p>
        </w:tc>
        <w:tc>
          <w:tcPr>
            <w:tcW w:w="4420" w:type="dxa"/>
            <w:vAlign w:val="bottom"/>
            <w:tcBorders>
              <w:bottom w:val="single" w:sz="8" w:color="C1CECC"/>
            </w:tcBorders>
            <w:shd w:val="clear" w:color="auto" w:fill="F4F9F9"/>
          </w:tcPr>
          <w:p>
            <w:pPr>
              <w:jc w:val="right"/>
              <w:spacing w:after="0" w:line="196" w:lineRule="exact"/>
              <w:rPr>
                <w:sz w:val="20"/>
                <w:szCs w:val="20"/>
                <w:color w:val="auto"/>
              </w:rPr>
            </w:pPr>
            <w:r>
              <w:rPr>
                <w:rFonts w:ascii="Arial" w:cs="Arial" w:eastAsia="Arial" w:hAnsi="Arial"/>
                <w:sz w:val="18"/>
                <w:szCs w:val="18"/>
                <w:color w:val="auto"/>
              </w:rPr>
              <w:t>7,500</w:t>
            </w:r>
          </w:p>
        </w:tc>
      </w:tr>
      <w:tr>
        <w:trPr>
          <w:trHeight w:val="196"/>
        </w:trPr>
        <w:tc>
          <w:tcPr>
            <w:tcW w:w="20" w:type="dxa"/>
            <w:vAlign w:val="bottom"/>
            <w:tcBorders>
              <w:bottom w:val="single" w:sz="8" w:color="auto"/>
            </w:tcBorders>
          </w:tcPr>
          <w:p>
            <w:pPr>
              <w:spacing w:after="0"/>
              <w:rPr>
                <w:sz w:val="17"/>
                <w:szCs w:val="17"/>
                <w:color w:val="auto"/>
              </w:rPr>
            </w:pPr>
          </w:p>
        </w:tc>
        <w:tc>
          <w:tcPr>
            <w:tcW w:w="6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Executive Committee Member</w:t>
            </w:r>
          </w:p>
        </w:tc>
        <w:tc>
          <w:tcPr>
            <w:tcW w:w="4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8,000</w:t>
            </w:r>
          </w:p>
        </w:tc>
      </w:tr>
    </w:tbl>
    <w:p>
      <w:pPr>
        <w:spacing w:after="0" w:line="107"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Director compensation is paid quarterly, 50% in cash and 50% in equity, subject to a cap of 7,500 shares per quarter. Under the Company’s deferred compensation plan applicable to non-employee directors (the “NED Plan”), a director may elect to defer any or all of the cash portion of his or her compensation and direct such deferred amounts among a pre -selected group of investment options similar to those available through the deferred compensation plan available to the NEOs. Directors may also elect to receive up to 100% of their compensation in the form of equity.</w:t>
      </w:r>
    </w:p>
    <w:p>
      <w:pPr>
        <w:spacing w:after="0" w:line="95"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Under the NED Plan, the equity portion of director compensation is automatically deferred into the form of deferred stock units. Such units convert on a one-on-one basis into the Company’s Common Stock upon termination of service, a change in control, or at a different time based on a director’s election. In lieu of automatic deferral, directors may elect to receive the equity portion of their compensation in the form of the Company’s Common Stock.</w:t>
      </w:r>
    </w:p>
    <w:p>
      <w:pPr>
        <w:spacing w:after="0" w:line="94"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Directors do not receive any meeting fees or any benefits such as life or medical insurance. Members of the Board who are also officers or employees of our Company do not receive compensation for serving as directors, other than reimbursement of travel-related expenses for meetings held outside the Company’s headquarters. Directors are eligible for limited matching of charitable contributions through the Avis Budget Group Charitable Foundation. Directors are also eligible to purchase vehicles through the auto lease program we make available to our employees; however, such purchases do not result in an associated incremental cost to the Company.</w:t>
      </w:r>
    </w:p>
    <w:p>
      <w:pPr>
        <w:spacing w:after="0" w:line="203"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Mr. Choi has elected not to receive compensation for his Board service, and as a result, does not receive any compensation described in this section.</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Stock Ownership Guidelines</w:t>
      </w:r>
    </w:p>
    <w:p>
      <w:pPr>
        <w:spacing w:after="0" w:line="147"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Minimum stock ownership guidelines require each non-employee director to acquire and hold designated levels of our Company’s Common Stock. Under these guidelines, our non-employee directors are required to retain a minimum of 50% of the net shares (net of taxes) awarded in connection with their director compensation, until reaching an ownership threshold of five times the annual cash retainer. Given the mandatory hold provision until the threshold is obtained, there is no</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240" w:top="459" w:right="4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specified deadline for achieving designated thresholds. Under these guidelines, stock ownership is defined to include stock owned by the director directly, stock owned indirectly through the NED Plan, and the “in-the-money” portion of vested stock options, if any. As of December 31, 2017, all current directors with more than two years of Board service had exceeded such minimum ownership threshold.</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2017 Director Compensation Table</w:t>
      </w: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Change in Pension</w:t>
            </w: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9"/>
              </w:rPr>
              <w:t>Value and</w:t>
            </w: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180" w:type="dxa"/>
            <w:vAlign w:val="bottom"/>
          </w:tcPr>
          <w:p>
            <w:pPr>
              <w:jc w:val="center"/>
              <w:ind w:left="675"/>
              <w:spacing w:after="0"/>
              <w:rPr>
                <w:sz w:val="20"/>
                <w:szCs w:val="20"/>
                <w:color w:val="auto"/>
              </w:rPr>
            </w:pPr>
            <w:r>
              <w:rPr>
                <w:rFonts w:ascii="Arial" w:cs="Arial" w:eastAsia="Arial" w:hAnsi="Arial"/>
                <w:sz w:val="14"/>
                <w:szCs w:val="14"/>
                <w:b w:val="1"/>
                <w:bCs w:val="1"/>
                <w:color w:val="auto"/>
              </w:rPr>
              <w:t>Fees Earned</w:t>
            </w:r>
          </w:p>
        </w:tc>
        <w:tc>
          <w:tcPr>
            <w:tcW w:w="15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180" w:type="dxa"/>
            <w:vAlign w:val="bottom"/>
          </w:tcPr>
          <w:p>
            <w:pPr>
              <w:jc w:val="center"/>
              <w:ind w:left="675"/>
              <w:spacing w:after="0"/>
              <w:rPr>
                <w:sz w:val="20"/>
                <w:szCs w:val="20"/>
                <w:color w:val="auto"/>
              </w:rPr>
            </w:pPr>
            <w:r>
              <w:rPr>
                <w:rFonts w:ascii="Arial" w:cs="Arial" w:eastAsia="Arial" w:hAnsi="Arial"/>
                <w:sz w:val="14"/>
                <w:szCs w:val="14"/>
                <w:b w:val="1"/>
                <w:bCs w:val="1"/>
                <w:color w:val="auto"/>
                <w:w w:val="99"/>
              </w:rPr>
              <w:t>or</w:t>
            </w:r>
          </w:p>
        </w:tc>
        <w:tc>
          <w:tcPr>
            <w:tcW w:w="15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0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180" w:type="dxa"/>
            <w:vAlign w:val="bottom"/>
          </w:tcPr>
          <w:p>
            <w:pPr>
              <w:jc w:val="center"/>
              <w:ind w:left="675"/>
              <w:spacing w:after="0"/>
              <w:rPr>
                <w:sz w:val="20"/>
                <w:szCs w:val="20"/>
                <w:color w:val="auto"/>
              </w:rPr>
            </w:pPr>
            <w:r>
              <w:rPr>
                <w:rFonts w:ascii="Arial" w:cs="Arial" w:eastAsia="Arial" w:hAnsi="Arial"/>
                <w:sz w:val="14"/>
                <w:szCs w:val="14"/>
                <w:b w:val="1"/>
                <w:bCs w:val="1"/>
                <w:color w:val="auto"/>
              </w:rPr>
              <w:t>Paid In Cash</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Stock Awards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040" w:type="dxa"/>
            <w:vAlign w:val="bottom"/>
          </w:tcPr>
          <w:p>
            <w:pPr>
              <w:jc w:val="right"/>
              <w:ind w:right="173"/>
              <w:spacing w:after="0"/>
              <w:rPr>
                <w:sz w:val="20"/>
                <w:szCs w:val="20"/>
                <w:color w:val="auto"/>
              </w:rPr>
            </w:pPr>
            <w:r>
              <w:rPr>
                <w:rFonts w:ascii="Arial" w:cs="Arial" w:eastAsia="Arial" w:hAnsi="Arial"/>
                <w:sz w:val="14"/>
                <w:szCs w:val="14"/>
                <w:b w:val="1"/>
                <w:bCs w:val="1"/>
                <w:color w:val="auto"/>
              </w:rPr>
              <w:t>Total</w:t>
            </w:r>
          </w:p>
        </w:tc>
      </w:tr>
      <w:tr>
        <w:trPr>
          <w:trHeight w:val="175"/>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Name of Director</w:t>
            </w:r>
          </w:p>
        </w:tc>
        <w:tc>
          <w:tcPr>
            <w:tcW w:w="2180" w:type="dxa"/>
            <w:vAlign w:val="bottom"/>
          </w:tcPr>
          <w:p>
            <w:pPr>
              <w:jc w:val="center"/>
              <w:ind w:left="655"/>
              <w:spacing w:after="0"/>
              <w:rPr>
                <w:sz w:val="20"/>
                <w:szCs w:val="20"/>
                <w:color w:val="auto"/>
              </w:rPr>
            </w:pPr>
            <w:r>
              <w:rPr>
                <w:rFonts w:ascii="Arial" w:cs="Arial" w:eastAsia="Arial" w:hAnsi="Arial"/>
                <w:sz w:val="14"/>
                <w:szCs w:val="14"/>
                <w:b w:val="1"/>
                <w:bCs w:val="1"/>
                <w:color w:val="auto"/>
              </w:rPr>
              <w:t>($)(a)</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9"/>
              </w:rPr>
              <w:t>($)(c)</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104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r>
      <w:tr>
        <w:trPr>
          <w:trHeight w:val="196"/>
        </w:trPr>
        <w:tc>
          <w:tcPr>
            <w:tcW w:w="20" w:type="dxa"/>
            <w:vAlign w:val="bottom"/>
          </w:tcPr>
          <w:p>
            <w:pPr>
              <w:spacing w:after="0"/>
              <w:rPr>
                <w:sz w:val="17"/>
                <w:szCs w:val="17"/>
                <w:color w:val="auto"/>
              </w:rPr>
            </w:pPr>
          </w:p>
        </w:tc>
        <w:tc>
          <w:tcPr>
            <w:tcW w:w="2760" w:type="dxa"/>
            <w:vAlign w:val="bottom"/>
            <w:tcBorders>
              <w:top w:val="single" w:sz="8" w:color="auto"/>
              <w:bottom w:val="single" w:sz="8" w:color="C1CECC"/>
            </w:tcBorders>
            <w:shd w:val="clear" w:color="auto" w:fill="F4F9F9"/>
          </w:tcPr>
          <w:p>
            <w:pPr>
              <w:spacing w:after="0" w:line="196" w:lineRule="exact"/>
              <w:rPr>
                <w:sz w:val="20"/>
                <w:szCs w:val="20"/>
                <w:color w:val="auto"/>
              </w:rPr>
            </w:pPr>
            <w:r>
              <w:rPr>
                <w:rFonts w:ascii="Arial" w:cs="Arial" w:eastAsia="Arial" w:hAnsi="Arial"/>
                <w:sz w:val="18"/>
                <w:szCs w:val="18"/>
                <w:color w:val="auto"/>
              </w:rPr>
              <w:t>Cathcart, Alun (f)</w:t>
            </w:r>
          </w:p>
        </w:tc>
        <w:tc>
          <w:tcPr>
            <w:tcW w:w="2180" w:type="dxa"/>
            <w:vAlign w:val="bottom"/>
            <w:tcBorders>
              <w:top w:val="single" w:sz="8" w:color="auto"/>
              <w:bottom w:val="single" w:sz="8" w:color="C1CECC"/>
            </w:tcBorders>
            <w:shd w:val="clear" w:color="auto" w:fill="F4F9F9"/>
          </w:tcPr>
          <w:p>
            <w:pPr>
              <w:jc w:val="center"/>
              <w:ind w:left="655"/>
              <w:spacing w:after="0" w:line="196" w:lineRule="exact"/>
              <w:rPr>
                <w:sz w:val="20"/>
                <w:szCs w:val="20"/>
                <w:color w:val="auto"/>
              </w:rPr>
            </w:pPr>
            <w:r>
              <w:rPr>
                <w:rFonts w:ascii="Arial" w:cs="Arial" w:eastAsia="Arial" w:hAnsi="Arial"/>
                <w:sz w:val="18"/>
                <w:szCs w:val="18"/>
                <w:color w:val="auto"/>
              </w:rPr>
              <w:t>18,333</w:t>
            </w:r>
          </w:p>
        </w:tc>
        <w:tc>
          <w:tcPr>
            <w:tcW w:w="1540" w:type="dxa"/>
            <w:vAlign w:val="bottom"/>
            <w:tcBorders>
              <w:top w:val="single" w:sz="8" w:color="auto"/>
              <w:bottom w:val="single" w:sz="8" w:color="C1CECC"/>
            </w:tcBorders>
            <w:shd w:val="clear" w:color="auto" w:fill="F4F9F9"/>
          </w:tcPr>
          <w:p>
            <w:pPr>
              <w:jc w:val="center"/>
              <w:spacing w:after="0" w:line="196" w:lineRule="exact"/>
              <w:rPr>
                <w:sz w:val="20"/>
                <w:szCs w:val="20"/>
                <w:color w:val="auto"/>
              </w:rPr>
            </w:pPr>
            <w:r>
              <w:rPr>
                <w:rFonts w:ascii="Arial" w:cs="Arial" w:eastAsia="Arial" w:hAnsi="Arial"/>
                <w:sz w:val="18"/>
                <w:szCs w:val="18"/>
                <w:color w:val="auto"/>
                <w:w w:val="98"/>
              </w:rPr>
              <w:t>18,332</w:t>
            </w:r>
          </w:p>
        </w:tc>
        <w:tc>
          <w:tcPr>
            <w:tcW w:w="1880" w:type="dxa"/>
            <w:vAlign w:val="bottom"/>
            <w:tcBorders>
              <w:top w:val="single" w:sz="8" w:color="auto"/>
              <w:bottom w:val="single" w:sz="8" w:color="C1CECC"/>
            </w:tcBorders>
            <w:shd w:val="clear" w:color="auto" w:fill="F4F9F9"/>
          </w:tcPr>
          <w:p>
            <w:pPr>
              <w:jc w:val="center"/>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1CECC"/>
            </w:tcBorders>
            <w:shd w:val="clear" w:color="auto" w:fill="F4F9F9"/>
          </w:tcPr>
          <w:p>
            <w:pPr>
              <w:jc w:val="center"/>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1CECC"/>
            </w:tcBorders>
            <w:shd w:val="clear" w:color="auto" w:fill="F4F9F9"/>
          </w:tcPr>
          <w:p>
            <w:pPr>
              <w:jc w:val="right"/>
              <w:spacing w:after="0" w:line="196" w:lineRule="exact"/>
              <w:rPr>
                <w:sz w:val="20"/>
                <w:szCs w:val="20"/>
                <w:color w:val="auto"/>
              </w:rPr>
            </w:pPr>
            <w:r>
              <w:rPr>
                <w:rFonts w:ascii="Arial" w:cs="Arial" w:eastAsia="Arial" w:hAnsi="Arial"/>
                <w:sz w:val="18"/>
                <w:szCs w:val="18"/>
                <w:color w:val="auto"/>
              </w:rPr>
              <w:t>36,665</w:t>
            </w:r>
          </w:p>
        </w:tc>
      </w:tr>
      <w:tr>
        <w:trPr>
          <w:trHeight w:val="196"/>
        </w:trPr>
        <w:tc>
          <w:tcPr>
            <w:tcW w:w="20" w:type="dxa"/>
            <w:vAlign w:val="bottom"/>
          </w:tcPr>
          <w:p>
            <w:pPr>
              <w:spacing w:after="0"/>
              <w:rPr>
                <w:sz w:val="17"/>
                <w:szCs w:val="17"/>
                <w:color w:val="auto"/>
              </w:rPr>
            </w:pPr>
          </w:p>
        </w:tc>
        <w:tc>
          <w:tcPr>
            <w:tcW w:w="276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Choi, Brian J. (e)</w:t>
            </w:r>
          </w:p>
        </w:tc>
        <w:tc>
          <w:tcPr>
            <w:tcW w:w="2180" w:type="dxa"/>
            <w:vAlign w:val="bottom"/>
            <w:tcBorders>
              <w:bottom w:val="single" w:sz="8" w:color="C1CECC"/>
            </w:tcBorders>
          </w:tcPr>
          <w:p>
            <w:pPr>
              <w:jc w:val="center"/>
              <w:ind w:left="675"/>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1CECC"/>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1CECC"/>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1CECC"/>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1CECC"/>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2760" w:type="dxa"/>
            <w:vAlign w:val="bottom"/>
            <w:tcBorders>
              <w:bottom w:val="single" w:sz="8" w:color="C1CECC"/>
            </w:tcBorders>
            <w:shd w:val="clear" w:color="auto" w:fill="F4F9F9"/>
          </w:tcPr>
          <w:p>
            <w:pPr>
              <w:spacing w:after="0" w:line="196" w:lineRule="exact"/>
              <w:rPr>
                <w:sz w:val="20"/>
                <w:szCs w:val="20"/>
                <w:color w:val="auto"/>
              </w:rPr>
            </w:pPr>
            <w:r>
              <w:rPr>
                <w:rFonts w:ascii="Arial" w:cs="Arial" w:eastAsia="Arial" w:hAnsi="Arial"/>
                <w:sz w:val="18"/>
                <w:szCs w:val="18"/>
                <w:color w:val="auto"/>
              </w:rPr>
              <w:t>Choksi, Mary C.</w:t>
            </w:r>
          </w:p>
        </w:tc>
        <w:tc>
          <w:tcPr>
            <w:tcW w:w="2180" w:type="dxa"/>
            <w:vAlign w:val="bottom"/>
            <w:tcBorders>
              <w:bottom w:val="single" w:sz="8" w:color="C1CECC"/>
            </w:tcBorders>
            <w:shd w:val="clear" w:color="auto" w:fill="F4F9F9"/>
          </w:tcPr>
          <w:p>
            <w:pPr>
              <w:jc w:val="center"/>
              <w:ind w:left="655"/>
              <w:spacing w:after="0" w:line="196" w:lineRule="exact"/>
              <w:rPr>
                <w:sz w:val="20"/>
                <w:szCs w:val="20"/>
                <w:color w:val="auto"/>
              </w:rPr>
            </w:pPr>
            <w:r>
              <w:rPr>
                <w:rFonts w:ascii="Arial" w:cs="Arial" w:eastAsia="Arial" w:hAnsi="Arial"/>
                <w:sz w:val="18"/>
                <w:szCs w:val="18"/>
                <w:color w:val="auto"/>
                <w:w w:val="98"/>
              </w:rPr>
              <w:t>113,750</w:t>
            </w:r>
          </w:p>
        </w:tc>
        <w:tc>
          <w:tcPr>
            <w:tcW w:w="1540" w:type="dxa"/>
            <w:vAlign w:val="bottom"/>
            <w:tcBorders>
              <w:bottom w:val="single" w:sz="8" w:color="C1CECC"/>
            </w:tcBorders>
            <w:shd w:val="clear" w:color="auto" w:fill="F4F9F9"/>
          </w:tcPr>
          <w:p>
            <w:pPr>
              <w:jc w:val="center"/>
              <w:spacing w:after="0" w:line="196" w:lineRule="exact"/>
              <w:rPr>
                <w:sz w:val="20"/>
                <w:szCs w:val="20"/>
                <w:color w:val="auto"/>
              </w:rPr>
            </w:pPr>
            <w:r>
              <w:rPr>
                <w:rFonts w:ascii="Arial" w:cs="Arial" w:eastAsia="Arial" w:hAnsi="Arial"/>
                <w:sz w:val="18"/>
                <w:szCs w:val="18"/>
                <w:color w:val="auto"/>
              </w:rPr>
              <w:t>113,758</w:t>
            </w:r>
          </w:p>
        </w:tc>
        <w:tc>
          <w:tcPr>
            <w:tcW w:w="1880" w:type="dxa"/>
            <w:vAlign w:val="bottom"/>
            <w:tcBorders>
              <w:bottom w:val="single" w:sz="8" w:color="C1CECC"/>
            </w:tcBorders>
            <w:shd w:val="clear" w:color="auto" w:fill="F4F9F9"/>
          </w:tcPr>
          <w:p>
            <w:pPr>
              <w:jc w:val="center"/>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1CECC"/>
            </w:tcBorders>
            <w:shd w:val="clear" w:color="auto" w:fill="F4F9F9"/>
          </w:tcPr>
          <w:p>
            <w:pPr>
              <w:jc w:val="center"/>
              <w:spacing w:after="0" w:line="196" w:lineRule="exact"/>
              <w:rPr>
                <w:sz w:val="20"/>
                <w:szCs w:val="20"/>
                <w:color w:val="auto"/>
              </w:rPr>
            </w:pPr>
            <w:r>
              <w:rPr>
                <w:rFonts w:ascii="Arial" w:cs="Arial" w:eastAsia="Arial" w:hAnsi="Arial"/>
                <w:sz w:val="18"/>
                <w:szCs w:val="18"/>
                <w:color w:val="auto"/>
              </w:rPr>
              <w:t>5,000</w:t>
            </w:r>
          </w:p>
        </w:tc>
        <w:tc>
          <w:tcPr>
            <w:tcW w:w="1040" w:type="dxa"/>
            <w:vAlign w:val="bottom"/>
            <w:tcBorders>
              <w:bottom w:val="single" w:sz="8" w:color="C1CECC"/>
            </w:tcBorders>
            <w:shd w:val="clear" w:color="auto" w:fill="F4F9F9"/>
          </w:tcPr>
          <w:p>
            <w:pPr>
              <w:jc w:val="right"/>
              <w:spacing w:after="0" w:line="196" w:lineRule="exact"/>
              <w:rPr>
                <w:sz w:val="20"/>
                <w:szCs w:val="20"/>
                <w:color w:val="auto"/>
              </w:rPr>
            </w:pPr>
            <w:r>
              <w:rPr>
                <w:rFonts w:ascii="Arial" w:cs="Arial" w:eastAsia="Arial" w:hAnsi="Arial"/>
                <w:sz w:val="18"/>
                <w:szCs w:val="18"/>
                <w:color w:val="auto"/>
              </w:rPr>
              <w:t>232,508</w:t>
            </w:r>
          </w:p>
        </w:tc>
      </w:tr>
      <w:tr>
        <w:trPr>
          <w:trHeight w:val="196"/>
        </w:trPr>
        <w:tc>
          <w:tcPr>
            <w:tcW w:w="20" w:type="dxa"/>
            <w:vAlign w:val="bottom"/>
          </w:tcPr>
          <w:p>
            <w:pPr>
              <w:spacing w:after="0"/>
              <w:rPr>
                <w:sz w:val="17"/>
                <w:szCs w:val="17"/>
                <w:color w:val="auto"/>
              </w:rPr>
            </w:pPr>
          </w:p>
        </w:tc>
        <w:tc>
          <w:tcPr>
            <w:tcW w:w="276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Coleman, Leonard S.</w:t>
            </w:r>
          </w:p>
        </w:tc>
        <w:tc>
          <w:tcPr>
            <w:tcW w:w="2180" w:type="dxa"/>
            <w:vAlign w:val="bottom"/>
            <w:tcBorders>
              <w:bottom w:val="single" w:sz="8" w:color="C1CECC"/>
            </w:tcBorders>
          </w:tcPr>
          <w:p>
            <w:pPr>
              <w:jc w:val="center"/>
              <w:ind w:left="655"/>
              <w:spacing w:after="0" w:line="196" w:lineRule="exact"/>
              <w:rPr>
                <w:sz w:val="20"/>
                <w:szCs w:val="20"/>
                <w:color w:val="auto"/>
              </w:rPr>
            </w:pPr>
            <w:r>
              <w:rPr>
                <w:rFonts w:ascii="Arial" w:cs="Arial" w:eastAsia="Arial" w:hAnsi="Arial"/>
                <w:sz w:val="18"/>
                <w:szCs w:val="18"/>
                <w:color w:val="auto"/>
                <w:w w:val="98"/>
              </w:rPr>
              <w:t>132,500</w:t>
            </w:r>
          </w:p>
        </w:tc>
        <w:tc>
          <w:tcPr>
            <w:tcW w:w="1540" w:type="dxa"/>
            <w:vAlign w:val="bottom"/>
            <w:tcBorders>
              <w:bottom w:val="single" w:sz="8" w:color="C1CECC"/>
            </w:tcBorders>
          </w:tcPr>
          <w:p>
            <w:pPr>
              <w:jc w:val="center"/>
              <w:spacing w:after="0" w:line="196" w:lineRule="exact"/>
              <w:rPr>
                <w:sz w:val="20"/>
                <w:szCs w:val="20"/>
                <w:color w:val="auto"/>
              </w:rPr>
            </w:pPr>
            <w:r>
              <w:rPr>
                <w:rFonts w:ascii="Arial" w:cs="Arial" w:eastAsia="Arial" w:hAnsi="Arial"/>
                <w:sz w:val="18"/>
                <w:szCs w:val="18"/>
                <w:color w:val="auto"/>
              </w:rPr>
              <w:t>132,518</w:t>
            </w:r>
          </w:p>
        </w:tc>
        <w:tc>
          <w:tcPr>
            <w:tcW w:w="1880" w:type="dxa"/>
            <w:vAlign w:val="bottom"/>
            <w:tcBorders>
              <w:bottom w:val="single" w:sz="8" w:color="C1CECC"/>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1CECC"/>
            </w:tcBorders>
          </w:tcPr>
          <w:p>
            <w:pPr>
              <w:jc w:val="center"/>
              <w:spacing w:after="0" w:line="196" w:lineRule="exact"/>
              <w:rPr>
                <w:sz w:val="20"/>
                <w:szCs w:val="20"/>
                <w:color w:val="auto"/>
              </w:rPr>
            </w:pPr>
            <w:r>
              <w:rPr>
                <w:rFonts w:ascii="Arial" w:cs="Arial" w:eastAsia="Arial" w:hAnsi="Arial"/>
                <w:sz w:val="18"/>
                <w:szCs w:val="18"/>
                <w:color w:val="auto"/>
              </w:rPr>
              <w:t>5,000</w:t>
            </w:r>
          </w:p>
        </w:tc>
        <w:tc>
          <w:tcPr>
            <w:tcW w:w="1040" w:type="dxa"/>
            <w:vAlign w:val="bottom"/>
            <w:tcBorders>
              <w:bottom w:val="single" w:sz="8" w:color="C1CECC"/>
            </w:tcBorders>
          </w:tcPr>
          <w:p>
            <w:pPr>
              <w:jc w:val="right"/>
              <w:spacing w:after="0" w:line="196" w:lineRule="exact"/>
              <w:rPr>
                <w:sz w:val="20"/>
                <w:szCs w:val="20"/>
                <w:color w:val="auto"/>
              </w:rPr>
            </w:pPr>
            <w:r>
              <w:rPr>
                <w:rFonts w:ascii="Arial" w:cs="Arial" w:eastAsia="Arial" w:hAnsi="Arial"/>
                <w:sz w:val="18"/>
                <w:szCs w:val="18"/>
                <w:color w:val="auto"/>
              </w:rPr>
              <w:t>270,018</w:t>
            </w:r>
          </w:p>
        </w:tc>
      </w:tr>
      <w:tr>
        <w:trPr>
          <w:trHeight w:val="196"/>
        </w:trPr>
        <w:tc>
          <w:tcPr>
            <w:tcW w:w="20" w:type="dxa"/>
            <w:vAlign w:val="bottom"/>
          </w:tcPr>
          <w:p>
            <w:pPr>
              <w:spacing w:after="0"/>
              <w:rPr>
                <w:sz w:val="17"/>
                <w:szCs w:val="17"/>
                <w:color w:val="auto"/>
              </w:rPr>
            </w:pPr>
          </w:p>
        </w:tc>
        <w:tc>
          <w:tcPr>
            <w:tcW w:w="2760" w:type="dxa"/>
            <w:vAlign w:val="bottom"/>
            <w:tcBorders>
              <w:bottom w:val="single" w:sz="8" w:color="C1CECC"/>
            </w:tcBorders>
            <w:shd w:val="clear" w:color="auto" w:fill="F4F9F9"/>
          </w:tcPr>
          <w:p>
            <w:pPr>
              <w:spacing w:after="0" w:line="196" w:lineRule="exact"/>
              <w:rPr>
                <w:sz w:val="20"/>
                <w:szCs w:val="20"/>
                <w:color w:val="auto"/>
              </w:rPr>
            </w:pPr>
            <w:r>
              <w:rPr>
                <w:rFonts w:ascii="Arial" w:cs="Arial" w:eastAsia="Arial" w:hAnsi="Arial"/>
                <w:sz w:val="18"/>
                <w:szCs w:val="18"/>
                <w:color w:val="auto"/>
              </w:rPr>
              <w:t>Fox, Jeffrey H.</w:t>
            </w:r>
          </w:p>
        </w:tc>
        <w:tc>
          <w:tcPr>
            <w:tcW w:w="2180" w:type="dxa"/>
            <w:vAlign w:val="bottom"/>
            <w:tcBorders>
              <w:bottom w:val="single" w:sz="8" w:color="C1CECC"/>
            </w:tcBorders>
            <w:shd w:val="clear" w:color="auto" w:fill="F4F9F9"/>
          </w:tcPr>
          <w:p>
            <w:pPr>
              <w:jc w:val="center"/>
              <w:ind w:left="655"/>
              <w:spacing w:after="0" w:line="196" w:lineRule="exact"/>
              <w:rPr>
                <w:sz w:val="20"/>
                <w:szCs w:val="20"/>
                <w:color w:val="auto"/>
              </w:rPr>
            </w:pPr>
            <w:r>
              <w:rPr>
                <w:rFonts w:ascii="Arial" w:cs="Arial" w:eastAsia="Arial" w:hAnsi="Arial"/>
                <w:sz w:val="18"/>
                <w:szCs w:val="18"/>
                <w:color w:val="auto"/>
                <w:w w:val="98"/>
              </w:rPr>
              <w:t>110,000</w:t>
            </w:r>
          </w:p>
        </w:tc>
        <w:tc>
          <w:tcPr>
            <w:tcW w:w="1540" w:type="dxa"/>
            <w:vAlign w:val="bottom"/>
            <w:tcBorders>
              <w:bottom w:val="single" w:sz="8" w:color="C1CECC"/>
            </w:tcBorders>
            <w:shd w:val="clear" w:color="auto" w:fill="F4F9F9"/>
          </w:tcPr>
          <w:p>
            <w:pPr>
              <w:jc w:val="center"/>
              <w:spacing w:after="0" w:line="196" w:lineRule="exact"/>
              <w:rPr>
                <w:sz w:val="20"/>
                <w:szCs w:val="20"/>
                <w:color w:val="auto"/>
              </w:rPr>
            </w:pPr>
            <w:r>
              <w:rPr>
                <w:rFonts w:ascii="Arial" w:cs="Arial" w:eastAsia="Arial" w:hAnsi="Arial"/>
                <w:sz w:val="18"/>
                <w:szCs w:val="18"/>
                <w:color w:val="auto"/>
              </w:rPr>
              <w:t>110,005</w:t>
            </w:r>
          </w:p>
        </w:tc>
        <w:tc>
          <w:tcPr>
            <w:tcW w:w="1880" w:type="dxa"/>
            <w:vAlign w:val="bottom"/>
            <w:tcBorders>
              <w:bottom w:val="single" w:sz="8" w:color="C1CECC"/>
            </w:tcBorders>
            <w:shd w:val="clear" w:color="auto" w:fill="F4F9F9"/>
          </w:tcPr>
          <w:p>
            <w:pPr>
              <w:jc w:val="center"/>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1CECC"/>
            </w:tcBorders>
            <w:shd w:val="clear" w:color="auto" w:fill="F4F9F9"/>
          </w:tcPr>
          <w:p>
            <w:pPr>
              <w:jc w:val="center"/>
              <w:spacing w:after="0" w:line="196" w:lineRule="exact"/>
              <w:rPr>
                <w:sz w:val="20"/>
                <w:szCs w:val="20"/>
                <w:color w:val="auto"/>
              </w:rPr>
            </w:pPr>
            <w:r>
              <w:rPr>
                <w:rFonts w:ascii="Arial" w:cs="Arial" w:eastAsia="Arial" w:hAnsi="Arial"/>
                <w:sz w:val="18"/>
                <w:szCs w:val="18"/>
                <w:color w:val="auto"/>
              </w:rPr>
              <w:t>5,000</w:t>
            </w:r>
          </w:p>
        </w:tc>
        <w:tc>
          <w:tcPr>
            <w:tcW w:w="1040" w:type="dxa"/>
            <w:vAlign w:val="bottom"/>
            <w:tcBorders>
              <w:bottom w:val="single" w:sz="8" w:color="C1CECC"/>
            </w:tcBorders>
            <w:shd w:val="clear" w:color="auto" w:fill="F4F9F9"/>
          </w:tcPr>
          <w:p>
            <w:pPr>
              <w:jc w:val="right"/>
              <w:spacing w:after="0" w:line="196" w:lineRule="exact"/>
              <w:rPr>
                <w:sz w:val="20"/>
                <w:szCs w:val="20"/>
                <w:color w:val="auto"/>
              </w:rPr>
            </w:pPr>
            <w:r>
              <w:rPr>
                <w:rFonts w:ascii="Arial" w:cs="Arial" w:eastAsia="Arial" w:hAnsi="Arial"/>
                <w:sz w:val="18"/>
                <w:szCs w:val="18"/>
                <w:color w:val="auto"/>
              </w:rPr>
              <w:t>225,005</w:t>
            </w:r>
          </w:p>
        </w:tc>
      </w:tr>
      <w:tr>
        <w:trPr>
          <w:trHeight w:val="196"/>
        </w:trPr>
        <w:tc>
          <w:tcPr>
            <w:tcW w:w="20" w:type="dxa"/>
            <w:vAlign w:val="bottom"/>
          </w:tcPr>
          <w:p>
            <w:pPr>
              <w:spacing w:after="0"/>
              <w:rPr>
                <w:sz w:val="17"/>
                <w:szCs w:val="17"/>
                <w:color w:val="auto"/>
              </w:rPr>
            </w:pPr>
          </w:p>
        </w:tc>
        <w:tc>
          <w:tcPr>
            <w:tcW w:w="276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Hardy, John D.</w:t>
            </w:r>
          </w:p>
        </w:tc>
        <w:tc>
          <w:tcPr>
            <w:tcW w:w="2180" w:type="dxa"/>
            <w:vAlign w:val="bottom"/>
            <w:tcBorders>
              <w:bottom w:val="single" w:sz="8" w:color="C1CECC"/>
            </w:tcBorders>
          </w:tcPr>
          <w:p>
            <w:pPr>
              <w:jc w:val="center"/>
              <w:ind w:left="655"/>
              <w:spacing w:after="0" w:line="196" w:lineRule="exact"/>
              <w:rPr>
                <w:sz w:val="20"/>
                <w:szCs w:val="20"/>
                <w:color w:val="auto"/>
              </w:rPr>
            </w:pPr>
            <w:r>
              <w:rPr>
                <w:rFonts w:ascii="Arial" w:cs="Arial" w:eastAsia="Arial" w:hAnsi="Arial"/>
                <w:sz w:val="18"/>
                <w:szCs w:val="18"/>
                <w:color w:val="auto"/>
                <w:w w:val="98"/>
              </w:rPr>
              <w:t>117,500</w:t>
            </w:r>
          </w:p>
        </w:tc>
        <w:tc>
          <w:tcPr>
            <w:tcW w:w="1540" w:type="dxa"/>
            <w:vAlign w:val="bottom"/>
            <w:tcBorders>
              <w:bottom w:val="single" w:sz="8" w:color="C1CECC"/>
            </w:tcBorders>
          </w:tcPr>
          <w:p>
            <w:pPr>
              <w:jc w:val="center"/>
              <w:spacing w:after="0" w:line="196" w:lineRule="exact"/>
              <w:rPr>
                <w:sz w:val="20"/>
                <w:szCs w:val="20"/>
                <w:color w:val="auto"/>
              </w:rPr>
            </w:pPr>
            <w:r>
              <w:rPr>
                <w:rFonts w:ascii="Arial" w:cs="Arial" w:eastAsia="Arial" w:hAnsi="Arial"/>
                <w:sz w:val="18"/>
                <w:szCs w:val="18"/>
                <w:color w:val="auto"/>
              </w:rPr>
              <w:t>117,474</w:t>
            </w:r>
          </w:p>
        </w:tc>
        <w:tc>
          <w:tcPr>
            <w:tcW w:w="1880" w:type="dxa"/>
            <w:vAlign w:val="bottom"/>
            <w:tcBorders>
              <w:bottom w:val="single" w:sz="8" w:color="C1CECC"/>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1CECC"/>
            </w:tcBorders>
          </w:tcPr>
          <w:p>
            <w:pPr>
              <w:jc w:val="center"/>
              <w:spacing w:after="0" w:line="196" w:lineRule="exact"/>
              <w:rPr>
                <w:sz w:val="20"/>
                <w:szCs w:val="20"/>
                <w:color w:val="auto"/>
              </w:rPr>
            </w:pPr>
            <w:r>
              <w:rPr>
                <w:rFonts w:ascii="Arial" w:cs="Arial" w:eastAsia="Arial" w:hAnsi="Arial"/>
                <w:sz w:val="18"/>
                <w:szCs w:val="18"/>
                <w:color w:val="auto"/>
              </w:rPr>
              <w:t>5,000</w:t>
            </w:r>
          </w:p>
        </w:tc>
        <w:tc>
          <w:tcPr>
            <w:tcW w:w="1040" w:type="dxa"/>
            <w:vAlign w:val="bottom"/>
            <w:tcBorders>
              <w:bottom w:val="single" w:sz="8" w:color="C1CECC"/>
            </w:tcBorders>
          </w:tcPr>
          <w:p>
            <w:pPr>
              <w:jc w:val="right"/>
              <w:spacing w:after="0" w:line="196" w:lineRule="exact"/>
              <w:rPr>
                <w:sz w:val="20"/>
                <w:szCs w:val="20"/>
                <w:color w:val="auto"/>
              </w:rPr>
            </w:pPr>
            <w:r>
              <w:rPr>
                <w:rFonts w:ascii="Arial" w:cs="Arial" w:eastAsia="Arial" w:hAnsi="Arial"/>
                <w:sz w:val="18"/>
                <w:szCs w:val="18"/>
                <w:color w:val="auto"/>
              </w:rPr>
              <w:t>239,974</w:t>
            </w:r>
          </w:p>
        </w:tc>
      </w:tr>
      <w:tr>
        <w:trPr>
          <w:trHeight w:val="196"/>
        </w:trPr>
        <w:tc>
          <w:tcPr>
            <w:tcW w:w="20" w:type="dxa"/>
            <w:vAlign w:val="bottom"/>
          </w:tcPr>
          <w:p>
            <w:pPr>
              <w:spacing w:after="0"/>
              <w:rPr>
                <w:sz w:val="17"/>
                <w:szCs w:val="17"/>
                <w:color w:val="auto"/>
              </w:rPr>
            </w:pPr>
          </w:p>
        </w:tc>
        <w:tc>
          <w:tcPr>
            <w:tcW w:w="2760" w:type="dxa"/>
            <w:vAlign w:val="bottom"/>
            <w:tcBorders>
              <w:bottom w:val="single" w:sz="8" w:color="C1CECC"/>
            </w:tcBorders>
            <w:shd w:val="clear" w:color="auto" w:fill="F4F9F9"/>
          </w:tcPr>
          <w:p>
            <w:pPr>
              <w:spacing w:after="0" w:line="196" w:lineRule="exact"/>
              <w:rPr>
                <w:sz w:val="20"/>
                <w:szCs w:val="20"/>
                <w:color w:val="auto"/>
              </w:rPr>
            </w:pPr>
            <w:r>
              <w:rPr>
                <w:rFonts w:ascii="Arial" w:cs="Arial" w:eastAsia="Arial" w:hAnsi="Arial"/>
                <w:sz w:val="18"/>
                <w:szCs w:val="18"/>
                <w:color w:val="auto"/>
              </w:rPr>
              <w:t>Krominga, Lynn</w:t>
            </w:r>
          </w:p>
        </w:tc>
        <w:tc>
          <w:tcPr>
            <w:tcW w:w="2180" w:type="dxa"/>
            <w:vAlign w:val="bottom"/>
            <w:tcBorders>
              <w:bottom w:val="single" w:sz="8" w:color="C1CECC"/>
            </w:tcBorders>
            <w:shd w:val="clear" w:color="auto" w:fill="F4F9F9"/>
          </w:tcPr>
          <w:p>
            <w:pPr>
              <w:jc w:val="center"/>
              <w:ind w:left="655"/>
              <w:spacing w:after="0" w:line="196" w:lineRule="exact"/>
              <w:rPr>
                <w:sz w:val="20"/>
                <w:szCs w:val="20"/>
                <w:color w:val="auto"/>
              </w:rPr>
            </w:pPr>
            <w:r>
              <w:rPr>
                <w:rFonts w:ascii="Arial" w:cs="Arial" w:eastAsia="Arial" w:hAnsi="Arial"/>
                <w:sz w:val="18"/>
                <w:szCs w:val="18"/>
                <w:color w:val="auto"/>
                <w:w w:val="98"/>
              </w:rPr>
              <w:t>115,000</w:t>
            </w:r>
          </w:p>
        </w:tc>
        <w:tc>
          <w:tcPr>
            <w:tcW w:w="1540" w:type="dxa"/>
            <w:vAlign w:val="bottom"/>
            <w:tcBorders>
              <w:bottom w:val="single" w:sz="8" w:color="C1CECC"/>
            </w:tcBorders>
            <w:shd w:val="clear" w:color="auto" w:fill="F4F9F9"/>
          </w:tcPr>
          <w:p>
            <w:pPr>
              <w:jc w:val="center"/>
              <w:spacing w:after="0" w:line="196" w:lineRule="exact"/>
              <w:rPr>
                <w:sz w:val="20"/>
                <w:szCs w:val="20"/>
                <w:color w:val="auto"/>
              </w:rPr>
            </w:pPr>
            <w:r>
              <w:rPr>
                <w:rFonts w:ascii="Arial" w:cs="Arial" w:eastAsia="Arial" w:hAnsi="Arial"/>
                <w:sz w:val="18"/>
                <w:szCs w:val="18"/>
                <w:color w:val="auto"/>
              </w:rPr>
              <w:t>115,000</w:t>
            </w:r>
          </w:p>
        </w:tc>
        <w:tc>
          <w:tcPr>
            <w:tcW w:w="1880" w:type="dxa"/>
            <w:vAlign w:val="bottom"/>
            <w:tcBorders>
              <w:bottom w:val="single" w:sz="8" w:color="C1CECC"/>
            </w:tcBorders>
            <w:shd w:val="clear" w:color="auto" w:fill="F4F9F9"/>
          </w:tcPr>
          <w:p>
            <w:pPr>
              <w:jc w:val="center"/>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1CECC"/>
            </w:tcBorders>
            <w:shd w:val="clear" w:color="auto" w:fill="F4F9F9"/>
          </w:tcPr>
          <w:p>
            <w:pPr>
              <w:jc w:val="center"/>
              <w:spacing w:after="0" w:line="196" w:lineRule="exact"/>
              <w:rPr>
                <w:sz w:val="20"/>
                <w:szCs w:val="20"/>
                <w:color w:val="auto"/>
              </w:rPr>
            </w:pPr>
            <w:r>
              <w:rPr>
                <w:rFonts w:ascii="Arial" w:cs="Arial" w:eastAsia="Arial" w:hAnsi="Arial"/>
                <w:sz w:val="18"/>
                <w:szCs w:val="18"/>
                <w:color w:val="auto"/>
              </w:rPr>
              <w:t>5,000</w:t>
            </w:r>
          </w:p>
        </w:tc>
        <w:tc>
          <w:tcPr>
            <w:tcW w:w="1040" w:type="dxa"/>
            <w:vAlign w:val="bottom"/>
            <w:tcBorders>
              <w:bottom w:val="single" w:sz="8" w:color="C1CECC"/>
            </w:tcBorders>
            <w:shd w:val="clear" w:color="auto" w:fill="F4F9F9"/>
          </w:tcPr>
          <w:p>
            <w:pPr>
              <w:jc w:val="right"/>
              <w:spacing w:after="0" w:line="196" w:lineRule="exact"/>
              <w:rPr>
                <w:sz w:val="20"/>
                <w:szCs w:val="20"/>
                <w:color w:val="auto"/>
              </w:rPr>
            </w:pPr>
            <w:r>
              <w:rPr>
                <w:rFonts w:ascii="Arial" w:cs="Arial" w:eastAsia="Arial" w:hAnsi="Arial"/>
                <w:sz w:val="18"/>
                <w:szCs w:val="18"/>
                <w:color w:val="auto"/>
              </w:rPr>
              <w:t>235,000</w:t>
            </w:r>
          </w:p>
        </w:tc>
      </w:tr>
      <w:tr>
        <w:trPr>
          <w:trHeight w:val="196"/>
        </w:trPr>
        <w:tc>
          <w:tcPr>
            <w:tcW w:w="20" w:type="dxa"/>
            <w:vAlign w:val="bottom"/>
          </w:tcPr>
          <w:p>
            <w:pPr>
              <w:spacing w:after="0"/>
              <w:rPr>
                <w:sz w:val="17"/>
                <w:szCs w:val="17"/>
                <w:color w:val="auto"/>
              </w:rPr>
            </w:pPr>
          </w:p>
        </w:tc>
        <w:tc>
          <w:tcPr>
            <w:tcW w:w="276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Mestre, Eduardo G.</w:t>
            </w:r>
          </w:p>
        </w:tc>
        <w:tc>
          <w:tcPr>
            <w:tcW w:w="2180" w:type="dxa"/>
            <w:vAlign w:val="bottom"/>
            <w:tcBorders>
              <w:bottom w:val="single" w:sz="8" w:color="C1CECC"/>
            </w:tcBorders>
          </w:tcPr>
          <w:p>
            <w:pPr>
              <w:jc w:val="center"/>
              <w:ind w:left="675"/>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1CECC"/>
            </w:tcBorders>
          </w:tcPr>
          <w:p>
            <w:pPr>
              <w:jc w:val="center"/>
              <w:spacing w:after="0" w:line="196" w:lineRule="exact"/>
              <w:rPr>
                <w:sz w:val="20"/>
                <w:szCs w:val="20"/>
                <w:color w:val="auto"/>
              </w:rPr>
            </w:pPr>
            <w:r>
              <w:rPr>
                <w:rFonts w:ascii="Arial" w:cs="Arial" w:eastAsia="Arial" w:hAnsi="Arial"/>
                <w:sz w:val="18"/>
                <w:szCs w:val="18"/>
                <w:color w:val="auto"/>
              </w:rPr>
              <w:t>217,989</w:t>
            </w:r>
          </w:p>
        </w:tc>
        <w:tc>
          <w:tcPr>
            <w:tcW w:w="1880" w:type="dxa"/>
            <w:vAlign w:val="bottom"/>
            <w:tcBorders>
              <w:bottom w:val="single" w:sz="8" w:color="C1CECC"/>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1CECC"/>
            </w:tcBorders>
          </w:tcPr>
          <w:p>
            <w:pPr>
              <w:jc w:val="center"/>
              <w:spacing w:after="0" w:line="196" w:lineRule="exact"/>
              <w:rPr>
                <w:sz w:val="20"/>
                <w:szCs w:val="20"/>
                <w:color w:val="auto"/>
              </w:rPr>
            </w:pPr>
            <w:r>
              <w:rPr>
                <w:rFonts w:ascii="Arial" w:cs="Arial" w:eastAsia="Arial" w:hAnsi="Arial"/>
                <w:sz w:val="18"/>
                <w:szCs w:val="18"/>
                <w:color w:val="auto"/>
              </w:rPr>
              <w:t>5,000</w:t>
            </w:r>
          </w:p>
        </w:tc>
        <w:tc>
          <w:tcPr>
            <w:tcW w:w="1040" w:type="dxa"/>
            <w:vAlign w:val="bottom"/>
            <w:tcBorders>
              <w:bottom w:val="single" w:sz="8" w:color="C1CECC"/>
            </w:tcBorders>
          </w:tcPr>
          <w:p>
            <w:pPr>
              <w:jc w:val="right"/>
              <w:spacing w:after="0" w:line="196" w:lineRule="exact"/>
              <w:rPr>
                <w:sz w:val="20"/>
                <w:szCs w:val="20"/>
                <w:color w:val="auto"/>
              </w:rPr>
            </w:pPr>
            <w:r>
              <w:rPr>
                <w:rFonts w:ascii="Arial" w:cs="Arial" w:eastAsia="Arial" w:hAnsi="Arial"/>
                <w:sz w:val="18"/>
                <w:szCs w:val="18"/>
                <w:color w:val="auto"/>
              </w:rPr>
              <w:t>222,989</w:t>
            </w:r>
          </w:p>
        </w:tc>
      </w:tr>
      <w:tr>
        <w:trPr>
          <w:trHeight w:val="196"/>
        </w:trPr>
        <w:tc>
          <w:tcPr>
            <w:tcW w:w="20" w:type="dxa"/>
            <w:vAlign w:val="bottom"/>
          </w:tcPr>
          <w:p>
            <w:pPr>
              <w:spacing w:after="0"/>
              <w:rPr>
                <w:sz w:val="17"/>
                <w:szCs w:val="17"/>
                <w:color w:val="auto"/>
              </w:rPr>
            </w:pPr>
          </w:p>
        </w:tc>
        <w:tc>
          <w:tcPr>
            <w:tcW w:w="2760" w:type="dxa"/>
            <w:vAlign w:val="bottom"/>
            <w:tcBorders>
              <w:bottom w:val="single" w:sz="8" w:color="C1CECC"/>
            </w:tcBorders>
            <w:shd w:val="clear" w:color="auto" w:fill="F4F9F9"/>
          </w:tcPr>
          <w:p>
            <w:pPr>
              <w:spacing w:after="0" w:line="196" w:lineRule="exact"/>
              <w:rPr>
                <w:sz w:val="20"/>
                <w:szCs w:val="20"/>
                <w:color w:val="auto"/>
              </w:rPr>
            </w:pPr>
            <w:r>
              <w:rPr>
                <w:rFonts w:ascii="Arial" w:cs="Arial" w:eastAsia="Arial" w:hAnsi="Arial"/>
                <w:sz w:val="18"/>
                <w:szCs w:val="18"/>
                <w:color w:val="auto"/>
              </w:rPr>
              <w:t>Salerno, F. Robert (f)</w:t>
            </w:r>
          </w:p>
        </w:tc>
        <w:tc>
          <w:tcPr>
            <w:tcW w:w="2180" w:type="dxa"/>
            <w:vAlign w:val="bottom"/>
            <w:tcBorders>
              <w:bottom w:val="single" w:sz="8" w:color="C1CECC"/>
            </w:tcBorders>
            <w:shd w:val="clear" w:color="auto" w:fill="F4F9F9"/>
          </w:tcPr>
          <w:p>
            <w:pPr>
              <w:jc w:val="center"/>
              <w:ind w:left="655"/>
              <w:spacing w:after="0" w:line="196" w:lineRule="exact"/>
              <w:rPr>
                <w:sz w:val="20"/>
                <w:szCs w:val="20"/>
                <w:color w:val="auto"/>
              </w:rPr>
            </w:pPr>
            <w:r>
              <w:rPr>
                <w:rFonts w:ascii="Arial" w:cs="Arial" w:eastAsia="Arial" w:hAnsi="Arial"/>
                <w:sz w:val="18"/>
                <w:szCs w:val="18"/>
                <w:color w:val="auto"/>
                <w:w w:val="98"/>
              </w:rPr>
              <w:t>112,472</w:t>
            </w:r>
          </w:p>
        </w:tc>
        <w:tc>
          <w:tcPr>
            <w:tcW w:w="1540" w:type="dxa"/>
            <w:vAlign w:val="bottom"/>
            <w:tcBorders>
              <w:bottom w:val="single" w:sz="8" w:color="C1CECC"/>
            </w:tcBorders>
            <w:shd w:val="clear" w:color="auto" w:fill="F4F9F9"/>
          </w:tcPr>
          <w:p>
            <w:pPr>
              <w:jc w:val="center"/>
              <w:spacing w:after="0" w:line="196" w:lineRule="exact"/>
              <w:rPr>
                <w:sz w:val="20"/>
                <w:szCs w:val="20"/>
                <w:color w:val="auto"/>
              </w:rPr>
            </w:pPr>
            <w:r>
              <w:rPr>
                <w:rFonts w:ascii="Arial" w:cs="Arial" w:eastAsia="Arial" w:hAnsi="Arial"/>
                <w:sz w:val="18"/>
                <w:szCs w:val="18"/>
                <w:color w:val="auto"/>
              </w:rPr>
              <w:t>112,471</w:t>
            </w:r>
          </w:p>
        </w:tc>
        <w:tc>
          <w:tcPr>
            <w:tcW w:w="1880" w:type="dxa"/>
            <w:vAlign w:val="bottom"/>
            <w:tcBorders>
              <w:bottom w:val="single" w:sz="8" w:color="C1CECC"/>
            </w:tcBorders>
            <w:shd w:val="clear" w:color="auto" w:fill="F4F9F9"/>
          </w:tcPr>
          <w:p>
            <w:pPr>
              <w:jc w:val="center"/>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1CECC"/>
            </w:tcBorders>
            <w:shd w:val="clear" w:color="auto" w:fill="F4F9F9"/>
          </w:tcPr>
          <w:p>
            <w:pPr>
              <w:jc w:val="center"/>
              <w:spacing w:after="0" w:line="196" w:lineRule="exact"/>
              <w:rPr>
                <w:sz w:val="20"/>
                <w:szCs w:val="20"/>
                <w:color w:val="auto"/>
              </w:rPr>
            </w:pPr>
            <w:r>
              <w:rPr>
                <w:rFonts w:ascii="Arial" w:cs="Arial" w:eastAsia="Arial" w:hAnsi="Arial"/>
                <w:sz w:val="18"/>
                <w:szCs w:val="18"/>
                <w:color w:val="auto"/>
              </w:rPr>
              <w:t>5,000</w:t>
            </w:r>
          </w:p>
        </w:tc>
        <w:tc>
          <w:tcPr>
            <w:tcW w:w="1040" w:type="dxa"/>
            <w:vAlign w:val="bottom"/>
            <w:tcBorders>
              <w:bottom w:val="single" w:sz="8" w:color="C1CECC"/>
            </w:tcBorders>
            <w:shd w:val="clear" w:color="auto" w:fill="F4F9F9"/>
          </w:tcPr>
          <w:p>
            <w:pPr>
              <w:jc w:val="right"/>
              <w:spacing w:after="0" w:line="196" w:lineRule="exact"/>
              <w:rPr>
                <w:sz w:val="20"/>
                <w:szCs w:val="20"/>
                <w:color w:val="auto"/>
              </w:rPr>
            </w:pPr>
            <w:r>
              <w:rPr>
                <w:rFonts w:ascii="Arial" w:cs="Arial" w:eastAsia="Arial" w:hAnsi="Arial"/>
                <w:sz w:val="18"/>
                <w:szCs w:val="18"/>
                <w:color w:val="auto"/>
              </w:rPr>
              <w:t>229,943</w:t>
            </w:r>
          </w:p>
        </w:tc>
      </w:tr>
      <w:tr>
        <w:trPr>
          <w:trHeight w:val="196"/>
        </w:trPr>
        <w:tc>
          <w:tcPr>
            <w:tcW w:w="20" w:type="dxa"/>
            <w:vAlign w:val="bottom"/>
          </w:tcPr>
          <w:p>
            <w:pPr>
              <w:spacing w:after="0"/>
              <w:rPr>
                <w:sz w:val="17"/>
                <w:szCs w:val="17"/>
                <w:color w:val="auto"/>
              </w:rPr>
            </w:pPr>
          </w:p>
        </w:tc>
        <w:tc>
          <w:tcPr>
            <w:tcW w:w="2760" w:type="dxa"/>
            <w:vAlign w:val="bottom"/>
            <w:tcBorders>
              <w:bottom w:val="single" w:sz="8" w:color="C1CECC"/>
            </w:tcBorders>
          </w:tcPr>
          <w:p>
            <w:pPr>
              <w:spacing w:after="0" w:line="196" w:lineRule="exact"/>
              <w:rPr>
                <w:sz w:val="20"/>
                <w:szCs w:val="20"/>
                <w:color w:val="auto"/>
              </w:rPr>
            </w:pPr>
            <w:r>
              <w:rPr>
                <w:rFonts w:ascii="Arial" w:cs="Arial" w:eastAsia="Arial" w:hAnsi="Arial"/>
                <w:sz w:val="18"/>
                <w:szCs w:val="18"/>
                <w:color w:val="auto"/>
              </w:rPr>
              <w:t>Sweeney, Stender E.</w:t>
            </w:r>
          </w:p>
        </w:tc>
        <w:tc>
          <w:tcPr>
            <w:tcW w:w="2180" w:type="dxa"/>
            <w:vAlign w:val="bottom"/>
            <w:tcBorders>
              <w:bottom w:val="single" w:sz="8" w:color="C1CECC"/>
            </w:tcBorders>
          </w:tcPr>
          <w:p>
            <w:pPr>
              <w:jc w:val="center"/>
              <w:ind w:left="655"/>
              <w:spacing w:after="0" w:line="196" w:lineRule="exact"/>
              <w:rPr>
                <w:sz w:val="20"/>
                <w:szCs w:val="20"/>
                <w:color w:val="auto"/>
              </w:rPr>
            </w:pPr>
            <w:r>
              <w:rPr>
                <w:rFonts w:ascii="Arial" w:cs="Arial" w:eastAsia="Arial" w:hAnsi="Arial"/>
                <w:sz w:val="18"/>
                <w:szCs w:val="18"/>
                <w:color w:val="auto"/>
                <w:w w:val="98"/>
              </w:rPr>
              <w:t>121,250</w:t>
            </w:r>
          </w:p>
        </w:tc>
        <w:tc>
          <w:tcPr>
            <w:tcW w:w="1540" w:type="dxa"/>
            <w:vAlign w:val="bottom"/>
            <w:tcBorders>
              <w:bottom w:val="single" w:sz="8" w:color="C1CECC"/>
            </w:tcBorders>
          </w:tcPr>
          <w:p>
            <w:pPr>
              <w:jc w:val="center"/>
              <w:spacing w:after="0" w:line="196" w:lineRule="exact"/>
              <w:rPr>
                <w:sz w:val="20"/>
                <w:szCs w:val="20"/>
                <w:color w:val="auto"/>
              </w:rPr>
            </w:pPr>
            <w:r>
              <w:rPr>
                <w:rFonts w:ascii="Arial" w:cs="Arial" w:eastAsia="Arial" w:hAnsi="Arial"/>
                <w:sz w:val="18"/>
                <w:szCs w:val="18"/>
                <w:color w:val="auto"/>
              </w:rPr>
              <w:t>121,262</w:t>
            </w:r>
          </w:p>
        </w:tc>
        <w:tc>
          <w:tcPr>
            <w:tcW w:w="1880" w:type="dxa"/>
            <w:vAlign w:val="bottom"/>
            <w:tcBorders>
              <w:bottom w:val="single" w:sz="8" w:color="C1CECC"/>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1CECC"/>
            </w:tcBorders>
          </w:tcPr>
          <w:p>
            <w:pPr>
              <w:jc w:val="center"/>
              <w:spacing w:after="0" w:line="196" w:lineRule="exact"/>
              <w:rPr>
                <w:sz w:val="20"/>
                <w:szCs w:val="20"/>
                <w:color w:val="auto"/>
              </w:rPr>
            </w:pPr>
            <w:r>
              <w:rPr>
                <w:rFonts w:ascii="Arial" w:cs="Arial" w:eastAsia="Arial" w:hAnsi="Arial"/>
                <w:sz w:val="18"/>
                <w:szCs w:val="18"/>
                <w:color w:val="auto"/>
              </w:rPr>
              <w:t>5,000</w:t>
            </w:r>
          </w:p>
        </w:tc>
        <w:tc>
          <w:tcPr>
            <w:tcW w:w="1040" w:type="dxa"/>
            <w:vAlign w:val="bottom"/>
            <w:tcBorders>
              <w:bottom w:val="single" w:sz="8" w:color="C1CECC"/>
            </w:tcBorders>
          </w:tcPr>
          <w:p>
            <w:pPr>
              <w:jc w:val="right"/>
              <w:spacing w:after="0" w:line="196" w:lineRule="exact"/>
              <w:rPr>
                <w:sz w:val="20"/>
                <w:szCs w:val="20"/>
                <w:color w:val="auto"/>
              </w:rPr>
            </w:pPr>
            <w:r>
              <w:rPr>
                <w:rFonts w:ascii="Arial" w:cs="Arial" w:eastAsia="Arial" w:hAnsi="Arial"/>
                <w:sz w:val="18"/>
                <w:szCs w:val="18"/>
                <w:color w:val="auto"/>
              </w:rPr>
              <w:t>247,512</w:t>
            </w:r>
          </w:p>
        </w:tc>
      </w:tr>
      <w:tr>
        <w:trPr>
          <w:trHeight w:val="196"/>
        </w:trPr>
        <w:tc>
          <w:tcPr>
            <w:tcW w:w="20" w:type="dxa"/>
            <w:vAlign w:val="bottom"/>
          </w:tcPr>
          <w:p>
            <w:pPr>
              <w:spacing w:after="0"/>
              <w:rPr>
                <w:sz w:val="17"/>
                <w:szCs w:val="17"/>
                <w:color w:val="auto"/>
              </w:rPr>
            </w:pPr>
          </w:p>
        </w:tc>
        <w:tc>
          <w:tcPr>
            <w:tcW w:w="2760" w:type="dxa"/>
            <w:vAlign w:val="bottom"/>
            <w:tcBorders>
              <w:bottom w:val="single" w:sz="8" w:color="auto"/>
            </w:tcBorders>
            <w:shd w:val="clear" w:color="auto" w:fill="F4F9F9"/>
          </w:tcPr>
          <w:p>
            <w:pPr>
              <w:spacing w:after="0" w:line="196" w:lineRule="exact"/>
              <w:rPr>
                <w:sz w:val="20"/>
                <w:szCs w:val="20"/>
                <w:color w:val="auto"/>
              </w:rPr>
            </w:pPr>
            <w:r>
              <w:rPr>
                <w:rFonts w:ascii="Arial" w:cs="Arial" w:eastAsia="Arial" w:hAnsi="Arial"/>
                <w:sz w:val="18"/>
                <w:szCs w:val="18"/>
                <w:color w:val="auto"/>
              </w:rPr>
              <w:t>Viswanathan, Sanoke</w:t>
            </w:r>
          </w:p>
        </w:tc>
        <w:tc>
          <w:tcPr>
            <w:tcW w:w="2180" w:type="dxa"/>
            <w:vAlign w:val="bottom"/>
            <w:tcBorders>
              <w:bottom w:val="single" w:sz="8" w:color="auto"/>
            </w:tcBorders>
            <w:shd w:val="clear" w:color="auto" w:fill="F4F9F9"/>
          </w:tcPr>
          <w:p>
            <w:pPr>
              <w:jc w:val="center"/>
              <w:ind w:left="655"/>
              <w:spacing w:after="0" w:line="196" w:lineRule="exact"/>
              <w:rPr>
                <w:sz w:val="20"/>
                <w:szCs w:val="20"/>
                <w:color w:val="auto"/>
              </w:rPr>
            </w:pPr>
            <w:r>
              <w:rPr>
                <w:rFonts w:ascii="Arial" w:cs="Arial" w:eastAsia="Arial" w:hAnsi="Arial"/>
                <w:sz w:val="18"/>
                <w:szCs w:val="18"/>
                <w:color w:val="auto"/>
                <w:w w:val="98"/>
              </w:rPr>
              <w:t>105,000</w:t>
            </w:r>
          </w:p>
        </w:tc>
        <w:tc>
          <w:tcPr>
            <w:tcW w:w="1540" w:type="dxa"/>
            <w:vAlign w:val="bottom"/>
            <w:tcBorders>
              <w:bottom w:val="single" w:sz="8" w:color="auto"/>
            </w:tcBorders>
            <w:shd w:val="clear" w:color="auto" w:fill="F4F9F9"/>
          </w:tcPr>
          <w:p>
            <w:pPr>
              <w:jc w:val="center"/>
              <w:spacing w:after="0" w:line="196" w:lineRule="exact"/>
              <w:rPr>
                <w:sz w:val="20"/>
                <w:szCs w:val="20"/>
                <w:color w:val="auto"/>
              </w:rPr>
            </w:pPr>
            <w:r>
              <w:rPr>
                <w:rFonts w:ascii="Arial" w:cs="Arial" w:eastAsia="Arial" w:hAnsi="Arial"/>
                <w:sz w:val="18"/>
                <w:szCs w:val="18"/>
                <w:color w:val="auto"/>
              </w:rPr>
              <w:t>105,018</w:t>
            </w:r>
          </w:p>
        </w:tc>
        <w:tc>
          <w:tcPr>
            <w:tcW w:w="1880" w:type="dxa"/>
            <w:vAlign w:val="bottom"/>
            <w:tcBorders>
              <w:bottom w:val="single" w:sz="8" w:color="auto"/>
            </w:tcBorders>
            <w:shd w:val="clear" w:color="auto" w:fill="F4F9F9"/>
          </w:tcPr>
          <w:p>
            <w:pPr>
              <w:jc w:val="center"/>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F4F9F9"/>
          </w:tcPr>
          <w:p>
            <w:pPr>
              <w:jc w:val="center"/>
              <w:spacing w:after="0" w:line="196" w:lineRule="exact"/>
              <w:rPr>
                <w:sz w:val="20"/>
                <w:szCs w:val="20"/>
                <w:color w:val="auto"/>
              </w:rPr>
            </w:pPr>
            <w:r>
              <w:rPr>
                <w:rFonts w:ascii="Arial" w:cs="Arial" w:eastAsia="Arial" w:hAnsi="Arial"/>
                <w:sz w:val="18"/>
                <w:szCs w:val="18"/>
                <w:color w:val="auto"/>
              </w:rPr>
              <w:t>5,000</w:t>
            </w:r>
          </w:p>
        </w:tc>
        <w:tc>
          <w:tcPr>
            <w:tcW w:w="1040" w:type="dxa"/>
            <w:vAlign w:val="bottom"/>
            <w:tcBorders>
              <w:bottom w:val="single" w:sz="8" w:color="auto"/>
            </w:tcBorders>
            <w:shd w:val="clear" w:color="auto" w:fill="F4F9F9"/>
          </w:tcPr>
          <w:p>
            <w:pPr>
              <w:jc w:val="right"/>
              <w:spacing w:after="0" w:line="196" w:lineRule="exact"/>
              <w:rPr>
                <w:sz w:val="20"/>
                <w:szCs w:val="20"/>
                <w:color w:val="auto"/>
              </w:rPr>
            </w:pPr>
            <w:r>
              <w:rPr>
                <w:rFonts w:ascii="Arial" w:cs="Arial" w:eastAsia="Arial" w:hAnsi="Arial"/>
                <w:sz w:val="18"/>
                <w:szCs w:val="18"/>
                <w:color w:val="auto"/>
              </w:rPr>
              <w:t>215,018</w:t>
            </w:r>
          </w:p>
        </w:tc>
      </w:tr>
    </w:tbl>
    <w:p>
      <w:pPr>
        <w:spacing w:after="0" w:line="121" w:lineRule="exact"/>
        <w:rPr>
          <w:sz w:val="20"/>
          <w:szCs w:val="20"/>
          <w:color w:val="auto"/>
        </w:rPr>
      </w:pPr>
    </w:p>
    <w:p>
      <w:pPr>
        <w:jc w:val="both"/>
        <w:ind w:left="520" w:right="20" w:hanging="316"/>
        <w:spacing w:after="0" w:line="228" w:lineRule="auto"/>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cash portion of fees paid represents: 50% of the annual retainer and 50% of committee chair and membership stipends. Directors may elect to defer some or all fees earned or paid in cash under the NED Plan. For 2017, Mr. Mestre elected to receive all cash compensation in the form of deferred stock units; and Mr. Sweeney deferred all cash compensation into investment options offered under the NED Plan.</w:t>
      </w:r>
    </w:p>
    <w:p>
      <w:pPr>
        <w:spacing w:after="0" w:line="108" w:lineRule="exact"/>
        <w:rPr>
          <w:rFonts w:ascii="Arial" w:cs="Arial" w:eastAsia="Arial" w:hAnsi="Arial"/>
          <w:sz w:val="14"/>
          <w:szCs w:val="14"/>
          <w:color w:val="auto"/>
        </w:rPr>
      </w:pPr>
    </w:p>
    <w:p>
      <w:pPr>
        <w:jc w:val="both"/>
        <w:ind w:left="520" w:right="20" w:hanging="316"/>
        <w:spacing w:after="0" w:line="225" w:lineRule="auto"/>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stock awards represent: a minimum of 50% of the annual retainer and 50% of committee chair and membership stipends. Such amounts represent the aggregate grant date fair value computed in accordance with FASB ASC Topic 718. The number of deferred stock units or shares of Common Stock to be received pursuant to the equity portion of the retainer or any other compensation to be paid in the form of equity, divided by the fair market value of the Company’s Common Stock on the date of grant. For 2017, directors had the opportunity to receive the equity portion of their compensation in the form of the Company’s Common Stock on each quarterly payment date. Mr. Coleman, Mr. Hardy, Ms. Krominga and Mr. Sweeney made such an election. Each of the other directors received stock awards in the form of deferred stock units.</w:t>
      </w:r>
    </w:p>
    <w:p>
      <w:pPr>
        <w:spacing w:after="0" w:line="96" w:lineRule="exact"/>
        <w:rPr>
          <w:rFonts w:ascii="Arial" w:cs="Arial" w:eastAsia="Arial" w:hAnsi="Arial"/>
          <w:sz w:val="14"/>
          <w:szCs w:val="14"/>
          <w:color w:val="auto"/>
        </w:rPr>
      </w:pPr>
    </w:p>
    <w:p>
      <w:pPr>
        <w:jc w:val="both"/>
        <w:ind w:left="540" w:right="20"/>
        <w:spacing w:after="0" w:line="228" w:lineRule="auto"/>
        <w:rPr>
          <w:rFonts w:ascii="Arial" w:cs="Arial" w:eastAsia="Arial" w:hAnsi="Arial"/>
          <w:sz w:val="14"/>
          <w:szCs w:val="14"/>
          <w:color w:val="auto"/>
        </w:rPr>
      </w:pPr>
      <w:r>
        <w:rPr>
          <w:rFonts w:ascii="Arial" w:cs="Arial" w:eastAsia="Arial" w:hAnsi="Arial"/>
          <w:sz w:val="14"/>
          <w:szCs w:val="14"/>
          <w:color w:val="auto"/>
        </w:rPr>
        <w:t>Outstanding stock awards at fiscal year-end are as follows: for Ms. Choksi, 66,071 deferred stock units; for Mr. Coleman, 69,827 deferred stock units; for Mr. Fox, 11,949 deferred stock units; for Mr. Hardy, 54,074 deferred stock units; for Ms. Krominga, 53,906 deferred stock units; for Mr. Mestre, 75,500 deferred stock units; for Mr. Salerno, 19,589 deferred stock units; for Mr. Sweeney, 66,711 deferred stock units; and for Mr. Viswanathan, 5,554 deferred stock units.</w:t>
      </w:r>
    </w:p>
    <w:p>
      <w:pPr>
        <w:spacing w:after="0" w:line="108" w:lineRule="exact"/>
        <w:rPr>
          <w:rFonts w:ascii="Arial" w:cs="Arial" w:eastAsia="Arial" w:hAnsi="Arial"/>
          <w:sz w:val="14"/>
          <w:szCs w:val="14"/>
          <w:color w:val="auto"/>
        </w:rPr>
      </w:pPr>
    </w:p>
    <w:p>
      <w:pPr>
        <w:ind w:left="520" w:right="20" w:hanging="316"/>
        <w:spacing w:after="0" w:line="231" w:lineRule="auto"/>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As described above, Mr. Sweeney elected to defer the cash portion of his 2017 director compensation into certain investment options available under the NED Plan. There were no above-market or preferential earnings in 2017 as any earnings were market-based, consistent with the investment options selected by Mr. Sweeney.</w:t>
      </w:r>
    </w:p>
    <w:p>
      <w:pPr>
        <w:spacing w:after="0" w:line="108" w:lineRule="exact"/>
        <w:rPr>
          <w:rFonts w:ascii="Arial" w:cs="Arial" w:eastAsia="Arial" w:hAnsi="Arial"/>
          <w:sz w:val="14"/>
          <w:szCs w:val="14"/>
          <w:color w:val="auto"/>
        </w:rPr>
      </w:pPr>
    </w:p>
    <w:p>
      <w:pPr>
        <w:ind w:left="520" w:hanging="316"/>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discretionary matching contributions available through The Avis Budget Group Charitable Foundation.</w:t>
      </w:r>
    </w:p>
    <w:p>
      <w:pPr>
        <w:spacing w:after="0" w:line="109" w:lineRule="exact"/>
        <w:rPr>
          <w:rFonts w:ascii="Arial" w:cs="Arial" w:eastAsia="Arial" w:hAnsi="Arial"/>
          <w:sz w:val="14"/>
          <w:szCs w:val="14"/>
          <w:color w:val="auto"/>
        </w:rPr>
      </w:pPr>
    </w:p>
    <w:p>
      <w:pPr>
        <w:ind w:left="520" w:hanging="316"/>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Mr. Choi has elected not to receive compensation for his Board service.</w:t>
      </w:r>
    </w:p>
    <w:p>
      <w:pPr>
        <w:spacing w:after="0" w:line="109" w:lineRule="exact"/>
        <w:rPr>
          <w:rFonts w:ascii="Arial" w:cs="Arial" w:eastAsia="Arial" w:hAnsi="Arial"/>
          <w:sz w:val="14"/>
          <w:szCs w:val="14"/>
          <w:color w:val="auto"/>
        </w:rPr>
      </w:pPr>
    </w:p>
    <w:p>
      <w:pPr>
        <w:ind w:left="520" w:right="20" w:hanging="316"/>
        <w:spacing w:after="0" w:line="231" w:lineRule="auto"/>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Mr. Cathcart retired effective February 2017. In addition to the compensation reflected above, Messrs. Salerno and Cathcart were also paid the following amounts in 2017, which were previously earned and accrued during their prior employment with the Company and Avis Europe, respectively:</w:t>
      </w:r>
    </w:p>
    <w:p>
      <w:pPr>
        <w:spacing w:after="0" w:line="211"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60" w:type="dxa"/>
            <w:vAlign w:val="bottom"/>
            <w:tcBorders>
              <w:top w:val="single" w:sz="8" w:color="auto"/>
              <w:bottom w:val="single" w:sz="8" w:color="C1CECC"/>
            </w:tcBorders>
            <w:shd w:val="clear" w:color="auto" w:fill="F4F9F9"/>
          </w:tcPr>
          <w:p>
            <w:pPr>
              <w:spacing w:after="0"/>
              <w:rPr>
                <w:sz w:val="20"/>
                <w:szCs w:val="20"/>
                <w:color w:val="auto"/>
              </w:rPr>
            </w:pPr>
            <w:r>
              <w:rPr>
                <w:rFonts w:ascii="Arial" w:cs="Arial" w:eastAsia="Arial" w:hAnsi="Arial"/>
                <w:sz w:val="14"/>
                <w:szCs w:val="14"/>
                <w:color w:val="auto"/>
              </w:rPr>
              <w:t>Avis Rent A Car System, LLC Pension Plan (Mr. Salerno)</w:t>
            </w:r>
          </w:p>
        </w:tc>
        <w:tc>
          <w:tcPr>
            <w:tcW w:w="3220" w:type="dxa"/>
            <w:vAlign w:val="bottom"/>
            <w:tcBorders>
              <w:top w:val="single" w:sz="8" w:color="auto"/>
              <w:bottom w:val="single" w:sz="8" w:color="C1CECC"/>
            </w:tcBorders>
            <w:shd w:val="clear" w:color="auto" w:fill="F4F9F9"/>
          </w:tcPr>
          <w:p>
            <w:pPr>
              <w:jc w:val="right"/>
              <w:spacing w:after="0"/>
              <w:rPr>
                <w:sz w:val="20"/>
                <w:szCs w:val="20"/>
                <w:color w:val="auto"/>
              </w:rPr>
            </w:pPr>
            <w:r>
              <w:rPr>
                <w:rFonts w:ascii="Arial" w:cs="Arial" w:eastAsia="Arial" w:hAnsi="Arial"/>
                <w:sz w:val="14"/>
                <w:szCs w:val="14"/>
                <w:color w:val="auto"/>
              </w:rPr>
              <w:t>$40,597</w:t>
            </w:r>
          </w:p>
        </w:tc>
      </w:tr>
      <w:tr>
        <w:trPr>
          <w:trHeight w:val="142"/>
        </w:trPr>
        <w:tc>
          <w:tcPr>
            <w:tcW w:w="20" w:type="dxa"/>
            <w:vAlign w:val="bottom"/>
          </w:tcPr>
          <w:p>
            <w:pPr>
              <w:spacing w:after="0"/>
              <w:rPr>
                <w:sz w:val="12"/>
                <w:szCs w:val="12"/>
                <w:color w:val="auto"/>
              </w:rPr>
            </w:pPr>
          </w:p>
        </w:tc>
        <w:tc>
          <w:tcPr>
            <w:tcW w:w="7460" w:type="dxa"/>
            <w:vAlign w:val="bottom"/>
            <w:tcBorders>
              <w:bottom w:val="single" w:sz="8" w:color="C1CECC"/>
            </w:tcBorders>
          </w:tcPr>
          <w:p>
            <w:pPr>
              <w:spacing w:after="0" w:line="142" w:lineRule="exact"/>
              <w:rPr>
                <w:sz w:val="20"/>
                <w:szCs w:val="20"/>
                <w:color w:val="auto"/>
              </w:rPr>
            </w:pPr>
            <w:r>
              <w:rPr>
                <w:rFonts w:ascii="Arial" w:cs="Arial" w:eastAsia="Arial" w:hAnsi="Arial"/>
                <w:sz w:val="14"/>
                <w:szCs w:val="14"/>
                <w:color w:val="auto"/>
              </w:rPr>
              <w:t>Avis Rent A Car System, LLC Retirement Equalization Benefit Plan (Mr. Salerno)</w:t>
            </w:r>
          </w:p>
        </w:tc>
        <w:tc>
          <w:tcPr>
            <w:tcW w:w="3220" w:type="dxa"/>
            <w:vAlign w:val="bottom"/>
            <w:tcBorders>
              <w:bottom w:val="single" w:sz="8" w:color="C1CECC"/>
            </w:tcBorders>
          </w:tcPr>
          <w:p>
            <w:pPr>
              <w:jc w:val="right"/>
              <w:spacing w:after="0" w:line="142" w:lineRule="exact"/>
              <w:rPr>
                <w:sz w:val="20"/>
                <w:szCs w:val="20"/>
                <w:color w:val="auto"/>
              </w:rPr>
            </w:pPr>
            <w:r>
              <w:rPr>
                <w:rFonts w:ascii="Arial" w:cs="Arial" w:eastAsia="Arial" w:hAnsi="Arial"/>
                <w:sz w:val="14"/>
                <w:szCs w:val="14"/>
                <w:color w:val="auto"/>
              </w:rPr>
              <w:t>$59,075</w:t>
            </w:r>
          </w:p>
        </w:tc>
      </w:tr>
      <w:tr>
        <w:trPr>
          <w:trHeight w:val="142"/>
        </w:trPr>
        <w:tc>
          <w:tcPr>
            <w:tcW w:w="20" w:type="dxa"/>
            <w:vAlign w:val="bottom"/>
          </w:tcPr>
          <w:p>
            <w:pPr>
              <w:spacing w:after="0"/>
              <w:rPr>
                <w:sz w:val="12"/>
                <w:szCs w:val="12"/>
                <w:color w:val="auto"/>
              </w:rPr>
            </w:pPr>
          </w:p>
        </w:tc>
        <w:tc>
          <w:tcPr>
            <w:tcW w:w="7460" w:type="dxa"/>
            <w:vAlign w:val="bottom"/>
            <w:tcBorders>
              <w:bottom w:val="single" w:sz="8" w:color="C1CECC"/>
            </w:tcBorders>
            <w:shd w:val="clear" w:color="auto" w:fill="F4F9F9"/>
          </w:tcPr>
          <w:p>
            <w:pPr>
              <w:spacing w:after="0" w:line="142" w:lineRule="exact"/>
              <w:rPr>
                <w:sz w:val="20"/>
                <w:szCs w:val="20"/>
                <w:color w:val="auto"/>
              </w:rPr>
            </w:pPr>
            <w:r>
              <w:rPr>
                <w:rFonts w:ascii="Arial" w:cs="Arial" w:eastAsia="Arial" w:hAnsi="Arial"/>
                <w:sz w:val="14"/>
                <w:szCs w:val="14"/>
                <w:color w:val="auto"/>
              </w:rPr>
              <w:t>Avis U.K. Pension Plan (Mr. Cathcart)*</w:t>
            </w:r>
          </w:p>
        </w:tc>
        <w:tc>
          <w:tcPr>
            <w:tcW w:w="3220" w:type="dxa"/>
            <w:vAlign w:val="bottom"/>
            <w:tcBorders>
              <w:bottom w:val="single" w:sz="8" w:color="C1CECC"/>
            </w:tcBorders>
            <w:shd w:val="clear" w:color="auto" w:fill="F4F9F9"/>
          </w:tcPr>
          <w:p>
            <w:pPr>
              <w:jc w:val="right"/>
              <w:spacing w:after="0" w:line="142" w:lineRule="exact"/>
              <w:rPr>
                <w:sz w:val="20"/>
                <w:szCs w:val="20"/>
                <w:color w:val="auto"/>
              </w:rPr>
            </w:pPr>
            <w:r>
              <w:rPr>
                <w:rFonts w:ascii="Arial" w:cs="Arial" w:eastAsia="Arial" w:hAnsi="Arial"/>
                <w:sz w:val="14"/>
                <w:szCs w:val="14"/>
                <w:color w:val="auto"/>
              </w:rPr>
              <w:t>$78,195</w:t>
            </w:r>
          </w:p>
        </w:tc>
      </w:tr>
    </w:tbl>
    <w:p>
      <w:pPr>
        <w:spacing w:after="0" w:line="8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*Reflects a $/£ exchange rate as of December 31, 2017 of 1.3514, and reflects payments through retirement from the Board.</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Compensation Committee Interlocks and Insider Participation</w:t>
      </w:r>
    </w:p>
    <w:p>
      <w:pPr>
        <w:spacing w:after="0" w:line="147"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Our Compensation Committee is comprised entirely of independent directors and administers the Company’s executive compensation policies and programs. Leonard S. Coleman has served as a member of our Compensation Committee since August 2006. Lynn Krominga has served as a member of our Compensation Committee since January 2007. John D. Hardy, Jr. has served as a member of our Compensation Committee since April 2008. Brian J. Choi and Jeffrey H. Fox were appointed to the Compensation Committee in January 2016. None of these Directors were officers or employees of the Company or any of the Company’s subsidiaries or had any relationship requiring disclosure by the Company under Item 404 of the SEC’s Regulation S-K during 2017 or before.</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Report of Audit Committee</w:t>
      </w:r>
    </w:p>
    <w:p>
      <w:pPr>
        <w:spacing w:after="0" w:line="147"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Management has the primary responsibility for the financial statements and the reporting process, including the system of internal controls. The independent auditors are responsible for performing an independent audit of the Company’s consolidated financial statements and opining on the effectiveness of the Company’s controls in accordance with the standards of the Public Company Accounting Oversight Board (United States) (“PCAOB”) and issuing their reports thereon.</w:t>
      </w:r>
    </w:p>
    <w:p>
      <w:pPr>
        <w:spacing w:after="0" w:line="202"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In performing its oversight function, the Audit Committee discussed the consolidated financial statements with management and the independent auditors. The Audit Committee also discussed with the independent auditors the matters required to be discussed under the rules adopted by the PCAOB.</w:t>
      </w:r>
    </w:p>
    <w:p>
      <w:pPr>
        <w:spacing w:after="0" w:line="203"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In addition, the Audit Committee discussed with the independent auditors the auditors’ independence from the Company and its management, and the independent auditors provided to the Audit Committee the written disclosures and letter required from the independent auditors by applicable requirements of the PCAOB.</w:t>
      </w:r>
    </w:p>
    <w:p>
      <w:pPr>
        <w:spacing w:after="0" w:line="203"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and the evaluations of the Company’s internal controls.</w:t>
      </w:r>
    </w:p>
    <w:p>
      <w:pPr>
        <w:spacing w:after="0" w:line="203"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Based on the reviews and discussions referred to above and subject to the limitations on the roles and responsibilities of the Audit Committee referred to above and in its Charter, the Audit Committee recommended to the Board of Directors that the audited consolidated financial statements be included in the Company’s Annual Report on Form 10-K for the year ended December 31, 2017 for filing with the SEC. The Audit Committee also has recommended the selection of the Company’s independent registered public accounting firm for fiscal year 2018.</w:t>
      </w:r>
    </w:p>
    <w:p>
      <w:pPr>
        <w:spacing w:after="0" w:line="18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THE AUDIT COMMITTEE</w:t>
      </w:r>
    </w:p>
    <w:p>
      <w:pPr>
        <w:spacing w:after="0" w:line="108"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Stender E. Sweeney, Chairman</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Mary C. Choksi</w:t>
      </w:r>
    </w:p>
    <w:p>
      <w:pPr>
        <w:jc w:val="center"/>
        <w:ind w:right="-199"/>
        <w:spacing w:after="0" w:line="234" w:lineRule="auto"/>
        <w:rPr>
          <w:sz w:val="20"/>
          <w:szCs w:val="20"/>
          <w:color w:val="auto"/>
        </w:rPr>
      </w:pPr>
      <w:r>
        <w:rPr>
          <w:rFonts w:ascii="Arial" w:cs="Arial" w:eastAsia="Arial" w:hAnsi="Arial"/>
          <w:sz w:val="18"/>
          <w:szCs w:val="18"/>
          <w:i w:val="1"/>
          <w:iCs w:val="1"/>
          <w:color w:val="auto"/>
        </w:rPr>
        <w:t>Lynn Krominga</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F. Robert Salerno</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auto"/>
        </w:rPr>
        <w:t>Proposal No. 2</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Ratification Of Appointment Of Auditors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Audit Committee’s Charter provides that the Audit Committee is responsible for:</w:t>
      </w:r>
    </w:p>
    <w:p>
      <w:pPr>
        <w:spacing w:after="0" w:line="117" w:lineRule="exact"/>
        <w:rPr>
          <w:sz w:val="20"/>
          <w:szCs w:val="20"/>
          <w:color w:val="auto"/>
        </w:rPr>
      </w:pPr>
    </w:p>
    <w:p>
      <w:pPr>
        <w:ind w:left="640" w:right="20" w:hanging="436"/>
        <w:spacing w:after="0" w:line="246"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appointing, compensating and overseeing the work performed by our independent auditors related to the audit of our annual consolidated financial statements and internal controls over financial reporting; and</w:t>
      </w:r>
    </w:p>
    <w:p>
      <w:pPr>
        <w:spacing w:after="0" w:line="102" w:lineRule="exact"/>
        <w:rPr>
          <w:rFonts w:ascii="Arial" w:cs="Arial" w:eastAsia="Arial" w:hAnsi="Arial"/>
          <w:sz w:val="18"/>
          <w:szCs w:val="18"/>
          <w:color w:val="auto"/>
        </w:rPr>
      </w:pPr>
    </w:p>
    <w:p>
      <w:pPr>
        <w:ind w:left="640" w:hanging="43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evaluating the qualifications, performance and independence of our independent auditors with the assistance of management.</w:t>
      </w:r>
    </w:p>
    <w:p>
      <w:pPr>
        <w:spacing w:after="0" w:line="117"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The Audit Committee has appointed Deloitte &amp; Touche LLP (“Deloitte”) as the Company’s independent registered public accounting firm for the fiscal year ending December 31, 2018. Deloitte has served as our independent registered public accounting firm since 1997. Prior to appointing Deloitte for 2018, the Audit Committee considered Deloitte’s tenure, technical expertise, capabilities as independent auditors, industry knowledge and communication with the Audit Committee, and also considered the impact on the Company of changing independent auditors.</w:t>
      </w:r>
    </w:p>
    <w:p>
      <w:pPr>
        <w:spacing w:after="0" w:line="95"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The lead engagement partner from Deloitte is required to be rotated every five years. The process for selecting a new lead engagement partner includes a meeting between the Chair of the Audit Committee and the candidate for this role, as well as discussion by the full Audit Committee and with senior management.</w:t>
      </w:r>
    </w:p>
    <w:p>
      <w:pPr>
        <w:spacing w:after="0" w:line="95"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A representative of Deloitte is expected to be present at the Meeting and will have the opportunity to make a statement if he or she desires to do so and will be available to respond to appropriate questions of shareholders.</w:t>
      </w:r>
    </w:p>
    <w:p>
      <w:pPr>
        <w:spacing w:after="0" w:line="71" w:lineRule="exact"/>
        <w:rPr>
          <w:sz w:val="20"/>
          <w:szCs w:val="20"/>
          <w:color w:val="auto"/>
        </w:rPr>
      </w:pPr>
    </w:p>
    <w:p>
      <w:pPr>
        <w:jc w:val="both"/>
        <w:ind w:left="200" w:right="20"/>
        <w:spacing w:after="0" w:line="267" w:lineRule="auto"/>
        <w:rPr>
          <w:sz w:val="20"/>
          <w:szCs w:val="20"/>
          <w:color w:val="auto"/>
        </w:rPr>
      </w:pPr>
      <w:r>
        <w:rPr>
          <w:rFonts w:ascii="Arial" w:cs="Arial" w:eastAsia="Arial" w:hAnsi="Arial"/>
          <w:sz w:val="18"/>
          <w:szCs w:val="18"/>
          <w:i w:val="1"/>
          <w:iCs w:val="1"/>
          <w:color w:val="auto"/>
        </w:rPr>
        <w:t xml:space="preserve">Principal Accounting Firm Fees. </w:t>
      </w:r>
      <w:r>
        <w:rPr>
          <w:rFonts w:ascii="Arial" w:cs="Arial" w:eastAsia="Arial" w:hAnsi="Arial"/>
          <w:sz w:val="18"/>
          <w:szCs w:val="18"/>
          <w:color w:val="auto"/>
        </w:rPr>
        <w:t>Fees billed to the Company by Deloitte, the member firms of Deloitte Touche Tohmatsu,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affiliates (collectively, the “Deloitte Entities”) for the years ended December 31, 2017 and 2016 were as follows: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jc w:val="right"/>
              <w:ind w:right="94"/>
              <w:spacing w:after="0"/>
              <w:rPr>
                <w:sz w:val="20"/>
                <w:szCs w:val="20"/>
                <w:color w:val="auto"/>
              </w:rPr>
            </w:pPr>
            <w:r>
              <w:rPr>
                <w:rFonts w:ascii="Arial" w:cs="Arial" w:eastAsia="Arial" w:hAnsi="Arial"/>
                <w:sz w:val="14"/>
                <w:szCs w:val="14"/>
                <w:b w:val="1"/>
                <w:bCs w:val="1"/>
                <w:color w:val="auto"/>
              </w:rPr>
              <w:t>Fee</w:t>
            </w:r>
          </w:p>
        </w:tc>
        <w:tc>
          <w:tcPr>
            <w:tcW w:w="52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5480" w:type="dxa"/>
            <w:vAlign w:val="bottom"/>
            <w:tcBorders>
              <w:bottom w:val="single" w:sz="8" w:color="auto"/>
            </w:tcBorders>
          </w:tcPr>
          <w:p>
            <w:pPr>
              <w:spacing w:after="0"/>
              <w:rPr>
                <w:sz w:val="15"/>
                <w:szCs w:val="15"/>
                <w:color w:val="auto"/>
              </w:rPr>
            </w:pPr>
          </w:p>
        </w:tc>
        <w:tc>
          <w:tcPr>
            <w:tcW w:w="40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rPr>
              <w:t>(in thousands)</w:t>
            </w:r>
          </w:p>
        </w:tc>
      </w:tr>
      <w:tr>
        <w:trPr>
          <w:trHeight w:val="169"/>
        </w:trPr>
        <w:tc>
          <w:tcPr>
            <w:tcW w:w="20" w:type="dxa"/>
            <w:vAlign w:val="bottom"/>
          </w:tcPr>
          <w:p>
            <w:pPr>
              <w:spacing w:after="0"/>
              <w:rPr>
                <w:sz w:val="14"/>
                <w:szCs w:val="1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 of Fees</w:t>
            </w:r>
          </w:p>
        </w:tc>
        <w:tc>
          <w:tcPr>
            <w:tcW w:w="40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2016</w:t>
            </w:r>
          </w:p>
        </w:tc>
      </w:tr>
      <w:tr>
        <w:trPr>
          <w:trHeight w:val="203"/>
        </w:trPr>
        <w:tc>
          <w:tcPr>
            <w:tcW w:w="20" w:type="dxa"/>
            <w:vAlign w:val="bottom"/>
          </w:tcPr>
          <w:p>
            <w:pPr>
              <w:spacing w:after="0"/>
              <w:rPr>
                <w:sz w:val="17"/>
                <w:szCs w:val="17"/>
                <w:color w:val="auto"/>
              </w:rPr>
            </w:pPr>
          </w:p>
        </w:tc>
        <w:tc>
          <w:tcPr>
            <w:tcW w:w="5480" w:type="dxa"/>
            <w:vAlign w:val="bottom"/>
            <w:tcBorders>
              <w:bottom w:val="single" w:sz="8" w:color="C1CECC"/>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4060" w:type="dxa"/>
            <w:vAlign w:val="bottom"/>
            <w:tcBorders>
              <w:bottom w:val="single" w:sz="8" w:color="C1CECC"/>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C1CECC"/>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8,551</w:t>
            </w:r>
          </w:p>
        </w:tc>
        <w:tc>
          <w:tcPr>
            <w:tcW w:w="460" w:type="dxa"/>
            <w:vAlign w:val="bottom"/>
            <w:tcBorders>
              <w:bottom w:val="single" w:sz="8" w:color="C1CECC"/>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C1CECC"/>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7,748</w:t>
            </w:r>
          </w:p>
        </w:tc>
      </w:tr>
      <w:tr>
        <w:trPr>
          <w:trHeight w:val="196"/>
        </w:trPr>
        <w:tc>
          <w:tcPr>
            <w:tcW w:w="20" w:type="dxa"/>
            <w:vAlign w:val="bottom"/>
          </w:tcPr>
          <w:p>
            <w:pPr>
              <w:spacing w:after="0"/>
              <w:rPr>
                <w:sz w:val="17"/>
                <w:szCs w:val="17"/>
                <w:color w:val="auto"/>
              </w:rPr>
            </w:pPr>
          </w:p>
        </w:tc>
        <w:tc>
          <w:tcPr>
            <w:tcW w:w="5480" w:type="dxa"/>
            <w:vAlign w:val="bottom"/>
            <w:tcBorders>
              <w:bottom w:val="single" w:sz="8" w:color="728787"/>
            </w:tcBorders>
          </w:tcPr>
          <w:p>
            <w:pPr>
              <w:spacing w:after="0" w:line="196" w:lineRule="exact"/>
              <w:rPr>
                <w:sz w:val="20"/>
                <w:szCs w:val="20"/>
                <w:color w:val="auto"/>
              </w:rPr>
            </w:pPr>
            <w:r>
              <w:rPr>
                <w:rFonts w:ascii="Arial" w:cs="Arial" w:eastAsia="Arial" w:hAnsi="Arial"/>
                <w:sz w:val="18"/>
                <w:szCs w:val="18"/>
                <w:color w:val="auto"/>
              </w:rPr>
              <w:t>Audit-Related Fees</w:t>
            </w:r>
          </w:p>
        </w:tc>
        <w:tc>
          <w:tcPr>
            <w:tcW w:w="4060" w:type="dxa"/>
            <w:vAlign w:val="bottom"/>
            <w:tcBorders>
              <w:bottom w:val="single" w:sz="8" w:color="728787"/>
            </w:tcBorders>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728787"/>
            </w:tcBorders>
          </w:tcPr>
          <w:p>
            <w:pPr>
              <w:jc w:val="right"/>
              <w:spacing w:after="0" w:line="196" w:lineRule="exact"/>
              <w:rPr>
                <w:sz w:val="20"/>
                <w:szCs w:val="20"/>
                <w:color w:val="auto"/>
              </w:rPr>
            </w:pPr>
            <w:r>
              <w:rPr>
                <w:rFonts w:ascii="Arial" w:cs="Arial" w:eastAsia="Arial" w:hAnsi="Arial"/>
                <w:sz w:val="18"/>
                <w:szCs w:val="18"/>
                <w:color w:val="auto"/>
              </w:rPr>
              <w:t>725</w:t>
            </w:r>
          </w:p>
        </w:tc>
        <w:tc>
          <w:tcPr>
            <w:tcW w:w="460" w:type="dxa"/>
            <w:vAlign w:val="bottom"/>
            <w:tcBorders>
              <w:bottom w:val="single" w:sz="8" w:color="728787"/>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728787"/>
            </w:tcBorders>
          </w:tcPr>
          <w:p>
            <w:pPr>
              <w:jc w:val="right"/>
              <w:spacing w:after="0" w:line="196" w:lineRule="exact"/>
              <w:rPr>
                <w:sz w:val="20"/>
                <w:szCs w:val="20"/>
                <w:color w:val="auto"/>
              </w:rPr>
            </w:pPr>
            <w:r>
              <w:rPr>
                <w:rFonts w:ascii="Arial" w:cs="Arial" w:eastAsia="Arial" w:hAnsi="Arial"/>
                <w:sz w:val="18"/>
                <w:szCs w:val="18"/>
                <w:color w:val="auto"/>
              </w:rPr>
              <w:t>630</w:t>
            </w:r>
          </w:p>
        </w:tc>
      </w:tr>
      <w:tr>
        <w:trPr>
          <w:trHeight w:val="196"/>
        </w:trPr>
        <w:tc>
          <w:tcPr>
            <w:tcW w:w="20" w:type="dxa"/>
            <w:vAlign w:val="bottom"/>
          </w:tcPr>
          <w:p>
            <w:pPr>
              <w:spacing w:after="0"/>
              <w:rPr>
                <w:sz w:val="17"/>
                <w:szCs w:val="17"/>
                <w:color w:val="auto"/>
              </w:rPr>
            </w:pPr>
          </w:p>
        </w:tc>
        <w:tc>
          <w:tcPr>
            <w:tcW w:w="5480" w:type="dxa"/>
            <w:vAlign w:val="bottom"/>
            <w:tcBorders>
              <w:bottom w:val="single" w:sz="8" w:color="C1CECC"/>
            </w:tcBorders>
            <w:shd w:val="clear" w:color="auto" w:fill="CCEEFF"/>
          </w:tcPr>
          <w:p>
            <w:pPr>
              <w:spacing w:after="0" w:line="196" w:lineRule="exact"/>
              <w:rPr>
                <w:sz w:val="20"/>
                <w:szCs w:val="20"/>
                <w:color w:val="auto"/>
              </w:rPr>
            </w:pPr>
            <w:r>
              <w:rPr>
                <w:rFonts w:ascii="Arial" w:cs="Arial" w:eastAsia="Arial" w:hAnsi="Arial"/>
                <w:sz w:val="18"/>
                <w:szCs w:val="18"/>
                <w:color w:val="auto"/>
              </w:rPr>
              <w:t>Tax Fees</w:t>
            </w:r>
          </w:p>
        </w:tc>
        <w:tc>
          <w:tcPr>
            <w:tcW w:w="4060" w:type="dxa"/>
            <w:vAlign w:val="bottom"/>
            <w:tcBorders>
              <w:bottom w:val="single" w:sz="8" w:color="C1CECC"/>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C1CECC"/>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2,670</w:t>
            </w:r>
          </w:p>
        </w:tc>
        <w:tc>
          <w:tcPr>
            <w:tcW w:w="460" w:type="dxa"/>
            <w:vAlign w:val="bottom"/>
            <w:tcBorders>
              <w:bottom w:val="single" w:sz="8" w:color="C1CECC"/>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C1CECC"/>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2,736</w:t>
            </w:r>
          </w:p>
        </w:tc>
      </w:tr>
      <w:tr>
        <w:trPr>
          <w:trHeight w:val="203"/>
        </w:trPr>
        <w:tc>
          <w:tcPr>
            <w:tcW w:w="20" w:type="dxa"/>
            <w:vAlign w:val="bottom"/>
            <w:tcBorders>
              <w:bottom w:val="single" w:sz="8" w:color="auto"/>
            </w:tcBorders>
          </w:tcPr>
          <w:p>
            <w:pPr>
              <w:spacing w:after="0"/>
              <w:rPr>
                <w:sz w:val="17"/>
                <w:szCs w:val="17"/>
                <w:color w:val="auto"/>
              </w:rPr>
            </w:pPr>
          </w:p>
        </w:tc>
        <w:tc>
          <w:tcPr>
            <w:tcW w:w="54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All Other Fees</w:t>
            </w:r>
          </w:p>
        </w:tc>
        <w:tc>
          <w:tcPr>
            <w:tcW w:w="4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bl>
    <w:p>
      <w:pPr>
        <w:spacing w:after="0" w:line="89" w:lineRule="exact"/>
        <w:rPr>
          <w:sz w:val="20"/>
          <w:szCs w:val="20"/>
          <w:color w:val="auto"/>
        </w:rPr>
      </w:pPr>
    </w:p>
    <w:p>
      <w:pPr>
        <w:jc w:val="both"/>
        <w:ind w:left="200" w:right="20"/>
        <w:spacing w:after="0" w:line="245"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aggregate audit fees primarily relate to the audit of the Company’s annual consolidated financial statements for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December 31, 2017 and 2016 and for the reviews of the consolidated condensed financial statements included in the Company’s Quarterly Reports on Form 10-Q and for other attest services, including services related to regulatory and statutory filings and financings.</w:t>
      </w:r>
    </w:p>
    <w:p>
      <w:pPr>
        <w:spacing w:after="0" w:line="73" w:lineRule="exact"/>
        <w:rPr>
          <w:sz w:val="20"/>
          <w:szCs w:val="20"/>
          <w:color w:val="auto"/>
        </w:rPr>
      </w:pPr>
    </w:p>
    <w:p>
      <w:pPr>
        <w:jc w:val="both"/>
        <w:ind w:left="200" w:right="20"/>
        <w:spacing w:after="0" w:line="26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 aggregate audit-related fees for 2017 and 2016 primarily relate to services in connection with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or investments and audits of employee benefit plans.</w:t>
      </w:r>
    </w:p>
    <w:p>
      <w:pPr>
        <w:spacing w:after="0" w:line="53"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 aggregate fees billed for tax services for the fiscal years ended December 31, 2017 and 2016 relate to tax compliance, tax</w:t>
      </w:r>
      <w:r>
        <w:rPr>
          <w:rFonts w:ascii="Arial" w:cs="Arial" w:eastAsia="Arial" w:hAnsi="Arial"/>
          <w:sz w:val="18"/>
          <w:szCs w:val="18"/>
          <w:i w:val="1"/>
          <w:iCs w:val="1"/>
          <w:color w:val="auto"/>
        </w:rPr>
        <w:t xml:space="preserve"> </w:t>
      </w:r>
      <w:r>
        <w:rPr>
          <w:rFonts w:ascii="Arial" w:cs="Arial" w:eastAsia="Arial" w:hAnsi="Arial"/>
          <w:sz w:val="18"/>
          <w:szCs w:val="18"/>
          <w:color w:val="auto"/>
        </w:rPr>
        <w:t>advice and tax planning. For the fiscal year ended December 31, 2017 and December 31, 2016, approximately $1.7 million of such fees related to tax compliance and approximately $1.0 million related to tax advice and tax planning.</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There were no other fees for the fiscal year ended December 31, 2017 or December 31, 2016.</w:t>
      </w:r>
    </w:p>
    <w:p>
      <w:pPr>
        <w:spacing w:after="0" w:line="122"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The Audit Committee considered the non-audit services provided by the Deloitte Entities and determined that the provision of such services was compatible with maintaining the Deloitte Entities’ independence. The Audit Committee has also adopted a policy prohibiting the Company from hiring the Deloitte Entities’ personnel who have been directly involved in performing auditing procedures or providing accounting advice to the Company within a specified period of time in any role in which such person would be in a position to influence the contents of the Company’s consolidated financial statements.</w:t>
      </w:r>
    </w:p>
    <w:p>
      <w:pPr>
        <w:spacing w:after="0" w:line="95"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The Audit Committee has established a policy for the pre-approval of all audit and permissible non-audit services to be provided by the independent registered public accounting firm, as described below.</w:t>
      </w:r>
    </w:p>
    <w:p>
      <w:pPr>
        <w:spacing w:after="0" w:line="89"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All services performed by the independent registered public accounting firm in 2017 were pre-approved in accordance with the pre-approval policy and procedures adopted by the Audit Committee. This policy describes the permitted audit, audit-related, tax and other services (collectively, the “Disclosure Categories”) that the independent registered public accounting firm may perform. Prior to the beginning of each fiscal year, a description of the services (the “Service List”) anticipated to be performed by the independent registered public accounting firm in each of the Disclosure Categories in the ensuing fiscal year is presented to the Audit Committee for approval.</w:t>
      </w:r>
    </w:p>
    <w:p>
      <w:pPr>
        <w:spacing w:after="0" w:line="95"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Any requests for audit, audit-related, tax and other services not contemplated by the Service List must be submitted to the Audit Committee for specific pre-approval, except for de minimis amounts under certain circumstances as described below, and cannot commence until such approval has been granted. Normally, pre-approval is provided at regularly scheduled meetings of the Audit Committee. However, the authority to grant specific pre-approval between meetings, as necessary, has been delegated to the Chairman of the Audit Committee. The Chairman will update the full Audit Committee no later than the next regularly scheduled meeting for any interim approvals granted.</w:t>
      </w:r>
    </w:p>
    <w:p>
      <w:pPr>
        <w:spacing w:after="0" w:line="97"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On a quarterly basis, the Audit Committee reviews the status of services and fees incurred year-to-date as compared to the original Service List and the forecast of remaining services and fees for the fiscal year.</w:t>
      </w:r>
    </w:p>
    <w:p>
      <w:pPr>
        <w:spacing w:after="0" w:line="89"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The policy contains a de minimis provision that operates to provide retroactive approval for permissible non-audit services under certain circumstances.</w:t>
      </w:r>
    </w:p>
    <w:p>
      <w:pPr>
        <w:spacing w:after="0" w:line="89"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Although not required by the Company’s by-laws or otherwise, the Board of Directors is submitting for shareholder ratification the selection of Deloitte as the Company’s independent registered public accounting firm. If the selection is not ratified, the Audit Committee will consider whether it is appropriate to select another independent registered public accounting firm.</w:t>
      </w:r>
    </w:p>
    <w:p>
      <w:pPr>
        <w:spacing w:after="0" w:line="171" w:lineRule="exact"/>
        <w:rPr>
          <w:sz w:val="20"/>
          <w:szCs w:val="20"/>
          <w:color w:val="auto"/>
        </w:rPr>
      </w:pPr>
    </w:p>
    <w:p>
      <w:pPr>
        <w:jc w:val="center"/>
        <w:ind w:left="460" w:right="2140"/>
        <w:spacing w:after="0" w:line="238" w:lineRule="auto"/>
        <w:rPr>
          <w:sz w:val="20"/>
          <w:szCs w:val="20"/>
          <w:color w:val="auto"/>
        </w:rPr>
      </w:pPr>
      <w:r>
        <w:rPr>
          <w:rFonts w:ascii="Arial" w:cs="Arial" w:eastAsia="Arial" w:hAnsi="Arial"/>
          <w:sz w:val="22"/>
          <w:szCs w:val="22"/>
          <w:b w:val="1"/>
          <w:bCs w:val="1"/>
          <w:color w:val="auto"/>
        </w:rPr>
        <w:t>THE BOARD OF DIRECTORS RECOMMENDS A VOTE “FOR” THE RATIFICATION OF DELOITTE &amp; TOUCHE LLP AS THE COMPANY’S INDEPENDENT REGISTERED PUBLIC ACCOUNTING FIRM FOR THE FISCAL YEAR ENDING DECEMBER 31, 2018.</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auto"/>
        </w:rPr>
        <w:t>Proposal No. 3</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Advisory Approval Of Executive Compensation</w:t>
      </w:r>
    </w:p>
    <w:p>
      <w:pPr>
        <w:spacing w:after="0" w:line="147"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As required by Section 14A of the Exchange Act, the Company is asking its shareholders to approve an advisory resolution to approve the compensation of our named executive officers as follows:</w:t>
      </w:r>
    </w:p>
    <w:p>
      <w:pPr>
        <w:spacing w:after="0" w:line="71" w:lineRule="exact"/>
        <w:rPr>
          <w:sz w:val="20"/>
          <w:szCs w:val="20"/>
          <w:color w:val="auto"/>
        </w:rPr>
      </w:pPr>
    </w:p>
    <w:p>
      <w:pPr>
        <w:jc w:val="both"/>
        <w:ind w:left="200"/>
        <w:spacing w:after="0" w:line="251" w:lineRule="auto"/>
        <w:rPr>
          <w:sz w:val="20"/>
          <w:szCs w:val="20"/>
          <w:color w:val="auto"/>
        </w:rPr>
      </w:pPr>
      <w:r>
        <w:rPr>
          <w:rFonts w:ascii="Arial" w:cs="Arial" w:eastAsia="Arial" w:hAnsi="Arial"/>
          <w:sz w:val="18"/>
          <w:szCs w:val="18"/>
          <w:i w:val="1"/>
          <w:iCs w:val="1"/>
          <w:color w:val="auto"/>
        </w:rPr>
        <w:t>“RESOLVED, that the compensation paid to the Company’s named executive officers as disclosed pursuant to the compensation rules of the Securities and Exchange Commission, including the Compensation Discussion and Analysis, the compensation tables and any related material disclosed in this Proxy Statement, is hereby APPROVED.”</w:t>
      </w:r>
    </w:p>
    <w:p>
      <w:pPr>
        <w:spacing w:after="0" w:line="84"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This vote is not intended to address any specific item of compensation, but rather the overall compensation of our named executive officers, as described in this Proxy Statement.</w:t>
      </w:r>
    </w:p>
    <w:p>
      <w:pPr>
        <w:spacing w:after="0" w:line="89"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This vote is advisory and, therefore, will not be binding on the Company, the Compensation Committee or our Board of Directors, nor will it overrule any prior decision or require the Board or the Compensation Committee to take any action. However, the Compensation Committee and our Board of Directors value the opinions of our shareholders, and to the extent there is any significant vote against the named executive officer compensation as disclosed in this Proxy Statement, the Compensation Committee and our Board of Directors will consider shareholders’ concerns and the Compensation Committee will evaluate whether any actions are necessary to address those concerns.</w:t>
      </w:r>
    </w:p>
    <w:p>
      <w:pPr>
        <w:spacing w:after="0" w:line="282"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THE BOARD OF DIRECTORS RECOMMENDS A VOTE “FOR”</w:t>
      </w:r>
    </w:p>
    <w:p>
      <w:pPr>
        <w:spacing w:after="0" w:line="16"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THE APPROVAL OF THE RESOLUTION SET FORTH ABOVE.</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auto"/>
        </w:rPr>
        <w:t>Shareholder Proposals for 2019 Annual Meeting</w:t>
      </w:r>
    </w:p>
    <w:p>
      <w:pPr>
        <w:spacing w:after="0" w:line="114"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Proposals received from shareholders are given careful consideration by the Company. Shareholder proposals submitted in accordance with Rule 14a-8 under the Exchange Act are eligible for consideration for inclusion in the Company’s proxy statement for the 2019 annual meeting of shareholders if they are received by the Company on or before December 17, 2018. Any proposal should be directed to the attention of the Corporate Secretary, Avis Budget Group, Inc., 6 Sylvan Way, Parsippany, N.J. 07054. In order for a shareholder proposal submitted outside of Rule 14a-8 to be considered at the 2019 annual meeting of shareholders, such proposal must be received by the Company not later than the last date for submission of shareholder proposals under the Company’s Amended and Restated By-laws (the “By-laws”). In order for a proposal (other than nominations of directors) to be timely under the By-laws, it must be received not less than sixty days (i.e., March 24, 2019) nor more than ninety days (i.e., February 22, 2019) before the anniversary date of the immediately preceding annual meeting of shareholders. In order for a director nomination to be timely under the By-laws, it must be received not less than ninety days (i.e., February 22, 2019) before the anniversary date of the immediately preceding annual meeting of shareholders. However, in the event that the annual meeting of shareholders is called for a date that is not within twenty-five days before or after the anniversary date of the immediately preceding annual meeting of shareholders, notice of a shareholder proposal in order to be timely must be received not later than the close of business on the tenth day following the day on which notice of the date of the annual meeting of shareholders was mailed or public disclosure of the date of the annual meeting of shareholders was made, whichever occurs first.</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36"/>
          <w:szCs w:val="36"/>
          <w:color w:val="auto"/>
        </w:rPr>
        <w:t>Additional Information</w:t>
      </w:r>
    </w:p>
    <w:p>
      <w:pPr>
        <w:spacing w:after="0" w:line="96" w:lineRule="exact"/>
        <w:rPr>
          <w:sz w:val="20"/>
          <w:szCs w:val="20"/>
          <w:color w:val="auto"/>
        </w:rPr>
      </w:pPr>
    </w:p>
    <w:p>
      <w:pPr>
        <w:jc w:val="both"/>
        <w:ind w:left="200"/>
        <w:spacing w:after="0" w:line="242" w:lineRule="auto"/>
        <w:rPr>
          <w:sz w:val="20"/>
          <w:szCs w:val="20"/>
          <w:color w:val="auto"/>
        </w:rPr>
      </w:pPr>
      <w:r>
        <w:rPr>
          <w:rFonts w:ascii="Arial" w:cs="Arial" w:eastAsia="Arial" w:hAnsi="Arial"/>
          <w:sz w:val="18"/>
          <w:szCs w:val="18"/>
          <w:i w:val="1"/>
          <w:iCs w:val="1"/>
          <w:color w:val="auto"/>
        </w:rPr>
        <w:t xml:space="preserve">Eliminating Duplicate Mailings. </w:t>
      </w:r>
      <w:r>
        <w:rPr>
          <w:rFonts w:ascii="Arial" w:cs="Arial" w:eastAsia="Arial" w:hAnsi="Arial"/>
          <w:sz w:val="18"/>
          <w:szCs w:val="18"/>
          <w:color w:val="auto"/>
        </w:rPr>
        <w:t>If you share an address with other shareholders of the Company, you may receive notification that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being sent only a single copy of the proxy materials (including a copy of the Proxy Statement and the 2017 Annual Report), unless your bank, broker or other intermediary that provides the notification receives contrary instructions from the affected shareholders. This practice, permitted under SEC rules and commonly referred to as “householding,” is designed to provide extra convenience for shareholders and potential cost savings for companies.</w:t>
      </w:r>
    </w:p>
    <w:p>
      <w:pPr>
        <w:spacing w:after="0" w:line="95"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If, at any time, you no longer wish to participate in householding and would prefer to receive a separate set of proxy materials, please notify your broker if your shares of Common Stock are held in a brokerage account or the Company if you hold registered shares of Common Stock. We will promptly deliver a separate copy of the proxy materials upon request. You can notify the Company by sending a written request to Avis Budget Group, Inc., 6 Sylvan Way, Parsippany, N.J. 07054, Attention: Corporate Secretary or by calling (973) 496-4700 and selecting the “Investor Relations” option.</w:t>
      </w:r>
    </w:p>
    <w:p>
      <w:pPr>
        <w:spacing w:after="0" w:line="77"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i w:val="1"/>
          <w:iCs w:val="1"/>
          <w:color w:val="auto"/>
        </w:rPr>
        <w:t>Costs of Solicitation</w:t>
      </w:r>
      <w:r>
        <w:rPr>
          <w:rFonts w:ascii="Arial" w:cs="Arial" w:eastAsia="Arial" w:hAnsi="Arial"/>
          <w:sz w:val="18"/>
          <w:szCs w:val="18"/>
          <w:color w:val="auto"/>
        </w:rPr>
        <w:t>. We are required by law to convene an annual meeting of shareholders at which directors are elected. Because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are widely held, it would be impractical for our shareholders to meet physically in sufficient numbers to hold a meeting. Accordingly, the Company is soliciting proxies from our shareholders. United States federal securities laws require us to send you this Proxy Statement, and any amendments and supplements thereto, and to specify the information required to be contained in it. The Company will bear the expenses of calling and holding the 2018 Annual Meeting of Shareholders and the solicitation of proxies therefor. These costs will include, among other items, the expense of preparing, assembling, printing and mailing the proxy materials to shareholders of record and beneficial owners, and reimbursements paid to brokerage firms, banks and other fiduciaries for their reasonable out-of-pocket expenses for forwarding proxy materials to shareholders and obtaining voting instructions of beneficial owners. In addition to soliciting proxies by mail, directors, officers and employees may solicit proxies on behalf of the Board of Directors, without additional compensation, personally or by telephone. We may also solicit proxies by e-mail from shareholders who are our employees or who previously requested to receive proxy materials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electronically. The Company has retained Innisfree M&amp;A Incorporated to solicit proxies. Under our agreement with Innisfree M&amp;A Incorporated, Innisfree M&amp;A Incorporated will receive a fee of up to $25,000 plus the reimbursement of reasonable expenses. Innisfree M&amp;A Incorporated will solicit proxies by mail, telephone, facsimile or email.</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Order of the Board of Directors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JEAN M. SERA</w:t>
      </w:r>
    </w:p>
    <w:p>
      <w:pPr>
        <w:ind w:left="200"/>
        <w:spacing w:after="0" w:line="234" w:lineRule="auto"/>
        <w:rPr>
          <w:sz w:val="20"/>
          <w:szCs w:val="20"/>
          <w:color w:val="auto"/>
        </w:rPr>
      </w:pPr>
      <w:r>
        <w:rPr>
          <w:rFonts w:ascii="Arial" w:cs="Arial" w:eastAsia="Arial" w:hAnsi="Arial"/>
          <w:sz w:val="18"/>
          <w:szCs w:val="18"/>
          <w:color w:val="auto"/>
        </w:rPr>
        <w:t>Corporate Secretary</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Dated: April 16, 2018</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8152765</wp:posOffset>
            </wp:positionV>
            <wp:extent cx="892175" cy="4032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92175" cy="40322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220345</wp:posOffset>
            </wp:positionV>
            <wp:extent cx="5831840" cy="7006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31840" cy="70065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220345</wp:posOffset>
            </wp:positionV>
            <wp:extent cx="5831840" cy="71094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31840" cy="710946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lvl w:ilvl="1">
      <w:lvlJc w:val="left"/>
      <w:lvlText w:val="(%2)"/>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1"/>
    </w:lvl>
  </w:abstractNum>
  <w:abstractNum w:abstractNumId="20">
    <w:nsid w:val="440BADFC"/>
    <w:multiLevelType w:val="hybridMultilevel"/>
    <w:lvl w:ilvl="0">
      <w:lvlJc w:val="left"/>
      <w:lvlText w:val="(%1)"/>
      <w:numFmt w:val="decimal"/>
      <w:start w:val="14"/>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bullet"/>
      <w:start w:val="1"/>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lowerLetter"/>
      <w:start w:val="4"/>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Roman"/>
      <w:start w:val="3"/>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lowerLetter"/>
      <w:start w:val="3"/>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lowerLetter"/>
      <w:start w:val="1"/>
    </w:lvl>
    <w:lvl w:ilvl="1">
      <w:lvlJc w:val="left"/>
      <w:lvlText w:val="•"/>
      <w:numFmt w:val="bullet"/>
      <w:start w:val="1"/>
    </w:lvl>
  </w:abstractNum>
  <w:abstractNum w:abstractNumId="47">
    <w:nsid w:val="684A481A"/>
    <w:multiLevelType w:val="hybridMultilevel"/>
    <w:lvl w:ilvl="0">
      <w:lvlJc w:val="left"/>
      <w:lvlText w:val="(%1)"/>
      <w:numFmt w:val="lowerLetter"/>
      <w:start w:val="2"/>
    </w:lvl>
  </w:abstractNum>
  <w:abstractNum w:abstractNumId="48">
    <w:nsid w:val="579478FE"/>
    <w:multiLevelType w:val="hybridMultilevel"/>
    <w:lvl w:ilvl="0">
      <w:lvlJc w:val="left"/>
      <w:lvlText w:val="(%1)"/>
      <w:numFmt w:val="lowerLetter"/>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2019-12-05T13:34:13Z</dcterms:created>
  <dcterms:modified xsi:type="dcterms:W3CDTF">2019-12-05T13:34:13Z</dcterms:modified>
</cp:coreProperties>
</file>