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8"/>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AVIS BUDGET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CAR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80" w:type="dxa"/>
            <w:vAlign w:val="bottom"/>
            <w:gridSpan w:val="5"/>
            <w:vMerge w:val="restart"/>
          </w:tcPr>
          <w:p>
            <w:pPr>
              <w:ind w:left="5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5"/>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7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04/22/2026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w w:val="96"/>
              </w:rPr>
              <w:t>NAPLES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0"/>
              </w:rPr>
              <w:t>FL</w:t>
            </w:r>
          </w:p>
        </w:tc>
        <w:tc>
          <w:tcPr>
            <w:tcW w:w="1020" w:type="dxa"/>
            <w:vAlign w:val="bottom"/>
          </w:tcPr>
          <w:p>
            <w:pPr>
              <w:spacing w:after="0"/>
              <w:rPr>
                <w:sz w:val="15"/>
                <w:szCs w:val="15"/>
                <w:color w:val="auto"/>
              </w:rPr>
            </w:pPr>
          </w:p>
        </w:tc>
        <w:tc>
          <w:tcPr>
            <w:tcW w:w="4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rPr>
              <w:t>34102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108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1"/>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5"/>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4"/>
                <w:szCs w:val="14"/>
                <w:color w:val="auto"/>
              </w:rPr>
            </w:pPr>
          </w:p>
        </w:tc>
        <w:tc>
          <w:tcPr>
            <w:tcW w:w="1360" w:type="dxa"/>
            <w:vAlign w:val="bottom"/>
            <w:gridSpan w:val="5"/>
          </w:tcPr>
          <w:p>
            <w:pPr>
              <w:ind w:left="3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264"/>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4"/>
                <w:szCs w:val="14"/>
                <w:color w:val="auto"/>
              </w:rPr>
            </w:pPr>
          </w:p>
        </w:tc>
        <w:tc>
          <w:tcPr>
            <w:tcW w:w="1640" w:type="dxa"/>
            <w:vAlign w:val="bottom"/>
            <w:gridSpan w:val="6"/>
          </w:tcPr>
          <w:p>
            <w:pPr>
              <w:ind w:left="40"/>
              <w:spacing w:after="0"/>
              <w:rPr>
                <w:sz w:val="20"/>
                <w:szCs w:val="20"/>
                <w:color w:val="auto"/>
              </w:rPr>
            </w:pPr>
            <w:r>
              <w:rPr>
                <w:rFonts w:ascii="Arial" w:cs="Arial" w:eastAsia="Arial" w:hAnsi="Arial"/>
                <w:sz w:val="12"/>
                <w:szCs w:val="12"/>
                <w:b w:val="1"/>
                <w:bCs w:val="1"/>
                <w:color w:val="auto"/>
                <w:w w:val="97"/>
              </w:rPr>
              <w:t>4. Securities Acquired (A) or</w:t>
            </w:r>
          </w:p>
        </w:tc>
        <w:tc>
          <w:tcPr>
            <w:tcW w:w="2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ind w:left="3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9"/>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gridSpan w:val="5"/>
          </w:tcPr>
          <w:p>
            <w:pPr>
              <w:ind w:left="3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jc w:val="center"/>
              <w:ind w:right="42"/>
              <w:spacing w:after="0" w:line="129" w:lineRule="exact"/>
              <w:rPr>
                <w:sz w:val="20"/>
                <w:szCs w:val="20"/>
                <w:color w:val="auto"/>
              </w:rPr>
            </w:pPr>
            <w:r>
              <w:rPr>
                <w:rFonts w:ascii="Arial" w:cs="Arial" w:eastAsia="Arial" w:hAnsi="Arial"/>
                <w:sz w:val="12"/>
                <w:szCs w:val="12"/>
                <w:b w:val="1"/>
                <w:bCs w:val="1"/>
                <w:color w:val="auto"/>
                <w:w w:val="93"/>
              </w:rPr>
              <w:t>5)</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64"/>
              <w:spacing w:after="0" w:line="129" w:lineRule="exact"/>
              <w:rPr>
                <w:sz w:val="20"/>
                <w:szCs w:val="20"/>
                <w:color w:val="auto"/>
              </w:rPr>
            </w:pPr>
            <w:r>
              <w:rPr>
                <w:rFonts w:ascii="Arial" w:cs="Arial" w:eastAsia="Arial" w:hAnsi="Arial"/>
                <w:sz w:val="12"/>
                <w:szCs w:val="12"/>
                <w:b w:val="1"/>
                <w:bCs w:val="1"/>
                <w:color w:val="auto"/>
                <w:w w:val="74"/>
              </w:rPr>
              <w:t>8)</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w w:val="93"/>
              </w:rPr>
              <w:t>(A) or</w:t>
            </w:r>
          </w:p>
        </w:tc>
        <w:tc>
          <w:tcPr>
            <w:tcW w:w="4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gridSpan w:val="4"/>
          </w:tcPr>
          <w:p>
            <w:pPr>
              <w:spacing w:after="0"/>
              <w:rPr>
                <w:sz w:val="7"/>
                <w:szCs w:val="7"/>
                <w:color w:val="auto"/>
              </w:rPr>
            </w:pPr>
          </w:p>
        </w:tc>
        <w:tc>
          <w:tcPr>
            <w:tcW w:w="1620" w:type="dxa"/>
            <w:vAlign w:val="bottom"/>
            <w:tcBorders>
              <w:bottom w:val="single" w:sz="8" w:color="2C2C2C"/>
            </w:tcBorders>
            <w:gridSpan w:val="6"/>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20"/>
          </w:tcPr>
          <w:p>
            <w:pPr>
              <w:jc w:val="right"/>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40" w:type="dxa"/>
            <w:vAlign w:val="bottom"/>
            <w:gridSpan w:val="16"/>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5"/>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59"/>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39"/>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59"/>
              <w:spacing w:after="0" w:line="129"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Date</w:t>
            </w:r>
          </w:p>
        </w:tc>
        <w:tc>
          <w:tcPr>
            <w:tcW w:w="420" w:type="dxa"/>
            <w:vAlign w:val="bottom"/>
          </w:tcPr>
          <w:p>
            <w:pPr>
              <w:spacing w:after="0"/>
              <w:rPr>
                <w:sz w:val="11"/>
                <w:szCs w:val="11"/>
                <w:color w:val="auto"/>
              </w:rPr>
            </w:pPr>
          </w:p>
        </w:tc>
        <w:tc>
          <w:tcPr>
            <w:tcW w:w="8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700</w:t>
            </w: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line="142" w:lineRule="exact"/>
              <w:rPr>
                <w:sz w:val="20"/>
                <w:szCs w:val="20"/>
                <w:color w:val="auto"/>
              </w:rPr>
            </w:pPr>
            <w:r>
              <w:rPr>
                <w:rFonts w:ascii="Times New Roman" w:cs="Times New Roman" w:eastAsia="Times New Roman" w:hAnsi="Times New Roman"/>
                <w:sz w:val="13"/>
                <w:szCs w:val="13"/>
                <w:color w:val="0000FF"/>
                <w:w w:val="81"/>
              </w:rPr>
              <w:t>270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17.22</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2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restart"/>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400</w:t>
            </w: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line="142" w:lineRule="exact"/>
              <w:rPr>
                <w:sz w:val="20"/>
                <w:szCs w:val="20"/>
                <w:color w:val="auto"/>
              </w:rPr>
            </w:pPr>
            <w:r>
              <w:rPr>
                <w:rFonts w:ascii="Times New Roman" w:cs="Times New Roman" w:eastAsia="Times New Roman" w:hAnsi="Times New Roman"/>
                <w:sz w:val="13"/>
                <w:szCs w:val="13"/>
                <w:color w:val="0000FF"/>
                <w:w w:val="81"/>
              </w:rPr>
              <w:t>270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17.22</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2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4"/>
          </w:tcPr>
          <w:p>
            <w:pPr>
              <w:ind w:left="6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gridSpan w:val="3"/>
          </w:tcPr>
          <w:p>
            <w:pPr>
              <w:ind w:left="6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3,200</w:t>
            </w: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line="142" w:lineRule="exact"/>
              <w:rPr>
                <w:sz w:val="20"/>
                <w:szCs w:val="20"/>
                <w:color w:val="auto"/>
              </w:rPr>
            </w:pPr>
            <w:r>
              <w:rPr>
                <w:rFonts w:ascii="Times New Roman" w:cs="Times New Roman" w:eastAsia="Times New Roman" w:hAnsi="Times New Roman"/>
                <w:sz w:val="13"/>
                <w:szCs w:val="13"/>
                <w:color w:val="0000FF"/>
                <w:w w:val="81"/>
              </w:rPr>
              <w:t>270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17.22</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2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restart"/>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4"/>
                <w:szCs w:val="4"/>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1,000</w:t>
            </w: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0000FF"/>
                <w:w w:val="81"/>
              </w:rPr>
              <w:t>300</w:t>
            </w:r>
          </w:p>
        </w:tc>
        <w:tc>
          <w:tcPr>
            <w:tcW w:w="200" w:type="dxa"/>
            <w:vAlign w:val="bottom"/>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rPr>
                <w:sz w:val="20"/>
                <w:szCs w:val="20"/>
                <w:color w:val="auto"/>
              </w:rPr>
            </w:pPr>
            <w:r>
              <w:rPr>
                <w:rFonts w:ascii="Times New Roman" w:cs="Times New Roman" w:eastAsia="Times New Roman" w:hAnsi="Times New Roman"/>
                <w:sz w:val="13"/>
                <w:szCs w:val="13"/>
                <w:color w:val="0000FF"/>
              </w:rPr>
              <w:t>10</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rPr>
              <w:t>10</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gridSpan w:val="4"/>
          </w:tcPr>
          <w:p>
            <w:pPr>
              <w:ind w:left="6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0000FF"/>
                <w:w w:val="81"/>
              </w:rPr>
              <w:t>300</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rPr>
                <w:sz w:val="20"/>
                <w:szCs w:val="20"/>
                <w:color w:val="auto"/>
              </w:rPr>
            </w:pPr>
            <w:r>
              <w:rPr>
                <w:rFonts w:ascii="Times New Roman" w:cs="Times New Roman" w:eastAsia="Times New Roman" w:hAnsi="Times New Roman"/>
                <w:sz w:val="13"/>
                <w:szCs w:val="13"/>
                <w:color w:val="0000FF"/>
                <w:w w:val="91"/>
              </w:rPr>
              <w:t>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200</w:t>
            </w: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w w:val="91"/>
              </w:rPr>
              <w:t>2</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ind w:left="6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0000FF"/>
                <w:w w:val="81"/>
              </w:rPr>
              <w:t>300</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rPr>
                <w:sz w:val="20"/>
                <w:szCs w:val="20"/>
                <w:color w:val="auto"/>
              </w:rPr>
            </w:pPr>
            <w:r>
              <w:rPr>
                <w:rFonts w:ascii="Times New Roman" w:cs="Times New Roman" w:eastAsia="Times New Roman" w:hAnsi="Times New Roman"/>
                <w:sz w:val="13"/>
                <w:szCs w:val="13"/>
                <w:color w:val="0000FF"/>
                <w:w w:val="91"/>
              </w:rPr>
              <w:t>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200</w:t>
            </w: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w w:val="91"/>
              </w:rPr>
              <w:t>2</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ind w:left="6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4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3"/>
              </w:rPr>
              <w:t>1,400</w:t>
            </w: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ind w:right="5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80"/>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04/24/2026</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4"/>
          </w:tcPr>
          <w:p>
            <w:pPr>
              <w:ind w:left="6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3"/>
                <w:szCs w:val="13"/>
                <w:color w:val="0000FF"/>
              </w:rPr>
              <w:t>to sell)</w:t>
            </w:r>
          </w:p>
        </w:tc>
        <w:tc>
          <w:tcPr>
            <w:tcW w:w="5400" w:type="dxa"/>
            <w:vAlign w:val="bottom"/>
            <w:vMerge w:val="restart"/>
          </w:tcPr>
          <w:p>
            <w:pPr>
              <w:ind w:left="4940"/>
              <w:spacing w:after="0"/>
              <w:rPr>
                <w:sz w:val="20"/>
                <w:szCs w:val="20"/>
                <w:color w:val="auto"/>
              </w:rPr>
            </w:pPr>
            <w:r>
              <w:rPr>
                <w:rFonts w:ascii="Times New Roman" w:cs="Times New Roman" w:eastAsia="Times New Roman" w:hAnsi="Times New Roman"/>
                <w:sz w:val="25"/>
                <w:szCs w:val="25"/>
                <w:color w:val="0000FF"/>
                <w:w w:val="82"/>
                <w:vertAlign w:val="subscript"/>
              </w:rPr>
              <w:t>Ltd.</w:t>
            </w:r>
            <w:r>
              <w:rPr>
                <w:rFonts w:ascii="Times New Roman" w:cs="Times New Roman" w:eastAsia="Times New Roman" w:hAnsi="Times New Roman"/>
                <w:sz w:val="11"/>
                <w:szCs w:val="11"/>
                <w:color w:val="008000"/>
                <w:w w:val="82"/>
              </w:rPr>
              <w:t>(1)(5)</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42.67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42.67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42.67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42.67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3,300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42.67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0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91" w:right="379" w:bottom="273" w:gutter="0" w:footer="0" w:header="0"/>
        </w:sectPr>
      </w:pPr>
    </w:p>
    <w:bookmarkStart w:id="2" w:name="page3"/>
    <w:bookmarkEnd w:id="2"/>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403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104038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2"/>
                <w:szCs w:val="12"/>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280</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280</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14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14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14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290</w:t>
            </w:r>
          </w:p>
        </w:tc>
        <w:tc>
          <w:tcPr>
            <w:tcW w:w="114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28.75</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gridSpan w:val="2"/>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290</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28.75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290</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28.75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290</w:t>
            </w:r>
          </w:p>
        </w:tc>
        <w:tc>
          <w:tcPr>
            <w:tcW w:w="114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28.75</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gridSpan w:val="2"/>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75"/>
        </w:trPr>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8"/>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NAPLES</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34102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Halbower Matthew</w:t>
              </w:r>
            </w:hyperlink>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PENTWATER CAPITAL MANAGEMENT LP</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1001 10TH AVENUE SOUTH, SUITE 216</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NAPLES</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34102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79" w:orient="portrait"/>
          <w:cols w:equalWidth="0" w:num="1">
            <w:col w:w="11080"/>
          </w:cols>
          <w:pgMar w:left="460" w:top="191" w:right="359" w:bottom="0" w:gutter="0" w:footer="0" w:header="0"/>
        </w:sectPr>
      </w:pPr>
    </w:p>
    <w:bookmarkStart w:id="3" w:name="page4"/>
    <w:bookmarkEnd w:id="3"/>
    <w:p>
      <w:pPr>
        <w:ind w:right="60" w:firstLine="2"/>
        <w:spacing w:after="0" w:line="237"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by Pentwater Capital Management LP ("PCM") and Matthew Halbower ("Mr. Halbower") (collectively, the "Reporting Persons") with respect to securities held by certain funds (the "Pentwater Funds"), including the funds named herein, to which PCM serves as investment adviser. Mr. Halbower is the sole shareholder of MCH PWCM Holdings Inc., the general partner of PCM. Each of the foregoing disclaims beneficial ownership in the securities reported on this Form 4 except to the extent of its or his pecuniary interest, if any, therein, and this report shall not be deemed to be an admission that such person is the beneficial owner of such securities for purposes of Section 16 or for any other purpose.</w:t>
      </w:r>
    </w:p>
    <w:p>
      <w:pPr>
        <w:spacing w:after="0" w:line="28" w:lineRule="exact"/>
        <w:rPr>
          <w:rFonts w:ascii="Times New Roman" w:cs="Times New Roman" w:eastAsia="Times New Roman" w:hAnsi="Times New Roman"/>
          <w:sz w:val="13"/>
          <w:szCs w:val="13"/>
          <w:color w:val="008000"/>
        </w:rPr>
      </w:pPr>
    </w:p>
    <w:p>
      <w:pPr>
        <w:ind w:right="320" w:firstLine="2"/>
        <w:spacing w:after="0" w:line="255"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Oceana Master Fund Ltd., none of which are a matchable transaction for purposes of Section 16 of the Securities Exchange Act of 1934, as amended, because Oceana Master Fund Ltd. has not purchased any shares of Common Stock since the Reporting Persons became subject to Section 16 of the Securities Exchange Act of 1934, as amended.</w:t>
      </w:r>
    </w:p>
    <w:p>
      <w:pPr>
        <w:spacing w:after="0" w:line="17" w:lineRule="exact"/>
        <w:rPr>
          <w:rFonts w:ascii="Times New Roman" w:cs="Times New Roman" w:eastAsia="Times New Roman" w:hAnsi="Times New Roman"/>
          <w:sz w:val="13"/>
          <w:szCs w:val="13"/>
          <w:color w:val="008000"/>
        </w:rPr>
      </w:pPr>
    </w:p>
    <w:p>
      <w:pPr>
        <w:ind w:firstLine="2"/>
        <w:spacing w:after="0" w:line="255"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Credit Master Fund Ltd., none of which are a matchable transaction for purposes of Section 16 of the Securities Exchange Act of 1934, as amended, because Pentwater Credit Master Fund Ltd. has not purchased any shares of Common Stock since the Reporting Persons became subject to Section 16 of the Securities Exchange Act of 1934, as amended.</w:t>
      </w:r>
    </w:p>
    <w:p>
      <w:pPr>
        <w:spacing w:after="0" w:line="17" w:lineRule="exact"/>
        <w:rPr>
          <w:rFonts w:ascii="Times New Roman" w:cs="Times New Roman" w:eastAsia="Times New Roman" w:hAnsi="Times New Roman"/>
          <w:sz w:val="13"/>
          <w:szCs w:val="13"/>
          <w:color w:val="008000"/>
        </w:rPr>
      </w:pPr>
    </w:p>
    <w:p>
      <w:pPr>
        <w:ind w:right="20"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LMA SPC for and on behalf of the MAP 98 Segregated Portfolio, none of which are a matchable transaction for purposes of Section 16 of the Securities Exchange Act of 1934, as amended, because LMA SPC for and on behalf of the MAP 98 Segregated Portfolio has not purchased any shares of Common Stock since the Reporting Persons became subject to Section 16 of the Securities Exchange Act of 1934, as amended.</w:t>
      </w:r>
    </w:p>
    <w:p>
      <w:pPr>
        <w:spacing w:after="0" w:line="26" w:lineRule="exact"/>
        <w:rPr>
          <w:rFonts w:ascii="Times New Roman" w:cs="Times New Roman" w:eastAsia="Times New Roman" w:hAnsi="Times New Roman"/>
          <w:sz w:val="13"/>
          <w:szCs w:val="13"/>
          <w:color w:val="008000"/>
        </w:rPr>
      </w:pPr>
    </w:p>
    <w:p>
      <w:pPr>
        <w:jc w:val="both"/>
        <w:ind w:right="40" w:firstLine="2"/>
        <w:spacing w:after="0" w:line="237"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Equity Opportunities Master Fund Ltd., of which sales of 20,000 shares of Common Stock reported herein are matchable, for purposes of Section 16(b) of the Securities Exchange Act of 1934, as amended, against Pentwater Equity Opportunities Master Fund Ltd.'s deemed purchases of (i) 10,000 shares of Common Stock on March 4, 2026, and (ii) 10,000 shares of Common Stock on March 6,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p>
      <w:pPr>
        <w:spacing w:after="0" w:line="28" w:lineRule="exact"/>
        <w:rPr>
          <w:rFonts w:ascii="Times New Roman" w:cs="Times New Roman" w:eastAsia="Times New Roman" w:hAnsi="Times New Roman"/>
          <w:sz w:val="13"/>
          <w:szCs w:val="13"/>
          <w:color w:val="008000"/>
        </w:rPr>
      </w:pPr>
    </w:p>
    <w:p>
      <w:pPr>
        <w:ind w:right="200" w:firstLine="2"/>
        <w:spacing w:after="0" w:line="237"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Crown Managed Accounts SPC acting for and on behalf of Crown/PW Segregated Portfolio, of which sales of 25,000 shares of Common Stock reported herein are matchable, for purposes of Section 16(b) of the Securities Exchange Act of 1934, as amended, against Crown Managed Accounts SPC acting for and on behalf of Crown/PW Segregated Portfolio's deemed purchase of 25,000 shares of Common Stock on March 4,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p>
      <w:pPr>
        <w:spacing w:after="0" w:line="28" w:lineRule="exact"/>
        <w:rPr>
          <w:rFonts w:ascii="Times New Roman" w:cs="Times New Roman" w:eastAsia="Times New Roman" w:hAnsi="Times New Roman"/>
          <w:sz w:val="13"/>
          <w:szCs w:val="13"/>
          <w:color w:val="008000"/>
        </w:rPr>
      </w:pPr>
    </w:p>
    <w:p>
      <w:pPr>
        <w:jc w:val="both"/>
        <w:ind w:right="40" w:firstLine="2"/>
        <w:spacing w:after="0" w:line="237"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Merger Arbitrage Master Fund Ltd., of which sales of 49,000 shares of Common Stock reported herein are matchable, for purposes of Section 16(b) of the Securities Exchange Act of 1934, as amended, against Pentwater Merger Arbitrage Master Fund Ltd.'s deemed purchases of (i) 30,000 shares of Common Stock on March 6, 2026, and (ii) 19,000 shares of Common Stock on March 9,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p>
      <w:pPr>
        <w:spacing w:after="0" w:line="28"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at any time.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Because of the SEC Form 4 filing limitation of 30 transactions per form, this Form 4 is being split into 6 forms. This is form 4 of 6.</w:t>
      </w:r>
    </w:p>
    <w:p>
      <w:pPr>
        <w:sectPr>
          <w:pgSz w:w="11900" w:h="16838" w:orient="portrait"/>
          <w:cols w:equalWidth="0" w:num="1">
            <w:col w:w="10900"/>
          </w:cols>
          <w:pgMar w:left="500" w:top="152" w:right="499" w:bottom="1440" w:gutter="0" w:footer="0" w:header="0"/>
        </w:sectPr>
      </w:pPr>
    </w:p>
    <w:p>
      <w:pPr>
        <w:spacing w:after="0" w:line="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Pentwater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886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Management LP, By: /s/ MCH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297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PWCM Holdings Inc.,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321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Partner, By: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915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150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Halbower,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56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305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Matthew Halbower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9518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40" w:space="120"/>
            <w:col w:w="2140"/>
          </w:cols>
          <w:pgMar w:left="500" w:top="152"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60"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52"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3" Type="http://schemas.openxmlformats.org/officeDocument/2006/relationships/hyperlink" Target="http://www.sec.gov/cgi-bin/browse-edgar?action=getcompany&amp;CIK=0001425851" TargetMode="External"/><Relationship Id="rId14" Type="http://schemas.openxmlformats.org/officeDocument/2006/relationships/hyperlink" Target="http://www.sec.gov/cgi-bin/browse-edgar?action=getcompany&amp;CIK=0000723612" TargetMode="External"/><Relationship Id="rId17" Type="http://schemas.openxmlformats.org/officeDocument/2006/relationships/hyperlink" Target="http://www.sec.gov/cgi-bin/browse-edgar?action=getcompany&amp;CIK=00021210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2026-04-28T18:25:45Z</dcterms:created>
  <dcterms:modified xsi:type="dcterms:W3CDTF">2026-04-28T18:25:45Z</dcterms:modified>
</cp:coreProperties>
</file>