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1014730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1040130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263525</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291465</wp:posOffset>
            </wp:positionV>
            <wp:extent cx="1448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left="4100" w:right="1740" w:hanging="2252"/>
        <w:spacing w:after="0" w:line="475" w:lineRule="auto"/>
        <w:tabs>
          <w:tab w:leader="none" w:pos="2029"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 For the quarterly period ended June 30, 2025</w:t>
      </w:r>
    </w:p>
    <w:p>
      <w:pPr>
        <w:spacing w:after="0" w:line="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jc w:val="center"/>
        <w:ind w:left="4080" w:right="1740" w:hanging="2231"/>
        <w:spacing w:after="0" w:line="495" w:lineRule="auto"/>
        <w:tabs>
          <w:tab w:leader="none" w:pos="2019"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272415</wp:posOffset>
            </wp:positionV>
            <wp:extent cx="1448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AVIS BUDGET GROUP, INC.</w:t>
      </w:r>
    </w:p>
    <w:p>
      <w:pPr>
        <w:sectPr>
          <w:pgSz w:w="11900" w:h="16838" w:orient="portrait"/>
          <w:cols w:equalWidth="0" w:num="1">
            <w:col w:w="11140"/>
          </w:cols>
          <w:pgMar w:left="320" w:top="1440" w:right="439" w:bottom="1440" w:gutter="0" w:footer="0" w:header="0"/>
        </w:sectPr>
      </w:pPr>
    </w:p>
    <w:p>
      <w:pPr>
        <w:spacing w:after="0" w:line="216" w:lineRule="exact"/>
        <w:rPr>
          <w:sz w:val="24"/>
          <w:szCs w:val="24"/>
          <w:color w:val="auto"/>
        </w:rPr>
      </w:pPr>
    </w:p>
    <w:p>
      <w:pPr>
        <w:ind w:left="384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175" w:lineRule="exact"/>
        <w:rPr>
          <w:sz w:val="24"/>
          <w:szCs w:val="24"/>
          <w:color w:val="auto"/>
        </w:rPr>
      </w:pPr>
    </w:p>
    <w:p>
      <w:pPr>
        <w:jc w:val="center"/>
        <w:ind w:right="3840"/>
        <w:spacing w:after="0"/>
        <w:rPr>
          <w:sz w:val="20"/>
          <w:szCs w:val="20"/>
          <w:color w:val="auto"/>
        </w:rPr>
      </w:pPr>
      <w:r>
        <w:rPr>
          <w:rFonts w:ascii="Arial" w:cs="Arial" w:eastAsia="Arial" w:hAnsi="Arial"/>
          <w:sz w:val="14"/>
          <w:szCs w:val="14"/>
          <w:b w:val="1"/>
          <w:bCs w:val="1"/>
          <w:color w:val="auto"/>
        </w:rPr>
        <w:t>Delaware</w:t>
      </w:r>
    </w:p>
    <w:p>
      <w:pPr>
        <w:spacing w:after="0" w:line="43" w:lineRule="exact"/>
        <w:rPr>
          <w:sz w:val="24"/>
          <w:szCs w:val="24"/>
          <w:color w:val="auto"/>
        </w:rPr>
      </w:pPr>
    </w:p>
    <w:p>
      <w:pPr>
        <w:ind w:left="900"/>
        <w:spacing w:after="0"/>
        <w:rPr>
          <w:sz w:val="20"/>
          <w:szCs w:val="20"/>
          <w:color w:val="auto"/>
        </w:rPr>
      </w:pPr>
      <w:r>
        <w:rPr>
          <w:rFonts w:ascii="Arial" w:cs="Arial" w:eastAsia="Arial" w:hAnsi="Arial"/>
          <w:sz w:val="14"/>
          <w:szCs w:val="14"/>
          <w:i w:val="1"/>
          <w:iCs w:val="1"/>
          <w:color w:val="auto"/>
        </w:rPr>
        <w:t>(State or other jurisdiction of</w:t>
      </w:r>
    </w:p>
    <w:p>
      <w:pPr>
        <w:ind w:left="860"/>
        <w:spacing w:after="0"/>
        <w:rPr>
          <w:sz w:val="20"/>
          <w:szCs w:val="20"/>
          <w:color w:val="auto"/>
        </w:rPr>
      </w:pPr>
      <w:r>
        <w:rPr>
          <w:rFonts w:ascii="Arial" w:cs="Arial" w:eastAsia="Arial" w:hAnsi="Arial"/>
          <w:sz w:val="14"/>
          <w:szCs w:val="14"/>
          <w:i w:val="1"/>
          <w:iCs w:val="1"/>
          <w:color w:val="auto"/>
        </w:rPr>
        <w:t>incorporation or organization)</w:t>
      </w:r>
    </w:p>
    <w:p>
      <w:pPr>
        <w:spacing w:after="0" w:line="15" w:lineRule="exact"/>
        <w:rPr>
          <w:sz w:val="24"/>
          <w:szCs w:val="24"/>
          <w:color w:val="auto"/>
        </w:rPr>
      </w:pPr>
    </w:p>
    <w:p>
      <w:pPr>
        <w:jc w:val="center"/>
        <w:ind w:right="3840"/>
        <w:spacing w:after="0"/>
        <w:rPr>
          <w:sz w:val="20"/>
          <w:szCs w:val="20"/>
          <w:color w:val="auto"/>
        </w:rPr>
      </w:pPr>
      <w:r>
        <w:rPr>
          <w:rFonts w:ascii="Arial" w:cs="Arial" w:eastAsia="Arial" w:hAnsi="Arial"/>
          <w:sz w:val="14"/>
          <w:szCs w:val="14"/>
          <w:b w:val="1"/>
          <w:bCs w:val="1"/>
          <w:color w:val="auto"/>
        </w:rPr>
        <w:t>379 Interpace Parkway</w:t>
      </w:r>
    </w:p>
    <w:p>
      <w:pPr>
        <w:spacing w:after="0" w:line="40" w:lineRule="exact"/>
        <w:rPr>
          <w:sz w:val="24"/>
          <w:szCs w:val="24"/>
          <w:color w:val="auto"/>
        </w:rPr>
      </w:pPr>
    </w:p>
    <w:p>
      <w:pPr>
        <w:jc w:val="center"/>
        <w:ind w:right="3840"/>
        <w:spacing w:after="0"/>
        <w:rPr>
          <w:sz w:val="20"/>
          <w:szCs w:val="20"/>
          <w:color w:val="auto"/>
        </w:rPr>
      </w:pPr>
      <w:r>
        <w:rPr>
          <w:rFonts w:ascii="Arial" w:cs="Arial" w:eastAsia="Arial" w:hAnsi="Arial"/>
          <w:sz w:val="14"/>
          <w:szCs w:val="14"/>
          <w:b w:val="1"/>
          <w:bCs w:val="1"/>
          <w:color w:val="auto"/>
        </w:rPr>
        <w:t>Parsippany, NJ</w:t>
      </w:r>
    </w:p>
    <w:p>
      <w:pPr>
        <w:spacing w:after="0" w:line="44" w:lineRule="exact"/>
        <w:rPr>
          <w:sz w:val="24"/>
          <w:szCs w:val="24"/>
          <w:color w:val="auto"/>
        </w:rPr>
      </w:pPr>
    </w:p>
    <w:p>
      <w:pPr>
        <w:jc w:val="center"/>
        <w:ind w:right="38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40"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2560" w:type="dxa"/>
            <w:vAlign w:val="bottom"/>
          </w:tcPr>
          <w:p>
            <w:pPr>
              <w:spacing w:after="0"/>
              <w:rPr>
                <w:sz w:val="17"/>
                <w:szCs w:val="17"/>
                <w:color w:val="auto"/>
              </w:rPr>
            </w:pPr>
          </w:p>
        </w:tc>
        <w:tc>
          <w:tcPr>
            <w:tcW w:w="4140" w:type="dxa"/>
            <w:vAlign w:val="bottom"/>
          </w:tcPr>
          <w:p>
            <w:pPr>
              <w:jc w:val="center"/>
              <w:ind w:left="368"/>
              <w:spacing w:after="0"/>
              <w:rPr>
                <w:sz w:val="20"/>
                <w:szCs w:val="20"/>
                <w:color w:val="auto"/>
              </w:rPr>
            </w:pPr>
            <w:r>
              <w:rPr>
                <w:rFonts w:ascii="Arial" w:cs="Arial" w:eastAsia="Arial" w:hAnsi="Arial"/>
                <w:sz w:val="14"/>
                <w:szCs w:val="14"/>
                <w:b w:val="1"/>
                <w:bCs w:val="1"/>
                <w:color w:val="auto"/>
              </w:rPr>
              <w:t>(973) 496-4700</w:t>
            </w:r>
          </w:p>
        </w:tc>
      </w:tr>
      <w:tr>
        <w:trPr>
          <w:trHeight w:val="196"/>
        </w:trPr>
        <w:tc>
          <w:tcPr>
            <w:tcW w:w="2560" w:type="dxa"/>
            <w:vAlign w:val="bottom"/>
          </w:tcPr>
          <w:p>
            <w:pPr>
              <w:spacing w:after="0"/>
              <w:rPr>
                <w:sz w:val="17"/>
                <w:szCs w:val="17"/>
                <w:color w:val="auto"/>
              </w:rPr>
            </w:pPr>
          </w:p>
        </w:tc>
        <w:tc>
          <w:tcPr>
            <w:tcW w:w="4140" w:type="dxa"/>
            <w:vAlign w:val="bottom"/>
          </w:tcPr>
          <w:p>
            <w:pPr>
              <w:jc w:val="center"/>
              <w:ind w:left="388"/>
              <w:spacing w:after="0"/>
              <w:rPr>
                <w:sz w:val="20"/>
                <w:szCs w:val="20"/>
                <w:color w:val="auto"/>
              </w:rPr>
            </w:pPr>
            <w:r>
              <w:rPr>
                <w:rFonts w:ascii="Arial" w:cs="Arial" w:eastAsia="Arial" w:hAnsi="Arial"/>
                <w:sz w:val="14"/>
                <w:szCs w:val="14"/>
                <w:color w:val="auto"/>
              </w:rPr>
              <w:t>(Registrant’s telephone number, including area code)</w:t>
            </w:r>
          </w:p>
        </w:tc>
      </w:tr>
      <w:tr>
        <w:trPr>
          <w:trHeight w:val="608"/>
        </w:trPr>
        <w:tc>
          <w:tcPr>
            <w:tcW w:w="2560" w:type="dxa"/>
            <w:vAlign w:val="bottom"/>
          </w:tcPr>
          <w:p>
            <w:pPr>
              <w:spacing w:after="0"/>
              <w:rPr>
                <w:sz w:val="24"/>
                <w:szCs w:val="24"/>
                <w:color w:val="auto"/>
              </w:rPr>
            </w:pPr>
          </w:p>
        </w:tc>
        <w:tc>
          <w:tcPr>
            <w:tcW w:w="4140" w:type="dxa"/>
            <w:vAlign w:val="bottom"/>
          </w:tcPr>
          <w:p>
            <w:pPr>
              <w:jc w:val="center"/>
              <w:ind w:left="408"/>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357"/>
        </w:trPr>
        <w:tc>
          <w:tcPr>
            <w:tcW w:w="2560" w:type="dxa"/>
            <w:vAlign w:val="bottom"/>
          </w:tcPr>
          <w:p>
            <w:pPr>
              <w:jc w:val="center"/>
              <w:ind w:right="388"/>
              <w:spacing w:after="0"/>
              <w:rPr>
                <w:sz w:val="20"/>
                <w:szCs w:val="20"/>
                <w:color w:val="auto"/>
              </w:rPr>
            </w:pPr>
            <w:r>
              <w:rPr>
                <w:rFonts w:ascii="Arial" w:cs="Arial" w:eastAsia="Arial" w:hAnsi="Arial"/>
                <w:sz w:val="14"/>
                <w:szCs w:val="14"/>
                <w:b w:val="1"/>
                <w:bCs w:val="1"/>
                <w:color w:val="auto"/>
              </w:rPr>
              <w:t>TITLE OF EACH CLASS</w:t>
            </w:r>
          </w:p>
        </w:tc>
        <w:tc>
          <w:tcPr>
            <w:tcW w:w="4140" w:type="dxa"/>
            <w:vAlign w:val="bottom"/>
          </w:tcPr>
          <w:p>
            <w:pPr>
              <w:jc w:val="center"/>
              <w:ind w:left="368"/>
              <w:spacing w:after="0"/>
              <w:rPr>
                <w:sz w:val="20"/>
                <w:szCs w:val="20"/>
                <w:color w:val="auto"/>
              </w:rPr>
            </w:pPr>
            <w:r>
              <w:rPr>
                <w:rFonts w:ascii="Arial" w:cs="Arial" w:eastAsia="Arial" w:hAnsi="Arial"/>
                <w:sz w:val="14"/>
                <w:szCs w:val="14"/>
                <w:b w:val="1"/>
                <w:bCs w:val="1"/>
                <w:color w:val="auto"/>
              </w:rPr>
              <w:t>TRADING SYMBOL(S)</w:t>
            </w:r>
          </w:p>
        </w:tc>
      </w:tr>
      <w:tr>
        <w:trPr>
          <w:trHeight w:val="196"/>
        </w:trPr>
        <w:tc>
          <w:tcPr>
            <w:tcW w:w="2560" w:type="dxa"/>
            <w:vAlign w:val="bottom"/>
          </w:tcPr>
          <w:p>
            <w:pPr>
              <w:jc w:val="center"/>
              <w:ind w:right="408"/>
              <w:spacing w:after="0"/>
              <w:rPr>
                <w:sz w:val="20"/>
                <w:szCs w:val="20"/>
                <w:color w:val="auto"/>
              </w:rPr>
            </w:pPr>
            <w:r>
              <w:rPr>
                <w:rFonts w:ascii="Arial" w:cs="Arial" w:eastAsia="Arial" w:hAnsi="Arial"/>
                <w:sz w:val="14"/>
                <w:szCs w:val="14"/>
                <w:color w:val="auto"/>
              </w:rPr>
              <w:t>Common Stock, Par Value $0.01</w:t>
            </w:r>
          </w:p>
        </w:tc>
        <w:tc>
          <w:tcPr>
            <w:tcW w:w="4140" w:type="dxa"/>
            <w:vAlign w:val="bottom"/>
          </w:tcPr>
          <w:p>
            <w:pPr>
              <w:jc w:val="center"/>
              <w:ind w:left="368"/>
              <w:spacing w:after="0"/>
              <w:rPr>
                <w:sz w:val="20"/>
                <w:szCs w:val="20"/>
                <w:color w:val="auto"/>
              </w:rPr>
            </w:pPr>
            <w:r>
              <w:rPr>
                <w:rFonts w:ascii="Arial" w:cs="Arial" w:eastAsia="Arial" w:hAnsi="Arial"/>
                <w:sz w:val="14"/>
                <w:szCs w:val="14"/>
                <w:color w:val="auto"/>
              </w:rPr>
              <w:t>CAR</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1" w:lineRule="exact"/>
        <w:rPr>
          <w:sz w:val="24"/>
          <w:szCs w:val="24"/>
          <w:color w:val="auto"/>
        </w:rPr>
      </w:pPr>
    </w:p>
    <w:p>
      <w:pPr>
        <w:ind w:left="1000"/>
        <w:spacing w:after="0"/>
        <w:rPr>
          <w:sz w:val="20"/>
          <w:szCs w:val="20"/>
          <w:color w:val="auto"/>
        </w:rPr>
      </w:pPr>
      <w:r>
        <w:rPr>
          <w:rFonts w:ascii="Arial" w:cs="Arial" w:eastAsia="Arial" w:hAnsi="Arial"/>
          <w:sz w:val="14"/>
          <w:szCs w:val="14"/>
          <w:b w:val="1"/>
          <w:bCs w:val="1"/>
          <w:color w:val="auto"/>
        </w:rPr>
        <w:t>06-0918165</w:t>
      </w:r>
    </w:p>
    <w:p>
      <w:pPr>
        <w:spacing w:after="0" w:line="43" w:lineRule="exact"/>
        <w:rPr>
          <w:sz w:val="24"/>
          <w:szCs w:val="24"/>
          <w:color w:val="auto"/>
        </w:rPr>
      </w:pPr>
    </w:p>
    <w:p>
      <w:pPr>
        <w:ind w:left="860"/>
        <w:spacing w:after="0"/>
        <w:rPr>
          <w:sz w:val="20"/>
          <w:szCs w:val="20"/>
          <w:color w:val="auto"/>
        </w:rPr>
      </w:pPr>
      <w:r>
        <w:rPr>
          <w:rFonts w:ascii="Arial" w:cs="Arial" w:eastAsia="Arial" w:hAnsi="Arial"/>
          <w:sz w:val="14"/>
          <w:szCs w:val="14"/>
          <w:i w:val="1"/>
          <w:iCs w:val="1"/>
          <w:color w:val="auto"/>
        </w:rPr>
        <w:t>(I.R.S. Employer</w:t>
      </w:r>
    </w:p>
    <w:p>
      <w:pPr>
        <w:ind w:left="680"/>
        <w:spacing w:after="0"/>
        <w:rPr>
          <w:sz w:val="20"/>
          <w:szCs w:val="20"/>
          <w:color w:val="auto"/>
        </w:rPr>
      </w:pPr>
      <w:r>
        <w:rPr>
          <w:rFonts w:ascii="Arial" w:cs="Arial" w:eastAsia="Arial" w:hAnsi="Arial"/>
          <w:sz w:val="14"/>
          <w:szCs w:val="14"/>
          <w:i w:val="1"/>
          <w:iCs w:val="1"/>
          <w:color w:val="auto"/>
        </w:rPr>
        <w:t>Identification Number)</w:t>
      </w:r>
    </w:p>
    <w:p>
      <w:pPr>
        <w:spacing w:after="0" w:line="217"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07054</w:t>
      </w:r>
    </w:p>
    <w:p>
      <w:pPr>
        <w:spacing w:after="0" w:line="44" w:lineRule="exact"/>
        <w:rPr>
          <w:sz w:val="24"/>
          <w:szCs w:val="24"/>
          <w:color w:val="auto"/>
        </w:rPr>
      </w:pPr>
    </w:p>
    <w:p>
      <w:pPr>
        <w:jc w:val="center"/>
        <w:ind w:right="32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NAME OF EACH EXCHANGE ON WHICH</w:t>
      </w:r>
    </w:p>
    <w:p>
      <w:pPr>
        <w:spacing w:after="0" w:line="2"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REGISTERED</w:t>
      </w:r>
    </w:p>
    <w:p>
      <w:pPr>
        <w:spacing w:after="0" w:line="21" w:lineRule="exact"/>
        <w:rPr>
          <w:sz w:val="24"/>
          <w:szCs w:val="24"/>
          <w:color w:val="auto"/>
        </w:rPr>
      </w:pPr>
    </w:p>
    <w:p>
      <w:pPr>
        <w:ind w:left="300"/>
        <w:spacing w:after="0"/>
        <w:rPr>
          <w:sz w:val="20"/>
          <w:szCs w:val="20"/>
          <w:color w:val="auto"/>
        </w:rPr>
      </w:pPr>
      <w:r>
        <w:rPr>
          <w:rFonts w:ascii="Arial" w:cs="Arial" w:eastAsia="Arial" w:hAnsi="Arial"/>
          <w:sz w:val="14"/>
          <w:szCs w:val="14"/>
          <w:color w:val="auto"/>
        </w:rPr>
        <w:t>The Nasdaq Global Select Market</w:t>
      </w:r>
    </w:p>
    <w:p>
      <w:pPr>
        <w:spacing w:after="0" w:line="222" w:lineRule="exact"/>
        <w:rPr>
          <w:sz w:val="24"/>
          <w:szCs w:val="24"/>
          <w:color w:val="auto"/>
        </w:rPr>
      </w:pPr>
    </w:p>
    <w:p>
      <w:pPr>
        <w:sectPr>
          <w:pgSz w:w="11900" w:h="16838" w:orient="portrait"/>
          <w:cols w:equalWidth="0" w:num="2">
            <w:col w:w="7460" w:space="600"/>
            <w:col w:w="3080"/>
          </w:cols>
          <w:pgMar w:left="320" w:top="1440" w:right="439" w:bottom="1440" w:gutter="0" w:footer="0" w:header="0"/>
          <w:type w:val="continuous"/>
        </w:sectPr>
      </w:pPr>
    </w:p>
    <w:p>
      <w:pPr>
        <w:spacing w:after="0" w:line="231"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ind w:right="58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4" w:lineRule="exact"/>
        <w:rPr>
          <w:sz w:val="24"/>
          <w:szCs w:val="24"/>
          <w:color w:val="auto"/>
        </w:rPr>
      </w:pPr>
    </w:p>
    <w:p>
      <w:pPr>
        <w:ind w:right="180"/>
        <w:spacing w:after="0" w:line="27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00"/>
        <w:spacing w:after="0" w:line="202" w:lineRule="exact"/>
        <w:tabs>
          <w:tab w:leader="none" w:pos="3480" w:val="left"/>
          <w:tab w:leader="none" w:pos="7180" w:val="left"/>
          <w:tab w:leader="none" w:pos="108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p>
    <w:p>
      <w:pPr>
        <w:spacing w:after="0" w:line="68" w:lineRule="exact"/>
        <w:rPr>
          <w:sz w:val="24"/>
          <w:szCs w:val="24"/>
          <w:color w:val="auto"/>
        </w:rPr>
      </w:pPr>
    </w:p>
    <w:p>
      <w:pPr>
        <w:ind w:left="100"/>
        <w:spacing w:after="0" w:line="202" w:lineRule="exact"/>
        <w:tabs>
          <w:tab w:leader="none" w:pos="3480" w:val="left"/>
          <w:tab w:leader="none" w:pos="7180" w:val="left"/>
        </w:tabs>
        <w:rPr>
          <w:sz w:val="20"/>
          <w:szCs w:val="20"/>
          <w:color w:val="auto"/>
        </w:rPr>
      </w:pP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20"/>
          <w:szCs w:val="20"/>
          <w:color w:val="auto"/>
        </w:rPr>
        <w:t xml:space="preserve">☐ </w:t>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48" w:lineRule="exact"/>
        <w:rPr>
          <w:sz w:val="24"/>
          <w:szCs w:val="24"/>
          <w:color w:val="auto"/>
        </w:rPr>
      </w:pPr>
    </w:p>
    <w:p>
      <w:pPr>
        <w:ind w:right="200"/>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730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As of July 25, 2025, the number of shares outstanding of the registrant’s common stock was 35,193,504.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160" w:type="dxa"/>
            <w:vAlign w:val="bottom"/>
            <w:gridSpan w:val="9"/>
          </w:tcPr>
          <w:p>
            <w:pPr>
              <w:ind w:left="166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680" w:type="dxa"/>
            <w:vAlign w:val="bottom"/>
            <w:gridSpan w:val="8"/>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680" w:type="dxa"/>
            <w:vAlign w:val="bottom"/>
            <w:gridSpan w:val="12"/>
            <w:vMerge w:val="restart"/>
          </w:tcPr>
          <w:p>
            <w:pPr>
              <w:spacing w:after="0"/>
              <w:rPr>
                <w:sz w:val="17"/>
                <w:szCs w:val="17"/>
                <w:color w:val="auto"/>
              </w:rPr>
            </w:pPr>
          </w:p>
        </w:tc>
        <w:tc>
          <w:tcPr>
            <w:tcW w:w="860" w:type="dxa"/>
            <w:vAlign w:val="bottom"/>
            <w:gridSpan w:val="5"/>
          </w:tcPr>
          <w:p>
            <w:pPr>
              <w:jc w:val="right"/>
              <w:ind w:right="60"/>
              <w:spacing w:after="0" w:line="204" w:lineRule="exact"/>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4"/>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8"/>
            <w:vMerge w:val="continue"/>
          </w:tcPr>
          <w:p>
            <w:pPr>
              <w:spacing w:after="0"/>
              <w:rPr>
                <w:sz w:val="18"/>
                <w:szCs w:val="18"/>
                <w:color w:val="auto"/>
              </w:rPr>
            </w:pPr>
          </w:p>
        </w:tc>
        <w:tc>
          <w:tcPr>
            <w:tcW w:w="7680" w:type="dxa"/>
            <w:vAlign w:val="bottom"/>
            <w:gridSpan w:val="12"/>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36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700" w:type="dxa"/>
            <w:vAlign w:val="bottom"/>
            <w:gridSpan w:val="3"/>
            <w:vMerge w:val="restart"/>
          </w:tcPr>
          <w:p>
            <w:pPr>
              <w:spacing w:after="0"/>
              <w:rPr>
                <w:sz w:val="18"/>
                <w:szCs w:val="18"/>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8820" w:type="dxa"/>
            <w:vAlign w:val="bottom"/>
            <w:gridSpan w:val="18"/>
          </w:tcPr>
          <w:p>
            <w:pPr>
              <w:spacing w:after="0" w:line="196" w:lineRule="exact"/>
              <w:rPr>
                <w:sz w:val="20"/>
                <w:szCs w:val="20"/>
                <w:color w:val="auto"/>
              </w:rPr>
            </w:pPr>
            <w:r>
              <w:rPr>
                <w:rFonts w:ascii="Arial" w:cs="Arial" w:eastAsia="Arial" w:hAnsi="Arial"/>
                <w:sz w:val="18"/>
                <w:szCs w:val="18"/>
                <w:color w:val="0000FF"/>
                <w:w w:val="99"/>
              </w:rPr>
              <w:t>Condensed Consolidated Statements of Comprehensive Income for the Three and Six Months Ended June 30,</w:t>
            </w:r>
          </w:p>
        </w:tc>
        <w:tc>
          <w:tcPr>
            <w:tcW w:w="540" w:type="dxa"/>
            <w:vAlign w:val="bottom"/>
            <w:gridSpan w:val="2"/>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11"/>
          </w:tcPr>
          <w:p>
            <w:pPr>
              <w:spacing w:after="0" w:line="202" w:lineRule="exact"/>
              <w:rPr>
                <w:sz w:val="20"/>
                <w:szCs w:val="20"/>
                <w:color w:val="auto"/>
              </w:rPr>
            </w:pPr>
            <w:r>
              <w:rPr>
                <w:rFonts w:ascii="Arial" w:cs="Arial" w:eastAsia="Arial" w:hAnsi="Arial"/>
                <w:sz w:val="18"/>
                <w:szCs w:val="18"/>
                <w:color w:val="0000FF"/>
                <w:w w:val="99"/>
              </w:rPr>
              <w:t>2025 and 2024 (Unaudited)</w:t>
            </w:r>
          </w:p>
        </w:tc>
        <w:tc>
          <w:tcPr>
            <w:tcW w:w="6620" w:type="dxa"/>
            <w:vAlign w:val="bottom"/>
            <w:tcBorders>
              <w:top w:val="single" w:sz="8" w:color="0000FF"/>
            </w:tcBorders>
            <w:gridSpan w:val="7"/>
          </w:tcPr>
          <w:p>
            <w:pPr>
              <w:spacing w:after="0"/>
              <w:rPr>
                <w:sz w:val="17"/>
                <w:szCs w:val="17"/>
                <w:color w:val="auto"/>
              </w:rPr>
            </w:pPr>
          </w:p>
        </w:tc>
        <w:tc>
          <w:tcPr>
            <w:tcW w:w="54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0000FF"/>
                <w:w w:val="99"/>
              </w:rPr>
              <w:t>Condensed Consolidated Balance Sheets as of June 30, 2025 and December 31, 2024 (Unaudited)</w:t>
            </w:r>
          </w:p>
        </w:tc>
        <w:tc>
          <w:tcPr>
            <w:tcW w:w="1420" w:type="dxa"/>
            <w:vAlign w:val="bottom"/>
            <w:gridSpan w:val="4"/>
          </w:tcPr>
          <w:p>
            <w:pPr>
              <w:spacing w:after="0"/>
              <w:rPr>
                <w:sz w:val="20"/>
                <w:szCs w:val="20"/>
                <w:color w:val="auto"/>
              </w:rPr>
            </w:pPr>
          </w:p>
        </w:tc>
        <w:tc>
          <w:tcPr>
            <w:tcW w:w="700" w:type="dxa"/>
            <w:vAlign w:val="bottom"/>
            <w:gridSpan w:val="3"/>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gridSpan w:val="2"/>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2720" w:type="dxa"/>
            <w:vAlign w:val="bottom"/>
            <w:tcBorders>
              <w:bottom w:val="single" w:sz="8" w:color="0000FF"/>
            </w:tcBorders>
            <w:gridSpan w:val="2"/>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shd w:val="clear" w:color="auto" w:fill="0000FF"/>
          </w:tcPr>
          <w:p>
            <w:pPr>
              <w:spacing w:after="0" w:line="20" w:lineRule="exact"/>
              <w:rPr>
                <w:sz w:val="1"/>
                <w:szCs w:val="1"/>
                <w:color w:val="auto"/>
              </w:rPr>
            </w:pPr>
          </w:p>
        </w:tc>
        <w:tc>
          <w:tcPr>
            <w:tcW w:w="86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8240" w:type="dxa"/>
            <w:vAlign w:val="bottom"/>
            <w:gridSpan w:val="17"/>
          </w:tcPr>
          <w:p>
            <w:pPr>
              <w:spacing w:after="0"/>
              <w:rPr>
                <w:sz w:val="20"/>
                <w:szCs w:val="20"/>
                <w:color w:val="auto"/>
              </w:rPr>
            </w:pPr>
            <w:r>
              <w:rPr>
                <w:rFonts w:ascii="Arial" w:cs="Arial" w:eastAsia="Arial" w:hAnsi="Arial"/>
                <w:sz w:val="18"/>
                <w:szCs w:val="18"/>
                <w:color w:val="0000FF"/>
                <w:w w:val="99"/>
              </w:rPr>
              <w:t>Condensed Consolidated Statements of Cash Flows for the Six Months Ended June 30, 2025 and 2024</w:t>
            </w:r>
          </w:p>
        </w:tc>
        <w:tc>
          <w:tcPr>
            <w:tcW w:w="1120" w:type="dxa"/>
            <w:vAlign w:val="bottom"/>
            <w:gridSpan w:val="3"/>
          </w:tcPr>
          <w:p>
            <w:pPr>
              <w:spacing w:after="0"/>
              <w:rPr>
                <w:sz w:val="20"/>
                <w:szCs w:val="20"/>
                <w:color w:val="auto"/>
              </w:rPr>
            </w:pPr>
          </w:p>
        </w:tc>
        <w:tc>
          <w:tcPr>
            <w:tcW w:w="700" w:type="dxa"/>
            <w:vAlign w:val="bottom"/>
            <w:gridSpan w:val="3"/>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240" w:type="dxa"/>
            <w:vAlign w:val="bottom"/>
            <w:tcBorders>
              <w:top w:val="single" w:sz="8" w:color="0000FF"/>
            </w:tcBorders>
            <w:gridSpan w:val="17"/>
          </w:tcPr>
          <w:p>
            <w:pPr>
              <w:spacing w:after="0" w:line="202" w:lineRule="exact"/>
              <w:rPr>
                <w:sz w:val="20"/>
                <w:szCs w:val="20"/>
                <w:color w:val="auto"/>
              </w:rPr>
            </w:pPr>
            <w:r>
              <w:rPr>
                <w:rFonts w:ascii="Arial" w:cs="Arial" w:eastAsia="Arial" w:hAnsi="Arial"/>
                <w:sz w:val="18"/>
                <w:szCs w:val="18"/>
                <w:color w:val="0000FF"/>
              </w:rPr>
              <w:t>(Unaudited)</w:t>
            </w:r>
          </w:p>
        </w:tc>
        <w:tc>
          <w:tcPr>
            <w:tcW w:w="112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3"/>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9000" w:type="dxa"/>
            <w:vAlign w:val="bottom"/>
            <w:gridSpan w:val="19"/>
          </w:tcPr>
          <w:p>
            <w:pPr>
              <w:spacing w:after="0"/>
              <w:rPr>
                <w:sz w:val="20"/>
                <w:szCs w:val="20"/>
                <w:color w:val="auto"/>
              </w:rPr>
            </w:pPr>
            <w:r>
              <w:rPr>
                <w:rFonts w:ascii="Arial" w:cs="Arial" w:eastAsia="Arial" w:hAnsi="Arial"/>
                <w:sz w:val="18"/>
                <w:szCs w:val="18"/>
                <w:color w:val="0000FF"/>
                <w:w w:val="99"/>
              </w:rPr>
              <w:t>Condensed Consolidated Statements of Stockholders’ Equity for the Three and Six Months Ended June 30, 2025</w:t>
            </w:r>
          </w:p>
        </w:tc>
        <w:tc>
          <w:tcPr>
            <w:tcW w:w="360" w:type="dxa"/>
            <w:vAlign w:val="bottom"/>
          </w:tcPr>
          <w:p>
            <w:pPr>
              <w:spacing w:after="0"/>
              <w:rPr>
                <w:sz w:val="21"/>
                <w:szCs w:val="21"/>
                <w:color w:val="auto"/>
              </w:rPr>
            </w:pPr>
          </w:p>
        </w:tc>
        <w:tc>
          <w:tcPr>
            <w:tcW w:w="700" w:type="dxa"/>
            <w:vAlign w:val="bottom"/>
            <w:gridSpan w:val="3"/>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9000" w:type="dxa"/>
            <w:vAlign w:val="bottom"/>
            <w:tcBorders>
              <w:top w:val="single" w:sz="8" w:color="0000FF"/>
            </w:tcBorders>
            <w:gridSpan w:val="19"/>
          </w:tcPr>
          <w:p>
            <w:pPr>
              <w:spacing w:after="0" w:line="202" w:lineRule="exact"/>
              <w:rPr>
                <w:sz w:val="20"/>
                <w:szCs w:val="20"/>
                <w:color w:val="auto"/>
              </w:rPr>
            </w:pPr>
            <w:r>
              <w:rPr>
                <w:rFonts w:ascii="Arial" w:cs="Arial" w:eastAsia="Arial" w:hAnsi="Arial"/>
                <w:sz w:val="18"/>
                <w:szCs w:val="18"/>
                <w:color w:val="0000FF"/>
              </w:rPr>
              <w:t>and 2024 (Unaudited)</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36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2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3"/>
          </w:tcPr>
          <w:p>
            <w:pPr>
              <w:spacing w:after="0"/>
              <w:rPr>
                <w:sz w:val="18"/>
                <w:szCs w:val="18"/>
                <w:color w:val="auto"/>
              </w:rPr>
            </w:pPr>
          </w:p>
        </w:tc>
        <w:tc>
          <w:tcPr>
            <w:tcW w:w="2280" w:type="dxa"/>
            <w:vAlign w:val="bottom"/>
            <w:gridSpan w:val="5"/>
          </w:tcPr>
          <w:p>
            <w:pPr>
              <w:spacing w:after="0"/>
              <w:rPr>
                <w:sz w:val="18"/>
                <w:szCs w:val="18"/>
                <w:color w:val="auto"/>
              </w:rPr>
            </w:pPr>
          </w:p>
        </w:tc>
        <w:tc>
          <w:tcPr>
            <w:tcW w:w="6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10"/>
          </w:tcPr>
          <w:p>
            <w:pPr>
              <w:spacing w:after="0"/>
              <w:rPr>
                <w:sz w:val="20"/>
                <w:szCs w:val="20"/>
                <w:color w:val="auto"/>
              </w:rPr>
            </w:pPr>
            <w:r>
              <w:rPr>
                <w:rFonts w:ascii="Arial" w:cs="Arial" w:eastAsia="Arial" w:hAnsi="Arial"/>
                <w:sz w:val="18"/>
                <w:szCs w:val="18"/>
                <w:color w:val="0000FF"/>
                <w:w w:val="99"/>
              </w:rPr>
              <w:t>Controls and Procedures</w:t>
            </w:r>
          </w:p>
        </w:tc>
        <w:tc>
          <w:tcPr>
            <w:tcW w:w="2720" w:type="dxa"/>
            <w:vAlign w:val="bottom"/>
            <w:gridSpan w:val="2"/>
          </w:tcPr>
          <w:p>
            <w:pPr>
              <w:spacing w:after="0"/>
              <w:rPr>
                <w:sz w:val="18"/>
                <w:szCs w:val="18"/>
                <w:color w:val="auto"/>
              </w:rPr>
            </w:pPr>
          </w:p>
        </w:tc>
        <w:tc>
          <w:tcPr>
            <w:tcW w:w="464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Other Information</w:t>
            </w:r>
          </w:p>
        </w:tc>
        <w:tc>
          <w:tcPr>
            <w:tcW w:w="580" w:type="dxa"/>
            <w:vAlign w:val="bottom"/>
            <w:tcBorders>
              <w:top w:val="single" w:sz="8" w:color="0000FF"/>
            </w:tcBorders>
            <w:gridSpan w:val="4"/>
          </w:tcPr>
          <w:p>
            <w:pPr>
              <w:spacing w:after="0"/>
              <w:rPr>
                <w:sz w:val="18"/>
                <w:szCs w:val="18"/>
                <w:color w:val="auto"/>
              </w:rPr>
            </w:pPr>
          </w:p>
        </w:tc>
        <w:tc>
          <w:tcPr>
            <w:tcW w:w="7360" w:type="dxa"/>
            <w:vAlign w:val="bottom"/>
            <w:gridSpan w:val="10"/>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7860" w:type="dxa"/>
            <w:vAlign w:val="bottom"/>
            <w:gridSpan w:val="13"/>
          </w:tcPr>
          <w:p>
            <w:pPr>
              <w:spacing w:after="0"/>
              <w:rPr>
                <w:sz w:val="18"/>
                <w:szCs w:val="18"/>
                <w:color w:val="auto"/>
              </w:rPr>
            </w:pPr>
          </w:p>
        </w:tc>
        <w:tc>
          <w:tcPr>
            <w:tcW w:w="6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7860" w:type="dxa"/>
            <w:vAlign w:val="bottom"/>
            <w:gridSpan w:val="13"/>
          </w:tcPr>
          <w:p>
            <w:pPr>
              <w:spacing w:after="0"/>
              <w:rPr>
                <w:sz w:val="18"/>
                <w:szCs w:val="18"/>
                <w:color w:val="auto"/>
              </w:rPr>
            </w:pPr>
          </w:p>
        </w:tc>
        <w:tc>
          <w:tcPr>
            <w:tcW w:w="6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450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500" w:type="dxa"/>
            <w:vAlign w:val="bottom"/>
            <w:gridSpan w:val="7"/>
          </w:tcPr>
          <w:p>
            <w:pPr>
              <w:spacing w:after="0"/>
              <w:rPr>
                <w:sz w:val="18"/>
                <w:szCs w:val="18"/>
                <w:color w:val="auto"/>
              </w:rPr>
            </w:pPr>
          </w:p>
        </w:tc>
        <w:tc>
          <w:tcPr>
            <w:tcW w:w="6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5.</w:t>
            </w:r>
          </w:p>
        </w:tc>
        <w:tc>
          <w:tcPr>
            <w:tcW w:w="486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4500" w:type="dxa"/>
            <w:vAlign w:val="bottom"/>
            <w:gridSpan w:val="7"/>
          </w:tcPr>
          <w:p>
            <w:pPr>
              <w:spacing w:after="0"/>
              <w:rPr>
                <w:sz w:val="18"/>
                <w:szCs w:val="18"/>
                <w:color w:val="auto"/>
              </w:rPr>
            </w:pPr>
          </w:p>
        </w:tc>
        <w:tc>
          <w:tcPr>
            <w:tcW w:w="6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960" w:type="dxa"/>
            <w:vAlign w:val="bottom"/>
            <w:gridSpan w:val="1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7960" w:type="dxa"/>
            <w:vAlign w:val="bottom"/>
            <w:gridSpan w:val="15"/>
          </w:tcPr>
          <w:p>
            <w:pPr>
              <w:spacing w:after="0"/>
              <w:rPr>
                <w:sz w:val="18"/>
                <w:szCs w:val="18"/>
                <w:color w:val="auto"/>
              </w:rPr>
            </w:pPr>
          </w:p>
        </w:tc>
        <w:tc>
          <w:tcPr>
            <w:tcW w:w="60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00" w:type="dxa"/>
            <w:vAlign w:val="bottom"/>
            <w:gridSpan w:val="1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36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 These factors include, but are not limited to:</w:t>
      </w:r>
    </w:p>
    <w:p>
      <w:pPr>
        <w:spacing w:after="0" w:line="208"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future volatility in airline passenger traffic;</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deterioration or fluctuation in economic conditions, resulting in a recession, decreased levels of discretionary consumer spending for travel,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pandemics, severe weather events or natural disasters, military conflicts, including the ongoing military conflicts in the Middle East and Eastern Europe, or civil unrest in the locations in which we operate, trade disputes and tariffs,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pandemics, inflation, tariffs, the ongoing military conflicts in the Middle East and Eastern Europe, and any embargoes on oil sales imposed on or by the Russian government;</w:t>
      </w:r>
    </w:p>
    <w:p>
      <w:pPr>
        <w:spacing w:after="0" w:line="184" w:lineRule="exact"/>
        <w:rPr>
          <w:rFonts w:ascii="Arial" w:cs="Arial" w:eastAsia="Arial" w:hAnsi="Arial"/>
          <w:sz w:val="18"/>
          <w:szCs w:val="18"/>
          <w:color w:val="auto"/>
        </w:rPr>
      </w:pPr>
    </w:p>
    <w:p>
      <w:pPr>
        <w:ind w:left="660" w:right="10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or achieve our business plans and strategies, achieve and maintain cost savings and adapt our business to changes in mobility, and successfully implement digital transformation initiatives;</w:t>
      </w:r>
    </w:p>
    <w:p>
      <w:pPr>
        <w:spacing w:after="0" w:line="19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or commercial instability and/or political, regulatory, or legal changes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used vehicle market from time to time, including our ability to dispose of vehicles in the used vehicle market on attractive terms;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or changes in the number of incidents or cost per incident,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Operations,” in Item 2 and “Risk Factors” in Item 1A in this quarterly report and in similarly-titled sections set forth in Item 7 and in Item 1A and in other portions of our 2024 Annual Report on Form 10-K filed with the Securities and Exchange Commission (the “SEC”) on February 14, 2025 (the “2024 Form 10-K”), may contain forward looking statements and involve uncertainties that could cause actual results to differ materially from those projected in any forward-looking statements.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0" w:type="dxa"/>
            <w:vAlign w:val="bottom"/>
          </w:tcPr>
          <w:p>
            <w:pPr>
              <w:spacing w:after="0"/>
              <w:rPr>
                <w:sz w:val="1"/>
                <w:szCs w:val="1"/>
                <w:color w:val="auto"/>
              </w:rPr>
            </w:pPr>
          </w:p>
        </w:tc>
      </w:tr>
      <w:tr>
        <w:trPr>
          <w:trHeight w:val="474"/>
        </w:trPr>
        <w:tc>
          <w:tcPr>
            <w:tcW w:w="59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980" w:type="dxa"/>
            <w:vAlign w:val="bottom"/>
          </w:tcPr>
          <w:p>
            <w:pPr>
              <w:ind w:left="10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598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474"/>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5"/>
        </w:trPr>
        <w:tc>
          <w:tcPr>
            <w:tcW w:w="5980" w:type="dxa"/>
            <w:vAlign w:val="bottom"/>
          </w:tcPr>
          <w:p>
            <w:pPr>
              <w:ind w:left="10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5980" w:type="dxa"/>
            <w:vAlign w:val="bottom"/>
          </w:tcPr>
          <w:p>
            <w:pPr>
              <w:ind w:left="10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Comprehensive income (loss) attributable to Avis Budget Group, Inc. </w:t>
            </w: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474"/>
        </w:trPr>
        <w:tc>
          <w:tcPr>
            <w:tcW w:w="598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9"/>
        </w:trPr>
        <w:tc>
          <w:tcPr>
            <w:tcW w:w="598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0"/>
        </w:trPr>
        <w:tc>
          <w:tcPr>
            <w:tcW w:w="77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Receivables, net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204"/>
        </w:trPr>
        <w:tc>
          <w:tcPr>
            <w:tcW w:w="7760" w:type="dxa"/>
            <w:vAlign w:val="bottom"/>
          </w:tcPr>
          <w:p>
            <w:pPr>
              <w:ind w:left="1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2,034</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3,198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3,057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1,071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Program cash</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Vehicles, net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20,510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17,619</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Receivables from vehicle manufacturers and other</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207"/>
        </w:trPr>
        <w:tc>
          <w:tcPr>
            <w:tcW w:w="7760" w:type="dxa"/>
            <w:vAlign w:val="bottom"/>
          </w:tcPr>
          <w:p>
            <w:pPr>
              <w:ind w:left="1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19,373</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32,371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29,041</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7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Accounts payable and other current liabilities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3,168</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204"/>
        </w:trPr>
        <w:tc>
          <w:tcPr>
            <w:tcW w:w="7760" w:type="dxa"/>
            <w:vAlign w:val="bottom"/>
          </w:tcPr>
          <w:p>
            <w:pPr>
              <w:ind w:left="120"/>
              <w:spacing w:after="0"/>
              <w:rPr>
                <w:sz w:val="20"/>
                <w:szCs w:val="20"/>
                <w:color w:val="auto"/>
              </w:rPr>
            </w:pPr>
            <w:r>
              <w:rPr>
                <w:rFonts w:ascii="Arial" w:cs="Arial" w:eastAsia="Arial" w:hAnsi="Arial"/>
                <w:sz w:val="14"/>
                <w:szCs w:val="14"/>
                <w:color w:val="auto"/>
              </w:rPr>
              <w:t>Short-term debt and current portion of long-term debt</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2,720</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6,038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2,630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11,047</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Debt</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4,387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15,527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14,083</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207"/>
        </w:trPr>
        <w:tc>
          <w:tcPr>
            <w:tcW w:w="7760" w:type="dxa"/>
            <w:vAlign w:val="bottom"/>
          </w:tcPr>
          <w:p>
            <w:pPr>
              <w:ind w:left="1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22,711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20,311</w:t>
            </w: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Preferred stock, $0.01 par value—authorized 10 shares; none issued and outstanding, in each period</w:t>
            </w:r>
          </w:p>
        </w:tc>
        <w:tc>
          <w:tcPr>
            <w:tcW w:w="3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Common stock, $0.01 par value—authorized 250 shares; issued 137 shares, in each period</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6,618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6,620</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Retained earnings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03"/>
        </w:trPr>
        <w:tc>
          <w:tcPr>
            <w:tcW w:w="7760" w:type="dxa"/>
            <w:vAlign w:val="bottom"/>
          </w:tcPr>
          <w:p>
            <w:pPr>
              <w:ind w:left="12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4"/>
        </w:trPr>
        <w:tc>
          <w:tcPr>
            <w:tcW w:w="7760" w:type="dxa"/>
            <w:vAlign w:val="bottom"/>
          </w:tcPr>
          <w:p>
            <w:pPr>
              <w:ind w:left="120"/>
              <w:spacing w:after="0"/>
              <w:rPr>
                <w:sz w:val="20"/>
                <w:szCs w:val="20"/>
                <w:color w:val="auto"/>
              </w:rPr>
            </w:pPr>
            <w:r>
              <w:rPr>
                <w:rFonts w:ascii="Arial" w:cs="Arial" w:eastAsia="Arial" w:hAnsi="Arial"/>
                <w:sz w:val="14"/>
                <w:szCs w:val="14"/>
                <w:color w:val="auto"/>
              </w:rPr>
              <w:t>Treasury stock, at cost—102 shares, in each period</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(10,767)</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3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(2,327)</w:t>
            </w:r>
          </w:p>
        </w:tc>
        <w:tc>
          <w:tcPr>
            <w:tcW w:w="0" w:type="dxa"/>
            <w:vAlign w:val="bottom"/>
          </w:tcPr>
          <w:p>
            <w:pPr>
              <w:spacing w:after="0"/>
              <w:rPr>
                <w:sz w:val="1"/>
                <w:szCs w:val="1"/>
                <w:color w:val="auto"/>
              </w:rPr>
            </w:pPr>
          </w:p>
        </w:tc>
      </w:tr>
      <w:tr>
        <w:trPr>
          <w:trHeight w:val="204"/>
        </w:trPr>
        <w:tc>
          <w:tcPr>
            <w:tcW w:w="776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9"/>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200"/>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32,371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29,041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99"/>
              </w:rPr>
              <w:t>Six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99"/>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Vehicle depreciation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(Gain) loss on sale of vehicles,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Vehicle related reserves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Non-vehicle related depreciation and amortization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Amortization of debt financing fees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Early extinguishment of debt costs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Net change in assets and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Income taxes and deferred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2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Investment in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Proceeds received on disposition of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Avis Budget Group, Inc.</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4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9"/>
              </w:rPr>
              <w:t>CONDENSED CONSOLIDATED STATEMENTS OF CASH FLOWS (Continued)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financing activities exclusive of vehicle programs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12,477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Payments on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(11,848)</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and cash equivalents, program and restricted cash</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32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Stockholders’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9"/>
                <w:szCs w:val="9"/>
                <w:color w:val="auto"/>
              </w:rPr>
            </w:pPr>
          </w:p>
        </w:tc>
        <w:tc>
          <w:tcPr>
            <w:tcW w:w="9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Earnings</w:t>
            </w:r>
          </w:p>
        </w:tc>
        <w:tc>
          <w:tcPr>
            <w:tcW w:w="114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3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20" w:type="dxa"/>
            <w:vAlign w:val="bottom"/>
            <w:gridSpan w:val="3"/>
          </w:tcPr>
          <w:p>
            <w:pPr>
              <w:jc w:val="center"/>
              <w:ind w:right="80"/>
              <w:spacing w:after="0" w:line="88" w:lineRule="exact"/>
              <w:rPr>
                <w:sz w:val="20"/>
                <w:szCs w:val="20"/>
                <w:color w:val="auto"/>
              </w:rPr>
            </w:pPr>
            <w:r>
              <w:rPr>
                <w:rFonts w:ascii="Arial" w:cs="Arial" w:eastAsia="Arial" w:hAnsi="Arial"/>
                <w:sz w:val="10"/>
                <w:szCs w:val="10"/>
                <w:b w:val="1"/>
                <w:bCs w:val="1"/>
                <w:color w:val="auto"/>
              </w:rPr>
              <w:t>Equity Attributable</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9"/>
                <w:szCs w:val="9"/>
                <w:color w:val="auto"/>
              </w:rPr>
            </w:pPr>
          </w:p>
        </w:tc>
        <w:tc>
          <w:tcPr>
            <w:tcW w:w="840" w:type="dxa"/>
            <w:vAlign w:val="bottom"/>
          </w:tcPr>
          <w:p>
            <w:pPr>
              <w:jc w:val="center"/>
              <w:ind w:right="47"/>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7"/>
                <w:szCs w:val="7"/>
                <w:color w:val="auto"/>
              </w:rPr>
            </w:pPr>
          </w:p>
        </w:tc>
        <w:tc>
          <w:tcPr>
            <w:tcW w:w="9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10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Comprehensive</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2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to Avis Budget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7"/>
                <w:szCs w:val="7"/>
                <w:color w:val="auto"/>
              </w:rPr>
            </w:pPr>
          </w:p>
        </w:tc>
        <w:tc>
          <w:tcPr>
            <w:tcW w:w="840" w:type="dxa"/>
            <w:vAlign w:val="bottom"/>
          </w:tcPr>
          <w:p>
            <w:pPr>
              <w:jc w:val="center"/>
              <w:ind w:right="47"/>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3"/>
                <w:szCs w:val="13"/>
                <w:color w:val="auto"/>
              </w:rPr>
            </w:pPr>
          </w:p>
        </w:tc>
        <w:tc>
          <w:tcPr>
            <w:tcW w:w="840" w:type="dxa"/>
            <w:vAlign w:val="bottom"/>
          </w:tcPr>
          <w:p>
            <w:pPr>
              <w:jc w:val="center"/>
              <w:ind w:right="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March 31, 2025</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6,612</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1,524</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(202)</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(10,757)</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(2,822)</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(2,811)</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June 30, 2025</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1,528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(10,757)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(2,745)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(2,733)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March 31, 2024</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6,610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3,738</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(101.4)</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(10,724)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(515)</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14</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June 30, 2024</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3,751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(10,723)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(482)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32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Treasury Stock</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Stockholders’</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9"/>
                <w:szCs w:val="9"/>
                <w:color w:val="auto"/>
              </w:rPr>
            </w:pPr>
          </w:p>
        </w:tc>
        <w:tc>
          <w:tcPr>
            <w:tcW w:w="9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Earnings</w:t>
            </w:r>
          </w:p>
        </w:tc>
        <w:tc>
          <w:tcPr>
            <w:tcW w:w="114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30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120" w:type="dxa"/>
            <w:vAlign w:val="bottom"/>
            <w:gridSpan w:val="3"/>
          </w:tcPr>
          <w:p>
            <w:pPr>
              <w:jc w:val="center"/>
              <w:ind w:right="80"/>
              <w:spacing w:after="0" w:line="88" w:lineRule="exact"/>
              <w:rPr>
                <w:sz w:val="20"/>
                <w:szCs w:val="20"/>
                <w:color w:val="auto"/>
              </w:rPr>
            </w:pPr>
            <w:r>
              <w:rPr>
                <w:rFonts w:ascii="Arial" w:cs="Arial" w:eastAsia="Arial" w:hAnsi="Arial"/>
                <w:sz w:val="10"/>
                <w:szCs w:val="10"/>
                <w:b w:val="1"/>
                <w:bCs w:val="1"/>
                <w:color w:val="auto"/>
              </w:rPr>
              <w:t>Equity Attributable</w:t>
            </w:r>
          </w:p>
        </w:tc>
        <w:tc>
          <w:tcPr>
            <w:tcW w:w="100" w:type="dxa"/>
            <w:vAlign w:val="bottom"/>
          </w:tcPr>
          <w:p>
            <w:pPr>
              <w:spacing w:after="0"/>
              <w:rPr>
                <w:sz w:val="9"/>
                <w:szCs w:val="9"/>
                <w:color w:val="auto"/>
              </w:rPr>
            </w:pPr>
          </w:p>
        </w:tc>
        <w:tc>
          <w:tcPr>
            <w:tcW w:w="76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9"/>
                <w:szCs w:val="9"/>
                <w:color w:val="auto"/>
              </w:rPr>
            </w:pPr>
          </w:p>
        </w:tc>
        <w:tc>
          <w:tcPr>
            <w:tcW w:w="840" w:type="dxa"/>
            <w:vAlign w:val="bottom"/>
          </w:tcPr>
          <w:p>
            <w:pPr>
              <w:jc w:val="center"/>
              <w:ind w:right="47"/>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7"/>
                <w:szCs w:val="7"/>
                <w:color w:val="auto"/>
              </w:rPr>
            </w:pPr>
          </w:p>
        </w:tc>
        <w:tc>
          <w:tcPr>
            <w:tcW w:w="9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10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Comprehensive</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2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to Avis Budget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7"/>
                <w:szCs w:val="7"/>
                <w:color w:val="auto"/>
              </w:rPr>
            </w:pPr>
          </w:p>
        </w:tc>
        <w:tc>
          <w:tcPr>
            <w:tcW w:w="840" w:type="dxa"/>
            <w:vAlign w:val="bottom"/>
          </w:tcPr>
          <w:p>
            <w:pPr>
              <w:jc w:val="center"/>
              <w:ind w:right="47"/>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3"/>
                <w:szCs w:val="13"/>
                <w:color w:val="auto"/>
              </w:rPr>
            </w:pPr>
          </w:p>
        </w:tc>
        <w:tc>
          <w:tcPr>
            <w:tcW w:w="840" w:type="dxa"/>
            <w:vAlign w:val="bottom"/>
          </w:tcPr>
          <w:p>
            <w:pPr>
              <w:jc w:val="center"/>
              <w:ind w:right="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December 31, 2024</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6,620</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2,029</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(210)</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(102.0)</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(10,767)</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(2,327)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(2,317)</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(501)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(499)</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(501)</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75</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(426)</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(424)</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June 30, 2025</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1,528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(10,757)</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(2,745)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(2,733)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December 31, 2023</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6,634</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3,854</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(101.6)</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(10,742)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(349)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(343)</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(139)</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as of June 30, 2024</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3,751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1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(10,723)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(490)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(482)</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9440" w:type="dxa"/>
            <w:vAlign w:val="bottom"/>
            <w:gridSpan w:val="21"/>
          </w:tcPr>
          <w:p>
            <w:pPr>
              <w:spacing w:after="0"/>
              <w:rPr>
                <w:sz w:val="20"/>
                <w:szCs w:val="20"/>
                <w:color w:val="auto"/>
              </w:rPr>
            </w:pPr>
            <w:r>
              <w:rPr>
                <w:rFonts w:ascii="Arial" w:cs="Arial" w:eastAsia="Arial" w:hAnsi="Arial"/>
                <w:sz w:val="18"/>
                <w:szCs w:val="18"/>
                <w:color w:val="0000FF"/>
              </w:rPr>
              <w:t>Table of Contents</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43"/>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20" w:type="dxa"/>
            <w:vAlign w:val="bottom"/>
            <w:gridSpan w:val="13"/>
          </w:tcPr>
          <w:p>
            <w:pPr>
              <w:jc w:val="center"/>
              <w:ind w:right="80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9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Page</w:t>
            </w:r>
          </w:p>
        </w:tc>
        <w:tc>
          <w:tcPr>
            <w:tcW w:w="480" w:type="dxa"/>
            <w:vAlign w:val="bottom"/>
            <w:gridSpan w:val="3"/>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1</w:t>
            </w:r>
          </w:p>
        </w:tc>
        <w:tc>
          <w:tcPr>
            <w:tcW w:w="680" w:type="dxa"/>
            <w:vAlign w:val="bottom"/>
            <w:gridSpan w:val="2"/>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w w:val="96"/>
              </w:rPr>
              <w:t>Basis of Presentation</w:t>
            </w:r>
          </w:p>
        </w:tc>
        <w:tc>
          <w:tcPr>
            <w:tcW w:w="652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2</w:t>
            </w:r>
          </w:p>
        </w:tc>
        <w:tc>
          <w:tcPr>
            <w:tcW w:w="680" w:type="dxa"/>
            <w:vAlign w:val="bottom"/>
            <w:gridSpan w:val="2"/>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rPr>
              <w:t>Leases</w:t>
            </w:r>
          </w:p>
        </w:tc>
        <w:tc>
          <w:tcPr>
            <w:tcW w:w="652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0" w:type="dxa"/>
            <w:vAlign w:val="bottom"/>
            <w:gridSpan w:val="17"/>
          </w:tcPr>
          <w:p>
            <w:pPr>
              <w:spacing w:after="0"/>
              <w:rPr>
                <w:sz w:val="20"/>
                <w:szCs w:val="20"/>
                <w:color w:val="auto"/>
              </w:rPr>
            </w:pPr>
            <w:r>
              <w:rPr>
                <w:rFonts w:ascii="Arial" w:cs="Arial" w:eastAsia="Arial" w:hAnsi="Arial"/>
                <w:sz w:val="18"/>
                <w:szCs w:val="18"/>
                <w:color w:val="0000FF"/>
              </w:rPr>
              <w:t>Restructuring and Other Related Charges</w:t>
            </w:r>
          </w:p>
        </w:tc>
        <w:tc>
          <w:tcPr>
            <w:tcW w:w="1800" w:type="dxa"/>
            <w:vAlign w:val="bottom"/>
            <w:gridSpan w:val="5"/>
          </w:tcPr>
          <w:p>
            <w:pPr>
              <w:jc w:val="right"/>
              <w:ind w:right="20"/>
              <w:spacing w:after="0"/>
              <w:rPr>
                <w:sz w:val="20"/>
                <w:szCs w:val="20"/>
                <w:color w:val="auto"/>
              </w:rPr>
            </w:pPr>
            <w:r>
              <w:rPr>
                <w:rFonts w:ascii="Arial" w:cs="Arial" w:eastAsia="Arial" w:hAnsi="Arial"/>
                <w:sz w:val="18"/>
                <w:szCs w:val="18"/>
                <w:color w:val="0000FF"/>
              </w:rPr>
              <w:t>15</w:t>
            </w:r>
          </w:p>
        </w:tc>
      </w:tr>
      <w:tr>
        <w:trPr>
          <w:trHeight w:val="371"/>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4</w:t>
            </w:r>
          </w:p>
        </w:tc>
        <w:tc>
          <w:tcPr>
            <w:tcW w:w="10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5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w w:val="99"/>
              </w:rPr>
              <w:t>Earnings Per Share</w:t>
            </w:r>
          </w:p>
        </w:tc>
        <w:tc>
          <w:tcPr>
            <w:tcW w:w="1740" w:type="dxa"/>
            <w:vAlign w:val="bottom"/>
            <w:tcBorders>
              <w:top w:val="single" w:sz="8" w:color="0000FF"/>
            </w:tcBorders>
            <w:gridSpan w:val="7"/>
          </w:tcPr>
          <w:p>
            <w:pPr>
              <w:spacing w:after="0"/>
              <w:rPr>
                <w:sz w:val="24"/>
                <w:szCs w:val="24"/>
                <w:color w:val="auto"/>
              </w:rPr>
            </w:pPr>
          </w:p>
        </w:tc>
        <w:tc>
          <w:tcPr>
            <w:tcW w:w="4880" w:type="dxa"/>
            <w:vAlign w:val="bottom"/>
            <w:gridSpan w:val="4"/>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5</w:t>
            </w:r>
          </w:p>
        </w:tc>
        <w:tc>
          <w:tcPr>
            <w:tcW w:w="680" w:type="dxa"/>
            <w:vAlign w:val="bottom"/>
            <w:gridSpan w:val="2"/>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w w:val="96"/>
              </w:rPr>
              <w:t>Other Current Assets</w:t>
            </w:r>
          </w:p>
        </w:tc>
        <w:tc>
          <w:tcPr>
            <w:tcW w:w="652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6</w:t>
            </w:r>
          </w:p>
        </w:tc>
        <w:tc>
          <w:tcPr>
            <w:tcW w:w="680" w:type="dxa"/>
            <w:vAlign w:val="bottom"/>
            <w:gridSpan w:val="2"/>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0000FF"/>
                <w:w w:val="99"/>
              </w:rPr>
              <w:t>Intangible Assets</w:t>
            </w:r>
          </w:p>
        </w:tc>
        <w:tc>
          <w:tcPr>
            <w:tcW w:w="300" w:type="dxa"/>
            <w:vAlign w:val="bottom"/>
            <w:gridSpan w:val="4"/>
          </w:tcPr>
          <w:p>
            <w:pPr>
              <w:spacing w:after="0"/>
              <w:rPr>
                <w:sz w:val="24"/>
                <w:szCs w:val="24"/>
                <w:color w:val="auto"/>
              </w:rPr>
            </w:pPr>
          </w:p>
        </w:tc>
        <w:tc>
          <w:tcPr>
            <w:tcW w:w="652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7</w:t>
            </w:r>
          </w:p>
        </w:tc>
        <w:tc>
          <w:tcPr>
            <w:tcW w:w="680" w:type="dxa"/>
            <w:vAlign w:val="bottom"/>
            <w:gridSpan w:val="2"/>
          </w:tcPr>
          <w:p>
            <w:pPr>
              <w:spacing w:after="0"/>
              <w:rPr>
                <w:sz w:val="24"/>
                <w:szCs w:val="24"/>
                <w:color w:val="auto"/>
              </w:rPr>
            </w:pPr>
          </w:p>
        </w:tc>
        <w:tc>
          <w:tcPr>
            <w:tcW w:w="1920" w:type="dxa"/>
            <w:vAlign w:val="bottom"/>
            <w:gridSpan w:val="9"/>
          </w:tcPr>
          <w:p>
            <w:pPr>
              <w:spacing w:after="0"/>
              <w:rPr>
                <w:sz w:val="20"/>
                <w:szCs w:val="20"/>
                <w:color w:val="auto"/>
              </w:rPr>
            </w:pPr>
            <w:r>
              <w:rPr>
                <w:rFonts w:ascii="Arial" w:cs="Arial" w:eastAsia="Arial" w:hAnsi="Arial"/>
                <w:sz w:val="18"/>
                <w:szCs w:val="18"/>
                <w:color w:val="0000FF"/>
                <w:w w:val="98"/>
              </w:rPr>
              <w:t>Vehicle Rental Activities</w:t>
            </w:r>
          </w:p>
        </w:tc>
        <w:tc>
          <w:tcPr>
            <w:tcW w:w="6280" w:type="dxa"/>
            <w:vAlign w:val="bottom"/>
            <w:gridSpan w:val="8"/>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8</w:t>
            </w:r>
          </w:p>
        </w:tc>
        <w:tc>
          <w:tcPr>
            <w:tcW w:w="680" w:type="dxa"/>
            <w:vAlign w:val="bottom"/>
            <w:gridSpan w:val="2"/>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0000FF"/>
                <w:w w:val="97"/>
              </w:rPr>
              <w:t>Income Taxes</w:t>
            </w:r>
          </w:p>
        </w:tc>
        <w:tc>
          <w:tcPr>
            <w:tcW w:w="800" w:type="dxa"/>
            <w:vAlign w:val="bottom"/>
            <w:gridSpan w:val="6"/>
          </w:tcPr>
          <w:p>
            <w:pPr>
              <w:spacing w:after="0"/>
              <w:rPr>
                <w:sz w:val="24"/>
                <w:szCs w:val="24"/>
                <w:color w:val="auto"/>
              </w:rPr>
            </w:pPr>
          </w:p>
        </w:tc>
        <w:tc>
          <w:tcPr>
            <w:tcW w:w="6280" w:type="dxa"/>
            <w:vAlign w:val="bottom"/>
            <w:gridSpan w:val="8"/>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9</w:t>
            </w:r>
          </w:p>
        </w:tc>
        <w:tc>
          <w:tcPr>
            <w:tcW w:w="680" w:type="dxa"/>
            <w:vAlign w:val="bottom"/>
            <w:gridSpan w:val="2"/>
          </w:tcPr>
          <w:p>
            <w:pPr>
              <w:spacing w:after="0"/>
              <w:rPr>
                <w:sz w:val="24"/>
                <w:szCs w:val="24"/>
                <w:color w:val="auto"/>
              </w:rPr>
            </w:pPr>
          </w:p>
        </w:tc>
        <w:tc>
          <w:tcPr>
            <w:tcW w:w="3740" w:type="dxa"/>
            <w:vAlign w:val="bottom"/>
            <w:gridSpan w:val="14"/>
          </w:tcPr>
          <w:p>
            <w:pPr>
              <w:spacing w:after="0"/>
              <w:rPr>
                <w:sz w:val="20"/>
                <w:szCs w:val="20"/>
                <w:color w:val="auto"/>
              </w:rPr>
            </w:pPr>
            <w:r>
              <w:rPr>
                <w:rFonts w:ascii="Arial" w:cs="Arial" w:eastAsia="Arial" w:hAnsi="Arial"/>
                <w:sz w:val="18"/>
                <w:szCs w:val="18"/>
                <w:color w:val="0000FF"/>
                <w:w w:val="99"/>
              </w:rPr>
              <w:t>Accounts Payable and Other Current Liabilities</w:t>
            </w:r>
          </w:p>
        </w:tc>
        <w:tc>
          <w:tcPr>
            <w:tcW w:w="4460" w:type="dxa"/>
            <w:vAlign w:val="bottom"/>
            <w:gridSpan w:val="3"/>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5"/>
              </w:rPr>
              <w:t>Note 10</w:t>
            </w:r>
          </w:p>
        </w:tc>
        <w:tc>
          <w:tcPr>
            <w:tcW w:w="580" w:type="dxa"/>
            <w:vAlign w:val="bottom"/>
          </w:tcPr>
          <w:p>
            <w:pPr>
              <w:spacing w:after="0"/>
              <w:rPr>
                <w:sz w:val="24"/>
                <w:szCs w:val="24"/>
                <w:color w:val="auto"/>
              </w:rPr>
            </w:pPr>
          </w:p>
        </w:tc>
        <w:tc>
          <w:tcPr>
            <w:tcW w:w="4500" w:type="dxa"/>
            <w:vAlign w:val="bottom"/>
            <w:gridSpan w:val="15"/>
          </w:tcPr>
          <w:p>
            <w:pPr>
              <w:spacing w:after="0"/>
              <w:rPr>
                <w:sz w:val="20"/>
                <w:szCs w:val="20"/>
                <w:color w:val="auto"/>
              </w:rPr>
            </w:pPr>
            <w:r>
              <w:rPr>
                <w:rFonts w:ascii="Arial" w:cs="Arial" w:eastAsia="Arial" w:hAnsi="Arial"/>
                <w:sz w:val="18"/>
                <w:szCs w:val="18"/>
                <w:color w:val="0000FF"/>
                <w:w w:val="99"/>
              </w:rPr>
              <w:t>Long-term Corporate Debt and Borrowing Arrangements</w:t>
            </w:r>
          </w:p>
        </w:tc>
        <w:tc>
          <w:tcPr>
            <w:tcW w:w="3700" w:type="dxa"/>
            <w:vAlign w:val="bottom"/>
            <w:gridSpan w:val="2"/>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19</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5"/>
              </w:rPr>
              <w:t>Note 11</w:t>
            </w:r>
          </w:p>
        </w:tc>
        <w:tc>
          <w:tcPr>
            <w:tcW w:w="580" w:type="dxa"/>
            <w:vAlign w:val="bottom"/>
          </w:tcPr>
          <w:p>
            <w:pPr>
              <w:spacing w:after="0"/>
              <w:rPr>
                <w:sz w:val="24"/>
                <w:szCs w:val="24"/>
                <w:color w:val="auto"/>
              </w:rPr>
            </w:pPr>
          </w:p>
        </w:tc>
        <w:tc>
          <w:tcPr>
            <w:tcW w:w="478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Debt Under Vehicle Programs and Borrowing Arrangements</w:t>
            </w:r>
          </w:p>
        </w:tc>
        <w:tc>
          <w:tcPr>
            <w:tcW w:w="3420" w:type="dxa"/>
            <w:vAlign w:val="bottom"/>
          </w:tcPr>
          <w:p>
            <w:pPr>
              <w:spacing w:after="0"/>
              <w:rPr>
                <w:sz w:val="24"/>
                <w:szCs w:val="24"/>
                <w:color w:val="auto"/>
              </w:rPr>
            </w:pPr>
          </w:p>
        </w:tc>
        <w:tc>
          <w:tcPr>
            <w:tcW w:w="1800" w:type="dxa"/>
            <w:vAlign w:val="bottom"/>
            <w:gridSpan w:val="5"/>
          </w:tcPr>
          <w:p>
            <w:pPr>
              <w:jc w:val="right"/>
              <w:ind w:right="20"/>
              <w:spacing w:after="0"/>
              <w:rPr>
                <w:sz w:val="20"/>
                <w:szCs w:val="20"/>
                <w:color w:val="auto"/>
              </w:rPr>
            </w:pPr>
            <w:r>
              <w:rPr>
                <w:rFonts w:ascii="Arial" w:cs="Arial" w:eastAsia="Arial" w:hAnsi="Arial"/>
                <w:sz w:val="18"/>
                <w:szCs w:val="18"/>
                <w:color w:val="0000FF"/>
              </w:rPr>
              <w:t>20</w:t>
            </w:r>
          </w:p>
        </w:tc>
      </w:tr>
      <w:tr>
        <w:trPr>
          <w:trHeight w:val="371"/>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5"/>
              </w:rPr>
              <w:t>Note 12</w:t>
            </w:r>
          </w:p>
        </w:tc>
        <w:tc>
          <w:tcPr>
            <w:tcW w:w="58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Arial" w:cs="Arial" w:eastAsia="Arial" w:hAnsi="Arial"/>
                <w:sz w:val="18"/>
                <w:szCs w:val="18"/>
                <w:color w:val="0000FF"/>
                <w:w w:val="99"/>
              </w:rPr>
              <w:t>Commitments and Contingencies</w:t>
            </w:r>
          </w:p>
        </w:tc>
        <w:tc>
          <w:tcPr>
            <w:tcW w:w="5540" w:type="dxa"/>
            <w:vAlign w:val="bottom"/>
            <w:gridSpan w:val="5"/>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22</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5"/>
              </w:rPr>
              <w:t>Note 13</w:t>
            </w:r>
          </w:p>
        </w:tc>
        <w:tc>
          <w:tcPr>
            <w:tcW w:w="580" w:type="dxa"/>
            <w:vAlign w:val="bottom"/>
          </w:tcPr>
          <w:p>
            <w:pPr>
              <w:spacing w:after="0"/>
              <w:rPr>
                <w:sz w:val="24"/>
                <w:szCs w:val="24"/>
                <w:color w:val="auto"/>
              </w:rPr>
            </w:pPr>
          </w:p>
        </w:tc>
        <w:tc>
          <w:tcPr>
            <w:tcW w:w="2660" w:type="dxa"/>
            <w:vAlign w:val="bottom"/>
            <w:gridSpan w:val="12"/>
          </w:tcPr>
          <w:p>
            <w:pPr>
              <w:spacing w:after="0"/>
              <w:rPr>
                <w:sz w:val="20"/>
                <w:szCs w:val="20"/>
                <w:color w:val="auto"/>
              </w:rPr>
            </w:pPr>
            <w:r>
              <w:rPr>
                <w:rFonts w:ascii="Arial" w:cs="Arial" w:eastAsia="Arial" w:hAnsi="Arial"/>
                <w:sz w:val="18"/>
                <w:szCs w:val="18"/>
                <w:color w:val="0000FF"/>
              </w:rPr>
              <w:t>Stockholders' Equity</w:t>
            </w:r>
          </w:p>
        </w:tc>
        <w:tc>
          <w:tcPr>
            <w:tcW w:w="5540" w:type="dxa"/>
            <w:vAlign w:val="bottom"/>
            <w:gridSpan w:val="5"/>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24</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5"/>
              </w:rPr>
              <w:t>Note 14</w:t>
            </w:r>
          </w:p>
        </w:tc>
        <w:tc>
          <w:tcPr>
            <w:tcW w:w="580" w:type="dxa"/>
            <w:vAlign w:val="bottom"/>
          </w:tcPr>
          <w:p>
            <w:pPr>
              <w:spacing w:after="0"/>
              <w:rPr>
                <w:sz w:val="24"/>
                <w:szCs w:val="24"/>
                <w:color w:val="auto"/>
              </w:rPr>
            </w:pPr>
          </w:p>
        </w:tc>
        <w:tc>
          <w:tcPr>
            <w:tcW w:w="8200" w:type="dxa"/>
            <w:vAlign w:val="bottom"/>
            <w:gridSpan w:val="17"/>
          </w:tcPr>
          <w:p>
            <w:pPr>
              <w:spacing w:after="0"/>
              <w:rPr>
                <w:sz w:val="20"/>
                <w:szCs w:val="20"/>
                <w:color w:val="auto"/>
              </w:rPr>
            </w:pPr>
            <w:r>
              <w:rPr>
                <w:rFonts w:ascii="Arial" w:cs="Arial" w:eastAsia="Arial" w:hAnsi="Arial"/>
                <w:sz w:val="18"/>
                <w:szCs w:val="18"/>
                <w:color w:val="0000FF"/>
              </w:rPr>
              <w:t>Related Party Transactions</w:t>
            </w:r>
          </w:p>
        </w:tc>
        <w:tc>
          <w:tcPr>
            <w:tcW w:w="1800" w:type="dxa"/>
            <w:vAlign w:val="bottom"/>
            <w:gridSpan w:val="5"/>
          </w:tcPr>
          <w:p>
            <w:pPr>
              <w:jc w:val="right"/>
              <w:ind w:right="20"/>
              <w:spacing w:after="0"/>
              <w:rPr>
                <w:sz w:val="20"/>
                <w:szCs w:val="20"/>
                <w:color w:val="auto"/>
              </w:rPr>
            </w:pPr>
            <w:r>
              <w:rPr>
                <w:rFonts w:ascii="Arial" w:cs="Arial" w:eastAsia="Arial" w:hAnsi="Arial"/>
                <w:sz w:val="18"/>
                <w:szCs w:val="18"/>
                <w:color w:val="0000FF"/>
              </w:rPr>
              <w:t>26</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5"/>
              </w:rPr>
              <w:t>Note 15</w:t>
            </w:r>
          </w:p>
        </w:tc>
        <w:tc>
          <w:tcPr>
            <w:tcW w:w="580" w:type="dxa"/>
            <w:vAlign w:val="bottom"/>
          </w:tcPr>
          <w:p>
            <w:pPr>
              <w:spacing w:after="0"/>
              <w:rPr>
                <w:sz w:val="24"/>
                <w:szCs w:val="24"/>
                <w:color w:val="auto"/>
              </w:rPr>
            </w:pPr>
          </w:p>
        </w:tc>
        <w:tc>
          <w:tcPr>
            <w:tcW w:w="2240" w:type="dxa"/>
            <w:vAlign w:val="bottom"/>
            <w:gridSpan w:val="11"/>
          </w:tcPr>
          <w:p>
            <w:pPr>
              <w:spacing w:after="0"/>
              <w:rPr>
                <w:sz w:val="20"/>
                <w:szCs w:val="20"/>
                <w:color w:val="auto"/>
              </w:rPr>
            </w:pPr>
            <w:r>
              <w:rPr>
                <w:rFonts w:ascii="Arial" w:cs="Arial" w:eastAsia="Arial" w:hAnsi="Arial"/>
                <w:sz w:val="18"/>
                <w:szCs w:val="18"/>
                <w:color w:val="0000FF"/>
                <w:w w:val="99"/>
              </w:rPr>
              <w:t>Stock-Based Compensation</w:t>
            </w:r>
          </w:p>
        </w:tc>
        <w:tc>
          <w:tcPr>
            <w:tcW w:w="5960" w:type="dxa"/>
            <w:vAlign w:val="bottom"/>
            <w:gridSpan w:val="6"/>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26</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5"/>
              </w:rPr>
              <w:t>Note 16</w:t>
            </w:r>
          </w:p>
        </w:tc>
        <w:tc>
          <w:tcPr>
            <w:tcW w:w="580" w:type="dxa"/>
            <w:vAlign w:val="bottom"/>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w w:val="95"/>
              </w:rPr>
              <w:t>Financial Instruments</w:t>
            </w:r>
          </w:p>
        </w:tc>
        <w:tc>
          <w:tcPr>
            <w:tcW w:w="560" w:type="dxa"/>
            <w:vAlign w:val="bottom"/>
            <w:gridSpan w:val="3"/>
          </w:tcPr>
          <w:p>
            <w:pPr>
              <w:spacing w:after="0"/>
              <w:rPr>
                <w:sz w:val="24"/>
                <w:szCs w:val="24"/>
                <w:color w:val="auto"/>
              </w:rPr>
            </w:pPr>
          </w:p>
        </w:tc>
        <w:tc>
          <w:tcPr>
            <w:tcW w:w="5960" w:type="dxa"/>
            <w:vAlign w:val="bottom"/>
            <w:gridSpan w:val="6"/>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27</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520" w:type="dxa"/>
            <w:vAlign w:val="bottom"/>
            <w:tcBorders>
              <w:left w:val="single" w:sz="8" w:color="0000FF"/>
            </w:tcBorders>
            <w:gridSpan w:val="9"/>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5"/>
              </w:rPr>
              <w:t>Note 17</w:t>
            </w:r>
          </w:p>
        </w:tc>
        <w:tc>
          <w:tcPr>
            <w:tcW w:w="580" w:type="dxa"/>
            <w:vAlign w:val="bottom"/>
          </w:tcPr>
          <w:p>
            <w:pPr>
              <w:spacing w:after="0"/>
              <w:rPr>
                <w:sz w:val="24"/>
                <w:szCs w:val="24"/>
                <w:color w:val="auto"/>
              </w:rPr>
            </w:pPr>
          </w:p>
        </w:tc>
        <w:tc>
          <w:tcPr>
            <w:tcW w:w="1680" w:type="dxa"/>
            <w:vAlign w:val="bottom"/>
            <w:gridSpan w:val="8"/>
          </w:tcPr>
          <w:p>
            <w:pPr>
              <w:spacing w:after="0"/>
              <w:rPr>
                <w:sz w:val="20"/>
                <w:szCs w:val="20"/>
                <w:color w:val="auto"/>
              </w:rPr>
            </w:pPr>
            <w:r>
              <w:rPr>
                <w:rFonts w:ascii="Arial" w:cs="Arial" w:eastAsia="Arial" w:hAnsi="Arial"/>
                <w:sz w:val="18"/>
                <w:szCs w:val="18"/>
                <w:color w:val="0000FF"/>
                <w:w w:val="98"/>
              </w:rPr>
              <w:t>Segment Information</w:t>
            </w:r>
          </w:p>
        </w:tc>
        <w:tc>
          <w:tcPr>
            <w:tcW w:w="652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29</w:t>
            </w: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5"/>
              </w:rPr>
              <w:t>Note 18</w:t>
            </w:r>
          </w:p>
        </w:tc>
        <w:tc>
          <w:tcPr>
            <w:tcW w:w="580" w:type="dxa"/>
            <w:vAlign w:val="bottom"/>
          </w:tcPr>
          <w:p>
            <w:pPr>
              <w:spacing w:after="0"/>
              <w:rPr>
                <w:sz w:val="24"/>
                <w:szCs w:val="24"/>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0000FF"/>
                <w:w w:val="99"/>
              </w:rPr>
              <w:t>Subsequent Event</w:t>
            </w:r>
          </w:p>
        </w:tc>
        <w:tc>
          <w:tcPr>
            <w:tcW w:w="200" w:type="dxa"/>
            <w:vAlign w:val="bottom"/>
            <w:gridSpan w:val="3"/>
          </w:tcPr>
          <w:p>
            <w:pPr>
              <w:spacing w:after="0"/>
              <w:rPr>
                <w:sz w:val="24"/>
                <w:szCs w:val="24"/>
                <w:color w:val="auto"/>
              </w:rPr>
            </w:pPr>
          </w:p>
        </w:tc>
        <w:tc>
          <w:tcPr>
            <w:tcW w:w="6520" w:type="dxa"/>
            <w:vAlign w:val="bottom"/>
            <w:gridSpan w:val="9"/>
          </w:tcPr>
          <w:p>
            <w:pPr>
              <w:spacing w:after="0"/>
              <w:rPr>
                <w:sz w:val="24"/>
                <w:szCs w:val="24"/>
                <w:color w:val="auto"/>
              </w:rPr>
            </w:pPr>
          </w:p>
        </w:tc>
        <w:tc>
          <w:tcPr>
            <w:tcW w:w="1580" w:type="dxa"/>
            <w:vAlign w:val="bottom"/>
            <w:gridSpan w:val="3"/>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0000FF"/>
                <w:w w:val="89"/>
              </w:rPr>
              <w:t>32</w:t>
            </w:r>
          </w:p>
        </w:tc>
      </w:tr>
      <w:tr>
        <w:trPr>
          <w:trHeight w:val="929"/>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Borders>
              <w:top w:val="single" w:sz="8" w:color="0000FF"/>
            </w:tcBorders>
            <w:gridSpan w:val="5"/>
          </w:tcPr>
          <w:p>
            <w:pPr>
              <w:spacing w:after="0"/>
              <w:rPr>
                <w:sz w:val="24"/>
                <w:szCs w:val="24"/>
                <w:color w:val="auto"/>
              </w:rPr>
            </w:pPr>
          </w:p>
        </w:tc>
        <w:tc>
          <w:tcPr>
            <w:tcW w:w="3020" w:type="dxa"/>
            <w:vAlign w:val="bottom"/>
            <w:gridSpan w:val="10"/>
          </w:tcPr>
          <w:p>
            <w:pPr>
              <w:jc w:val="right"/>
              <w:ind w:right="6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34" w:lineRule="exact"/>
        <w:rPr>
          <w:sz w:val="20"/>
          <w:szCs w:val="20"/>
          <w:color w:val="auto"/>
        </w:rPr>
      </w:pPr>
    </w:p>
    <w:p>
      <w:pPr>
        <w:ind w:left="400" w:hanging="34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Condensed Consolidated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300" w:hanging="482"/>
        <w:spacing w:after="0" w:line="268"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 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62" w:lineRule="exact"/>
        <w:rPr>
          <w:rFonts w:ascii="Arial" w:cs="Arial" w:eastAsia="Arial" w:hAnsi="Arial"/>
          <w:sz w:val="18"/>
          <w:szCs w:val="18"/>
          <w:color w:val="auto"/>
        </w:rPr>
      </w:pPr>
    </w:p>
    <w:p>
      <w:pPr>
        <w:ind w:left="1300" w:hanging="482"/>
        <w:spacing w:after="0" w:line="28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 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8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operating results of acquired businesses are included in the accompanying Condensed Consolidated Financial Statements from the dates of acquisition.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w:t>
      </w:r>
    </w:p>
    <w:p>
      <w:pPr>
        <w:spacing w:after="0" w:line="203"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presenting the Condensed Consolidated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Condensed Consolidated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2024 Annual Report on Form 10-K (the “2024 Form 10-K”).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2024 Form 10-K.</w:t>
      </w:r>
    </w:p>
    <w:p>
      <w:pPr>
        <w:spacing w:after="0" w:line="25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Condensed Consolidated Balance Sheets to the amounts shown in the Condensed Consolidated Statements of Cash Flows.</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8"/>
                <w:szCs w:val="18"/>
                <w:b w:val="1"/>
                <w:bCs w:val="1"/>
                <w:color w:val="auto"/>
              </w:rPr>
              <w:t>As of June 30,</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1000" w:type="dxa"/>
            <w:vAlign w:val="bottom"/>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8"/>
                <w:szCs w:val="18"/>
                <w:color w:val="auto"/>
              </w:rPr>
            </w:pPr>
          </w:p>
        </w:tc>
        <w:tc>
          <w:tcPr>
            <w:tcW w:w="1000" w:type="dxa"/>
            <w:vAlign w:val="bottom"/>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Program cash</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8"/>
        </w:trPr>
        <w:tc>
          <w:tcPr>
            <w:tcW w:w="7200" w:type="dxa"/>
            <w:vAlign w:val="bottom"/>
          </w:tcPr>
          <w:p>
            <w:pPr>
              <w:spacing w:after="0" w:line="218"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100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Condensed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our own operations,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0"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 xml:space="preserve">Variable Interest Entity (“VIE”). </w:t>
      </w:r>
      <w:r>
        <w:rPr>
          <w:rFonts w:ascii="Arial" w:cs="Arial" w:eastAsia="Arial" w:hAnsi="Arial"/>
          <w:sz w:val="18"/>
          <w:szCs w:val="18"/>
          <w:color w:val="auto"/>
        </w:rPr>
        <w:t>We review our investments to determine if they are VIEs.</w:t>
      </w:r>
      <w:r>
        <w:rPr>
          <w:rFonts w:ascii="Arial" w:cs="Arial" w:eastAsia="Arial" w:hAnsi="Arial"/>
          <w:sz w:val="18"/>
          <w:szCs w:val="18"/>
          <w:i w:val="1"/>
          <w:iCs w:val="1"/>
          <w:color w:val="auto"/>
        </w:rPr>
        <w:t xml:space="preserve"> </w:t>
      </w:r>
      <w:r>
        <w:rPr>
          <w:rFonts w:ascii="Arial" w:cs="Arial" w:eastAsia="Arial" w:hAnsi="Arial"/>
          <w:sz w:val="18"/>
          <w:szCs w:val="18"/>
          <w:color w:val="212529"/>
        </w:rPr>
        <w:t>A VIE is an entity in which either (i) the equity</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w:t>
      </w:r>
      <w:r>
        <w:rPr>
          <w:rFonts w:ascii="Arial" w:cs="Arial" w:eastAsia="Arial" w:hAnsi="Arial"/>
          <w:sz w:val="18"/>
          <w:szCs w:val="18"/>
          <w:color w:val="212529"/>
        </w:rPr>
        <w:t xml:space="preserve"> </w:t>
      </w:r>
      <w:r>
        <w:rPr>
          <w:rFonts w:ascii="Arial" w:cs="Arial" w:eastAsia="Arial" w:hAnsi="Arial"/>
          <w:sz w:val="18"/>
          <w:szCs w:val="18"/>
          <w:color w:val="000000"/>
        </w:rPr>
        <w:t>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We account for VIEs where we are not the primary beneficiary under the equity method.</w:t>
      </w:r>
    </w:p>
    <w:p>
      <w:pPr>
        <w:spacing w:after="0" w:line="208"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Our former subsidiary, Avis Mobility Ventures LLC (“AMV”), is a VIE. We lack the ability to direct the significant activities of AMV and are not its primary beneficiary. As such, we account for AMV under the equity method. See Note 14 – Related Party Transactions.</w:t>
      </w:r>
    </w:p>
    <w:p>
      <w:pPr>
        <w:spacing w:after="0" w:line="180" w:lineRule="exact"/>
        <w:rPr>
          <w:sz w:val="20"/>
          <w:szCs w:val="20"/>
          <w:color w:val="auto"/>
        </w:rPr>
      </w:pPr>
    </w:p>
    <w:p>
      <w:pPr>
        <w:jc w:val="both"/>
        <w:ind w:left="500"/>
        <w:spacing w:after="0" w:line="24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June 30, 2025 and December 31, 2024, we had equity method investments with a carrying value of $116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$100 million, respectively, which are included in other non-current assets. Earnings from our equity method investments are included within operating expenses. For the three months ended June 30, 2025 and 2024, we recorded income of $3 million related to our equity method investments, in each period. For the six months ended June 30, 2025 and 2024, we recorded income of $5 million and $6 million related to our equity method investments, respectively. See Note 14 – Related Party Transactions for our equity method investment in AMV.</w:t>
      </w:r>
    </w:p>
    <w:p>
      <w:pPr>
        <w:spacing w:after="0" w:line="20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approximately $50 million and $54 million during the three months ended June 30, 2025 and 2024, respectively, and $95 million and $96 million during the six months ended June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2,332</w:t>
            </w:r>
          </w:p>
        </w:tc>
        <w:tc>
          <w:tcPr>
            <w:tcW w:w="10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2,361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4,239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4,354</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926</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3,039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1,718</w:t>
            </w:r>
          </w:p>
        </w:tc>
        <w:tc>
          <w:tcPr>
            <w:tcW w:w="10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3,090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3,207</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1,133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2,038</w:t>
            </w:r>
          </w:p>
        </w:tc>
      </w:tr>
      <w:tr>
        <w:trPr>
          <w:trHeight w:val="218"/>
        </w:trPr>
        <w:tc>
          <w:tcPr>
            <w:tcW w:w="4260" w:type="dxa"/>
            <w:vAlign w:val="bottom"/>
          </w:tcPr>
          <w:p>
            <w:pPr>
              <w:spacing w:after="0" w:line="218"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r>
      <w:tr>
        <w:trPr>
          <w:trHeight w:val="209"/>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3,039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3,048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w:t>
            </w:r>
          </w:p>
        </w:tc>
      </w:tr>
      <w:tr>
        <w:trPr>
          <w:trHeight w:val="21"/>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tabs>
          <w:tab w:leader="none" w:pos="820" w:val="left"/>
        </w:tabs>
        <w:numPr>
          <w:ilvl w:val="0"/>
          <w:numId w:val="8"/>
        </w:numPr>
        <w:rPr>
          <w:rFonts w:ascii="Arial" w:cs="Arial" w:eastAsia="Arial" w:hAnsi="Arial"/>
          <w:sz w:val="9"/>
          <w:szCs w:val="9"/>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We reclassified certain items within operating activities on the Condensed Consolidated Statements of Cash Flows for the six months ended June 30, 2024 to conform to the current year presentation. These reclassifications had no impact on reported net cash provided by operating activities.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Improvements to Reportable Segment Disclosures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On January 1, 2024, as the result of a new accounting pronouncement, we adopted ASU 2023-07, “Improvements to Reportable Segment Disclosures,” which amends Topic 280 primarily through enhanced disclosures about significant segment expenses. The update was effective in our Consolidated Financial Statements for the year ended December 31, 2024, and became effective on an interim basis beginning on January 1, 2025. The adoption of this accounting pronouncement has resulted in incremental disclosures within Note 17 – Segment Information.</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Improvements to Income Tax Disclosures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On January 1, 2025, as the result of a new accounting pronouncement, we adopted ASU 2023-09, “Improvements to Income Tax Disclosures,” which amends Topic 740 primarily through enhanced income tax disclosures, improving transparency into the factors affecting income tax expense. We expect to include certain additional income tax disclosures in the notes to our Consolidated Financial Statements for the year ended December 31, 2025.</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Disaggregation of Income Statement Expenses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November 2024, the FASB issued ASU 2024-03, “Disaggregation of Income Statement Expenses,” which amends Topic 220 primarily through requiring disclosures in the notes to financial statements about certain costs and expenses. The amendments are effective for annual periods beginning after December 15, 2026 and interim periods beginning after December 15, 2027, with early adoption permitted on a prospective or retrospective basis. ASU 2024-03 becomes effective for us on January 1, 2027. We are currently evaluating the impact of the adoption of this accounting pronouncement.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left="500" w:right="10160" w:hanging="442"/>
        <w:spacing w:after="0" w:line="328" w:lineRule="auto"/>
        <w:tabs>
          <w:tab w:leader="none" w:pos="414"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2,308</w:t>
            </w:r>
          </w:p>
        </w:tc>
        <w:tc>
          <w:tcPr>
            <w:tcW w:w="10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2,330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4,193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4,304</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2,989</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2,994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5,503</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617"/>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26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1,687</w:t>
            </w:r>
          </w:p>
        </w:tc>
        <w:tc>
          <w:tcPr>
            <w:tcW w:w="10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1,710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3,032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3,144</w:t>
            </w:r>
          </w:p>
        </w:tc>
      </w:tr>
      <w:tr>
        <w:trPr>
          <w:trHeight w:val="207"/>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1,120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1,105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2,014</w:t>
            </w:r>
          </w:p>
        </w:tc>
      </w:tr>
      <w:tr>
        <w:trPr>
          <w:trHeight w:val="227"/>
        </w:trPr>
        <w:tc>
          <w:tcPr>
            <w:tcW w:w="4260" w:type="dxa"/>
            <w:vAlign w:val="bottom"/>
          </w:tcPr>
          <w:p>
            <w:pPr>
              <w:spacing w:after="0" w:line="227"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r>
      <w:tr>
        <w:trPr>
          <w:trHeight w:val="209"/>
        </w:trPr>
        <w:tc>
          <w:tcPr>
            <w:tcW w:w="4260" w:type="dxa"/>
            <w:vAlign w:val="bottom"/>
          </w:tcPr>
          <w:p>
            <w:pPr>
              <w:spacing w:after="0"/>
              <w:rPr>
                <w:sz w:val="20"/>
                <w:szCs w:val="20"/>
                <w:color w:val="auto"/>
              </w:rPr>
            </w:pPr>
            <w:r>
              <w:rPr>
                <w:rFonts w:ascii="Arial" w:cs="Arial" w:eastAsia="Arial" w:hAnsi="Arial"/>
                <w:sz w:val="16"/>
                <w:szCs w:val="16"/>
                <w:color w:val="auto"/>
              </w:rPr>
              <w:t>Total lease revenues</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2,989</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2,994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5,374</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5,503</w:t>
            </w:r>
          </w:p>
        </w:tc>
      </w:tr>
      <w:tr>
        <w:trPr>
          <w:trHeight w:val="21"/>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Other includes Zipcar and other operating brands.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rPr>
                <w:sz w:val="17"/>
                <w:szCs w:val="17"/>
                <w:color w:val="auto"/>
              </w:rPr>
            </w:pPr>
          </w:p>
        </w:tc>
        <w:tc>
          <w:tcPr>
            <w:tcW w:w="2460" w:type="dxa"/>
            <w:vAlign w:val="bottom"/>
            <w:gridSpan w:val="4"/>
          </w:tcPr>
          <w:p>
            <w:pPr>
              <w:jc w:val="right"/>
              <w:ind w:right="76"/>
              <w:spacing w:after="0" w:line="199" w:lineRule="exact"/>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17"/>
              <w:spacing w:after="0" w:line="199"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Property leases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5"/>
        </w:trPr>
        <w:tc>
          <w:tcPr>
            <w:tcW w:w="43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Operating lease expense</w:t>
            </w:r>
          </w:p>
        </w:tc>
        <w:tc>
          <w:tcPr>
            <w:tcW w:w="980" w:type="dxa"/>
            <w:vAlign w:val="bottom"/>
          </w:tcPr>
          <w:p>
            <w:pPr>
              <w:jc w:val="right"/>
              <w:ind w:right="795"/>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8"/>
                <w:szCs w:val="18"/>
                <w:color w:val="auto"/>
              </w:rPr>
            </w:pPr>
          </w:p>
        </w:tc>
        <w:tc>
          <w:tcPr>
            <w:tcW w:w="980" w:type="dxa"/>
            <w:vAlign w:val="bottom"/>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462</w:t>
            </w:r>
          </w:p>
        </w:tc>
        <w:tc>
          <w:tcPr>
            <w:tcW w:w="0" w:type="dxa"/>
            <w:vAlign w:val="bottom"/>
          </w:tcPr>
          <w:p>
            <w:pPr>
              <w:spacing w:after="0"/>
              <w:rPr>
                <w:sz w:val="1"/>
                <w:szCs w:val="1"/>
                <w:color w:val="auto"/>
              </w:rPr>
            </w:pPr>
          </w:p>
        </w:tc>
      </w:tr>
      <w:tr>
        <w:trPr>
          <w:trHeight w:val="217"/>
        </w:trPr>
        <w:tc>
          <w:tcPr>
            <w:tcW w:w="430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line="211" w:lineRule="exact"/>
              <w:rPr>
                <w:sz w:val="20"/>
                <w:szCs w:val="20"/>
                <w:color w:val="auto"/>
              </w:rPr>
            </w:pPr>
            <w:r>
              <w:rPr>
                <w:rFonts w:ascii="Arial" w:cs="Arial" w:eastAsia="Arial" w:hAnsi="Arial"/>
                <w:sz w:val="16"/>
                <w:szCs w:val="16"/>
                <w:b w:val="1"/>
                <w:bCs w:val="1"/>
                <w:color w:val="auto"/>
              </w:rPr>
              <w:t xml:space="preserve">Total property lease expense </w:t>
            </w:r>
            <w:r>
              <w:rPr>
                <w:rFonts w:ascii="Arial" w:cs="Arial" w:eastAsia="Arial" w:hAnsi="Arial"/>
                <w:sz w:val="21"/>
                <w:szCs w:val="21"/>
                <w:b w:val="1"/>
                <w:bCs w:val="1"/>
                <w:color w:val="auto"/>
                <w:vertAlign w:val="superscript"/>
              </w:rPr>
              <w:t>(a)</w:t>
            </w:r>
          </w:p>
        </w:tc>
        <w:tc>
          <w:tcPr>
            <w:tcW w:w="98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Primarily included within operating expenses.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1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7100" w:type="dxa"/>
            <w:vAlign w:val="bottom"/>
            <w:gridSpan w:val="2"/>
          </w:tcPr>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As of</w:t>
            </w:r>
          </w:p>
        </w:tc>
        <w:tc>
          <w:tcPr>
            <w:tcW w:w="200" w:type="dxa"/>
            <w:vAlign w:val="bottom"/>
          </w:tcPr>
          <w:p>
            <w:pPr>
              <w:spacing w:after="0"/>
              <w:rPr>
                <w:sz w:val="21"/>
                <w:szCs w:val="21"/>
                <w:color w:val="auto"/>
              </w:rPr>
            </w:pPr>
          </w:p>
        </w:tc>
        <w:tc>
          <w:tcPr>
            <w:tcW w:w="1540" w:type="dxa"/>
            <w:vAlign w:val="bottom"/>
          </w:tcPr>
          <w:p>
            <w:pPr>
              <w:jc w:val="center"/>
              <w:ind w:right="116"/>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9"/>
                <w:szCs w:val="19"/>
                <w:color w:val="auto"/>
              </w:rPr>
            </w:pPr>
          </w:p>
        </w:tc>
        <w:tc>
          <w:tcPr>
            <w:tcW w:w="1540" w:type="dxa"/>
            <w:vAlign w:val="bottom"/>
          </w:tcPr>
          <w:p>
            <w:pPr>
              <w:jc w:val="center"/>
              <w:ind w:right="116"/>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100" w:type="dxa"/>
            <w:vAlign w:val="bottom"/>
            <w:gridSpan w:val="2"/>
            <w:vMerge w:val="restart"/>
          </w:tcPr>
          <w:p>
            <w:pPr>
              <w:ind w:left="520"/>
              <w:spacing w:after="0"/>
              <w:rPr>
                <w:sz w:val="20"/>
                <w:szCs w:val="20"/>
                <w:color w:val="auto"/>
              </w:rPr>
            </w:pPr>
            <w:r>
              <w:rPr>
                <w:rFonts w:ascii="Arial" w:cs="Arial" w:eastAsia="Arial" w:hAnsi="Arial"/>
                <w:sz w:val="16"/>
                <w:szCs w:val="16"/>
                <w:b w:val="1"/>
                <w:bCs w:val="1"/>
                <w:color w:val="auto"/>
              </w:rPr>
              <w:t>Property leases</w:t>
            </w:r>
          </w:p>
        </w:tc>
        <w:tc>
          <w:tcPr>
            <w:tcW w:w="3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16"/>
              <w:spacing w:after="0"/>
              <w:rPr>
                <w:sz w:val="20"/>
                <w:szCs w:val="20"/>
                <w:color w:val="auto"/>
              </w:rPr>
            </w:pPr>
            <w:r>
              <w:rPr>
                <w:rFonts w:ascii="Arial" w:cs="Arial" w:eastAsia="Arial" w:hAnsi="Arial"/>
                <w:sz w:val="18"/>
                <w:szCs w:val="18"/>
                <w:b w:val="1"/>
                <w:bCs w:val="1"/>
                <w:color w:val="auto"/>
                <w:w w:val="99"/>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center"/>
              <w:ind w:right="136"/>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02"/>
        </w:trPr>
        <w:tc>
          <w:tcPr>
            <w:tcW w:w="7100" w:type="dxa"/>
            <w:vAlign w:val="bottom"/>
            <w:gridSpan w:val="2"/>
            <w:vMerge w:val="continue"/>
          </w:tcPr>
          <w:p>
            <w:pPr>
              <w:spacing w:after="0"/>
              <w:rPr>
                <w:sz w:val="17"/>
                <w:szCs w:val="17"/>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vMerge w:val="restart"/>
          </w:tcPr>
          <w:p>
            <w:pPr>
              <w:jc w:val="right"/>
              <w:ind w:right="36"/>
              <w:spacing w:after="0"/>
              <w:rPr>
                <w:sz w:val="20"/>
                <w:szCs w:val="20"/>
                <w:color w:val="auto"/>
              </w:rPr>
            </w:pPr>
            <w:r>
              <w:rPr>
                <w:rFonts w:ascii="Arial" w:cs="Arial" w:eastAsia="Arial" w:hAnsi="Arial"/>
                <w:sz w:val="16"/>
                <w:szCs w:val="16"/>
                <w:color w:val="auto"/>
              </w:rPr>
              <w:t>3,198</w:t>
            </w:r>
          </w:p>
        </w:tc>
        <w:tc>
          <w:tcPr>
            <w:tcW w:w="10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vMerge w:val="restart"/>
          </w:tcPr>
          <w:p>
            <w:pPr>
              <w:jc w:val="right"/>
              <w:ind w:right="36"/>
              <w:spacing w:after="0"/>
              <w:rPr>
                <w:sz w:val="20"/>
                <w:szCs w:val="20"/>
                <w:color w:val="auto"/>
              </w:rPr>
            </w:pPr>
            <w:r>
              <w:rPr>
                <w:rFonts w:ascii="Arial" w:cs="Arial" w:eastAsia="Arial" w:hAnsi="Arial"/>
                <w:sz w:val="16"/>
                <w:szCs w:val="16"/>
                <w:color w:val="auto"/>
              </w:rPr>
              <w:t>3,057</w:t>
            </w:r>
          </w:p>
        </w:tc>
        <w:tc>
          <w:tcPr>
            <w:tcW w:w="0" w:type="dxa"/>
            <w:vAlign w:val="bottom"/>
          </w:tcPr>
          <w:p>
            <w:pPr>
              <w:spacing w:after="0"/>
              <w:rPr>
                <w:sz w:val="1"/>
                <w:szCs w:val="1"/>
                <w:color w:val="auto"/>
              </w:rPr>
            </w:pPr>
          </w:p>
        </w:tc>
      </w:tr>
      <w:tr>
        <w:trPr>
          <w:trHeight w:val="215"/>
        </w:trPr>
        <w:tc>
          <w:tcPr>
            <w:tcW w:w="7100" w:type="dxa"/>
            <w:vAlign w:val="bottom"/>
            <w:gridSpan w:val="2"/>
          </w:tcPr>
          <w:p>
            <w:pPr>
              <w:ind w:left="720"/>
              <w:spacing w:after="0"/>
              <w:rPr>
                <w:sz w:val="20"/>
                <w:szCs w:val="20"/>
                <w:color w:val="auto"/>
              </w:rPr>
            </w:pPr>
            <w:r>
              <w:rPr>
                <w:rFonts w:ascii="Arial" w:cs="Arial" w:eastAsia="Arial" w:hAnsi="Arial"/>
                <w:sz w:val="16"/>
                <w:szCs w:val="16"/>
                <w:color w:val="auto"/>
              </w:rPr>
              <w:t>Operating lease ROU assets</w:t>
            </w:r>
          </w:p>
        </w:tc>
        <w:tc>
          <w:tcPr>
            <w:tcW w:w="30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7100" w:type="dxa"/>
            <w:vAlign w:val="bottom"/>
            <w:gridSpan w:val="2"/>
          </w:tcPr>
          <w:p>
            <w:pPr>
              <w:ind w:left="72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6"/>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6"/>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6"/>
        </w:trPr>
        <w:tc>
          <w:tcPr>
            <w:tcW w:w="7100" w:type="dxa"/>
            <w:vAlign w:val="bottom"/>
            <w:gridSpan w:val="2"/>
          </w:tcPr>
          <w:p>
            <w:pPr>
              <w:ind w:left="720"/>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211"/>
        </w:trPr>
        <w:tc>
          <w:tcPr>
            <w:tcW w:w="7100" w:type="dxa"/>
            <w:vAlign w:val="bottom"/>
            <w:gridSpan w:val="2"/>
          </w:tcPr>
          <w:p>
            <w:pPr>
              <w:ind w:left="7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3,251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7100" w:type="dxa"/>
            <w:vAlign w:val="bottom"/>
            <w:gridSpan w:val="2"/>
          </w:tcPr>
          <w:p>
            <w:pPr>
              <w:ind w:left="720"/>
              <w:spacing w:after="0"/>
              <w:rPr>
                <w:sz w:val="20"/>
                <w:szCs w:val="20"/>
                <w:color w:val="auto"/>
              </w:rPr>
            </w:pPr>
            <w:r>
              <w:rPr>
                <w:rFonts w:ascii="Arial" w:cs="Arial" w:eastAsia="Arial" w:hAnsi="Arial"/>
                <w:sz w:val="16"/>
                <w:szCs w:val="16"/>
                <w:color w:val="auto"/>
              </w:rPr>
              <w:t>Weighted average remaining lease term</w:t>
            </w:r>
          </w:p>
        </w:tc>
        <w:tc>
          <w:tcPr>
            <w:tcW w:w="300" w:type="dxa"/>
            <w:vAlign w:val="bottom"/>
          </w:tcPr>
          <w:p>
            <w:pPr>
              <w:spacing w:after="0"/>
              <w:rPr>
                <w:sz w:val="24"/>
                <w:szCs w:val="2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7.9 years</w:t>
            </w:r>
          </w:p>
        </w:tc>
        <w:tc>
          <w:tcPr>
            <w:tcW w:w="2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16"/>
        </w:trPr>
        <w:tc>
          <w:tcPr>
            <w:tcW w:w="7100" w:type="dxa"/>
            <w:vAlign w:val="bottom"/>
            <w:gridSpan w:val="2"/>
          </w:tcPr>
          <w:p>
            <w:pPr>
              <w:ind w:left="720"/>
              <w:spacing w:after="0"/>
              <w:rPr>
                <w:sz w:val="20"/>
                <w:szCs w:val="20"/>
                <w:color w:val="auto"/>
              </w:rPr>
            </w:pPr>
            <w:r>
              <w:rPr>
                <w:rFonts w:ascii="Arial" w:cs="Arial" w:eastAsia="Arial" w:hAnsi="Arial"/>
                <w:sz w:val="16"/>
                <w:szCs w:val="16"/>
                <w:color w:val="auto"/>
              </w:rPr>
              <w:t>Weighted average discount rate</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4.98 %</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Included within accounts payable and other current liabilities.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6"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Six Months Ended</w:t>
      </w:r>
    </w:p>
    <w:p>
      <w:pPr>
        <w:ind w:left="8640"/>
        <w:spacing w:after="0"/>
        <w:rPr>
          <w:sz w:val="20"/>
          <w:szCs w:val="20"/>
          <w:color w:val="auto"/>
        </w:rPr>
      </w:pPr>
      <w:r>
        <w:rPr>
          <w:rFonts w:ascii="Arial" w:cs="Arial" w:eastAsia="Arial" w:hAnsi="Arial"/>
          <w:sz w:val="18"/>
          <w:szCs w:val="18"/>
          <w:b w:val="1"/>
          <w:bCs w:val="1"/>
          <w:color w:val="auto"/>
        </w:rPr>
        <w:t>June 30,</w:t>
      </w:r>
    </w:p>
    <w:p>
      <w:pPr>
        <w:spacing w:after="0" w:line="22" w:lineRule="exact"/>
        <w:rPr>
          <w:sz w:val="20"/>
          <w:szCs w:val="20"/>
          <w:color w:val="auto"/>
        </w:rPr>
      </w:pPr>
    </w:p>
    <w:tbl>
      <w:tblPr>
        <w:tblLayout w:type="fixed"/>
        <w:tblInd w:w="520" w:type="dxa"/>
        <w:tblCellMar>
          <w:top w:w="0" w:type="dxa"/>
          <w:left w:w="0" w:type="dxa"/>
          <w:bottom w:w="0" w:type="dxa"/>
          <w:right w:w="0" w:type="dxa"/>
        </w:tblCellMar>
      </w:tblPr>
      <w:tr>
        <w:trPr>
          <w:trHeight w:val="225"/>
        </w:trPr>
        <w:tc>
          <w:tcPr>
            <w:tcW w:w="6800" w:type="dxa"/>
            <w:vAlign w:val="bottom"/>
            <w:vMerge w:val="restart"/>
          </w:tcPr>
          <w:p>
            <w:pPr>
              <w:spacing w:after="0"/>
              <w:rPr>
                <w:sz w:val="20"/>
                <w:szCs w:val="20"/>
                <w:color w:val="auto"/>
              </w:rPr>
            </w:pPr>
            <w:r>
              <w:rPr>
                <w:rFonts w:ascii="Arial" w:cs="Arial" w:eastAsia="Arial" w:hAnsi="Arial"/>
                <w:sz w:val="16"/>
                <w:szCs w:val="16"/>
                <w:b w:val="1"/>
                <w:bCs w:val="1"/>
                <w:color w:val="auto"/>
              </w:rPr>
              <w:t>Cash payments for lease liabilities within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5"/>
        </w:trPr>
        <w:tc>
          <w:tcPr>
            <w:tcW w:w="68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6"/>
                <w:szCs w:val="16"/>
                <w:b w:val="1"/>
                <w:bCs w:val="1"/>
                <w:color w:val="auto"/>
              </w:rPr>
              <w:t>Non-cash activities - increase (decrease) in ROU assets in exchange for lease liabilities: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08" w:right="9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hanging="342"/>
        <w:spacing w:after="0"/>
        <w:tabs>
          <w:tab w:leader="none" w:pos="4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2024, we initiated a global restructuring plan to further right size our operations (“Global Rightsizing”). The costs associated with this initiative are primarily related to the operational scaling of processes, locations, and lines of business. We expect further restructuring expense of approximately $15 million related to this initiative to be incurred this year.</w:t>
      </w:r>
    </w:p>
    <w:p>
      <w:pPr>
        <w:spacing w:after="0" w:line="198"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In 2022, we initiated a restructuring plan to focus on consolidating our global operations by designing new processes and implementing new systems (“Cost Optimization”). This initiative is complete.</w:t>
      </w:r>
    </w:p>
    <w:p>
      <w:pPr>
        <w:spacing w:after="0" w:line="180" w:lineRule="exact"/>
        <w:rPr>
          <w:sz w:val="20"/>
          <w:szCs w:val="20"/>
          <w:color w:val="auto"/>
        </w:rPr>
      </w:pPr>
    </w:p>
    <w:p>
      <w:pPr>
        <w:jc w:val="both"/>
        <w:ind w:left="500"/>
        <w:spacing w:after="0" w:line="276" w:lineRule="auto"/>
        <w:rPr>
          <w:sz w:val="20"/>
          <w:szCs w:val="20"/>
          <w:color w:val="auto"/>
        </w:rPr>
      </w:pPr>
      <w:r>
        <w:rPr>
          <w:rFonts w:ascii="Arial" w:cs="Arial" w:eastAsia="Arial" w:hAnsi="Arial"/>
          <w:sz w:val="18"/>
          <w:szCs w:val="18"/>
          <w:color w:val="auto"/>
        </w:rPr>
        <w:t>The following tables summarize the changes to our restructuring-related liabilities and identify the amounts recorded within our reportable segments for restructuring charges and corresponding payments and utilizations:</w:t>
      </w:r>
    </w:p>
    <w:tbl>
      <w:tblPr>
        <w:tblLayout w:type="fixed"/>
        <w:tblInd w:w="500" w:type="dxa"/>
        <w:tblCellMar>
          <w:top w:w="0" w:type="dxa"/>
          <w:left w:w="0" w:type="dxa"/>
          <w:bottom w:w="0" w:type="dxa"/>
          <w:right w:w="0" w:type="dxa"/>
        </w:tblCellMar>
      </w:tblPr>
      <w:tr>
        <w:trPr>
          <w:trHeight w:val="164"/>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79"/>
              <w:spacing w:after="0" w:line="164" w:lineRule="exact"/>
              <w:rPr>
                <w:sz w:val="20"/>
                <w:szCs w:val="20"/>
                <w:color w:val="auto"/>
              </w:rPr>
            </w:pPr>
            <w:r>
              <w:rPr>
                <w:rFonts w:ascii="Arial" w:cs="Arial" w:eastAsia="Arial" w:hAnsi="Arial"/>
                <w:sz w:val="16"/>
                <w:szCs w:val="16"/>
                <w:b w:val="1"/>
                <w:bCs w:val="1"/>
                <w:color w:val="auto"/>
              </w:rPr>
              <w:t>Personnel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restart"/>
          </w:tcPr>
          <w:p>
            <w:pPr>
              <w:jc w:val="right"/>
              <w:ind w:right="60"/>
              <w:spacing w:after="0"/>
              <w:rPr>
                <w:sz w:val="20"/>
                <w:szCs w:val="20"/>
                <w:color w:val="auto"/>
              </w:rPr>
            </w:pPr>
            <w:r>
              <w:rPr>
                <w:rFonts w:ascii="Arial" w:cs="Arial" w:eastAsia="Arial" w:hAnsi="Arial"/>
                <w:sz w:val="16"/>
                <w:szCs w:val="16"/>
                <w:b w:val="1"/>
                <w:bCs w:val="1"/>
                <w:color w:val="auto"/>
              </w:rPr>
              <w:t>Facility Related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vMerge w:val="restart"/>
          </w:tcPr>
          <w:p>
            <w:pPr>
              <w:ind w:left="32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4"/>
                <w:szCs w:val="14"/>
                <w:color w:val="auto"/>
              </w:rPr>
            </w:pPr>
          </w:p>
        </w:tc>
        <w:tc>
          <w:tcPr>
            <w:tcW w:w="10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680" w:type="dxa"/>
            <w:vAlign w:val="bottom"/>
            <w:vMerge w:val="restart"/>
          </w:tcPr>
          <w:p>
            <w:pPr>
              <w:ind w:left="20"/>
              <w:spacing w:after="0"/>
              <w:rPr>
                <w:sz w:val="20"/>
                <w:szCs w:val="20"/>
                <w:color w:val="auto"/>
              </w:rPr>
            </w:pPr>
            <w:r>
              <w:rPr>
                <w:rFonts w:ascii="Arial" w:cs="Arial" w:eastAsia="Arial" w:hAnsi="Arial"/>
                <w:sz w:val="16"/>
                <w:szCs w:val="16"/>
                <w:color w:val="auto"/>
              </w:rPr>
              <w:t>Balance as of January 1, 2025</w:t>
            </w:r>
          </w:p>
        </w:tc>
        <w:tc>
          <w:tcPr>
            <w:tcW w:w="18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b w:val="1"/>
                <w:bCs w:val="1"/>
                <w:color w:val="auto"/>
              </w:rPr>
              <w:t>Related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10"/>
        </w:trPr>
        <w:tc>
          <w:tcPr>
            <w:tcW w:w="4680" w:type="dxa"/>
            <w:vAlign w:val="bottom"/>
          </w:tcPr>
          <w:p>
            <w:pPr>
              <w:ind w:left="120"/>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680" w:type="dxa"/>
            <w:vAlign w:val="bottom"/>
          </w:tcPr>
          <w:p>
            <w:pPr>
              <w:ind w:left="220"/>
              <w:spacing w:after="0"/>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40"/>
        </w:trPr>
        <w:tc>
          <w:tcPr>
            <w:tcW w:w="4680" w:type="dxa"/>
            <w:vAlign w:val="bottom"/>
          </w:tcPr>
          <w:p>
            <w:pPr>
              <w:ind w:left="120"/>
              <w:spacing w:after="0"/>
              <w:rPr>
                <w:sz w:val="20"/>
                <w:szCs w:val="20"/>
                <w:color w:val="auto"/>
              </w:rPr>
            </w:pPr>
            <w:r>
              <w:rPr>
                <w:rFonts w:ascii="Arial" w:cs="Arial" w:eastAsia="Arial" w:hAnsi="Arial"/>
                <w:sz w:val="16"/>
                <w:szCs w:val="16"/>
                <w:color w:val="auto"/>
              </w:rPr>
              <w:t>Restructuring payment/utilization:</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220"/>
              <w:spacing w:after="0" w:line="218" w:lineRule="exact"/>
              <w:rPr>
                <w:sz w:val="20"/>
                <w:szCs w:val="20"/>
                <w:color w:val="auto"/>
              </w:rPr>
            </w:pPr>
            <w:r>
              <w:rPr>
                <w:rFonts w:ascii="Arial" w:cs="Arial" w:eastAsia="Arial" w:hAnsi="Arial"/>
                <w:sz w:val="16"/>
                <w:szCs w:val="16"/>
                <w:color w:val="auto"/>
              </w:rPr>
              <w:t xml:space="preserve">Global Rightsizing </w:t>
            </w:r>
            <w:r>
              <w:rPr>
                <w:rFonts w:ascii="Arial" w:cs="Arial" w:eastAsia="Arial" w:hAnsi="Arial"/>
                <w:sz w:val="21"/>
                <w:szCs w:val="21"/>
                <w:color w:val="auto"/>
                <w:vertAlign w:val="superscript"/>
              </w:rPr>
              <w:t>(a)</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5"/>
        </w:trPr>
        <w:tc>
          <w:tcPr>
            <w:tcW w:w="4680" w:type="dxa"/>
            <w:vAlign w:val="bottom"/>
          </w:tcPr>
          <w:p>
            <w:pPr>
              <w:ind w:left="220"/>
              <w:spacing w:after="0"/>
              <w:rPr>
                <w:sz w:val="20"/>
                <w:szCs w:val="20"/>
                <w:color w:val="auto"/>
              </w:rPr>
            </w:pPr>
            <w:r>
              <w:rPr>
                <w:rFonts w:ascii="Arial" w:cs="Arial" w:eastAsia="Arial" w:hAnsi="Arial"/>
                <w:sz w:val="16"/>
                <w:szCs w:val="16"/>
                <w:color w:val="auto"/>
              </w:rPr>
              <w:t>Cost Optimization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97"/>
        </w:trPr>
        <w:tc>
          <w:tcPr>
            <w:tcW w:w="4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680" w:type="dxa"/>
            <w:vAlign w:val="bottom"/>
          </w:tcPr>
          <w:p>
            <w:pPr>
              <w:ind w:left="20"/>
              <w:spacing w:after="0"/>
              <w:rPr>
                <w:sz w:val="20"/>
                <w:szCs w:val="20"/>
                <w:color w:val="auto"/>
              </w:rPr>
            </w:pPr>
            <w:r>
              <w:rPr>
                <w:rFonts w:ascii="Arial" w:cs="Arial" w:eastAsia="Arial" w:hAnsi="Arial"/>
                <w:sz w:val="16"/>
                <w:szCs w:val="16"/>
                <w:color w:val="auto"/>
              </w:rPr>
              <w:t>Balance as of June 30, 2025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
        </w:trPr>
        <w:tc>
          <w:tcPr>
            <w:tcW w:w="46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4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20"/>
                <w:szCs w:val="20"/>
                <w:color w:val="auto"/>
              </w:rPr>
            </w:pPr>
            <w:r>
              <w:rPr>
                <w:rFonts w:ascii="Arial" w:cs="Arial" w:eastAsia="Arial" w:hAnsi="Arial"/>
                <w:sz w:val="9"/>
                <w:szCs w:val="9"/>
                <w:color w:val="auto"/>
              </w:rPr>
              <w:t>(a)</w:t>
            </w:r>
            <w:r>
              <w:rPr>
                <w:rFonts w:ascii="Arial" w:cs="Arial" w:eastAsia="Arial" w:hAnsi="Arial"/>
                <w:sz w:val="14"/>
                <w:szCs w:val="14"/>
                <w:color w:val="auto"/>
              </w:rPr>
              <w:t>Other includes the disposition of vehicles.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1"/>
        </w:trPr>
        <w:tc>
          <w:tcPr>
            <w:tcW w:w="4680" w:type="dxa"/>
            <w:vAlign w:val="bottom"/>
            <w:vMerge w:val="restart"/>
          </w:tcPr>
          <w:p>
            <w:pPr>
              <w:ind w:left="20"/>
              <w:spacing w:after="0"/>
              <w:rPr>
                <w:sz w:val="20"/>
                <w:szCs w:val="20"/>
                <w:color w:val="auto"/>
              </w:rPr>
            </w:pPr>
            <w:r>
              <w:rPr>
                <w:rFonts w:ascii="Arial" w:cs="Arial" w:eastAsia="Arial" w:hAnsi="Arial"/>
                <w:sz w:val="16"/>
                <w:szCs w:val="16"/>
                <w:color w:val="auto"/>
              </w:rPr>
              <w:t>Balance as of January 1, 2025</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Americas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b w:val="1"/>
                <w:bCs w:val="1"/>
                <w:color w:val="auto"/>
              </w:rPr>
              <w:t>International</w:t>
            </w:r>
          </w:p>
        </w:tc>
        <w:tc>
          <w:tcPr>
            <w:tcW w:w="280" w:type="dxa"/>
            <w:vAlign w:val="bottom"/>
          </w:tcPr>
          <w:p>
            <w:pPr>
              <w:spacing w:after="0"/>
              <w:rPr>
                <w:sz w:val="24"/>
                <w:szCs w:val="24"/>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6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10"/>
        </w:trPr>
        <w:tc>
          <w:tcPr>
            <w:tcW w:w="4680" w:type="dxa"/>
            <w:vAlign w:val="bottom"/>
          </w:tcPr>
          <w:p>
            <w:pPr>
              <w:ind w:left="140"/>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10"/>
        </w:trPr>
        <w:tc>
          <w:tcPr>
            <w:tcW w:w="4680" w:type="dxa"/>
            <w:vAlign w:val="bottom"/>
          </w:tcPr>
          <w:p>
            <w:pPr>
              <w:ind w:left="140"/>
              <w:spacing w:after="0"/>
              <w:rPr>
                <w:sz w:val="20"/>
                <w:szCs w:val="20"/>
                <w:color w:val="auto"/>
              </w:rPr>
            </w:pPr>
            <w:r>
              <w:rPr>
                <w:rFonts w:ascii="Arial" w:cs="Arial" w:eastAsia="Arial" w:hAnsi="Arial"/>
                <w:sz w:val="16"/>
                <w:szCs w:val="16"/>
                <w:color w:val="auto"/>
              </w:rPr>
              <w:t>Restructuring payment/utilization:</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6"/>
                <w:szCs w:val="16"/>
                <w:color w:val="auto"/>
              </w:rPr>
              <w:t>Cost Optimization</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96"/>
        </w:trPr>
        <w:tc>
          <w:tcPr>
            <w:tcW w:w="4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gridSpan w:val="3"/>
          </w:tcPr>
          <w:p>
            <w:pPr>
              <w:spacing w:after="0"/>
              <w:rPr>
                <w:sz w:val="8"/>
                <w:szCs w:val="8"/>
                <w:color w:val="auto"/>
              </w:rPr>
            </w:pPr>
          </w:p>
        </w:tc>
        <w:tc>
          <w:tcPr>
            <w:tcW w:w="1120" w:type="dxa"/>
            <w:vAlign w:val="bottom"/>
            <w:gridSpan w:val="2"/>
          </w:tcPr>
          <w:p>
            <w:pPr>
              <w:spacing w:after="0"/>
              <w:rPr>
                <w:sz w:val="8"/>
                <w:szCs w:val="8"/>
                <w:color w:val="auto"/>
              </w:rPr>
            </w:pPr>
          </w:p>
        </w:tc>
        <w:tc>
          <w:tcPr>
            <w:tcW w:w="220" w:type="dxa"/>
            <w:vAlign w:val="bottom"/>
            <w:gridSpan w:val="3"/>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20"/>
              <w:spacing w:after="0"/>
              <w:rPr>
                <w:sz w:val="20"/>
                <w:szCs w:val="20"/>
                <w:color w:val="auto"/>
              </w:rPr>
            </w:pPr>
            <w:r>
              <w:rPr>
                <w:rFonts w:ascii="Arial" w:cs="Arial" w:eastAsia="Arial" w:hAnsi="Arial"/>
                <w:sz w:val="16"/>
                <w:szCs w:val="16"/>
                <w:color w:val="auto"/>
              </w:rPr>
              <w:t>Balance as of June 30, 2025</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February 2025, we announced that Joseph A. Ferraro, President and Chief Executive Officer, will transition to a Board Advisor role effective June 30, 2025. In connection with Mr. Ferraro’s departure, we recorded other related charges of approximately $8 million for the three and six months ended June 30, 2025, and expect further expense of approximately $7 million to be incurred this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 w:hanging="34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(loss) per share (“EPS”) (shares in millions):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5140" w:type="dxa"/>
            <w:vAlign w:val="bottom"/>
          </w:tcPr>
          <w:p>
            <w:pPr>
              <w:spacing w:after="0"/>
              <w:rPr>
                <w:sz w:val="18"/>
                <w:szCs w:val="18"/>
                <w:color w:val="auto"/>
              </w:rPr>
            </w:pPr>
          </w:p>
        </w:tc>
        <w:tc>
          <w:tcPr>
            <w:tcW w:w="252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8"/>
                <w:szCs w:val="18"/>
                <w:color w:val="auto"/>
              </w:rPr>
            </w:pPr>
          </w:p>
        </w:tc>
        <w:tc>
          <w:tcPr>
            <w:tcW w:w="23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5140" w:type="dxa"/>
            <w:vAlign w:val="bottom"/>
            <w:vMerge w:val="restart"/>
          </w:tcPr>
          <w:p>
            <w:pPr>
              <w:spacing w:after="0"/>
              <w:rPr>
                <w:sz w:val="20"/>
                <w:szCs w:val="20"/>
                <w:color w:val="auto"/>
              </w:rPr>
            </w:pPr>
            <w:r>
              <w:rPr>
                <w:rFonts w:ascii="Arial" w:cs="Arial" w:eastAsia="Arial" w:hAnsi="Arial"/>
                <w:sz w:val="16"/>
                <w:szCs w:val="16"/>
                <w:color w:val="auto"/>
              </w:rPr>
              <w:t>Net income (loss) attributable to Avis Budget Group, Inc. for basic and</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760" w:type="dxa"/>
            <w:vAlign w:val="bottom"/>
            <w:vMerge w:val="restart"/>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4"/>
        </w:trPr>
        <w:tc>
          <w:tcPr>
            <w:tcW w:w="5140" w:type="dxa"/>
            <w:vAlign w:val="bottom"/>
          </w:tcPr>
          <w:p>
            <w:pPr>
              <w:ind w:left="160"/>
              <w:spacing w:after="0"/>
              <w:rPr>
                <w:sz w:val="20"/>
                <w:szCs w:val="20"/>
                <w:color w:val="auto"/>
              </w:rPr>
            </w:pPr>
            <w:r>
              <w:rPr>
                <w:rFonts w:ascii="Arial" w:cs="Arial" w:eastAsia="Arial" w:hAnsi="Arial"/>
                <w:sz w:val="16"/>
                <w:szCs w:val="16"/>
                <w:color w:val="auto"/>
              </w:rPr>
              <w:t>diluted EPS</w:t>
            </w:r>
          </w:p>
        </w:tc>
        <w:tc>
          <w:tcPr>
            <w:tcW w:w="7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514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8"/>
        </w:trPr>
        <w:tc>
          <w:tcPr>
            <w:tcW w:w="5140" w:type="dxa"/>
            <w:vAlign w:val="bottom"/>
          </w:tcPr>
          <w:p>
            <w:pPr>
              <w:spacing w:after="0" w:line="218" w:lineRule="exact"/>
              <w:rPr>
                <w:sz w:val="20"/>
                <w:szCs w:val="20"/>
                <w:color w:val="auto"/>
              </w:rPr>
            </w:pPr>
            <w:r>
              <w:rPr>
                <w:rFonts w:ascii="Arial" w:cs="Arial" w:eastAsia="Arial" w:hAnsi="Arial"/>
                <w:sz w:val="16"/>
                <w:szCs w:val="16"/>
                <w:color w:val="auto"/>
              </w:rPr>
              <w:t xml:space="preserve">Non-vested stock </w:t>
            </w:r>
            <w:r>
              <w:rPr>
                <w:rFonts w:ascii="Arial" w:cs="Arial" w:eastAsia="Arial" w:hAnsi="Arial"/>
                <w:sz w:val="21"/>
                <w:szCs w:val="21"/>
                <w:color w:val="auto"/>
                <w:vertAlign w:val="superscript"/>
              </w:rPr>
              <w:t>(a)</w:t>
            </w: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40" w:type="dxa"/>
            <w:vAlign w:val="bottom"/>
          </w:tcPr>
          <w:p>
            <w:pPr>
              <w:spacing w:after="0" w:line="210" w:lineRule="exact"/>
              <w:rPr>
                <w:sz w:val="20"/>
                <w:szCs w:val="20"/>
                <w:color w:val="auto"/>
              </w:rPr>
            </w:pPr>
            <w:r>
              <w:rPr>
                <w:rFonts w:ascii="Arial" w:cs="Arial" w:eastAsia="Arial" w:hAnsi="Arial"/>
                <w:sz w:val="16"/>
                <w:szCs w:val="16"/>
                <w:color w:val="auto"/>
              </w:rPr>
              <w:t xml:space="preserve">Diluted weighted average shares outstanding </w:t>
            </w:r>
            <w:r>
              <w:rPr>
                <w:rFonts w:ascii="Arial" w:cs="Arial" w:eastAsia="Arial" w:hAnsi="Arial"/>
                <w:sz w:val="21"/>
                <w:szCs w:val="21"/>
                <w:color w:val="auto"/>
                <w:vertAlign w:val="superscript"/>
              </w:rPr>
              <w:t>(b)</w:t>
            </w:r>
          </w:p>
        </w:tc>
        <w:tc>
          <w:tcPr>
            <w:tcW w:w="7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
        </w:trPr>
        <w:tc>
          <w:tcPr>
            <w:tcW w:w="514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 per share</w:t>
            </w: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51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80"/>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87"/>
        </w:trPr>
        <w:tc>
          <w:tcPr>
            <w:tcW w:w="5140" w:type="dxa"/>
            <w:vAlign w:val="bottom"/>
          </w:tcPr>
          <w:p>
            <w:pPr>
              <w:ind w:left="8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(c)</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0.41</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820" w:hanging="326"/>
        <w:spacing w:after="0" w:line="218" w:lineRule="auto"/>
        <w:tabs>
          <w:tab w:leader="none" w:pos="813" w:val="left"/>
        </w:tabs>
        <w:numPr>
          <w:ilvl w:val="1"/>
          <w:numId w:val="1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2025 and 2024, 0.1 million and 0.2 million non-vested stock awards, respectively, have an anti-dilutive effect and therefore are excluded from the computation of diluted weighted average shares outstanding.</w:t>
      </w:r>
    </w:p>
    <w:p>
      <w:pPr>
        <w:spacing w:after="0" w:line="1" w:lineRule="exact"/>
        <w:rPr>
          <w:rFonts w:ascii="Arial" w:cs="Arial" w:eastAsia="Arial" w:hAnsi="Arial"/>
          <w:sz w:val="19"/>
          <w:szCs w:val="19"/>
          <w:color w:val="auto"/>
          <w:vertAlign w:val="superscript"/>
        </w:rPr>
      </w:pPr>
    </w:p>
    <w:p>
      <w:pPr>
        <w:jc w:val="both"/>
        <w:ind w:left="820" w:hanging="326"/>
        <w:spacing w:after="0" w:line="261" w:lineRule="auto"/>
        <w:tabs>
          <w:tab w:leader="none" w:pos="813" w:val="left"/>
        </w:tabs>
        <w:numPr>
          <w:ilvl w:val="1"/>
          <w:numId w:val="15"/>
        </w:numPr>
        <w:rPr>
          <w:rFonts w:ascii="Arial" w:cs="Arial" w:eastAsia="Arial" w:hAnsi="Arial"/>
          <w:sz w:val="9"/>
          <w:szCs w:val="9"/>
          <w:color w:val="auto"/>
        </w:rPr>
      </w:pPr>
      <w:r>
        <w:rPr>
          <w:rFonts w:ascii="Arial" w:cs="Arial" w:eastAsia="Arial" w:hAnsi="Arial"/>
          <w:sz w:val="14"/>
          <w:szCs w:val="14"/>
          <w:color w:val="auto"/>
        </w:rPr>
        <w:t>For the six months ended June 30, 2025 and 2024, our number of diluted weighted average shares outstanding excludes the effect of non-vested stock as the effect would have been anti-dilutive. This occurs when a net loss is reported and the effect of using dilutive shares would be anti-dilutive. For the six months ended June 30, 2025 and 2024, 0.4 million non-vested stock awards, in each period, have an anti-dilutive effect and therefore have been excluded from the computation of diluted weighted average shares outstanding.</w:t>
      </w:r>
    </w:p>
    <w:p>
      <w:pPr>
        <w:spacing w:after="0" w:line="1" w:lineRule="exact"/>
        <w:rPr>
          <w:rFonts w:ascii="Arial" w:cs="Arial" w:eastAsia="Arial" w:hAnsi="Arial"/>
          <w:sz w:val="9"/>
          <w:szCs w:val="9"/>
          <w:color w:val="auto"/>
        </w:rPr>
      </w:pPr>
    </w:p>
    <w:p>
      <w:pPr>
        <w:ind w:left="800" w:hanging="306"/>
        <w:spacing w:after="0" w:line="193" w:lineRule="auto"/>
        <w:tabs>
          <w:tab w:leader="none" w:pos="800" w:val="left"/>
        </w:tabs>
        <w:numPr>
          <w:ilvl w:val="1"/>
          <w:numId w:val="15"/>
        </w:numPr>
        <w:rPr>
          <w:rFonts w:ascii="Arial" w:cs="Arial" w:eastAsia="Arial" w:hAnsi="Arial"/>
          <w:sz w:val="19"/>
          <w:szCs w:val="19"/>
          <w:color w:val="auto"/>
          <w:vertAlign w:val="superscript"/>
        </w:rPr>
      </w:pPr>
      <w:r>
        <w:rPr>
          <w:rFonts w:ascii="Arial" w:cs="Arial" w:eastAsia="Arial" w:hAnsi="Arial"/>
          <w:sz w:val="14"/>
          <w:szCs w:val="14"/>
          <w:color w:val="auto"/>
        </w:rPr>
        <w:t>Diluted earnings (loss) per share was computed using the treasury stock method for non-vested stock.</w:t>
      </w:r>
    </w:p>
    <w:p>
      <w:pPr>
        <w:spacing w:after="0" w:line="232" w:lineRule="exact"/>
        <w:rPr>
          <w:rFonts w:ascii="Arial" w:cs="Arial" w:eastAsia="Arial" w:hAnsi="Arial"/>
          <w:sz w:val="19"/>
          <w:szCs w:val="19"/>
          <w:color w:val="auto"/>
          <w:vertAlign w:val="superscript"/>
        </w:rPr>
      </w:pPr>
    </w:p>
    <w:p>
      <w:pPr>
        <w:ind w:left="400" w:hanging="34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200" w:type="dxa"/>
            <w:vAlign w:val="bottom"/>
          </w:tcPr>
          <w:p>
            <w:pPr>
              <w:jc w:val="center"/>
              <w:ind w:left="319"/>
              <w:spacing w:after="0"/>
              <w:rPr>
                <w:sz w:val="20"/>
                <w:szCs w:val="20"/>
                <w:color w:val="auto"/>
              </w:rPr>
            </w:pPr>
            <w:r>
              <w:rPr>
                <w:rFonts w:ascii="Arial" w:cs="Arial" w:eastAsia="Arial" w:hAnsi="Arial"/>
                <w:sz w:val="16"/>
                <w:szCs w:val="16"/>
                <w:b w:val="1"/>
                <w:bCs w:val="1"/>
                <w:color w:val="auto"/>
                <w:w w:val="99"/>
              </w:rPr>
              <w:t>As of</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1200" w:type="dxa"/>
            <w:vAlign w:val="bottom"/>
          </w:tcPr>
          <w:p>
            <w:pPr>
              <w:jc w:val="center"/>
              <w:ind w:left="319"/>
              <w:spacing w:after="0"/>
              <w:rPr>
                <w:sz w:val="20"/>
                <w:szCs w:val="20"/>
                <w:color w:val="auto"/>
              </w:rPr>
            </w:pPr>
            <w:r>
              <w:rPr>
                <w:rFonts w:ascii="Arial" w:cs="Arial" w:eastAsia="Arial" w:hAnsi="Arial"/>
                <w:sz w:val="16"/>
                <w:szCs w:val="16"/>
                <w:b w:val="1"/>
                <w:bCs w:val="1"/>
                <w:color w:val="auto"/>
                <w:w w:val="99"/>
              </w:rPr>
              <w:t>June 30,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120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r>
      <w:tr>
        <w:trPr>
          <w:trHeight w:val="208"/>
        </w:trPr>
        <w:tc>
          <w:tcPr>
            <w:tcW w:w="6800" w:type="dxa"/>
            <w:vAlign w:val="bottom"/>
          </w:tcPr>
          <w:p>
            <w:pPr>
              <w:spacing w:after="0"/>
              <w:rPr>
                <w:sz w:val="20"/>
                <w:szCs w:val="20"/>
                <w:color w:val="auto"/>
              </w:rPr>
            </w:pPr>
            <w:r>
              <w:rPr>
                <w:rFonts w:ascii="Arial" w:cs="Arial" w:eastAsia="Arial" w:hAnsi="Arial"/>
                <w:sz w:val="16"/>
                <w:szCs w:val="16"/>
                <w:color w:val="auto"/>
              </w:rPr>
              <w:t>Sales and use taxes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431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7"/>
        </w:trPr>
        <w:tc>
          <w:tcPr>
            <w:tcW w:w="6800" w:type="dxa"/>
            <w:vAlign w:val="bottom"/>
          </w:tcPr>
          <w:p>
            <w:pPr>
              <w:spacing w:after="0" w:line="217" w:lineRule="exact"/>
              <w:rPr>
                <w:sz w:val="20"/>
                <w:szCs w:val="20"/>
                <w:color w:val="auto"/>
              </w:rPr>
            </w:pPr>
            <w:r>
              <w:rPr>
                <w:rFonts w:ascii="Arial" w:cs="Arial" w:eastAsia="Arial" w:hAnsi="Arial"/>
                <w:sz w:val="16"/>
                <w:szCs w:val="16"/>
                <w:color w:val="auto"/>
              </w:rPr>
              <w:t xml:space="preserve">Prepaid expenses </w:t>
            </w:r>
            <w:r>
              <w:rPr>
                <w:rFonts w:ascii="Arial" w:cs="Arial" w:eastAsia="Arial" w:hAnsi="Arial"/>
                <w:sz w:val="21"/>
                <w:szCs w:val="21"/>
                <w:color w:val="auto"/>
                <w:vertAlign w:val="superscript"/>
              </w:rPr>
              <w:t>(a)</w:t>
            </w: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16"/>
        </w:trPr>
        <w:tc>
          <w:tcPr>
            <w:tcW w:w="6800" w:type="dxa"/>
            <w:vAlign w:val="bottom"/>
          </w:tcPr>
          <w:p>
            <w:pPr>
              <w:spacing w:after="0" w:line="216" w:lineRule="exact"/>
              <w:rPr>
                <w:sz w:val="20"/>
                <w:szCs w:val="20"/>
                <w:color w:val="auto"/>
              </w:rPr>
            </w:pPr>
            <w:r>
              <w:rPr>
                <w:rFonts w:ascii="Arial" w:cs="Arial" w:eastAsia="Arial" w:hAnsi="Arial"/>
                <w:sz w:val="16"/>
                <w:szCs w:val="16"/>
                <w:color w:val="auto"/>
              </w:rPr>
              <w:t xml:space="preserve">Prepaid vehicle license and registration </w:t>
            </w:r>
            <w:r>
              <w:rPr>
                <w:rFonts w:ascii="Arial" w:cs="Arial" w:eastAsia="Arial" w:hAnsi="Arial"/>
                <w:sz w:val="21"/>
                <w:szCs w:val="21"/>
                <w:color w:val="auto"/>
                <w:vertAlign w:val="superscript"/>
              </w:rPr>
              <w:t>(a)</w:t>
            </w: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r>
      <w:tr>
        <w:trPr>
          <w:trHeight w:val="20"/>
        </w:trPr>
        <w:tc>
          <w:tcPr>
            <w:tcW w:w="6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820" w:right="20" w:hanging="326"/>
        <w:spacing w:after="0" w:line="230" w:lineRule="auto"/>
        <w:tabs>
          <w:tab w:leader="none" w:pos="813"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2024, we reclassified $77 million of prepaid vehicle license and registration to conform to the current year presentation. This reclassification had no impact to other current assets.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tabs>
          <w:tab w:leader="none" w:pos="380" w:val="left"/>
        </w:tabs>
        <w:rPr>
          <w:sz w:val="20"/>
          <w:szCs w:val="20"/>
          <w:color w:val="auto"/>
        </w:rPr>
      </w:pPr>
      <w:r>
        <w:rPr>
          <w:rFonts w:ascii="Arial" w:cs="Arial" w:eastAsia="Arial" w:hAnsi="Arial"/>
          <w:sz w:val="18"/>
          <w:szCs w:val="18"/>
          <w:b w:val="1"/>
          <w:bCs w:val="1"/>
          <w:color w:val="auto"/>
        </w:rPr>
        <w:t>6.</w:t>
        <w:tab/>
        <w:t>Intangible Assets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As of June 30, 2025</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2024</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86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27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310</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1"/>
        </w:trPr>
        <w:tc>
          <w:tcPr>
            <w:tcW w:w="278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78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78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8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For the three months ended June 30, 2025 and 2024, amortization expense related to amortizable intangible assets was approximately $5 million and $7 million, respectively. For the six months ended June 30, 2025 and 2024, amortization expense related to amortizable intangible assets was approximately $11 million and $15 million, respectively.</w:t>
      </w:r>
    </w:p>
    <w:p>
      <w:pPr>
        <w:spacing w:after="0" w:line="19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Based on our amortizable intangible assets as of June 30, 2025, we expect amortization expense of approximately $11 million for the remainder of 2025, $22 million for 2026, $17 million for 2027, $10 million for 2028, $8 million for 2029 and $8 million for 2030, excluding effects of currency exchange rates.</w:t>
      </w:r>
    </w:p>
    <w:p>
      <w:pPr>
        <w:spacing w:after="0" w:line="198" w:lineRule="exact"/>
        <w:rPr>
          <w:sz w:val="20"/>
          <w:szCs w:val="20"/>
          <w:color w:val="auto"/>
        </w:rPr>
      </w:pPr>
    </w:p>
    <w:p>
      <w:pPr>
        <w:ind w:left="400" w:hanging="342"/>
        <w:spacing w:after="0"/>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r>
      <w:tr>
        <w:trPr>
          <w:trHeight w:val="208"/>
        </w:trPr>
        <w:tc>
          <w:tcPr>
            <w:tcW w:w="6800" w:type="dxa"/>
            <w:vAlign w:val="bottom"/>
          </w:tcPr>
          <w:p>
            <w:pPr>
              <w:spacing w:after="0"/>
              <w:rPr>
                <w:sz w:val="20"/>
                <w:szCs w:val="20"/>
                <w:color w:val="auto"/>
              </w:rPr>
            </w:pPr>
            <w:r>
              <w:rPr>
                <w:rFonts w:ascii="Arial" w:cs="Arial" w:eastAsia="Arial" w:hAnsi="Arial"/>
                <w:sz w:val="16"/>
                <w:szCs w:val="16"/>
                <w:color w:val="auto"/>
              </w:rPr>
              <w:t>Rental vehicles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23,060</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20,094</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(3,143)</w:t>
            </w:r>
          </w:p>
        </w:tc>
      </w:tr>
      <w:tr>
        <w:trPr>
          <w:trHeight w:val="209"/>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20,117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16,951</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Vehicles held for sale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8"/>
        </w:trPr>
        <w:tc>
          <w:tcPr>
            <w:tcW w:w="6800" w:type="dxa"/>
            <w:vAlign w:val="bottom"/>
          </w:tcPr>
          <w:p>
            <w:pPr>
              <w:spacing w:after="0" w:line="218" w:lineRule="exact"/>
              <w:rPr>
                <w:sz w:val="20"/>
                <w:szCs w:val="20"/>
                <w:color w:val="auto"/>
              </w:rPr>
            </w:pPr>
            <w:r>
              <w:rPr>
                <w:rFonts w:ascii="Arial" w:cs="Arial" w:eastAsia="Arial" w:hAnsi="Arial"/>
                <w:sz w:val="16"/>
                <w:szCs w:val="16"/>
                <w:color w:val="auto"/>
              </w:rPr>
              <w:t xml:space="preserve">Vehicles, net investment in lease </w:t>
            </w:r>
            <w:r>
              <w:rPr>
                <w:rFonts w:ascii="Arial" w:cs="Arial" w:eastAsia="Arial" w:hAnsi="Arial"/>
                <w:sz w:val="21"/>
                <w:szCs w:val="21"/>
                <w:color w:val="auto"/>
                <w:vertAlign w:val="superscript"/>
              </w:rPr>
              <w:t>(a)</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10"/>
        </w:trPr>
        <w:tc>
          <w:tcPr>
            <w:tcW w:w="6800" w:type="dxa"/>
            <w:vAlign w:val="bottom"/>
          </w:tcPr>
          <w:p>
            <w:pPr>
              <w:spacing w:after="0"/>
              <w:rPr>
                <w:sz w:val="20"/>
                <w:szCs w:val="20"/>
                <w:color w:val="auto"/>
              </w:rPr>
            </w:pPr>
            <w:r>
              <w:rPr>
                <w:rFonts w:ascii="Arial" w:cs="Arial" w:eastAsia="Arial" w:hAnsi="Arial"/>
                <w:sz w:val="16"/>
                <w:szCs w:val="16"/>
                <w:color w:val="auto"/>
              </w:rPr>
              <w:t>Vehicles,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17,619</w:t>
            </w: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See Note 14 – Related Party Transactions.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4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June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r>
      <w:tr>
        <w:trPr>
          <w:trHeight w:val="209"/>
        </w:trPr>
        <w:tc>
          <w:tcPr>
            <w:tcW w:w="42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Depreciation expense</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1,217</w:t>
            </w:r>
          </w:p>
        </w:tc>
      </w:tr>
      <w:tr>
        <w:trPr>
          <w:trHeight w:val="207"/>
        </w:trPr>
        <w:tc>
          <w:tcPr>
            <w:tcW w:w="4260" w:type="dxa"/>
            <w:vAlign w:val="bottom"/>
          </w:tcPr>
          <w:p>
            <w:pPr>
              <w:spacing w:after="0"/>
              <w:rPr>
                <w:sz w:val="20"/>
                <w:szCs w:val="20"/>
                <w:color w:val="auto"/>
              </w:rPr>
            </w:pPr>
            <w:r>
              <w:rPr>
                <w:rFonts w:ascii="Arial" w:cs="Arial" w:eastAsia="Arial" w:hAnsi="Arial"/>
                <w:sz w:val="16"/>
                <w:szCs w:val="16"/>
                <w:color w:val="auto"/>
              </w:rPr>
              <w:t>Lease charges</w:t>
            </w: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27"/>
        </w:trPr>
        <w:tc>
          <w:tcPr>
            <w:tcW w:w="4260" w:type="dxa"/>
            <w:vAlign w:val="bottom"/>
          </w:tcPr>
          <w:p>
            <w:pPr>
              <w:spacing w:after="0" w:line="227" w:lineRule="exact"/>
              <w:rPr>
                <w:sz w:val="20"/>
                <w:szCs w:val="20"/>
                <w:color w:val="auto"/>
              </w:rPr>
            </w:pPr>
            <w:r>
              <w:rPr>
                <w:rFonts w:ascii="Arial" w:cs="Arial" w:eastAsia="Arial" w:hAnsi="Arial"/>
                <w:sz w:val="16"/>
                <w:szCs w:val="16"/>
                <w:color w:val="auto"/>
              </w:rPr>
              <w:t xml:space="preserve">(Gain) loss on sale of vehicles, net </w:t>
            </w:r>
            <w:r>
              <w:rPr>
                <w:rFonts w:ascii="Arial" w:cs="Arial" w:eastAsia="Arial" w:hAnsi="Arial"/>
                <w:sz w:val="21"/>
                <w:szCs w:val="21"/>
                <w:color w:val="auto"/>
                <w:vertAlign w:val="superscript"/>
              </w:rPr>
              <w:t>(a)</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426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r>
      <w:tr>
        <w:trPr>
          <w:trHeight w:val="20"/>
        </w:trPr>
        <w:tc>
          <w:tcPr>
            <w:tcW w:w="4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right="20" w:hanging="326"/>
        <w:spacing w:after="0" w:line="284" w:lineRule="auto"/>
        <w:tabs>
          <w:tab w:leader="none" w:pos="813" w:val="left"/>
        </w:tabs>
        <w:numPr>
          <w:ilvl w:val="0"/>
          <w:numId w:val="20"/>
        </w:numPr>
        <w:rPr>
          <w:rFonts w:ascii="Arial" w:cs="Arial" w:eastAsia="Arial" w:hAnsi="Arial"/>
          <w:sz w:val="9"/>
          <w:szCs w:val="9"/>
          <w:color w:val="auto"/>
        </w:rPr>
      </w:pPr>
      <w:r>
        <w:rPr>
          <w:rFonts w:ascii="Arial" w:cs="Arial" w:eastAsia="Arial" w:hAnsi="Arial"/>
          <w:sz w:val="14"/>
          <w:szCs w:val="14"/>
          <w:color w:val="auto"/>
        </w:rPr>
        <w:t>For the six months ended June 30, 2025, includes other fleet charges of $390 million related to the accelerated disposal of certain fleet in our Americas reportable segment. These costs relate to vehicles that were not included in the long-lived asset impairment and other related charges recorded in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As of June 30, 2025 and 2024, we had payables related to vehicle purchases included in liabilities under vehicle programs - other of $630 million and $573 million, respectively, and receivables related to vehicle sales included in assets under vehicle programs - receivables from vehicle manufacturers and other of $137 million and $138 million, respectively.</w:t>
      </w:r>
    </w:p>
    <w:p>
      <w:pPr>
        <w:spacing w:after="0" w:line="198" w:lineRule="exact"/>
        <w:rPr>
          <w:sz w:val="20"/>
          <w:szCs w:val="20"/>
          <w:color w:val="auto"/>
        </w:rPr>
      </w:pPr>
    </w:p>
    <w:p>
      <w:pPr>
        <w:ind w:left="400" w:hanging="342"/>
        <w:spacing w:after="0"/>
        <w:tabs>
          <w:tab w:leader="none" w:pos="4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Our effective tax rate for the six months ended June 30, 2025 was a benefit of 24.6%. Such rate differed from the Federal Statutory rate of 21.0% primarily due to foreign taxes on our International operations and state taxes.</w:t>
      </w:r>
    </w:p>
    <w:p>
      <w:pPr>
        <w:spacing w:after="0" w:line="180" w:lineRule="exact"/>
        <w:rPr>
          <w:sz w:val="20"/>
          <w:szCs w:val="20"/>
          <w:color w:val="auto"/>
        </w:rPr>
      </w:pPr>
    </w:p>
    <w:p>
      <w:pPr>
        <w:jc w:val="both"/>
        <w:ind w:left="500"/>
        <w:spacing w:after="0" w:line="261" w:lineRule="auto"/>
        <w:rPr>
          <w:sz w:val="20"/>
          <w:szCs w:val="20"/>
          <w:color w:val="auto"/>
        </w:rPr>
      </w:pPr>
      <w:r>
        <w:rPr>
          <w:rFonts w:ascii="Arial" w:cs="Arial" w:eastAsia="Arial" w:hAnsi="Arial"/>
          <w:sz w:val="18"/>
          <w:szCs w:val="18"/>
          <w:color w:val="auto"/>
        </w:rPr>
        <w:t>Our effective tax rate for the six months ended June 30, 2024 was a benefit of 14.8%. Such rate differed from the Federal Statutory rate of 21.0% primarily due to the effect of certain tax credits, partially offset by foreign taxes on our International operations and state taxes.</w:t>
      </w:r>
    </w:p>
    <w:p>
      <w:pPr>
        <w:spacing w:after="0" w:line="189" w:lineRule="exact"/>
        <w:rPr>
          <w:sz w:val="20"/>
          <w:szCs w:val="20"/>
          <w:color w:val="auto"/>
        </w:rPr>
      </w:pPr>
    </w:p>
    <w:p>
      <w:pPr>
        <w:jc w:val="both"/>
        <w:ind w:left="500"/>
        <w:spacing w:after="0" w:line="247" w:lineRule="auto"/>
        <w:rPr>
          <w:sz w:val="20"/>
          <w:szCs w:val="20"/>
          <w:color w:val="auto"/>
        </w:rPr>
      </w:pPr>
      <w:r>
        <w:rPr>
          <w:rFonts w:ascii="Arial" w:cs="Arial" w:eastAsia="Arial" w:hAnsi="Arial"/>
          <w:sz w:val="18"/>
          <w:szCs w:val="18"/>
          <w:color w:val="auto"/>
        </w:rPr>
        <w:t>The Organisation for Economic Cooperation and Development (“OECD”) published a proposal for the establishment of a global minimum tax rate of 15% (the “Pillar Two rule”), effective as of fiscal 2024. We are closely monitoring developments of the Pillar Two rule as the OECD continues to refine its technical guidance and member states implement tax laws and regulations based on Pillar Two proposals. Based on our preliminary analysis, we do not expect Pillar Two to have a material impact on our financial statements for 2025.</w:t>
      </w:r>
    </w:p>
    <w:p>
      <w:pPr>
        <w:spacing w:after="0" w:line="217" w:lineRule="exact"/>
        <w:rPr>
          <w:sz w:val="20"/>
          <w:szCs w:val="20"/>
          <w:color w:val="auto"/>
        </w:rPr>
      </w:pPr>
    </w:p>
    <w:p>
      <w:pPr>
        <w:jc w:val="both"/>
        <w:ind w:left="500"/>
        <w:spacing w:after="0" w:line="247" w:lineRule="auto"/>
        <w:rPr>
          <w:sz w:val="20"/>
          <w:szCs w:val="20"/>
          <w:color w:val="auto"/>
        </w:rPr>
      </w:pPr>
      <w:r>
        <w:rPr>
          <w:rFonts w:ascii="Arial" w:cs="Arial" w:eastAsia="Arial" w:hAnsi="Arial"/>
          <w:sz w:val="18"/>
          <w:szCs w:val="18"/>
          <w:color w:val="auto"/>
        </w:rPr>
        <w:t>In July 2025, the One Big Beautiful Bill Act (“OBBBA”) was enacted in the United States, making permanent key provisions from the Tax Cuts and Jobs Act, including the full expensing of capital investments, while also modifying the international tax framework and reinstating favorable treatment for certain business tax items. The legislation has staggered effective dates from 2025 through 2027. We are currently evaluating its impact on our consolidated financial statements, including considerations for the quarter ending September 30, 2025, as a result of its enactment.</w:t>
      </w:r>
    </w:p>
    <w:p>
      <w:pPr>
        <w:spacing w:after="0" w:line="204" w:lineRule="exact"/>
        <w:rPr>
          <w:sz w:val="20"/>
          <w:szCs w:val="20"/>
          <w:color w:val="auto"/>
        </w:rPr>
      </w:pPr>
    </w:p>
    <w:p>
      <w:pPr>
        <w:ind w:left="60"/>
        <w:spacing w:after="0"/>
        <w:tabs>
          <w:tab w:leader="none" w:pos="380" w:val="left"/>
        </w:tabs>
        <w:rPr>
          <w:sz w:val="20"/>
          <w:szCs w:val="20"/>
          <w:color w:val="auto"/>
        </w:rPr>
      </w:pPr>
      <w:r>
        <w:rPr>
          <w:rFonts w:ascii="Arial" w:cs="Arial" w:eastAsia="Arial" w:hAnsi="Arial"/>
          <w:sz w:val="18"/>
          <w:szCs w:val="18"/>
          <w:b w:val="1"/>
          <w:bCs w:val="1"/>
          <w:color w:val="auto"/>
        </w:rPr>
        <w:t>9.</w:t>
        <w:tab/>
        <w:t>Accounts Payable and Other Current Liabilities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other current liabilities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w w:val="99"/>
              </w:rPr>
              <w:t>As of</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b w:val="1"/>
                <w:bCs w:val="1"/>
                <w:color w:val="auto"/>
                <w:w w:val="99"/>
              </w:rPr>
              <w:t>June 30,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112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r>
      <w:tr>
        <w:trPr>
          <w:trHeight w:val="208"/>
        </w:trPr>
        <w:tc>
          <w:tcPr>
            <w:tcW w:w="6800" w:type="dxa"/>
            <w:vAlign w:val="bottom"/>
          </w:tcPr>
          <w:p>
            <w:pPr>
              <w:spacing w:after="0"/>
              <w:rPr>
                <w:sz w:val="20"/>
                <w:szCs w:val="20"/>
                <w:color w:val="auto"/>
              </w:rPr>
            </w:pPr>
            <w:r>
              <w:rPr>
                <w:rFonts w:ascii="Arial" w:cs="Arial" w:eastAsia="Arial" w:hAnsi="Arial"/>
                <w:sz w:val="16"/>
                <w:szCs w:val="16"/>
                <w:color w:val="auto"/>
              </w:rPr>
              <w:t>Short-term operating lease liabilities</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621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628</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Accounts payable</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sales and use taxes</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advertising and marketing</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Deferred lease revenues - current</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payroll and related</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Accrued interest</w:t>
            </w:r>
          </w:p>
        </w:tc>
        <w:tc>
          <w:tcPr>
            <w:tcW w:w="1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7"/>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11"/>
        </w:trPr>
        <w:tc>
          <w:tcPr>
            <w:tcW w:w="680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3,168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w:t>
            </w:r>
          </w:p>
        </w:tc>
      </w:tr>
      <w:tr>
        <w:trPr>
          <w:trHeight w:val="20"/>
        </w:trPr>
        <w:tc>
          <w:tcPr>
            <w:tcW w:w="6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5660" w:hanging="442"/>
        <w:spacing w:after="0" w:line="442" w:lineRule="auto"/>
        <w:tabs>
          <w:tab w:leader="none" w:pos="49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Long-term Corporate Debt and Borrowing Arrangements </w:t>
      </w:r>
      <w:r>
        <w:rPr>
          <w:rFonts w:ascii="Arial" w:cs="Arial" w:eastAsia="Arial" w:hAnsi="Arial"/>
          <w:sz w:val="17"/>
          <w:szCs w:val="17"/>
          <w:color w:val="auto"/>
        </w:rPr>
        <w:t>Long-term debt and other borrowing arrangements consisted of:</w:t>
      </w:r>
    </w:p>
    <w:tbl>
      <w:tblPr>
        <w:tblLayout w:type="fixed"/>
        <w:tblInd w:w="52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ind w:left="419"/>
              <w:spacing w:after="0"/>
              <w:rPr>
                <w:sz w:val="20"/>
                <w:szCs w:val="20"/>
                <w:color w:val="auto"/>
              </w:rPr>
            </w:pPr>
            <w:r>
              <w:rPr>
                <w:rFonts w:ascii="Arial" w:cs="Arial" w:eastAsia="Arial" w:hAnsi="Arial"/>
                <w:sz w:val="16"/>
                <w:szCs w:val="16"/>
                <w:b w:val="1"/>
                <w:bCs w:val="1"/>
                <w:color w:val="auto"/>
                <w:w w:val="99"/>
              </w:rPr>
              <w:t>As of</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As of</w:t>
            </w:r>
          </w:p>
        </w:tc>
      </w:tr>
      <w:tr>
        <w:trPr>
          <w:trHeight w:val="216"/>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140" w:type="dxa"/>
            <w:vAlign w:val="bottom"/>
          </w:tcPr>
          <w:p>
            <w:pPr>
              <w:jc w:val="center"/>
              <w:ind w:left="419"/>
              <w:spacing w:after="0"/>
              <w:rPr>
                <w:sz w:val="20"/>
                <w:szCs w:val="20"/>
                <w:color w:val="auto"/>
              </w:rPr>
            </w:pPr>
            <w:r>
              <w:rPr>
                <w:rFonts w:ascii="Arial" w:cs="Arial" w:eastAsia="Arial" w:hAnsi="Arial"/>
                <w:sz w:val="16"/>
                <w:szCs w:val="16"/>
                <w:b w:val="1"/>
                <w:bCs w:val="1"/>
                <w:color w:val="auto"/>
                <w:w w:val="99"/>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1140" w:type="dxa"/>
            <w:vAlign w:val="bottom"/>
          </w:tcPr>
          <w:p>
            <w:pPr>
              <w:jc w:val="center"/>
              <w:ind w:left="41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2024</w:t>
            </w:r>
          </w:p>
        </w:tc>
      </w:tr>
      <w:tr>
        <w:trPr>
          <w:trHeight w:val="208"/>
        </w:trPr>
        <w:tc>
          <w:tcPr>
            <w:tcW w:w="5120" w:type="dxa"/>
            <w:vAlign w:val="bottom"/>
          </w:tcPr>
          <w:p>
            <w:pPr>
              <w:spacing w:after="0"/>
              <w:rPr>
                <w:sz w:val="20"/>
                <w:szCs w:val="20"/>
                <w:color w:val="auto"/>
              </w:rPr>
            </w:pPr>
            <w:r>
              <w:rPr>
                <w:rFonts w:ascii="Arial" w:cs="Arial" w:eastAsia="Arial" w:hAnsi="Arial"/>
                <w:sz w:val="16"/>
                <w:szCs w:val="16"/>
                <w:color w:val="auto"/>
              </w:rPr>
              <w:t>5.750% Senior Notes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July 2027</w:t>
            </w:r>
          </w:p>
        </w:tc>
        <w:tc>
          <w:tcPr>
            <w:tcW w:w="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740</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4.750%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7.000%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2029</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5.375%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2029</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8.250%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2030</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7.250%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July 2030</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8.000%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2031</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8.375%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June 2032</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2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August 2027</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216"/>
        </w:trPr>
        <w:tc>
          <w:tcPr>
            <w:tcW w:w="512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r>
      <w:tr>
        <w:trPr>
          <w:trHeight w:val="210"/>
        </w:trPr>
        <w:tc>
          <w:tcPr>
            <w:tcW w:w="5120" w:type="dxa"/>
            <w:vAlign w:val="bottom"/>
          </w:tcPr>
          <w:p>
            <w:pPr>
              <w:spacing w:after="0"/>
              <w:rPr>
                <w:sz w:val="20"/>
                <w:szCs w:val="20"/>
                <w:color w:val="auto"/>
              </w:rPr>
            </w:pPr>
            <w:r>
              <w:rPr>
                <w:rFonts w:ascii="Arial" w:cs="Arial" w:eastAsia="Arial" w:hAnsi="Arial"/>
                <w:sz w:val="16"/>
                <w:szCs w:val="16"/>
                <w:color w:val="auto"/>
              </w:rPr>
              <w:t>Total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6,077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5,393</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1"/>
        </w:trPr>
        <w:tc>
          <w:tcPr>
            <w:tcW w:w="5120" w:type="dxa"/>
            <w:vAlign w:val="bottom"/>
          </w:tcPr>
          <w:p>
            <w:pPr>
              <w:spacing w:after="0"/>
              <w:rPr>
                <w:sz w:val="20"/>
                <w:szCs w:val="20"/>
                <w:color w:val="auto"/>
              </w:rPr>
            </w:pPr>
            <w:r>
              <w:rPr>
                <w:rFonts w:ascii="Arial" w:cs="Arial" w:eastAsia="Arial" w:hAnsi="Arial"/>
                <w:sz w:val="16"/>
                <w:szCs w:val="16"/>
                <w:color w:val="auto"/>
              </w:rPr>
              <w:t>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6,038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5,373</w:t>
            </w:r>
          </w:p>
        </w:tc>
      </w:tr>
      <w:tr>
        <w:trPr>
          <w:trHeight w:val="21"/>
        </w:trPr>
        <w:tc>
          <w:tcPr>
            <w:tcW w:w="5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jc w:val="both"/>
        <w:ind w:left="820" w:hanging="326"/>
        <w:spacing w:after="0" w:line="242" w:lineRule="auto"/>
        <w:tabs>
          <w:tab w:leader="none" w:pos="813"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June 30, 2025, the floating rate term loan due 2027 bears interest at one-month Secured Overnight Financing Rate (“SOFR”) plus 1.75%, for an aggregate rate of 6.19%. We have entered into a swap to hedge $750 million of interest rate exposure related to the floating rate term loan at an aggregate rate of 3.26%. In July 2025, we amended our floating rate term loan, extending its maturity date from August 2027 to July 2032 and increasing the interest rate to SOFR plus 2.50%. See Note 18 – Subsequent Event</w:t>
      </w:r>
      <w:r>
        <w:rPr>
          <w:rFonts w:ascii="Times New Roman" w:cs="Times New Roman" w:eastAsia="Times New Roman" w:hAnsi="Times New Roman"/>
          <w:sz w:val="17"/>
          <w:szCs w:val="17"/>
          <w:color w:val="auto"/>
        </w:rPr>
        <w:t>.</w:t>
      </w:r>
    </w:p>
    <w:p>
      <w:pPr>
        <w:spacing w:after="0" w:line="2" w:lineRule="exact"/>
        <w:rPr>
          <w:rFonts w:ascii="Arial" w:cs="Arial" w:eastAsia="Arial" w:hAnsi="Arial"/>
          <w:sz w:val="19"/>
          <w:szCs w:val="19"/>
          <w:color w:val="auto"/>
          <w:vertAlign w:val="superscript"/>
        </w:rPr>
      </w:pPr>
    </w:p>
    <w:p>
      <w:pPr>
        <w:ind w:left="820" w:hanging="326"/>
        <w:spacing w:after="0" w:line="198" w:lineRule="auto"/>
        <w:tabs>
          <w:tab w:leader="none" w:pos="82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19"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In February 2025, we borrowed $500 million under a floating rate term loan due December 2025, which was part of our senior revolving credit facilities. In June 2025, we fully repaid our outstanding borrowings under the floating rate term loan due 2025.</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May 2025, we issued $600 million of 8.375% Senior Notes due June 2032. Net proceeds were used to repay our floating rate term loan due 2025 and a portion of our 5.750% Senior Notes due July 2027, with the remaining proceeds being used to repay outstanding fleet debt and for general corporate purposes.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June 2025, we redeemed $100 million of our outstanding 5.750% Senior Notes due July 2027.</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2025, the committed corporate credit facilities available to us and/or our subsidiaries were as follows:</w:t>
      </w:r>
    </w:p>
    <w:p>
      <w:pPr>
        <w:spacing w:after="0" w:line="3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Capacity</w:t>
            </w:r>
          </w:p>
        </w:tc>
        <w:tc>
          <w:tcPr>
            <w:tcW w:w="180" w:type="dxa"/>
            <w:vAlign w:val="bottom"/>
          </w:tcPr>
          <w:p>
            <w:pPr>
              <w:spacing w:after="0"/>
              <w:rPr>
                <w:sz w:val="18"/>
                <w:szCs w:val="18"/>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Borrowings</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8"/>
        </w:trPr>
        <w:tc>
          <w:tcPr>
            <w:tcW w:w="424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2028 </w:t>
            </w:r>
            <w:r>
              <w:rPr>
                <w:rFonts w:ascii="Arial" w:cs="Arial" w:eastAsia="Arial" w:hAnsi="Arial"/>
                <w:sz w:val="21"/>
                <w:szCs w:val="21"/>
                <w:color w:val="auto"/>
                <w:vertAlign w:val="superscript"/>
              </w:rPr>
              <w:t>(a)</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1,597</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403</w:t>
            </w:r>
          </w:p>
        </w:tc>
      </w:tr>
      <w:tr>
        <w:trPr>
          <w:trHeight w:val="211"/>
        </w:trPr>
        <w:tc>
          <w:tcPr>
            <w:tcW w:w="4240" w:type="dxa"/>
            <w:vAlign w:val="bottom"/>
          </w:tcPr>
          <w:p>
            <w:pPr>
              <w:spacing w:after="0"/>
              <w:rPr>
                <w:sz w:val="20"/>
                <w:szCs w:val="20"/>
                <w:color w:val="auto"/>
              </w:rPr>
            </w:pPr>
            <w:r>
              <w:rPr>
                <w:rFonts w:ascii="Arial" w:cs="Arial" w:eastAsia="Arial" w:hAnsi="Arial"/>
                <w:sz w:val="14"/>
                <w:szCs w:val="14"/>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bl>
    <w:p>
      <w:pPr>
        <w:jc w:val="both"/>
        <w:ind w:left="820" w:hanging="326"/>
        <w:spacing w:after="0" w:line="207" w:lineRule="auto"/>
        <w:tabs>
          <w:tab w:leader="none" w:pos="813"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2.00% and is part of our senior credit facilities, which include the floating rate term loan and the senior revolving credit facility, and which are secured by pledges of capital stock of certain of our subsidiaries, and liens on substantially all of our intellectual property and certain other real and personal property.</w:t>
      </w:r>
    </w:p>
    <w:p>
      <w:pPr>
        <w:spacing w:after="0" w:line="207"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As of June 30, 2025, we have other uncommitted standby letter of credit facilities (“SBLC facilities”) with an additional letter of credit capacity of up to $463 million. As of June 30, 2025, letters of credit totaling $463 million have been issued on our SBLC facilities, which results in no remaining available capacity.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June 30, 2025, we were in compliance with the financial covenants governing our indebtedness.</w:t>
      </w:r>
    </w:p>
    <w:p>
      <w:pPr>
        <w:spacing w:after="0" w:line="203" w:lineRule="exact"/>
        <w:rPr>
          <w:sz w:val="20"/>
          <w:szCs w:val="20"/>
          <w:color w:val="auto"/>
        </w:rPr>
      </w:pPr>
    </w:p>
    <w:p>
      <w:pPr>
        <w:ind w:left="500" w:hanging="44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2" w:lineRule="exact"/>
        <w:rPr>
          <w:rFonts w:ascii="Arial" w:cs="Arial" w:eastAsia="Arial" w:hAnsi="Arial"/>
          <w:sz w:val="18"/>
          <w:szCs w:val="18"/>
          <w:b w:val="1"/>
          <w:bCs w:val="1"/>
          <w:color w:val="auto"/>
        </w:rPr>
      </w:pPr>
    </w:p>
    <w:p>
      <w:pPr>
        <w:ind w:left="500"/>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June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r>
      <w:tr>
        <w:trPr>
          <w:trHeight w:val="209"/>
        </w:trPr>
        <w:tc>
          <w:tcPr>
            <w:tcW w:w="6800" w:type="dxa"/>
            <w:vAlign w:val="bottom"/>
          </w:tcPr>
          <w:p>
            <w:pPr>
              <w:spacing w:after="0" w:line="209" w:lineRule="exact"/>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15,585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14,143</w:t>
            </w:r>
          </w:p>
        </w:tc>
      </w:tr>
      <w:tr>
        <w:trPr>
          <w:trHeight w:val="216"/>
        </w:trPr>
        <w:tc>
          <w:tcPr>
            <w:tcW w:w="6800" w:type="dxa"/>
            <w:vAlign w:val="bottom"/>
          </w:tcPr>
          <w:p>
            <w:pPr>
              <w:spacing w:after="0" w:line="216" w:lineRule="exact"/>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(b)</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1,160</w:t>
            </w:r>
          </w:p>
        </w:tc>
      </w:tr>
      <w:tr>
        <w:trPr>
          <w:trHeight w:val="215"/>
        </w:trPr>
        <w:tc>
          <w:tcPr>
            <w:tcW w:w="680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2,159</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6"/>
        </w:trPr>
        <w:tc>
          <w:tcPr>
            <w:tcW w:w="6800" w:type="dxa"/>
            <w:vAlign w:val="bottom"/>
          </w:tcPr>
          <w:p>
            <w:pPr>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8"/>
        </w:trPr>
        <w:tc>
          <w:tcPr>
            <w:tcW w:w="6800" w:type="dxa"/>
            <w:vAlign w:val="bottom"/>
          </w:tcPr>
          <w:p>
            <w:pPr>
              <w:spacing w:after="0" w:line="218" w:lineRule="exact"/>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21"/>
                <w:szCs w:val="21"/>
                <w:color w:val="auto"/>
                <w:vertAlign w:val="superscript"/>
              </w:rPr>
              <w:t>(c)</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09"/>
        </w:trPr>
        <w:tc>
          <w:tcPr>
            <w:tcW w:w="6800" w:type="dxa"/>
            <w:vAlign w:val="bottom"/>
          </w:tcPr>
          <w:p>
            <w:pPr>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17,536</w:t>
            </w:r>
          </w:p>
        </w:tc>
      </w:tr>
      <w:tr>
        <w:trPr>
          <w:trHeight w:val="21"/>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Includes approximately $855 million and $751 million of Class R notes as of June 30, 2025 and December 31, 2024, respectively, which are held by us.</w:t>
      </w:r>
    </w:p>
    <w:p>
      <w:pPr>
        <w:ind w:left="820" w:hanging="326"/>
        <w:spacing w:after="0" w:line="182" w:lineRule="auto"/>
        <w:tabs>
          <w:tab w:leader="none" w:pos="820"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color w:val="auto"/>
        </w:rPr>
        <w:t>Includes our Repurchase Facility.</w:t>
      </w:r>
    </w:p>
    <w:p>
      <w:pPr>
        <w:ind w:left="820" w:right="20" w:hanging="326"/>
        <w:spacing w:after="0" w:line="264" w:lineRule="auto"/>
        <w:tabs>
          <w:tab w:leader="none" w:pos="807" w:val="left"/>
        </w:tabs>
        <w:numPr>
          <w:ilvl w:val="0"/>
          <w:numId w:val="26"/>
        </w:numPr>
        <w:rPr>
          <w:rFonts w:ascii="Arial" w:cs="Arial" w:eastAsia="Arial" w:hAnsi="Arial"/>
          <w:sz w:val="9"/>
          <w:szCs w:val="9"/>
          <w:color w:val="auto"/>
        </w:rPr>
      </w:pPr>
      <w:r>
        <w:rPr>
          <w:rFonts w:ascii="Arial" w:cs="Arial" w:eastAsia="Arial" w:hAnsi="Arial"/>
          <w:sz w:val="14"/>
          <w:szCs w:val="14"/>
          <w:color w:val="auto"/>
        </w:rPr>
        <w:t>Deferred financing fees related to Debt due to Avis Budget Rental Car Funding as of June 30, 2025 and December 31, 2024 were $58 million and $60 million, respectively.</w:t>
      </w:r>
    </w:p>
    <w:p>
      <w:pPr>
        <w:spacing w:after="0" w:line="189" w:lineRule="exact"/>
        <w:rPr>
          <w:sz w:val="20"/>
          <w:szCs w:val="20"/>
          <w:color w:val="auto"/>
        </w:rPr>
      </w:pPr>
    </w:p>
    <w:p>
      <w:pPr>
        <w:jc w:val="both"/>
        <w:ind w:left="500" w:right="20"/>
        <w:spacing w:after="0" w:line="276" w:lineRule="auto"/>
        <w:rPr>
          <w:sz w:val="20"/>
          <w:szCs w:val="20"/>
          <w:color w:val="auto"/>
        </w:rPr>
      </w:pPr>
      <w:r>
        <w:rPr>
          <w:rFonts w:ascii="Arial" w:cs="Arial" w:eastAsia="Arial" w:hAnsi="Arial"/>
          <w:sz w:val="18"/>
          <w:szCs w:val="18"/>
          <w:color w:val="auto"/>
        </w:rPr>
        <w:t>The following table provides a summary of debt issued by Avis Budget Rental Car Funding during the six months ended June 30, 2025:</w:t>
      </w:r>
    </w:p>
    <w:tbl>
      <w:tblPr>
        <w:tblLayout w:type="fixed"/>
        <w:tblInd w:w="500" w:type="dxa"/>
        <w:tblCellMar>
          <w:top w:w="0" w:type="dxa"/>
          <w:left w:w="0" w:type="dxa"/>
          <w:bottom w:w="0" w:type="dxa"/>
          <w:right w:w="0" w:type="dxa"/>
        </w:tblCellMar>
      </w:tblPr>
      <w:tr>
        <w:trPr>
          <w:trHeight w:val="164"/>
        </w:trPr>
        <w:tc>
          <w:tcPr>
            <w:tcW w:w="25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Issuance Date</w:t>
            </w:r>
          </w:p>
        </w:tc>
        <w:tc>
          <w:tcPr>
            <w:tcW w:w="25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Maturity Date</w:t>
            </w:r>
          </w:p>
        </w:tc>
        <w:tc>
          <w:tcPr>
            <w:tcW w:w="2680" w:type="dxa"/>
            <w:vAlign w:val="bottom"/>
            <w:gridSpan w:val="2"/>
          </w:tcPr>
          <w:p>
            <w:pPr>
              <w:jc w:val="center"/>
              <w:ind w:right="80"/>
              <w:spacing w:after="0" w:line="164" w:lineRule="exact"/>
              <w:rPr>
                <w:sz w:val="20"/>
                <w:szCs w:val="20"/>
                <w:color w:val="auto"/>
              </w:rPr>
            </w:pPr>
            <w:r>
              <w:rPr>
                <w:rFonts w:ascii="Arial" w:cs="Arial" w:eastAsia="Arial" w:hAnsi="Arial"/>
                <w:sz w:val="16"/>
                <w:szCs w:val="16"/>
                <w:b w:val="1"/>
                <w:bCs w:val="1"/>
                <w:color w:val="auto"/>
              </w:rPr>
              <w:t>Weighted Average</w:t>
            </w:r>
          </w:p>
        </w:tc>
        <w:tc>
          <w:tcPr>
            <w:tcW w:w="520" w:type="dxa"/>
            <w:vAlign w:val="bottom"/>
          </w:tcPr>
          <w:p>
            <w:pPr>
              <w:spacing w:after="0"/>
              <w:rPr>
                <w:sz w:val="14"/>
                <w:szCs w:val="14"/>
                <w:color w:val="auto"/>
              </w:rPr>
            </w:pPr>
          </w:p>
        </w:tc>
        <w:tc>
          <w:tcPr>
            <w:tcW w:w="1940" w:type="dxa"/>
            <w:vAlign w:val="bottom"/>
          </w:tcPr>
          <w:p>
            <w:pPr>
              <w:jc w:val="right"/>
              <w:ind w:right="839"/>
              <w:spacing w:after="0" w:line="164"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6"/>
        </w:trPr>
        <w:tc>
          <w:tcPr>
            <w:tcW w:w="250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b w:val="1"/>
                <w:bCs w:val="1"/>
                <w:color w:val="auto"/>
              </w:rPr>
              <w:t>Issued</w:t>
            </w:r>
          </w:p>
        </w:tc>
        <w:tc>
          <w:tcPr>
            <w:tcW w:w="0" w:type="dxa"/>
            <w:vAlign w:val="bottom"/>
          </w:tcPr>
          <w:p>
            <w:pPr>
              <w:spacing w:after="0"/>
              <w:rPr>
                <w:sz w:val="1"/>
                <w:szCs w:val="1"/>
                <w:color w:val="auto"/>
              </w:rPr>
            </w:pPr>
          </w:p>
        </w:tc>
      </w:tr>
      <w:tr>
        <w:trPr>
          <w:trHeight w:val="208"/>
        </w:trPr>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January 2025</w:t>
            </w:r>
          </w:p>
        </w:tc>
        <w:tc>
          <w:tcPr>
            <w:tcW w:w="8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August 2027</w:t>
            </w:r>
          </w:p>
        </w:tc>
        <w:tc>
          <w:tcPr>
            <w:tcW w:w="80" w:type="dxa"/>
            <w:vAlign w:val="bottom"/>
          </w:tcPr>
          <w:p>
            <w:pPr>
              <w:spacing w:after="0"/>
              <w:rPr>
                <w:sz w:val="18"/>
                <w:szCs w:val="18"/>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7.31 %</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2580" w:type="dxa"/>
            <w:vAlign w:val="bottom"/>
          </w:tcPr>
          <w:p>
            <w:pPr>
              <w:jc w:val="right"/>
              <w:spacing w:after="0"/>
              <w:rPr>
                <w:sz w:val="20"/>
                <w:szCs w:val="20"/>
                <w:color w:val="auto"/>
              </w:rPr>
            </w:pPr>
            <w:r>
              <w:rPr>
                <w:rFonts w:ascii="Arial" w:cs="Arial" w:eastAsia="Arial" w:hAnsi="Arial"/>
                <w:sz w:val="16"/>
                <w:szCs w:val="16"/>
                <w:color w:val="auto"/>
              </w:rPr>
              <w:t>7.59 %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June 2028</w:t>
            </w:r>
          </w:p>
        </w:tc>
        <w:tc>
          <w:tcPr>
            <w:tcW w:w="2580" w:type="dxa"/>
            <w:vAlign w:val="bottom"/>
          </w:tcPr>
          <w:p>
            <w:pPr>
              <w:jc w:val="right"/>
              <w:spacing w:after="0"/>
              <w:rPr>
                <w:sz w:val="20"/>
                <w:szCs w:val="20"/>
                <w:color w:val="auto"/>
              </w:rPr>
            </w:pPr>
            <w:r>
              <w:rPr>
                <w:rFonts w:ascii="Arial" w:cs="Arial" w:eastAsia="Arial" w:hAnsi="Arial"/>
                <w:sz w:val="16"/>
                <w:szCs w:val="16"/>
                <w:color w:val="auto"/>
              </w:rPr>
              <w:t>7.31 %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December 2028</w:t>
            </w:r>
          </w:p>
        </w:tc>
        <w:tc>
          <w:tcPr>
            <w:tcW w:w="2580" w:type="dxa"/>
            <w:vAlign w:val="bottom"/>
          </w:tcPr>
          <w:p>
            <w:pPr>
              <w:jc w:val="right"/>
              <w:spacing w:after="0"/>
              <w:rPr>
                <w:sz w:val="20"/>
                <w:szCs w:val="20"/>
                <w:color w:val="auto"/>
              </w:rPr>
            </w:pPr>
            <w:r>
              <w:rPr>
                <w:rFonts w:ascii="Arial" w:cs="Arial" w:eastAsia="Arial" w:hAnsi="Arial"/>
                <w:sz w:val="16"/>
                <w:szCs w:val="16"/>
                <w:color w:val="auto"/>
              </w:rPr>
              <w:t>7.37 %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2029</w:t>
            </w:r>
          </w:p>
        </w:tc>
        <w:tc>
          <w:tcPr>
            <w:tcW w:w="2580" w:type="dxa"/>
            <w:vAlign w:val="bottom"/>
          </w:tcPr>
          <w:p>
            <w:pPr>
              <w:jc w:val="right"/>
              <w:spacing w:after="0"/>
              <w:rPr>
                <w:sz w:val="20"/>
                <w:szCs w:val="20"/>
                <w:color w:val="auto"/>
              </w:rPr>
            </w:pPr>
            <w:r>
              <w:rPr>
                <w:rFonts w:ascii="Arial" w:cs="Arial" w:eastAsia="Arial" w:hAnsi="Arial"/>
                <w:sz w:val="16"/>
                <w:szCs w:val="16"/>
                <w:color w:val="auto"/>
              </w:rPr>
              <w:t>7.52 %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August 2028</w:t>
            </w:r>
          </w:p>
        </w:tc>
        <w:tc>
          <w:tcPr>
            <w:tcW w:w="2580" w:type="dxa"/>
            <w:vAlign w:val="bottom"/>
          </w:tcPr>
          <w:p>
            <w:pPr>
              <w:jc w:val="right"/>
              <w:spacing w:after="0"/>
              <w:rPr>
                <w:sz w:val="20"/>
                <w:szCs w:val="20"/>
                <w:color w:val="auto"/>
              </w:rPr>
            </w:pPr>
            <w:r>
              <w:rPr>
                <w:rFonts w:ascii="Arial" w:cs="Arial" w:eastAsia="Arial" w:hAnsi="Arial"/>
                <w:sz w:val="16"/>
                <w:szCs w:val="16"/>
                <w:color w:val="auto"/>
              </w:rPr>
              <w:t>4.94 %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7"/>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May 2025</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August 2030</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5.26 %</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5.95 %</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We have a repurchase agreement (the “Repurchase Facility”), whereby we may sell our Class D notes issued by Avis Budget Rental Car Funding to the Repurchase Facility counterparty and repurchase such notes. Transactions under the Repurchase Facility currently have a one-month tenor and may be extended thereafter at our discretion. In March 2025, we extended the maturity of certain transactions under the Repurchase Facility from March 2025 to June 2025, and we simultaneously amended the interest rate on these transactions. Further, in June 2025, we extended the maturity of certain transactions under the Repurchase Facility to July 2025, and we simultaneously amended the interest rate on these transactions. As of June 30, 2025, $117 million was outstanding under the Repurchase Facility, which bears interest at a rate of 6.33%. As of June 30, 2025, we had $195 million of securities pledged as collateral for the Repurchase Facility, included within investment in Avis Budget Rental Car Funding (AESOP) LLC—related party on our Condensed Consolidated Balance Sheets.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0" w:lineRule="exact"/>
        <w:rPr>
          <w:sz w:val="20"/>
          <w:szCs w:val="20"/>
          <w:color w:val="auto"/>
        </w:rPr>
      </w:pPr>
    </w:p>
    <w:p>
      <w:pPr>
        <w:ind w:left="500" w:right="20"/>
        <w:spacing w:after="0" w:line="276"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as of June 30, 2025:</w:t>
      </w:r>
    </w:p>
    <w:p>
      <w:pPr>
        <w:jc w:val="center"/>
        <w:ind w:left="8420"/>
        <w:spacing w:after="0" w:line="230" w:lineRule="auto"/>
        <w:rPr>
          <w:sz w:val="20"/>
          <w:szCs w:val="20"/>
          <w:color w:val="auto"/>
        </w:rPr>
      </w:pPr>
      <w:r>
        <w:rPr>
          <w:rFonts w:ascii="Arial" w:cs="Arial" w:eastAsia="Arial" w:hAnsi="Arial"/>
          <w:sz w:val="16"/>
          <w:szCs w:val="16"/>
          <w:b w:val="1"/>
          <w:bCs w:val="1"/>
          <w:color w:val="auto"/>
        </w:rPr>
        <w:t>Debt under Vehicle</w:t>
      </w:r>
    </w:p>
    <w:p>
      <w:pPr>
        <w:jc w:val="center"/>
        <w:ind w:left="8420"/>
        <w:spacing w:after="0" w:line="228" w:lineRule="auto"/>
        <w:rPr>
          <w:sz w:val="20"/>
          <w:szCs w:val="20"/>
          <w:color w:val="auto"/>
        </w:rPr>
      </w:pPr>
      <w:r>
        <w:rPr>
          <w:rFonts w:ascii="Arial" w:cs="Arial" w:eastAsia="Arial" w:hAnsi="Arial"/>
          <w:sz w:val="16"/>
          <w:szCs w:val="16"/>
          <w:b w:val="1"/>
          <w:bCs w:val="1"/>
          <w:color w:val="auto"/>
        </w:rPr>
        <w:t xml:space="preserve">Programs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-15875</wp:posOffset>
            </wp:positionV>
            <wp:extent cx="1036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520"/>
        <w:spacing w:after="0" w:line="217" w:lineRule="auto"/>
        <w:rPr>
          <w:sz w:val="20"/>
          <w:szCs w:val="20"/>
          <w:color w:val="auto"/>
        </w:rPr>
      </w:pPr>
      <w:r>
        <w:rPr>
          <w:rFonts w:ascii="Arial" w:cs="Arial" w:eastAsia="Arial" w:hAnsi="Arial"/>
          <w:sz w:val="16"/>
          <w:szCs w:val="16"/>
          <w:color w:val="auto"/>
        </w:rPr>
        <w:t xml:space="preserve">Within 1 year </w:t>
      </w:r>
      <w:r>
        <w:rPr>
          <w:rFonts w:ascii="Arial" w:cs="Arial" w:eastAsia="Arial" w:hAnsi="Arial"/>
          <w:sz w:val="21"/>
          <w:szCs w:val="21"/>
          <w:color w:val="auto"/>
          <w:vertAlign w:val="superscript"/>
        </w:rPr>
        <w:t>(b)</w:t>
      </w:r>
    </w:p>
    <w:p>
      <w:pPr>
        <w:ind w:left="520"/>
        <w:spacing w:after="0" w:line="226" w:lineRule="auto"/>
        <w:rPr>
          <w:sz w:val="20"/>
          <w:szCs w:val="20"/>
          <w:color w:val="auto"/>
        </w:rPr>
      </w:pPr>
      <w:r>
        <w:rPr>
          <w:rFonts w:ascii="Arial" w:cs="Arial" w:eastAsia="Arial" w:hAnsi="Arial"/>
          <w:sz w:val="15"/>
          <w:szCs w:val="15"/>
          <w:color w:val="auto"/>
        </w:rPr>
        <w:t xml:space="preserve">Between 1 and 2 years </w:t>
      </w:r>
      <w:r>
        <w:rPr>
          <w:rFonts w:ascii="Arial" w:cs="Arial" w:eastAsia="Arial" w:hAnsi="Arial"/>
          <w:sz w:val="20"/>
          <w:szCs w:val="20"/>
          <w:color w:val="auto"/>
          <w:vertAlign w:val="superscript"/>
        </w:rPr>
        <w:t>(c)</w:t>
      </w:r>
    </w:p>
    <w:p>
      <w:pPr>
        <w:ind w:left="520"/>
        <w:spacing w:after="0"/>
        <w:rPr>
          <w:sz w:val="20"/>
          <w:szCs w:val="20"/>
          <w:color w:val="auto"/>
        </w:rPr>
      </w:pPr>
      <w:r>
        <w:rPr>
          <w:rFonts w:ascii="Arial" w:cs="Arial" w:eastAsia="Arial" w:hAnsi="Arial"/>
          <w:sz w:val="16"/>
          <w:szCs w:val="16"/>
          <w:color w:val="auto"/>
        </w:rPr>
        <w:t>Between 2 and 3 years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xml:space="preserve">Between 3 and 4 years </w:t>
      </w:r>
      <w:r>
        <w:rPr>
          <w:rFonts w:ascii="Arial" w:cs="Arial" w:eastAsia="Arial" w:hAnsi="Arial"/>
          <w:sz w:val="20"/>
          <w:szCs w:val="20"/>
          <w:color w:val="auto"/>
          <w:vertAlign w:val="superscript"/>
        </w:rPr>
        <w:t>(d)</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Between 4 and 5 years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Thereafter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Total</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ind w:left="1136" w:hanging="1136"/>
        <w:spacing w:after="0"/>
        <w:tabs>
          <w:tab w:leader="none" w:pos="1136" w:val="left"/>
        </w:tabs>
        <w:numPr>
          <w:ilvl w:val="0"/>
          <w:numId w:val="27"/>
        </w:numPr>
        <w:rPr>
          <w:rFonts w:ascii="Arial" w:cs="Arial" w:eastAsia="Arial" w:hAnsi="Arial"/>
          <w:sz w:val="15"/>
          <w:szCs w:val="15"/>
          <w:color w:val="auto"/>
        </w:rPr>
      </w:pPr>
      <w:r>
        <w:rPr>
          <w:rFonts w:ascii="Arial" w:cs="Arial" w:eastAsia="Arial" w:hAnsi="Arial"/>
          <w:sz w:val="15"/>
          <w:szCs w:val="15"/>
          <w:color w:val="auto"/>
        </w:rPr>
        <w:t>3,866</w:t>
      </w:r>
    </w:p>
    <w:p>
      <w:pPr>
        <w:spacing w:after="0" w:line="30"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8,867</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2,959</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2,976</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1,024</w:t>
      </w:r>
    </w:p>
    <w:p>
      <w:pPr>
        <w:spacing w:after="0" w:line="43" w:lineRule="exact"/>
        <w:rPr>
          <w:rFonts w:ascii="Arial" w:cs="Arial" w:eastAsia="Arial" w:hAnsi="Arial"/>
          <w:sz w:val="15"/>
          <w:szCs w:val="15"/>
          <w:color w:val="auto"/>
        </w:rPr>
      </w:pPr>
    </w:p>
    <w:p>
      <w:pPr>
        <w:ind w:left="1276"/>
        <w:spacing w:after="0"/>
        <w:rPr>
          <w:rFonts w:ascii="Arial" w:cs="Arial" w:eastAsia="Arial" w:hAnsi="Arial"/>
          <w:sz w:val="15"/>
          <w:szCs w:val="15"/>
          <w:color w:val="auto"/>
        </w:rPr>
      </w:pPr>
      <w:r>
        <w:rPr>
          <w:rFonts w:ascii="Arial" w:cs="Arial" w:eastAsia="Arial" w:hAnsi="Arial"/>
          <w:sz w:val="15"/>
          <w:szCs w:val="15"/>
          <w:color w:val="auto"/>
        </w:rPr>
        <w:t>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7" w:lineRule="exact"/>
        <w:rPr>
          <w:sz w:val="20"/>
          <w:szCs w:val="20"/>
          <w:color w:val="auto"/>
        </w:rPr>
      </w:pPr>
    </w:p>
    <w:p>
      <w:pPr>
        <w:ind w:left="1056" w:hanging="1056"/>
        <w:spacing w:after="0"/>
        <w:tabs>
          <w:tab w:leader="none" w:pos="1056" w:val="left"/>
        </w:tabs>
        <w:numPr>
          <w:ilvl w:val="0"/>
          <w:numId w:val="28"/>
        </w:numPr>
        <w:rPr>
          <w:rFonts w:ascii="Arial" w:cs="Arial" w:eastAsia="Arial" w:hAnsi="Arial"/>
          <w:sz w:val="15"/>
          <w:szCs w:val="15"/>
          <w:color w:val="auto"/>
        </w:rPr>
      </w:pPr>
      <w:r>
        <w:rPr>
          <w:rFonts w:ascii="Arial" w:cs="Arial" w:eastAsia="Arial" w:hAnsi="Arial"/>
          <w:sz w:val="15"/>
          <w:szCs w:val="15"/>
          <w:color w:val="auto"/>
        </w:rPr>
        <w:t>19,988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53975</wp:posOffset>
            </wp:positionV>
            <wp:extent cx="10369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8324" w:space="720"/>
            <w:col w:w="2196"/>
          </w:cols>
          <w:pgMar w:left="320" w:top="121" w:right="339" w:bottom="1440" w:gutter="0" w:footer="0" w:header="0"/>
          <w:type w:val="continuous"/>
        </w:sectPr>
      </w:pPr>
    </w:p>
    <w:p>
      <w:pPr>
        <w:ind w:left="760" w:hanging="266"/>
        <w:spacing w:after="0"/>
        <w:tabs>
          <w:tab w:leader="none" w:pos="76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760" w:hanging="266"/>
        <w:spacing w:after="0" w:line="192" w:lineRule="auto"/>
        <w:tabs>
          <w:tab w:leader="none" w:pos="76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$0.7 billion of bank and bank-sponsored facilities. These short-term borrowings have a weighted average interest rate of 4.58% as of June 30, 2025.</w:t>
      </w:r>
    </w:p>
    <w:p>
      <w:pPr>
        <w:ind w:left="760" w:hanging="266"/>
        <w:spacing w:after="0" w:line="192" w:lineRule="auto"/>
        <w:tabs>
          <w:tab w:leader="none" w:pos="76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$5.2 billion of bank and bank-sponsored facilities.</w:t>
      </w:r>
    </w:p>
    <w:p>
      <w:pPr>
        <w:ind w:left="760" w:hanging="266"/>
        <w:spacing w:after="0" w:line="193" w:lineRule="auto"/>
        <w:tabs>
          <w:tab w:leader="none" w:pos="76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$0.1 billion of bank and bank-sponsored facilities.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The following table presents available funding under our debt arrangements related to our vehicle programs, including related party debt due to Avis Budget Rental Car Funding, as of June 30, 2025:</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8"/>
                <w:szCs w:val="18"/>
                <w:color w:val="auto"/>
              </w:rPr>
            </w:pPr>
          </w:p>
        </w:tc>
        <w:tc>
          <w:tcPr>
            <w:tcW w:w="1340" w:type="dxa"/>
            <w:vAlign w:val="bottom"/>
          </w:tcPr>
          <w:p>
            <w:pPr>
              <w:jc w:val="right"/>
              <w:ind w:right="379"/>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95"/>
              </w:rPr>
              <w:t xml:space="preserve">Borrowings </w:t>
            </w:r>
            <w:r>
              <w:rPr>
                <w:rFonts w:ascii="Arial" w:cs="Arial" w:eastAsia="Arial" w:hAnsi="Arial"/>
                <w:sz w:val="21"/>
                <w:szCs w:val="21"/>
                <w:color w:val="auto"/>
                <w:w w:val="95"/>
                <w:vertAlign w:val="superscript"/>
              </w:rPr>
              <w:t>(b)</w:t>
            </w:r>
          </w:p>
        </w:tc>
        <w:tc>
          <w:tcPr>
            <w:tcW w:w="280" w:type="dxa"/>
            <w:vAlign w:val="bottom"/>
          </w:tcPr>
          <w:p>
            <w:pPr>
              <w:spacing w:after="0"/>
              <w:rPr>
                <w:sz w:val="18"/>
                <w:szCs w:val="18"/>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b w:val="1"/>
                <w:bCs w:val="1"/>
                <w:color w:val="auto"/>
              </w:rPr>
              <w:t>Capacity</w:t>
            </w: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16,625</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15,585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1,040</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7"/>
        </w:trPr>
        <w:tc>
          <w:tcPr>
            <w:tcW w:w="510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9" w:lineRule="exact"/>
        <w:rPr>
          <w:sz w:val="20"/>
          <w:szCs w:val="20"/>
          <w:color w:val="auto"/>
        </w:rPr>
      </w:pPr>
    </w:p>
    <w:p>
      <w:pPr>
        <w:ind w:left="820" w:hanging="326"/>
        <w:spacing w:after="0" w:line="271" w:lineRule="auto"/>
        <w:tabs>
          <w:tab w:leader="none" w:pos="813" w:val="left"/>
        </w:tabs>
        <w:numPr>
          <w:ilvl w:val="0"/>
          <w:numId w:val="30"/>
        </w:numPr>
        <w:rPr>
          <w:rFonts w:ascii="Arial" w:cs="Arial" w:eastAsia="Arial" w:hAnsi="Arial"/>
          <w:sz w:val="9"/>
          <w:szCs w:val="9"/>
          <w:color w:val="auto"/>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our asset-backed variable-funding financing facilities. These facilities were most recently amended and restated in April 2025.</w:t>
      </w:r>
    </w:p>
    <w:p>
      <w:pPr>
        <w:ind w:left="820" w:hanging="326"/>
        <w:spacing w:after="0" w:line="222" w:lineRule="auto"/>
        <w:tabs>
          <w:tab w:leader="none" w:pos="813"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$16.2 billion for Americas - Debt due to Avis Budget Rental Car Funding; $1.7 billion for Americas - Debt borrowings; $3.4 billion for International - Debt borrowings; and $0.2 billion for International - Finance leases.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June 30, 2025, we are not aware of any instances of non-compliance with any of the financial or restrictive covenants contained in the debt agreements under our vehicle-backed funding programs.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right="7880" w:hanging="442"/>
        <w:spacing w:after="0" w:line="563" w:lineRule="auto"/>
        <w:tabs>
          <w:tab w:leader="none" w:pos="51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w:t>
      </w:r>
    </w:p>
    <w:p>
      <w:pPr>
        <w:spacing w:after="0" w:line="206"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March 2023, the California Office of Tax Appeals (“OTA”) issued an opinion in a case involving notices of proposed assessment of California corporation franchise tax for tax year 1999 issued to us. The case involves whether (i) the notices of proposed assessment were barred by the statute of limitations; and (ii) a transaction undertaken by us in tax year 1999 constituted a tax-free reorganization under the Internal Revenue Code (“IRC”). The OTA concluded that the notices of proposed assessment were not barred by the statute of limitations and that the 1999 transaction was not a tax-free reorganization under the IRC. Anywhere Real Estate, Inc. has assumed 62.5%, and Wyndham Hotels and Resorts, Inc. and Travel + Leisure Co. have assumed 37.5% of the potential tax liability in this matter, respectively. We filed a petition for rehearing, which was denied in April 2024, and the tax assessment was paid in May 2025. We expect that judicial relief will be sought.</w:t>
      </w:r>
    </w:p>
    <w:p>
      <w:pPr>
        <w:spacing w:after="0" w:line="211" w:lineRule="exact"/>
        <w:rPr>
          <w:rFonts w:ascii="Arial" w:cs="Arial" w:eastAsia="Arial" w:hAnsi="Arial"/>
          <w:sz w:val="18"/>
          <w:szCs w:val="18"/>
          <w:b w:val="1"/>
          <w:bCs w:val="1"/>
          <w:color w:val="auto"/>
        </w:rPr>
      </w:pPr>
    </w:p>
    <w:p>
      <w:pPr>
        <w:ind w:left="500" w:right="2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We are also named in litigation that is primarily related to the businesses of our former subsidiaries, including Realogy and Wyndham. We are entitled to indemnification from such entities for any liability resulting from such litigation.</w:t>
      </w:r>
    </w:p>
    <w:p>
      <w:pPr>
        <w:spacing w:after="0" w:line="179"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In October 2023, plaintiffs’ motion for class certification was denied as to their proposed nationwide class and granted as to a subclass, created at the Court’s discretion, of Avis Preferred and Budget Fastbreak members. We have been named as a defendant in other purported consumer class action lawsuits, including a class action filed against us in New Jersey seeking damages in connection with a breach of contract claim, which the Company intends to vigorously defend.</w:t>
      </w:r>
    </w:p>
    <w:p>
      <w:pPr>
        <w:spacing w:after="0" w:line="211"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April 2025, a shareholder filed a proposed securities class action, Shane Merriam v. Avis Budget Group, Inc., Joseph A. Ferraro, and Izilda P. Martins, in the United States District Court for the District of New Jersey. The plaintiff alleges under Sections 10(b) and 20(a) of the Securities Exchange Act of 1934 that the Company and its management made misrepresentations or omissions about the Company’s fleet strategy in 2024, causing the stock to decline when the Company announced its fourth quarter results in February 2025. In June 2025, a shareholder filed a substantially similar proposed securities class action in the United States District Court for the District of New Jersey, Barry O’Connor v. Avis Budget Group, Inc., Joseph A. Ferraro, Izilda P. Martins. The shareholders have proposed to consolidate the cases and serve as co-lead plaintiffs, and that application is pending before the Court. The Company intends to defend the claims vigorously. In June 2025, a shareholder filed a derivative suit in the United States District Court for the District of New Jersey, Andrew Jones v. Jagdeep Pahwa, Anu Hariharan, Bernardo Hees, Joseph Ferraro, Lynn Krominga, Glenn Lurie, Izilda Martins, and Karthik Sarma. The suit asserts breach of fiduciary duty and unjust enrichment claims in connection with the Company's fleet strategy in 2024. The Company is named as a nominal defendant. The director and officer defendants intend to vigorously defend the case.</w:t>
      </w:r>
    </w:p>
    <w:p>
      <w:pPr>
        <w:spacing w:after="0" w:line="216"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In addition, we are a defendant in a number of legal proceedings for personal injury arising from the operation of our vehicles.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$40 million in excess of amounts accrued as of June 30, 2025. We do not believe that the impact should result in a material liability to us in relation to our consolidated financial condition or results of operations.</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$ 2.3 billion of vehicles from manufacturers over the next 12 months, a $4.0 billion decrease compared to December 31, 2024,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5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Concentrations of credit risk as of June 30, 2025 include risks related to our repurchase and guaranteed depreciation agreements with domestic and foreign car manufacturers and primarily with respect to receivables for program cars that have been disposed of, but for which we have not yet received payment from the manufacturers.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hanging="44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Share Repurchases</w:t>
      </w:r>
    </w:p>
    <w:p>
      <w:pPr>
        <w:spacing w:after="0" w:line="25"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During the six months ended June 30, 2025 and 2024, we did not repurchase shares of common stock under the Stock Repurchase Program. As of June 30, 2025, approximately $757 million of authorization remained available to repurchase common stock under the Stock Repurchase Program.</w:t>
      </w:r>
    </w:p>
    <w:p>
      <w:pPr>
        <w:spacing w:after="0" w:line="209"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Common stock repurchases under the Stock Repurchase Program do not include shares withheld to satisfy employees’ income tax liabilities attributable to the vesting of restricted stock unit awards.</w:t>
      </w:r>
    </w:p>
    <w:p>
      <w:pPr>
        <w:spacing w:after="0" w:line="18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50"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17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other comprehensive income (loss) were as follows: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2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5120" w:type="dxa"/>
            <w:vAlign w:val="bottom"/>
          </w:tcPr>
          <w:p>
            <w:pPr>
              <w:ind w:left="10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6"/>
                <w:szCs w:val="16"/>
                <w:b w:val="1"/>
                <w:bCs w:val="1"/>
                <w:color w:val="auto"/>
              </w:rPr>
              <w:t>Net income (loss) attributable to Avis Budget Group, Inc.</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487"/>
        </w:trPr>
        <w:tc>
          <w:tcPr>
            <w:tcW w:w="5120" w:type="dxa"/>
            <w:vAlign w:val="bottom"/>
          </w:tcPr>
          <w:p>
            <w:pPr>
              <w:spacing w:after="0"/>
              <w:rPr>
                <w:sz w:val="20"/>
                <w:szCs w:val="20"/>
                <w:color w:val="auto"/>
              </w:rPr>
            </w:pPr>
            <w:r>
              <w:rPr>
                <w:rFonts w:ascii="Arial" w:cs="Arial" w:eastAsia="Arial" w:hAnsi="Arial"/>
                <w:sz w:val="16"/>
                <w:szCs w:val="16"/>
                <w:b w:val="1"/>
                <w:bCs w:val="1"/>
                <w:color w:val="auto"/>
              </w:rPr>
              <w:t>Other comprehensive income (loss), net of tax</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120" w:type="dxa"/>
            <w:vAlign w:val="bottom"/>
          </w:tcPr>
          <w:p>
            <w:pPr>
              <w:ind w:left="100"/>
              <w:spacing w:after="0" w:line="163" w:lineRule="exact"/>
              <w:rPr>
                <w:sz w:val="20"/>
                <w:szCs w:val="20"/>
                <w:color w:val="auto"/>
              </w:rPr>
            </w:pPr>
            <w:r>
              <w:rPr>
                <w:rFonts w:ascii="Arial" w:cs="Arial" w:eastAsia="Arial" w:hAnsi="Arial"/>
                <w:sz w:val="16"/>
                <w:szCs w:val="16"/>
                <w:color w:val="auto"/>
              </w:rPr>
              <w:t>Currency translation adjustments, net of tax of $30, $(3), $44 and</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5"/>
        </w:trPr>
        <w:tc>
          <w:tcPr>
            <w:tcW w:w="5120" w:type="dxa"/>
            <w:vAlign w:val="bottom"/>
          </w:tcPr>
          <w:p>
            <w:pPr>
              <w:ind w:left="260"/>
              <w:spacing w:after="0" w:line="216" w:lineRule="exact"/>
              <w:rPr>
                <w:sz w:val="20"/>
                <w:szCs w:val="20"/>
                <w:color w:val="auto"/>
              </w:rPr>
            </w:pPr>
            <w:r>
              <w:rPr>
                <w:rFonts w:ascii="Arial" w:cs="Arial" w:eastAsia="Arial" w:hAnsi="Arial"/>
                <w:sz w:val="16"/>
                <w:szCs w:val="16"/>
                <w:color w:val="auto"/>
              </w:rPr>
              <w:t xml:space="preserve">$(8), respectively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120" w:type="dxa"/>
            <w:vAlign w:val="bottom"/>
          </w:tcPr>
          <w:p>
            <w:pPr>
              <w:ind w:left="100"/>
              <w:spacing w:after="0" w:line="163" w:lineRule="exact"/>
              <w:rPr>
                <w:sz w:val="20"/>
                <w:szCs w:val="20"/>
                <w:color w:val="auto"/>
              </w:rPr>
            </w:pPr>
            <w:r>
              <w:rPr>
                <w:rFonts w:ascii="Arial" w:cs="Arial" w:eastAsia="Arial" w:hAnsi="Arial"/>
                <w:sz w:val="16"/>
                <w:szCs w:val="16"/>
                <w:color w:val="auto"/>
              </w:rPr>
              <w:t>Net unrealized gain (loss) on cash flow hedges, net of tax of $1, $1,</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5120" w:type="dxa"/>
            <w:vAlign w:val="bottom"/>
          </w:tcPr>
          <w:p>
            <w:pPr>
              <w:ind w:left="260"/>
              <w:spacing w:after="0"/>
              <w:rPr>
                <w:sz w:val="20"/>
                <w:szCs w:val="20"/>
                <w:color w:val="auto"/>
              </w:rPr>
            </w:pPr>
            <w:r>
              <w:rPr>
                <w:rFonts w:ascii="Arial" w:cs="Arial" w:eastAsia="Arial" w:hAnsi="Arial"/>
                <w:sz w:val="16"/>
                <w:szCs w:val="16"/>
                <w:color w:val="auto"/>
              </w:rPr>
              <w:t>$4 and $(1), respectively</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Arial" w:cs="Arial" w:eastAsia="Arial" w:hAnsi="Arial"/>
                <w:sz w:val="16"/>
                <w:szCs w:val="16"/>
                <w:color w:val="auto"/>
              </w:rPr>
              <w:t>Minimum pension liability adjustment, net of tax of $0, in each period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43"/>
        </w:trPr>
        <w:tc>
          <w:tcPr>
            <w:tcW w:w="5120" w:type="dxa"/>
            <w:vAlign w:val="bottom"/>
          </w:tcPr>
          <w:p>
            <w:pPr>
              <w:spacing w:after="0" w:line="144" w:lineRule="exact"/>
              <w:rPr>
                <w:sz w:val="20"/>
                <w:szCs w:val="20"/>
                <w:color w:val="auto"/>
              </w:rPr>
            </w:pPr>
            <w:r>
              <w:rPr>
                <w:rFonts w:ascii="Arial" w:cs="Arial" w:eastAsia="Arial" w:hAnsi="Arial"/>
                <w:sz w:val="16"/>
                <w:szCs w:val="16"/>
                <w:b w:val="1"/>
                <w:bCs w:val="1"/>
                <w:color w:val="auto"/>
              </w:rPr>
              <w:t>Total comprehensive income (loss) attributable to Avis Budget</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2"/>
                <w:szCs w:val="12"/>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2"/>
                <w:szCs w:val="12"/>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2"/>
                <w:szCs w:val="12"/>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94"/>
        </w:trPr>
        <w:tc>
          <w:tcPr>
            <w:tcW w:w="5120" w:type="dxa"/>
            <w:vAlign w:val="bottom"/>
          </w:tcPr>
          <w:p>
            <w:pPr>
              <w:ind w:left="160"/>
              <w:spacing w:after="0"/>
              <w:rPr>
                <w:sz w:val="20"/>
                <w:szCs w:val="20"/>
                <w:color w:val="auto"/>
              </w:rPr>
            </w:pPr>
            <w:r>
              <w:rPr>
                <w:rFonts w:ascii="Arial" w:cs="Arial" w:eastAsia="Arial" w:hAnsi="Arial"/>
                <w:sz w:val="16"/>
                <w:szCs w:val="16"/>
                <w:b w:val="1"/>
                <w:bCs w:val="1"/>
                <w:color w:val="auto"/>
              </w:rPr>
              <w:t>Group, Inc.</w:t>
            </w:r>
          </w:p>
        </w:tc>
        <w:tc>
          <w:tcPr>
            <w:tcW w:w="2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Currency translation adjustments exclude income taxes related to indefinite investments 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5"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Currency</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Net Unrealized</w:t>
            </w:r>
          </w:p>
        </w:tc>
        <w:tc>
          <w:tcPr>
            <w:tcW w:w="18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Minimum</w:t>
            </w:r>
          </w:p>
        </w:tc>
        <w:tc>
          <w:tcPr>
            <w:tcW w:w="160" w:type="dxa"/>
            <w:vAlign w:val="bottom"/>
          </w:tcPr>
          <w:p>
            <w:pPr>
              <w:spacing w:after="0"/>
              <w:rPr>
                <w:sz w:val="13"/>
                <w:szCs w:val="13"/>
                <w:color w:val="auto"/>
              </w:rPr>
            </w:pPr>
          </w:p>
        </w:tc>
        <w:tc>
          <w:tcPr>
            <w:tcW w:w="124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18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0"/>
                <w:szCs w:val="10"/>
                <w:color w:val="auto"/>
              </w:rPr>
            </w:pPr>
          </w:p>
        </w:tc>
        <w:tc>
          <w:tcPr>
            <w:tcW w:w="12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Translation</w:t>
            </w:r>
          </w:p>
        </w:tc>
        <w:tc>
          <w:tcPr>
            <w:tcW w:w="16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8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Liability</w:t>
            </w:r>
          </w:p>
        </w:tc>
        <w:tc>
          <w:tcPr>
            <w:tcW w:w="160" w:type="dxa"/>
            <w:vAlign w:val="bottom"/>
          </w:tcPr>
          <w:p>
            <w:pPr>
              <w:spacing w:after="0"/>
              <w:rPr>
                <w:sz w:val="11"/>
                <w:szCs w:val="11"/>
                <w:color w:val="auto"/>
              </w:rPr>
            </w:pPr>
          </w:p>
        </w:tc>
        <w:tc>
          <w:tcPr>
            <w:tcW w:w="12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Adjustments</w:t>
            </w:r>
          </w:p>
        </w:tc>
        <w:tc>
          <w:tcPr>
            <w:tcW w:w="160" w:type="dxa"/>
            <w:vAlign w:val="bottom"/>
          </w:tcPr>
          <w:p>
            <w:pPr>
              <w:spacing w:after="0"/>
              <w:rPr>
                <w:sz w:val="15"/>
                <w:szCs w:val="15"/>
                <w:color w:val="auto"/>
              </w:rPr>
            </w:pPr>
          </w:p>
        </w:tc>
        <w:tc>
          <w:tcPr>
            <w:tcW w:w="1320" w:type="dxa"/>
            <w:vAlign w:val="bottom"/>
            <w:gridSpan w:val="2"/>
          </w:tcPr>
          <w:p>
            <w:pPr>
              <w:jc w:val="center"/>
              <w:ind w:right="260"/>
              <w:spacing w:after="0" w:line="175" w:lineRule="exact"/>
              <w:rPr>
                <w:sz w:val="20"/>
                <w:szCs w:val="20"/>
                <w:color w:val="auto"/>
              </w:rPr>
            </w:pPr>
            <w:r>
              <w:rPr>
                <w:rFonts w:ascii="Arial" w:cs="Arial" w:eastAsia="Arial" w:hAnsi="Arial"/>
                <w:sz w:val="13"/>
                <w:szCs w:val="13"/>
                <w:b w:val="1"/>
                <w:bCs w:val="1"/>
                <w:color w:val="auto"/>
                <w:w w:val="91"/>
              </w:rPr>
              <w:t xml:space="preserve">Hedges </w:t>
            </w:r>
            <w:r>
              <w:rPr>
                <w:rFonts w:ascii="Arial" w:cs="Arial" w:eastAsia="Arial" w:hAnsi="Arial"/>
                <w:sz w:val="16"/>
                <w:szCs w:val="16"/>
                <w:b w:val="1"/>
                <w:bCs w:val="1"/>
                <w:color w:val="auto"/>
                <w:w w:val="91"/>
                <w:vertAlign w:val="superscript"/>
              </w:rPr>
              <w:t>(a)</w:t>
            </w:r>
          </w:p>
        </w:tc>
        <w:tc>
          <w:tcPr>
            <w:tcW w:w="180" w:type="dxa"/>
            <w:vAlign w:val="bottom"/>
          </w:tcPr>
          <w:p>
            <w:pPr>
              <w:spacing w:after="0"/>
              <w:rPr>
                <w:sz w:val="15"/>
                <w:szCs w:val="15"/>
                <w:color w:val="auto"/>
              </w:rPr>
            </w:pPr>
          </w:p>
        </w:tc>
        <w:tc>
          <w:tcPr>
            <w:tcW w:w="1300" w:type="dxa"/>
            <w:vAlign w:val="bottom"/>
            <w:gridSpan w:val="2"/>
          </w:tcPr>
          <w:p>
            <w:pPr>
              <w:jc w:val="center"/>
              <w:ind w:right="260"/>
              <w:spacing w:after="0" w:line="175" w:lineRule="exact"/>
              <w:rPr>
                <w:sz w:val="20"/>
                <w:szCs w:val="20"/>
                <w:color w:val="auto"/>
              </w:rPr>
            </w:pPr>
            <w:r>
              <w:rPr>
                <w:rFonts w:ascii="Arial" w:cs="Arial" w:eastAsia="Arial" w:hAnsi="Arial"/>
                <w:sz w:val="13"/>
                <w:szCs w:val="13"/>
                <w:b w:val="1"/>
                <w:bCs w:val="1"/>
                <w:color w:val="auto"/>
                <w:w w:val="94"/>
              </w:rPr>
              <w:t xml:space="preserve">Adjustment </w:t>
            </w:r>
            <w:r>
              <w:rPr>
                <w:rFonts w:ascii="Arial" w:cs="Arial" w:eastAsia="Arial" w:hAnsi="Arial"/>
                <w:sz w:val="16"/>
                <w:szCs w:val="16"/>
                <w:b w:val="1"/>
                <w:bCs w:val="1"/>
                <w:color w:val="auto"/>
                <w:w w:val="94"/>
                <w:vertAlign w:val="superscript"/>
              </w:rPr>
              <w:t>(b)</w:t>
            </w:r>
          </w:p>
        </w:tc>
        <w:tc>
          <w:tcPr>
            <w:tcW w:w="160" w:type="dxa"/>
            <w:vAlign w:val="bottom"/>
          </w:tcPr>
          <w:p>
            <w:pPr>
              <w:spacing w:after="0"/>
              <w:rPr>
                <w:sz w:val="15"/>
                <w:szCs w:val="15"/>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20"/>
                <w:szCs w:val="20"/>
                <w:color w:val="auto"/>
              </w:rPr>
            </w:pPr>
            <w:r>
              <w:rPr>
                <w:rFonts w:ascii="Arial" w:cs="Arial" w:eastAsia="Arial" w:hAnsi="Arial"/>
                <w:sz w:val="13"/>
                <w:szCs w:val="13"/>
                <w:color w:val="auto"/>
              </w:rPr>
              <w:t>Balance as of April 1, 2025</w:t>
            </w: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2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June 30, 2025</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300" w:type="dxa"/>
            <w:vAlign w:val="bottom"/>
          </w:tcPr>
          <w:p>
            <w:pPr>
              <w:spacing w:after="0"/>
              <w:rPr>
                <w:sz w:val="20"/>
                <w:szCs w:val="20"/>
                <w:color w:val="auto"/>
              </w:rPr>
            </w:pPr>
            <w:r>
              <w:rPr>
                <w:rFonts w:ascii="Arial" w:cs="Arial" w:eastAsia="Arial" w:hAnsi="Arial"/>
                <w:sz w:val="13"/>
                <w:szCs w:val="13"/>
                <w:color w:val="auto"/>
              </w:rPr>
              <w:t>Balance as of April 1, 2024</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75"/>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6"/>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2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June 30, 2024</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Currency</w:t>
            </w:r>
          </w:p>
        </w:tc>
        <w:tc>
          <w:tcPr>
            <w:tcW w:w="16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Net Unrealized</w:t>
            </w:r>
          </w:p>
        </w:tc>
        <w:tc>
          <w:tcPr>
            <w:tcW w:w="18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Minimum</w:t>
            </w:r>
          </w:p>
        </w:tc>
        <w:tc>
          <w:tcPr>
            <w:tcW w:w="160" w:type="dxa"/>
            <w:vAlign w:val="bottom"/>
          </w:tcPr>
          <w:p>
            <w:pPr>
              <w:spacing w:after="0"/>
              <w:rPr>
                <w:sz w:val="24"/>
                <w:szCs w:val="24"/>
                <w:color w:val="auto"/>
              </w:rPr>
            </w:pPr>
          </w:p>
        </w:tc>
        <w:tc>
          <w:tcPr>
            <w:tcW w:w="124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21"/>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Gains (Losses)</w:t>
            </w:r>
          </w:p>
        </w:tc>
        <w:tc>
          <w:tcPr>
            <w:tcW w:w="18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Pension</w:t>
            </w:r>
          </w:p>
        </w:tc>
        <w:tc>
          <w:tcPr>
            <w:tcW w:w="160" w:type="dxa"/>
            <w:vAlign w:val="bottom"/>
          </w:tcPr>
          <w:p>
            <w:pPr>
              <w:spacing w:after="0"/>
              <w:rPr>
                <w:sz w:val="10"/>
                <w:szCs w:val="10"/>
                <w:color w:val="auto"/>
              </w:rPr>
            </w:pPr>
          </w:p>
        </w:tc>
        <w:tc>
          <w:tcPr>
            <w:tcW w:w="12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22"/>
        </w:trPr>
        <w:tc>
          <w:tcPr>
            <w:tcW w:w="4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4"/>
              </w:rPr>
              <w:t>Translation</w:t>
            </w:r>
          </w:p>
        </w:tc>
        <w:tc>
          <w:tcPr>
            <w:tcW w:w="160" w:type="dxa"/>
            <w:vAlign w:val="bottom"/>
          </w:tcPr>
          <w:p>
            <w:pPr>
              <w:spacing w:after="0"/>
              <w:rPr>
                <w:sz w:val="10"/>
                <w:szCs w:val="10"/>
                <w:color w:val="auto"/>
              </w:rPr>
            </w:pPr>
          </w:p>
        </w:tc>
        <w:tc>
          <w:tcPr>
            <w:tcW w:w="13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on Cash Flow</w:t>
            </w:r>
          </w:p>
        </w:tc>
        <w:tc>
          <w:tcPr>
            <w:tcW w:w="180" w:type="dxa"/>
            <w:vAlign w:val="bottom"/>
          </w:tcPr>
          <w:p>
            <w:pPr>
              <w:spacing w:after="0"/>
              <w:rPr>
                <w:sz w:val="10"/>
                <w:szCs w:val="10"/>
                <w:color w:val="auto"/>
              </w:rPr>
            </w:pPr>
          </w:p>
        </w:tc>
        <w:tc>
          <w:tcPr>
            <w:tcW w:w="13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Liability</w:t>
            </w:r>
          </w:p>
        </w:tc>
        <w:tc>
          <w:tcPr>
            <w:tcW w:w="160" w:type="dxa"/>
            <w:vAlign w:val="bottom"/>
          </w:tcPr>
          <w:p>
            <w:pPr>
              <w:spacing w:after="0"/>
              <w:rPr>
                <w:sz w:val="10"/>
                <w:szCs w:val="10"/>
                <w:color w:val="auto"/>
              </w:rPr>
            </w:pPr>
          </w:p>
        </w:tc>
        <w:tc>
          <w:tcPr>
            <w:tcW w:w="12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Adjustments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 xml:space="preserve">Hedges </w:t>
            </w:r>
            <w:r>
              <w:rPr>
                <w:rFonts w:ascii="Arial" w:cs="Arial" w:eastAsia="Arial" w:hAnsi="Arial"/>
                <w:sz w:val="16"/>
                <w:szCs w:val="16"/>
                <w:b w:val="1"/>
                <w:bCs w:val="1"/>
                <w:color w:val="auto"/>
                <w:w w:val="91"/>
                <w:vertAlign w:val="superscript"/>
              </w:rPr>
              <w:t>(a)</w:t>
            </w:r>
          </w:p>
        </w:tc>
        <w:tc>
          <w:tcPr>
            <w:tcW w:w="18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 xml:space="preserve">Adjustment </w:t>
            </w:r>
            <w:r>
              <w:rPr>
                <w:rFonts w:ascii="Arial" w:cs="Arial" w:eastAsia="Arial" w:hAnsi="Arial"/>
                <w:sz w:val="16"/>
                <w:szCs w:val="16"/>
                <w:b w:val="1"/>
                <w:bCs w:val="1"/>
                <w:color w:val="auto"/>
                <w:w w:val="94"/>
                <w:vertAlign w:val="superscript"/>
              </w:rPr>
              <w:t>(b)</w:t>
            </w:r>
          </w:p>
        </w:tc>
        <w:tc>
          <w:tcPr>
            <w:tcW w:w="160" w:type="dxa"/>
            <w:vAlign w:val="bottom"/>
          </w:tcPr>
          <w:p>
            <w:pPr>
              <w:spacing w:after="0"/>
              <w:rPr>
                <w:sz w:val="16"/>
                <w:szCs w:val="16"/>
                <w:color w:val="auto"/>
              </w:rPr>
            </w:pPr>
          </w:p>
        </w:tc>
        <w:tc>
          <w:tcPr>
            <w:tcW w:w="124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159"/>
        </w:trPr>
        <w:tc>
          <w:tcPr>
            <w:tcW w:w="4300" w:type="dxa"/>
            <w:vAlign w:val="bottom"/>
          </w:tcPr>
          <w:p>
            <w:pPr>
              <w:spacing w:after="0"/>
              <w:rPr>
                <w:sz w:val="20"/>
                <w:szCs w:val="20"/>
                <w:color w:val="auto"/>
              </w:rPr>
            </w:pPr>
            <w:r>
              <w:rPr>
                <w:rFonts w:ascii="Arial" w:cs="Arial" w:eastAsia="Arial" w:hAnsi="Arial"/>
                <w:sz w:val="13"/>
                <w:szCs w:val="13"/>
                <w:color w:val="auto"/>
              </w:rPr>
              <w:t>Balance as of January 1, 2025</w:t>
            </w: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75"/>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2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June 30, 2025</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300" w:type="dxa"/>
            <w:vAlign w:val="bottom"/>
          </w:tcPr>
          <w:p>
            <w:pPr>
              <w:spacing w:after="0"/>
              <w:rPr>
                <w:sz w:val="20"/>
                <w:szCs w:val="20"/>
                <w:color w:val="auto"/>
              </w:rPr>
            </w:pPr>
            <w:r>
              <w:rPr>
                <w:rFonts w:ascii="Arial" w:cs="Arial" w:eastAsia="Arial" w:hAnsi="Arial"/>
                <w:sz w:val="13"/>
                <w:szCs w:val="13"/>
                <w:color w:val="auto"/>
              </w:rPr>
              <w:t>Balance as of January 1, 2024</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75"/>
        </w:trPr>
        <w:tc>
          <w:tcPr>
            <w:tcW w:w="4300" w:type="dxa"/>
            <w:vAlign w:val="bottom"/>
          </w:tcPr>
          <w:p>
            <w:pPr>
              <w:ind w:left="100"/>
              <w:spacing w:after="0"/>
              <w:rPr>
                <w:sz w:val="20"/>
                <w:szCs w:val="20"/>
                <w:color w:val="auto"/>
              </w:rPr>
            </w:pPr>
            <w:r>
              <w:rPr>
                <w:rFonts w:ascii="Arial" w:cs="Arial" w:eastAsia="Arial" w:hAnsi="Arial"/>
                <w:sz w:val="13"/>
                <w:szCs w:val="13"/>
                <w:color w:val="auto"/>
              </w:rPr>
              <w:t>Other comprehensive income (loss) before reclassifications</w:t>
            </w: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5"/>
        </w:trPr>
        <w:tc>
          <w:tcPr>
            <w:tcW w:w="4300" w:type="dxa"/>
            <w:vAlign w:val="bottom"/>
          </w:tcPr>
          <w:p>
            <w:pPr>
              <w:ind w:left="200"/>
              <w:spacing w:after="0"/>
              <w:rPr>
                <w:sz w:val="20"/>
                <w:szCs w:val="20"/>
                <w:color w:val="auto"/>
              </w:rPr>
            </w:pPr>
            <w:r>
              <w:rPr>
                <w:rFonts w:ascii="Arial" w:cs="Arial" w:eastAsia="Arial" w:hAnsi="Arial"/>
                <w:sz w:val="13"/>
                <w:szCs w:val="13"/>
                <w:color w:val="auto"/>
              </w:rPr>
              <w:t>Gross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83"/>
        </w:trPr>
        <w:tc>
          <w:tcPr>
            <w:tcW w:w="4300" w:type="dxa"/>
            <w:vAlign w:val="bottom"/>
          </w:tcPr>
          <w:p>
            <w:pPr>
              <w:ind w:left="200"/>
              <w:spacing w:after="0"/>
              <w:rPr>
                <w:sz w:val="20"/>
                <w:szCs w:val="20"/>
                <w:color w:val="auto"/>
              </w:rPr>
            </w:pPr>
            <w:r>
              <w:rPr>
                <w:rFonts w:ascii="Arial" w:cs="Arial" w:eastAsia="Arial" w:hAnsi="Arial"/>
                <w:sz w:val="13"/>
                <w:szCs w:val="13"/>
                <w:color w:val="auto"/>
              </w:rPr>
              <w:t>Tax on (gains) losses reclassified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08"/>
        </w:trPr>
        <w:tc>
          <w:tcPr>
            <w:tcW w:w="4300" w:type="dxa"/>
            <w:vAlign w:val="bottom"/>
          </w:tcPr>
          <w:p>
            <w:pPr>
              <w:ind w:left="100"/>
              <w:spacing w:after="0" w:line="108" w:lineRule="exact"/>
              <w:rPr>
                <w:sz w:val="20"/>
                <w:szCs w:val="20"/>
                <w:color w:val="auto"/>
              </w:rPr>
            </w:pPr>
            <w:r>
              <w:rPr>
                <w:rFonts w:ascii="Arial" w:cs="Arial" w:eastAsia="Arial" w:hAnsi="Arial"/>
                <w:sz w:val="12"/>
                <w:szCs w:val="12"/>
                <w:color w:val="auto"/>
              </w:rPr>
              <w:t>(Gains) losses reclassified from accumulated other comprehensive income</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60"/>
              <w:spacing w:after="0"/>
              <w:rPr>
                <w:sz w:val="20"/>
                <w:szCs w:val="20"/>
                <w:color w:val="auto"/>
              </w:rPr>
            </w:pPr>
            <w:r>
              <w:rPr>
                <w:rFonts w:ascii="Arial" w:cs="Arial" w:eastAsia="Arial" w:hAnsi="Arial"/>
                <w:sz w:val="13"/>
                <w:szCs w:val="13"/>
                <w:color w:val="auto"/>
              </w:rPr>
              <w:t>(loss), net of tax</w:t>
            </w:r>
          </w:p>
        </w:tc>
        <w:tc>
          <w:tcPr>
            <w:tcW w:w="2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71"/>
        </w:trPr>
        <w:tc>
          <w:tcPr>
            <w:tcW w:w="4300" w:type="dxa"/>
            <w:vAlign w:val="bottom"/>
          </w:tcPr>
          <w:p>
            <w:pPr>
              <w:ind w:left="100"/>
              <w:spacing w:after="0"/>
              <w:rPr>
                <w:sz w:val="20"/>
                <w:szCs w:val="20"/>
                <w:color w:val="auto"/>
              </w:rPr>
            </w:pPr>
            <w:r>
              <w:rPr>
                <w:rFonts w:ascii="Arial" w:cs="Arial" w:eastAsia="Arial" w:hAnsi="Arial"/>
                <w:sz w:val="13"/>
                <w:szCs w:val="13"/>
                <w:color w:val="auto"/>
              </w:rPr>
              <w:t>Net current-period other comprehensive income (loss)</w:t>
            </w:r>
          </w:p>
        </w:tc>
        <w:tc>
          <w:tcPr>
            <w:tcW w:w="2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3"/>
                <w:szCs w:val="13"/>
                <w:color w:val="auto"/>
              </w:rPr>
              <w:t>Balance as of June 30, 2024</w:t>
            </w: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jc w:val="both"/>
        <w:ind w:left="500"/>
        <w:spacing w:after="0" w:line="257"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$21 million gain, net of tax, as of June 30, 2025 related to our hedge of our investment in euro-denominated foreign operations (see Note 16 – Financial Instruments).</w:t>
      </w:r>
    </w:p>
    <w:p>
      <w:pPr>
        <w:ind w:left="820" w:hanging="326"/>
        <w:spacing w:after="0" w:line="203" w:lineRule="auto"/>
        <w:tabs>
          <w:tab w:leader="none" w:pos="82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Amounts reclassified to interest expense.</w:t>
      </w:r>
    </w:p>
    <w:p>
      <w:pPr>
        <w:ind w:left="820" w:hanging="326"/>
        <w:spacing w:after="0" w:line="193" w:lineRule="auto"/>
        <w:tabs>
          <w:tab w:leader="none" w:pos="82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Amounts reclassified to selling, general and administrative expenses.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500" w:right="8420" w:hanging="442"/>
        <w:spacing w:after="0" w:line="563" w:lineRule="auto"/>
        <w:tabs>
          <w:tab w:leader="none" w:pos="514"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Avis Mobility Ventures LLC</w:t>
      </w:r>
    </w:p>
    <w:p>
      <w:pPr>
        <w:jc w:val="both"/>
        <w:ind w:left="50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Avis Mobility Ventures LLC (“AMV”) is our former subsidiary. We ceased to have a controlling interest in AMV in 2022, and as a result we deconsolidated AMV from our financial statements. Our proportional share of AMV’s income or loss is included within other (income) expense, net in our Condensed Consolidated Statements of Comprehensive Income. As of June 30, 2025, we own approximately 35% of AMV. We continue to provide vehicles, related fleet services, and certain administrative services to AMV to support their operations. The following tables provide amounts reported within our financial statements related to our equity method investment in AMV and these services.</w:t>
      </w:r>
    </w:p>
    <w:p>
      <w:pPr>
        <w:spacing w:after="0" w:line="209"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components of other (income) expense, net are summarized below:</w:t>
      </w:r>
    </w:p>
    <w:p>
      <w:pPr>
        <w:spacing w:after="0" w:line="276"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32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210"/>
        </w:trPr>
        <w:tc>
          <w:tcPr>
            <w:tcW w:w="470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(Income) expense for services to AMV, net</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center"/>
              <w:ind w:left="599"/>
              <w:spacing w:after="0"/>
              <w:rPr>
                <w:sz w:val="20"/>
                <w:szCs w:val="20"/>
                <w:color w:val="auto"/>
              </w:rPr>
            </w:pPr>
            <w:r>
              <w:rPr>
                <w:rFonts w:ascii="Arial" w:cs="Arial" w:eastAsia="Arial" w:hAnsi="Arial"/>
                <w:sz w:val="16"/>
                <w:szCs w:val="16"/>
                <w:color w:val="auto"/>
              </w:rPr>
              <w:t>(2)</w:t>
            </w:r>
          </w:p>
        </w:tc>
      </w:tr>
      <w:tr>
        <w:trPr>
          <w:trHeight w:val="216"/>
        </w:trPr>
        <w:tc>
          <w:tcPr>
            <w:tcW w:w="4700" w:type="dxa"/>
            <w:vAlign w:val="bottom"/>
          </w:tcPr>
          <w:p>
            <w:pPr>
              <w:spacing w:after="0"/>
              <w:rPr>
                <w:sz w:val="20"/>
                <w:szCs w:val="20"/>
                <w:color w:val="auto"/>
              </w:rPr>
            </w:pPr>
            <w:r>
              <w:rPr>
                <w:rFonts w:ascii="Arial" w:cs="Arial" w:eastAsia="Arial" w:hAnsi="Arial"/>
                <w:sz w:val="16"/>
                <w:szCs w:val="16"/>
                <w:color w:val="auto"/>
              </w:rPr>
              <w:t>(Income) loss on equity method investment in AMV, net</w:t>
            </w: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89"/>
              </w:rPr>
              <w:t>5</w:t>
            </w:r>
          </w:p>
        </w:tc>
      </w:tr>
      <w:tr>
        <w:trPr>
          <w:trHeight w:val="211"/>
        </w:trPr>
        <w:tc>
          <w:tcPr>
            <w:tcW w:w="47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89"/>
              </w:rPr>
              <w:t>3</w:t>
            </w:r>
          </w:p>
        </w:tc>
      </w:tr>
      <w:tr>
        <w:trPr>
          <w:trHeight w:val="20"/>
        </w:trPr>
        <w:tc>
          <w:tcPr>
            <w:tcW w:w="4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amounts reported within our Condensed Consolidated Balance Sheets related to AMV:</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240" w:type="dxa"/>
            <w:vAlign w:val="bottom"/>
          </w:tcPr>
          <w:p>
            <w:pPr>
              <w:jc w:val="center"/>
              <w:ind w:left="279"/>
              <w:spacing w:after="0"/>
              <w:rPr>
                <w:sz w:val="20"/>
                <w:szCs w:val="20"/>
                <w:color w:val="auto"/>
              </w:rPr>
            </w:pPr>
            <w:r>
              <w:rPr>
                <w:rFonts w:ascii="Arial" w:cs="Arial" w:eastAsia="Arial" w:hAnsi="Arial"/>
                <w:sz w:val="16"/>
                <w:szCs w:val="16"/>
                <w:b w:val="1"/>
                <w:bCs w:val="1"/>
                <w:color w:val="auto"/>
                <w:w w:val="99"/>
              </w:rPr>
              <w:t>As of</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1240" w:type="dxa"/>
            <w:vAlign w:val="bottom"/>
          </w:tcPr>
          <w:p>
            <w:pPr>
              <w:jc w:val="center"/>
              <w:ind w:left="279"/>
              <w:spacing w:after="0"/>
              <w:rPr>
                <w:sz w:val="20"/>
                <w:szCs w:val="20"/>
                <w:color w:val="auto"/>
              </w:rPr>
            </w:pPr>
            <w:r>
              <w:rPr>
                <w:rFonts w:ascii="Arial" w:cs="Arial" w:eastAsia="Arial" w:hAnsi="Arial"/>
                <w:sz w:val="16"/>
                <w:szCs w:val="16"/>
                <w:b w:val="1"/>
                <w:bCs w:val="1"/>
                <w:color w:val="auto"/>
                <w:w w:val="99"/>
              </w:rPr>
              <w:t>June 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7"/>
        </w:trPr>
        <w:tc>
          <w:tcPr>
            <w:tcW w:w="6800" w:type="dxa"/>
            <w:vAlign w:val="bottom"/>
            <w:vMerge w:val="restart"/>
          </w:tcPr>
          <w:p>
            <w:pPr>
              <w:spacing w:after="0"/>
              <w:rPr>
                <w:sz w:val="20"/>
                <w:szCs w:val="20"/>
                <w:color w:val="auto"/>
              </w:rPr>
            </w:pPr>
            <w:r>
              <w:rPr>
                <w:rFonts w:ascii="Arial" w:cs="Arial" w:eastAsia="Arial" w:hAnsi="Arial"/>
                <w:sz w:val="16"/>
                <w:szCs w:val="16"/>
                <w:color w:val="auto"/>
              </w:rPr>
              <w:t xml:space="preserve">Receivables from AMV </w:t>
            </w:r>
            <w:r>
              <w:rPr>
                <w:rFonts w:ascii="Arial" w:cs="Arial" w:eastAsia="Arial" w:hAnsi="Arial"/>
                <w:sz w:val="21"/>
                <w:szCs w:val="21"/>
                <w:color w:val="auto"/>
                <w:vertAlign w:val="superscript"/>
              </w:rPr>
              <w:t>(a)</w:t>
            </w:r>
          </w:p>
        </w:tc>
        <w:tc>
          <w:tcPr>
            <w:tcW w:w="124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9"/>
        </w:trPr>
        <w:tc>
          <w:tcPr>
            <w:tcW w:w="6800" w:type="dxa"/>
            <w:vAlign w:val="bottom"/>
            <w:vMerge w:val="continue"/>
          </w:tcPr>
          <w:p>
            <w:pPr>
              <w:spacing w:after="0"/>
              <w:rPr>
                <w:sz w:val="17"/>
                <w:szCs w:val="17"/>
                <w:color w:val="auto"/>
              </w:rPr>
            </w:pP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800" w:type="dxa"/>
            <w:vAlign w:val="bottom"/>
          </w:tcPr>
          <w:p>
            <w:pPr>
              <w:spacing w:after="0" w:line="216" w:lineRule="exact"/>
              <w:rPr>
                <w:sz w:val="20"/>
                <w:szCs w:val="20"/>
                <w:color w:val="auto"/>
              </w:rPr>
            </w:pPr>
            <w:r>
              <w:rPr>
                <w:rFonts w:ascii="Arial" w:cs="Arial" w:eastAsia="Arial" w:hAnsi="Arial"/>
                <w:sz w:val="16"/>
                <w:szCs w:val="16"/>
                <w:color w:val="auto"/>
              </w:rPr>
              <w:t xml:space="preserve">Equity method investment in AMV </w:t>
            </w:r>
            <w:r>
              <w:rPr>
                <w:rFonts w:ascii="Arial" w:cs="Arial" w:eastAsia="Arial" w:hAnsi="Arial"/>
                <w:sz w:val="21"/>
                <w:szCs w:val="21"/>
                <w:color w:val="auto"/>
                <w:vertAlign w:val="superscript"/>
              </w:rPr>
              <w:t>(b)</w:t>
            </w:r>
          </w:p>
        </w:tc>
        <w:tc>
          <w:tcPr>
            <w:tcW w:w="1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82"/>
        </w:trPr>
        <w:tc>
          <w:tcPr>
            <w:tcW w:w="6800" w:type="dxa"/>
            <w:vAlign w:val="bottom"/>
          </w:tcPr>
          <w:p>
            <w:pPr>
              <w:spacing w:after="0"/>
              <w:rPr>
                <w:sz w:val="20"/>
                <w:szCs w:val="20"/>
                <w:color w:val="auto"/>
              </w:rPr>
            </w:pPr>
            <w:r>
              <w:rPr>
                <w:rFonts w:ascii="Arial" w:cs="Arial" w:eastAsia="Arial" w:hAnsi="Arial"/>
                <w:sz w:val="16"/>
                <w:szCs w:val="16"/>
                <w:color w:val="auto"/>
              </w:rPr>
              <w:t xml:space="preserve">Vehicles, net investment in lease with AMV </w:t>
            </w:r>
            <w:r>
              <w:rPr>
                <w:rFonts w:ascii="Arial" w:cs="Arial" w:eastAsia="Arial" w:hAnsi="Arial"/>
                <w:sz w:val="21"/>
                <w:szCs w:val="21"/>
                <w:color w:val="auto"/>
                <w:vertAlign w:val="superscript"/>
              </w:rPr>
              <w:t>(c)</w:t>
            </w:r>
          </w:p>
        </w:tc>
        <w:tc>
          <w:tcPr>
            <w:tcW w:w="1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tabs>
          <w:tab w:leader="none" w:pos="820"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14" w:lineRule="exact"/>
        <w:rPr>
          <w:rFonts w:ascii="Arial" w:cs="Arial" w:eastAsia="Arial" w:hAnsi="Arial"/>
          <w:sz w:val="9"/>
          <w:szCs w:val="9"/>
          <w:color w:val="auto"/>
        </w:rPr>
      </w:pPr>
    </w:p>
    <w:p>
      <w:pPr>
        <w:ind w:left="820" w:hanging="326"/>
        <w:spacing w:after="0"/>
        <w:tabs>
          <w:tab w:leader="none" w:pos="820"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Included within other non-current assets.</w:t>
      </w:r>
    </w:p>
    <w:p>
      <w:pPr>
        <w:spacing w:after="0" w:line="14" w:lineRule="exact"/>
        <w:rPr>
          <w:rFonts w:ascii="Arial" w:cs="Arial" w:eastAsia="Arial" w:hAnsi="Arial"/>
          <w:sz w:val="9"/>
          <w:szCs w:val="9"/>
          <w:color w:val="auto"/>
        </w:rPr>
      </w:pPr>
    </w:p>
    <w:p>
      <w:pPr>
        <w:ind w:left="800" w:hanging="306"/>
        <w:spacing w:after="0" w:line="193" w:lineRule="auto"/>
        <w:tabs>
          <w:tab w:leader="none" w:pos="800"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Included within vehicles, net. See Note 7 – Vehicle Rental Activities.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SRS Mobility Ventures, LLC</w:t>
      </w:r>
    </w:p>
    <w:p>
      <w:pPr>
        <w:spacing w:after="0" w:line="250"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SRS Mobility Ventures, LLC is an affiliate of our largest shareholder, SRS Investment Management, LLC. SRS Mobility Ventures, LLC obtained a controlling interest in AMV in 2022. As of June 30, 2025, they own approximately 65% of AMV.</w:t>
      </w:r>
    </w:p>
    <w:p>
      <w:pPr>
        <w:spacing w:after="0" w:line="180" w:lineRule="exact"/>
        <w:rPr>
          <w:sz w:val="20"/>
          <w:szCs w:val="20"/>
          <w:color w:val="auto"/>
        </w:rPr>
      </w:pPr>
    </w:p>
    <w:p>
      <w:pPr>
        <w:ind w:left="500" w:hanging="44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recorded stock-based compensation expense of $6 million ($5 million, net of tax) and $6 million ($5 million, net of tax) during the three months ended June 30, 2025 and 2024, respectively. We recorded stock-based compensation expense of $12 million ($9 million, net of tax) and $13 million ($10 million, net of tax) during the six months ended June 30, 2025 and 2024, respectively.</w:t>
      </w:r>
    </w:p>
    <w:p>
      <w:pPr>
        <w:spacing w:after="0" w:line="197"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part of our declaration and payment of a special cash dividend in December 2023, we granted additional restricted stock units (“RSUs”) to our award holders with unvested shares as a dividend equivalent, which has been deferred until, and will not be paid unless, the shares of stock underlying the award vest.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stock units consisted of (in thousands of shares):</w:t>
      </w:r>
    </w:p>
    <w:p>
      <w:pPr>
        <w:spacing w:after="0" w:line="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0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1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 Date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Contractual Term</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4720" w:type="dxa"/>
            <w:vAlign w:val="bottom"/>
            <w:vMerge w:val="continue"/>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00"/>
              <w:spacing w:after="0"/>
              <w:rPr>
                <w:sz w:val="20"/>
                <w:szCs w:val="20"/>
                <w:color w:val="auto"/>
              </w:rPr>
            </w:pPr>
            <w:r>
              <w:rPr>
                <w:rFonts w:ascii="Arial" w:cs="Arial" w:eastAsia="Arial" w:hAnsi="Arial"/>
                <w:sz w:val="14"/>
                <w:szCs w:val="14"/>
                <w:color w:val="auto"/>
              </w:rPr>
              <w:t>Outstanding as of January 1, 2025</w:t>
            </w:r>
          </w:p>
        </w:tc>
        <w:tc>
          <w:tcPr>
            <w:tcW w:w="1160" w:type="dxa"/>
            <w:vAlign w:val="bottom"/>
          </w:tcPr>
          <w:p>
            <w:pPr>
              <w:jc w:val="right"/>
              <w:spacing w:after="0"/>
              <w:rPr>
                <w:sz w:val="20"/>
                <w:szCs w:val="20"/>
                <w:color w:val="auto"/>
              </w:rPr>
            </w:pPr>
            <w:r>
              <w:rPr>
                <w:rFonts w:ascii="Arial" w:cs="Arial" w:eastAsia="Arial" w:hAnsi="Arial"/>
                <w:sz w:val="14"/>
                <w:szCs w:val="14"/>
                <w:color w:val="auto"/>
              </w:rPr>
              <w:t>306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143.25</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62.67</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155.36</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110.82</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00"/>
              <w:spacing w:after="0" w:line="200" w:lineRule="exact"/>
              <w:rPr>
                <w:sz w:val="20"/>
                <w:szCs w:val="20"/>
                <w:color w:val="auto"/>
              </w:rPr>
            </w:pPr>
            <w:r>
              <w:rPr>
                <w:rFonts w:ascii="Arial" w:cs="Arial" w:eastAsia="Arial" w:hAnsi="Arial"/>
                <w:sz w:val="14"/>
                <w:szCs w:val="14"/>
                <w:color w:val="auto"/>
              </w:rPr>
              <w:t xml:space="preserve">Outstanding and expected to vest as of June 30, 2025 </w:t>
            </w:r>
            <w:r>
              <w:rPr>
                <w:rFonts w:ascii="Arial" w:cs="Arial" w:eastAsia="Arial" w:hAnsi="Arial"/>
                <w:sz w:val="18"/>
                <w:szCs w:val="18"/>
                <w:color w:val="auto"/>
                <w:vertAlign w:val="superscript"/>
              </w:rPr>
              <w:t>(c)</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96.70</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RSUs</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00"/>
              <w:spacing w:after="0"/>
              <w:rPr>
                <w:sz w:val="20"/>
                <w:szCs w:val="20"/>
                <w:color w:val="auto"/>
              </w:rPr>
            </w:pPr>
            <w:r>
              <w:rPr>
                <w:rFonts w:ascii="Arial" w:cs="Arial" w:eastAsia="Arial" w:hAnsi="Arial"/>
                <w:sz w:val="14"/>
                <w:szCs w:val="14"/>
                <w:color w:val="auto"/>
              </w:rPr>
              <w:t>Outstanding as of January 1, 2025</w:t>
            </w:r>
          </w:p>
        </w:tc>
        <w:tc>
          <w:tcPr>
            <w:tcW w:w="1160" w:type="dxa"/>
            <w:vAlign w:val="bottom"/>
          </w:tcPr>
          <w:p>
            <w:pPr>
              <w:jc w:val="right"/>
              <w:spacing w:after="0"/>
              <w:rPr>
                <w:sz w:val="20"/>
                <w:szCs w:val="20"/>
                <w:color w:val="auto"/>
              </w:rPr>
            </w:pPr>
            <w:r>
              <w:rPr>
                <w:rFonts w:ascii="Arial" w:cs="Arial" w:eastAsia="Arial" w:hAnsi="Arial"/>
                <w:sz w:val="14"/>
                <w:szCs w:val="14"/>
                <w:color w:val="auto"/>
              </w:rPr>
              <w:t>315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159.62</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6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62.64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194.23</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133.44</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00"/>
              <w:spacing w:after="0"/>
              <w:rPr>
                <w:sz w:val="20"/>
                <w:szCs w:val="20"/>
                <w:color w:val="auto"/>
              </w:rPr>
            </w:pPr>
            <w:r>
              <w:rPr>
                <w:rFonts w:ascii="Arial" w:cs="Arial" w:eastAsia="Arial" w:hAnsi="Arial"/>
                <w:sz w:val="14"/>
                <w:szCs w:val="14"/>
                <w:color w:val="auto"/>
              </w:rPr>
              <w:t>Outstanding as of June 30, 2025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87.24</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1"/>
        </w:trPr>
        <w:tc>
          <w:tcPr>
            <w:tcW w:w="4720" w:type="dxa"/>
            <w:vAlign w:val="bottom"/>
            <w:vMerge w:val="restart"/>
          </w:tcPr>
          <w:p>
            <w:pPr>
              <w:ind w:left="100"/>
              <w:spacing w:after="0"/>
              <w:rPr>
                <w:sz w:val="20"/>
                <w:szCs w:val="20"/>
                <w:color w:val="auto"/>
              </w:rPr>
            </w:pPr>
            <w:r>
              <w:rPr>
                <w:rFonts w:ascii="Arial" w:cs="Arial" w:eastAsia="Arial" w:hAnsi="Arial"/>
                <w:sz w:val="14"/>
                <w:szCs w:val="14"/>
                <w:color w:val="auto"/>
              </w:rPr>
              <w:t xml:space="preserve">Outstanding and expected to vest as of June 30, 2025 </w:t>
            </w:r>
            <w:r>
              <w:rPr>
                <w:rFonts w:ascii="Arial" w:cs="Arial" w:eastAsia="Arial" w:hAnsi="Arial"/>
                <w:sz w:val="18"/>
                <w:szCs w:val="18"/>
                <w:color w:val="auto"/>
                <w:vertAlign w:val="superscript"/>
              </w:rPr>
              <w:t>(c)</w:t>
            </w: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70.14</w:t>
            </w:r>
          </w:p>
        </w:tc>
        <w:tc>
          <w:tcPr>
            <w:tcW w:w="10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45"/>
        </w:trPr>
        <w:tc>
          <w:tcPr>
            <w:tcW w:w="4720" w:type="dxa"/>
            <w:vAlign w:val="bottom"/>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249</w:t>
            </w:r>
          </w:p>
        </w:tc>
        <w:tc>
          <w:tcPr>
            <w:tcW w:w="26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820" w:right="20" w:hanging="326"/>
        <w:spacing w:after="0" w:line="218" w:lineRule="auto"/>
        <w:tabs>
          <w:tab w:leader="none" w:pos="813" w:val="left"/>
        </w:tabs>
        <w:numPr>
          <w:ilvl w:val="1"/>
          <w:numId w:val="38"/>
        </w:numPr>
        <w:rPr>
          <w:rFonts w:ascii="Arial" w:cs="Arial" w:eastAsia="Arial" w:hAnsi="Arial"/>
          <w:sz w:val="19"/>
          <w:szCs w:val="19"/>
          <w:color w:val="auto"/>
          <w:vertAlign w:val="superscript"/>
        </w:rPr>
      </w:pPr>
      <w:r>
        <w:rPr>
          <w:rFonts w:ascii="Arial" w:cs="Arial" w:eastAsia="Arial" w:hAnsi="Arial"/>
          <w:sz w:val="14"/>
          <w:szCs w:val="14"/>
          <w:color w:val="auto"/>
        </w:rPr>
        <w:t>Reflects the maximum number of stock units assuming achievement of all time- and performance-vesting criteria and does not include those for non-employee directors. The weighted-average fair value of time- and performance-based RSUs granted during the six months ended June 30, 2024 was $113.10.</w:t>
      </w:r>
    </w:p>
    <w:p>
      <w:pPr>
        <w:spacing w:after="0" w:line="1" w:lineRule="exact"/>
        <w:rPr>
          <w:rFonts w:ascii="Arial" w:cs="Arial" w:eastAsia="Arial" w:hAnsi="Arial"/>
          <w:sz w:val="19"/>
          <w:szCs w:val="19"/>
          <w:color w:val="auto"/>
          <w:vertAlign w:val="superscript"/>
        </w:rPr>
      </w:pPr>
    </w:p>
    <w:p>
      <w:pPr>
        <w:ind w:left="820" w:hanging="326"/>
        <w:spacing w:after="0" w:line="261" w:lineRule="auto"/>
        <w:tabs>
          <w:tab w:leader="none" w:pos="813" w:val="left"/>
        </w:tabs>
        <w:numPr>
          <w:ilvl w:val="1"/>
          <w:numId w:val="38"/>
        </w:numPr>
        <w:rPr>
          <w:rFonts w:ascii="Arial" w:cs="Arial" w:eastAsia="Arial" w:hAnsi="Arial"/>
          <w:sz w:val="9"/>
          <w:szCs w:val="9"/>
          <w:color w:val="auto"/>
        </w:rPr>
      </w:pPr>
      <w:r>
        <w:rPr>
          <w:rFonts w:ascii="Arial" w:cs="Arial" w:eastAsia="Arial" w:hAnsi="Arial"/>
          <w:sz w:val="14"/>
          <w:szCs w:val="14"/>
          <w:color w:val="auto"/>
        </w:rPr>
        <w:t>The total fair value of time- and performance-based RSUs vested during the six months ended June 30, 2025 and 2024 was $23 million and $29 million, respectively.</w:t>
      </w:r>
    </w:p>
    <w:p>
      <w:pPr>
        <w:spacing w:after="0" w:line="175" w:lineRule="exact"/>
        <w:rPr>
          <w:rFonts w:ascii="Arial" w:cs="Arial" w:eastAsia="Arial" w:hAnsi="Arial"/>
          <w:sz w:val="9"/>
          <w:szCs w:val="9"/>
          <w:color w:val="auto"/>
        </w:rPr>
      </w:pPr>
    </w:p>
    <w:p>
      <w:pPr>
        <w:ind w:left="820" w:hanging="326"/>
        <w:spacing w:after="0" w:line="222" w:lineRule="auto"/>
        <w:tabs>
          <w:tab w:leader="none" w:pos="807" w:val="left"/>
        </w:tabs>
        <w:numPr>
          <w:ilvl w:val="1"/>
          <w:numId w:val="38"/>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 and performance-based RSUs amounted to $44 million and will be recognized over a weighted average vesting period of 1.6 years.</w:t>
      </w:r>
    </w:p>
    <w:p>
      <w:pPr>
        <w:spacing w:after="0" w:line="219" w:lineRule="exact"/>
        <w:rPr>
          <w:rFonts w:ascii="Arial" w:cs="Arial" w:eastAsia="Arial" w:hAnsi="Arial"/>
          <w:sz w:val="19"/>
          <w:szCs w:val="19"/>
          <w:color w:val="auto"/>
          <w:vertAlign w:val="superscript"/>
        </w:rPr>
      </w:pPr>
    </w:p>
    <w:p>
      <w:pPr>
        <w:ind w:left="500" w:hanging="44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0" w:lineRule="exact"/>
        <w:rPr>
          <w:rFonts w:ascii="Arial" w:cs="Arial" w:eastAsia="Arial" w:hAnsi="Arial"/>
          <w:sz w:val="18"/>
          <w:szCs w:val="18"/>
          <w:b w:val="1"/>
          <w:bCs w:val="1"/>
          <w:color w:val="auto"/>
        </w:rPr>
      </w:pPr>
    </w:p>
    <w:p>
      <w:pPr>
        <w:jc w:val="both"/>
        <w:ind w:left="500"/>
        <w:spacing w:after="0" w:line="25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 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We have designated our euro-denominated notes as a hedge of our investment in euro-denominated foreign operations.</w:t>
      </w:r>
    </w:p>
    <w:p>
      <w:pPr>
        <w:spacing w:after="0" w:line="209"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79"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$17 million of gain currently recorded in accumulated other comprehensive income (loss) will be recognized in earnings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 fuel.</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were designated as freestanding derivatives and the changes in fair value are recorded in earnings and are presented in the same line of the income statement expected for the hedged item.</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held derivative instruments with absolute notional values as follows: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ind w:right="699"/>
              <w:spacing w:after="0"/>
              <w:rPr>
                <w:sz w:val="20"/>
                <w:szCs w:val="20"/>
                <w:color w:val="auto"/>
              </w:rPr>
            </w:pPr>
            <w:r>
              <w:rPr>
                <w:rFonts w:ascii="Arial" w:cs="Arial" w:eastAsia="Arial" w:hAnsi="Arial"/>
                <w:sz w:val="16"/>
                <w:szCs w:val="16"/>
                <w:b w:val="1"/>
                <w:bCs w:val="1"/>
                <w:color w:val="auto"/>
              </w:rPr>
              <w:t>As of</w:t>
            </w:r>
          </w:p>
        </w:tc>
      </w:tr>
      <w:tr>
        <w:trPr>
          <w:trHeight w:val="216"/>
        </w:trPr>
        <w:tc>
          <w:tcPr>
            <w:tcW w:w="8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2025</w:t>
            </w:r>
          </w:p>
        </w:tc>
      </w:tr>
      <w:tr>
        <w:trPr>
          <w:trHeight w:val="208"/>
        </w:trPr>
        <w:tc>
          <w:tcPr>
            <w:tcW w:w="820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1,746</w:t>
            </w:r>
          </w:p>
        </w:tc>
      </w:tr>
      <w:tr>
        <w:trPr>
          <w:trHeight w:val="217"/>
        </w:trPr>
        <w:tc>
          <w:tcPr>
            <w:tcW w:w="820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9,828</w:t>
            </w:r>
          </w:p>
        </w:tc>
      </w:tr>
      <w:tr>
        <w:trPr>
          <w:trHeight w:val="215"/>
        </w:trPr>
        <w:tc>
          <w:tcPr>
            <w:tcW w:w="8200" w:type="dxa"/>
            <w:vAlign w:val="bottom"/>
          </w:tcPr>
          <w:p>
            <w:pPr>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10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p>
    <w:p>
      <w:pPr>
        <w:ind w:left="820" w:right="20" w:hanging="326"/>
        <w:spacing w:after="0" w:line="227" w:lineRule="auto"/>
        <w:tabs>
          <w:tab w:leader="none" w:pos="813"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Represents $6.3 billion of interest rate caps sold and approximately $3.5 billion of interest rate caps purchased. These amounts exclude $3.1 billion of interest rate caps purchased by our Avis Budget Rental Car Funding subsidiary as it is not consolidated by us.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are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660" w:type="dxa"/>
            <w:vAlign w:val="bottom"/>
            <w:tcBorders>
              <w:bottom w:val="single" w:sz="8" w:color="auto"/>
            </w:tcBorders>
            <w:gridSpan w:val="4"/>
          </w:tcPr>
          <w:p>
            <w:pPr>
              <w:ind w:left="700"/>
              <w:spacing w:after="0"/>
              <w:rPr>
                <w:sz w:val="20"/>
                <w:szCs w:val="20"/>
                <w:color w:val="auto"/>
              </w:rPr>
            </w:pPr>
            <w:r>
              <w:rPr>
                <w:rFonts w:ascii="Arial" w:cs="Arial" w:eastAsia="Arial" w:hAnsi="Arial"/>
                <w:sz w:val="16"/>
                <w:szCs w:val="16"/>
                <w:b w:val="1"/>
                <w:bCs w:val="1"/>
                <w:color w:val="auto"/>
              </w:rPr>
              <w:t>As of June 30, 2025</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2024</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120" w:type="dxa"/>
            <w:vAlign w:val="bottom"/>
            <w:vMerge w:val="restart"/>
          </w:tcPr>
          <w:p>
            <w:pPr>
              <w:ind w:left="300"/>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159"/>
              <w:spacing w:after="0" w:line="155" w:lineRule="exact"/>
              <w:rPr>
                <w:sz w:val="20"/>
                <w:szCs w:val="20"/>
                <w:color w:val="auto"/>
              </w:rPr>
            </w:pPr>
            <w:r>
              <w:rPr>
                <w:rFonts w:ascii="Arial" w:cs="Arial" w:eastAsia="Arial" w:hAnsi="Arial"/>
                <w:sz w:val="16"/>
                <w:szCs w:val="16"/>
                <w:b w:val="1"/>
                <w:bCs w:val="1"/>
                <w:color w:val="auto"/>
                <w:w w:val="98"/>
              </w:rPr>
              <w:t>Fair 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3"/>
                <w:szCs w:val="13"/>
                <w:color w:val="auto"/>
              </w:rPr>
            </w:pPr>
          </w:p>
        </w:tc>
        <w:tc>
          <w:tcPr>
            <w:tcW w:w="1220" w:type="dxa"/>
            <w:vAlign w:val="bottom"/>
          </w:tcPr>
          <w:p>
            <w:pPr>
              <w:jc w:val="center"/>
              <w:ind w:right="9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159"/>
              <w:spacing w:after="0" w:line="162" w:lineRule="exact"/>
              <w:rPr>
                <w:sz w:val="20"/>
                <w:szCs w:val="20"/>
                <w:color w:val="auto"/>
              </w:rPr>
            </w:pPr>
            <w:r>
              <w:rPr>
                <w:rFonts w:ascii="Arial" w:cs="Arial" w:eastAsia="Arial" w:hAnsi="Arial"/>
                <w:sz w:val="16"/>
                <w:szCs w:val="16"/>
                <w:b w:val="1"/>
                <w:bCs w:val="1"/>
                <w:color w:val="auto"/>
                <w:w w:val="99"/>
              </w:rPr>
              <w:t>Liability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1160" w:type="dxa"/>
            <w:vAlign w:val="bottom"/>
          </w:tcPr>
          <w:p>
            <w:pPr>
              <w:jc w:val="center"/>
              <w:ind w:left="159"/>
              <w:spacing w:after="0"/>
              <w:rPr>
                <w:sz w:val="20"/>
                <w:szCs w:val="20"/>
                <w:color w:val="auto"/>
              </w:rPr>
            </w:pPr>
            <w:r>
              <w:rPr>
                <w:rFonts w:ascii="Arial" w:cs="Arial" w:eastAsia="Arial" w:hAnsi="Arial"/>
                <w:sz w:val="16"/>
                <w:szCs w:val="16"/>
                <w:b w:val="1"/>
                <w:bCs w:val="1"/>
                <w:color w:val="auto"/>
              </w:rPr>
              <w:t>Derivatives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180" w:type="dxa"/>
            <w:vAlign w:val="bottom"/>
          </w:tcPr>
          <w:p>
            <w:pPr>
              <w:spacing w:after="0"/>
              <w:rPr>
                <w:sz w:val="18"/>
                <w:szCs w:val="18"/>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20" w:type="dxa"/>
            <w:vAlign w:val="bottom"/>
          </w:tcPr>
          <w:p>
            <w:pPr>
              <w:ind w:left="2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w w:val="99"/>
              </w:rPr>
              <w:t>—</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24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500"/>
        <w:spacing w:after="0" w:line="25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13 – Stockholders' Equity.</w:t>
      </w:r>
    </w:p>
    <w:p>
      <w:pPr>
        <w:ind w:left="820" w:hanging="326"/>
        <w:spacing w:after="0" w:line="202" w:lineRule="auto"/>
        <w:tabs>
          <w:tab w:leader="none" w:pos="8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within other non-current assets or other non-current liabilities.</w:t>
      </w:r>
    </w:p>
    <w:p>
      <w:pPr>
        <w:ind w:left="820" w:hanging="326"/>
        <w:spacing w:after="0" w:line="192" w:lineRule="auto"/>
        <w:tabs>
          <w:tab w:leader="none" w:pos="82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 or other current liabilities.</w:t>
      </w:r>
    </w:p>
    <w:p>
      <w:pPr>
        <w:ind w:left="800" w:hanging="306"/>
        <w:spacing w:after="0" w:line="193" w:lineRule="auto"/>
        <w:tabs>
          <w:tab w:leader="none" w:pos="80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within assets under vehicle programs or liabilities under vehicle programs.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financial instruments recognized in our Condensed Consolidated Financial Statements are as follows:</w:t>
      </w:r>
    </w:p>
    <w:p>
      <w:pPr>
        <w:spacing w:after="0" w:line="276"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5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vMerge w:val="restart"/>
          </w:tcPr>
          <w:p>
            <w:pPr>
              <w:spacing w:after="0"/>
              <w:rPr>
                <w:sz w:val="20"/>
                <w:szCs w:val="20"/>
                <w:color w:val="auto"/>
              </w:rPr>
            </w:pPr>
            <w:r>
              <w:rPr>
                <w:rFonts w:ascii="Arial" w:cs="Arial" w:eastAsia="Arial" w:hAnsi="Arial"/>
                <w:sz w:val="16"/>
                <w:szCs w:val="16"/>
                <w:b w:val="1"/>
                <w:bCs w:val="1"/>
                <w:color w:val="auto"/>
              </w:rPr>
              <w:t>Financial instruments designated as hedging</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160"/>
              <w:spacing w:after="0" w:line="216" w:lineRule="exact"/>
              <w:rPr>
                <w:sz w:val="20"/>
                <w:szCs w:val="20"/>
                <w:color w:val="auto"/>
              </w:rPr>
            </w:pPr>
            <w:r>
              <w:rPr>
                <w:rFonts w:ascii="Arial" w:cs="Arial" w:eastAsia="Arial" w:hAnsi="Arial"/>
                <w:sz w:val="16"/>
                <w:szCs w:val="16"/>
                <w:b w:val="1"/>
                <w:bCs w:val="1"/>
                <w:color w:val="auto"/>
              </w:rPr>
              <w:t xml:space="preserve">instruments </w:t>
            </w:r>
            <w:r>
              <w:rPr>
                <w:rFonts w:ascii="Arial" w:cs="Arial" w:eastAsia="Arial" w:hAnsi="Arial"/>
                <w:sz w:val="21"/>
                <w:szCs w:val="21"/>
                <w:b w:val="1"/>
                <w:bCs w:val="1"/>
                <w:color w:val="auto"/>
                <w:vertAlign w:val="superscript"/>
              </w:rPr>
              <w:t>(a)</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360" w:type="dxa"/>
            <w:vAlign w:val="bottom"/>
          </w:tcPr>
          <w:p>
            <w:pPr>
              <w:jc w:val="center"/>
              <w:ind w:lef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center"/>
              <w:ind w:left="5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3"/>
        </w:trPr>
        <w:tc>
          <w:tcPr>
            <w:tcW w:w="4260" w:type="dxa"/>
            <w:vAlign w:val="bottom"/>
          </w:tcPr>
          <w:p>
            <w:pPr>
              <w:spacing w:after="0" w:line="163" w:lineRule="exact"/>
              <w:rPr>
                <w:sz w:val="20"/>
                <w:szCs w:val="20"/>
                <w:color w:val="auto"/>
              </w:rPr>
            </w:pPr>
            <w:r>
              <w:rPr>
                <w:rFonts w:ascii="Arial" w:cs="Arial" w:eastAsia="Arial" w:hAnsi="Arial"/>
                <w:sz w:val="16"/>
                <w:szCs w:val="16"/>
                <w:b w:val="1"/>
                <w:bCs w:val="1"/>
                <w:color w:val="auto"/>
              </w:rPr>
              <w:t>Financial instruments not designated as hedging</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60" w:type="dxa"/>
            <w:vAlign w:val="bottom"/>
          </w:tcPr>
          <w:p>
            <w:pPr>
              <w:ind w:left="160"/>
              <w:spacing w:after="0" w:line="216" w:lineRule="exact"/>
              <w:rPr>
                <w:sz w:val="20"/>
                <w:szCs w:val="20"/>
                <w:color w:val="auto"/>
              </w:rPr>
            </w:pPr>
            <w:r>
              <w:rPr>
                <w:rFonts w:ascii="Arial" w:cs="Arial" w:eastAsia="Arial" w:hAnsi="Arial"/>
                <w:sz w:val="16"/>
                <w:szCs w:val="16"/>
                <w:b w:val="1"/>
                <w:bCs w:val="1"/>
                <w:color w:val="auto"/>
              </w:rPr>
              <w:t xml:space="preserve">instruments </w:t>
            </w:r>
            <w:r>
              <w:rPr>
                <w:rFonts w:ascii="Arial" w:cs="Arial" w:eastAsia="Arial" w:hAnsi="Arial"/>
                <w:sz w:val="21"/>
                <w:szCs w:val="21"/>
                <w:b w:val="1"/>
                <w:bCs w:val="1"/>
                <w:color w:val="auto"/>
                <w:vertAlign w:val="superscript"/>
              </w:rPr>
              <w:t>(d)</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accumulated other comprehensive income (loss) within stockholders’ equity.</w:t>
      </w:r>
    </w:p>
    <w:p>
      <w:pPr>
        <w:ind w:left="820" w:hanging="326"/>
        <w:spacing w:after="0" w:line="213" w:lineRule="auto"/>
        <w:tabs>
          <w:tab w:leader="none" w:pos="813"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 – Stockholders' Equity for amounts reclassified from accumulated other comprehensive income (loss) into earnings.</w:t>
      </w:r>
    </w:p>
    <w:p>
      <w:pPr>
        <w:ind w:left="800" w:hanging="306"/>
        <w:spacing w:after="0" w:line="192" w:lineRule="auto"/>
        <w:tabs>
          <w:tab w:leader="none" w:pos="80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820" w:hanging="326"/>
        <w:spacing w:after="0" w:line="192" w:lineRule="auto"/>
        <w:tabs>
          <w:tab w:leader="none" w:pos="8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93" w:lineRule="auto"/>
        <w:tabs>
          <w:tab w:leader="none" w:pos="8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Primarily included within interest expense.</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297"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ind w:left="460"/>
              <w:spacing w:after="0"/>
              <w:rPr>
                <w:sz w:val="20"/>
                <w:szCs w:val="20"/>
                <w:color w:val="auto"/>
              </w:rPr>
            </w:pPr>
            <w:r>
              <w:rPr>
                <w:rFonts w:ascii="Arial" w:cs="Arial" w:eastAsia="Arial" w:hAnsi="Arial"/>
                <w:sz w:val="16"/>
                <w:szCs w:val="16"/>
                <w:b w:val="1"/>
                <w:bCs w:val="1"/>
                <w:color w:val="auto"/>
              </w:rPr>
              <w:t>As of June 30, 2025</w:t>
            </w:r>
          </w:p>
        </w:tc>
        <w:tc>
          <w:tcPr>
            <w:tcW w:w="240" w:type="dxa"/>
            <w:vAlign w:val="bottom"/>
          </w:tcPr>
          <w:p>
            <w:pPr>
              <w:spacing w:after="0"/>
              <w:rPr>
                <w:sz w:val="18"/>
                <w:szCs w:val="18"/>
                <w:color w:val="auto"/>
              </w:rPr>
            </w:pPr>
          </w:p>
        </w:tc>
        <w:tc>
          <w:tcPr>
            <w:tcW w:w="26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2024</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5,452</w:t>
            </w:r>
          </w:p>
        </w:tc>
        <w:tc>
          <w:tcPr>
            <w:tcW w:w="0" w:type="dxa"/>
            <w:vAlign w:val="bottom"/>
          </w:tcPr>
          <w:p>
            <w:pPr>
              <w:spacing w:after="0"/>
              <w:rPr>
                <w:sz w:val="1"/>
                <w:szCs w:val="1"/>
                <w:color w:val="auto"/>
              </w:rPr>
            </w:pPr>
          </w:p>
        </w:tc>
      </w:tr>
      <w:tr>
        <w:trPr>
          <w:trHeight w:val="433"/>
        </w:trPr>
        <w:tc>
          <w:tcPr>
            <w:tcW w:w="42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40" w:type="dxa"/>
            <w:vAlign w:val="bottom"/>
          </w:tcPr>
          <w:p>
            <w:pPr>
              <w:ind w:left="100"/>
              <w:spacing w:after="0" w:line="163" w:lineRule="exact"/>
              <w:rPr>
                <w:sz w:val="20"/>
                <w:szCs w:val="20"/>
                <w:color w:val="auto"/>
              </w:rPr>
            </w:pPr>
            <w:r>
              <w:rPr>
                <w:rFonts w:ascii="Arial" w:cs="Arial" w:eastAsia="Arial" w:hAnsi="Arial"/>
                <w:sz w:val="16"/>
                <w:szCs w:val="16"/>
                <w:color w:val="auto"/>
              </w:rPr>
              <w:t>Vehicle-backed debt due to Avis Budget Rental Car</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15,527</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15,709</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14,083</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14,154</w:t>
            </w: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6"/>
                <w:szCs w:val="16"/>
                <w:color w:val="auto"/>
              </w:rPr>
              <w:t>Funding</w:t>
            </w: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4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3,469</w:t>
            </w:r>
          </w:p>
        </w:tc>
        <w:tc>
          <w:tcPr>
            <w:tcW w:w="0" w:type="dxa"/>
            <w:vAlign w:val="bottom"/>
          </w:tcPr>
          <w:p>
            <w:pPr>
              <w:spacing w:after="0"/>
              <w:rPr>
                <w:sz w:val="1"/>
                <w:szCs w:val="1"/>
                <w:color w:val="auto"/>
              </w:rPr>
            </w:pPr>
          </w:p>
        </w:tc>
      </w:tr>
      <w:tr>
        <w:trPr>
          <w:trHeight w:val="282"/>
        </w:trPr>
        <w:tc>
          <w:tcPr>
            <w:tcW w:w="424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820" w:hanging="326"/>
        <w:spacing w:after="0"/>
        <w:tabs>
          <w:tab w:leader="none" w:pos="820" w:val="left"/>
        </w:tabs>
        <w:numPr>
          <w:ilvl w:val="1"/>
          <w:numId w:val="43"/>
        </w:numPr>
        <w:rPr>
          <w:rFonts w:ascii="Arial" w:cs="Arial" w:eastAsia="Arial" w:hAnsi="Arial"/>
          <w:sz w:val="9"/>
          <w:szCs w:val="9"/>
          <w:color w:val="auto"/>
        </w:rPr>
      </w:pPr>
      <w:r>
        <w:rPr>
          <w:rFonts w:ascii="Arial" w:cs="Arial" w:eastAsia="Arial" w:hAnsi="Arial"/>
          <w:sz w:val="14"/>
          <w:szCs w:val="14"/>
          <w:color w:val="auto"/>
        </w:rPr>
        <w:t>Derivatives in a liability position.</w:t>
      </w:r>
    </w:p>
    <w:p>
      <w:pPr>
        <w:spacing w:after="0" w:line="233" w:lineRule="exact"/>
        <w:rPr>
          <w:rFonts w:ascii="Arial" w:cs="Arial" w:eastAsia="Arial" w:hAnsi="Arial"/>
          <w:sz w:val="9"/>
          <w:szCs w:val="9"/>
          <w:color w:val="auto"/>
        </w:rPr>
      </w:pPr>
    </w:p>
    <w:p>
      <w:pPr>
        <w:ind w:left="500" w:hanging="44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2"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chief executive officer, who also serves as our chief operating decision-maker (“CODM,”) assesses performance and allocates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w:t>
      </w:r>
    </w:p>
    <w:p>
      <w:pPr>
        <w:spacing w:after="0" w:line="206" w:lineRule="exact"/>
        <w:rPr>
          <w:rFonts w:ascii="Arial" w:cs="Arial" w:eastAsia="Arial" w:hAnsi="Arial"/>
          <w:sz w:val="18"/>
          <w:szCs w:val="18"/>
          <w:b w:val="1"/>
          <w:bCs w:val="1"/>
          <w:color w:val="auto"/>
        </w:rPr>
      </w:pPr>
    </w:p>
    <w:p>
      <w:pPr>
        <w:jc w:val="both"/>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CODM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transaction-related costs, net; legal matters, net, which primarily includes amounts recorded in excess of $5 million, related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In the first quarter of 2025, we revised our definition of Adjusted EBITDA to exclude other fleet charges. We did not revise prior years' Adjusted EBITDA amounts because there were no other charges similar in nature to these.</w:t>
      </w:r>
    </w:p>
    <w:p>
      <w:pPr>
        <w:spacing w:after="0" w:line="210" w:lineRule="exact"/>
        <w:rPr>
          <w:sz w:val="20"/>
          <w:szCs w:val="20"/>
          <w:color w:val="auto"/>
        </w:rPr>
      </w:pPr>
    </w:p>
    <w:p>
      <w:pPr>
        <w:jc w:val="both"/>
        <w:ind w:left="500"/>
        <w:spacing w:after="0" w:line="247"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w:t>
      </w:r>
    </w:p>
    <w:p>
      <w:pPr>
        <w:spacing w:after="0" w:line="217"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Provided below is information about our revenues, significant segment expenses, and reportable segment Adjusted EBITDA, together with a reconciliation of reportable segment Adjusted EBITDA to income (loss) before income taxes.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2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Americas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International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Americas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20"/>
                <w:szCs w:val="20"/>
                <w:color w:val="auto"/>
              </w:rPr>
            </w:pPr>
            <w:r>
              <w:rPr>
                <w:rFonts w:ascii="Arial" w:cs="Arial" w:eastAsia="Arial" w:hAnsi="Arial"/>
                <w:sz w:val="14"/>
                <w:szCs w:val="14"/>
                <w:color w:val="auto"/>
              </w:rPr>
              <w:t>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2,332</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707</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3,039</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2,361</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687</w:t>
            </w:r>
          </w:p>
        </w:tc>
        <w:tc>
          <w:tcPr>
            <w:tcW w:w="1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3,048</w:t>
            </w:r>
          </w:p>
        </w:tc>
        <w:tc>
          <w:tcPr>
            <w:tcW w:w="0" w:type="dxa"/>
            <w:vAlign w:val="bottom"/>
          </w:tcPr>
          <w:p>
            <w:pPr>
              <w:spacing w:after="0"/>
              <w:rPr>
                <w:sz w:val="1"/>
                <w:szCs w:val="1"/>
                <w:color w:val="auto"/>
              </w:rPr>
            </w:pPr>
          </w:p>
        </w:tc>
      </w:tr>
      <w:tr>
        <w:trPr>
          <w:trHeight w:val="235"/>
        </w:trPr>
        <w:tc>
          <w:tcPr>
            <w:tcW w:w="2540" w:type="dxa"/>
            <w:vAlign w:val="bottom"/>
          </w:tcPr>
          <w:p>
            <w:pPr>
              <w:spacing w:after="0"/>
              <w:rPr>
                <w:sz w:val="20"/>
                <w:szCs w:val="20"/>
                <w:color w:val="auto"/>
              </w:rPr>
            </w:pPr>
            <w:r>
              <w:rPr>
                <w:rFonts w:ascii="Arial" w:cs="Arial" w:eastAsia="Arial" w:hAnsi="Arial"/>
                <w:sz w:val="14"/>
                <w:szCs w:val="14"/>
                <w:color w:val="auto"/>
              </w:rPr>
              <w:t>Significant segment expenses: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100"/>
              <w:spacing w:after="0"/>
              <w:rPr>
                <w:sz w:val="20"/>
                <w:szCs w:val="20"/>
                <w:color w:val="auto"/>
              </w:rPr>
            </w:pPr>
            <w:r>
              <w:rPr>
                <w:rFonts w:ascii="Arial" w:cs="Arial" w:eastAsia="Arial" w:hAnsi="Arial"/>
                <w:sz w:val="14"/>
                <w:szCs w:val="14"/>
                <w:color w:val="auto"/>
              </w:rPr>
              <w:t xml:space="preserve">Operating </w:t>
            </w:r>
            <w:r>
              <w:rPr>
                <w:rFonts w:ascii="Arial" w:cs="Arial" w:eastAsia="Arial" w:hAnsi="Arial"/>
                <w:sz w:val="18"/>
                <w:szCs w:val="18"/>
                <w:color w:val="auto"/>
                <w:vertAlign w:val="superscript"/>
              </w:rPr>
              <w:t>(a)</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540" w:type="dxa"/>
            <w:vAlign w:val="bottom"/>
          </w:tcPr>
          <w:p>
            <w:pPr>
              <w:ind w:left="100"/>
              <w:spacing w:after="0" w:line="145" w:lineRule="exact"/>
              <w:rPr>
                <w:sz w:val="20"/>
                <w:szCs w:val="20"/>
                <w:color w:val="auto"/>
              </w:rPr>
            </w:pPr>
            <w:r>
              <w:rPr>
                <w:rFonts w:ascii="Arial" w:cs="Arial" w:eastAsia="Arial" w:hAnsi="Arial"/>
                <w:sz w:val="14"/>
                <w:szCs w:val="14"/>
                <w:color w:val="auto"/>
              </w:rPr>
              <w:t>Vehicle depreciation and lease</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484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40" w:type="dxa"/>
            <w:vAlign w:val="bottom"/>
          </w:tcPr>
          <w:p>
            <w:pPr>
              <w:ind w:left="260"/>
              <w:spacing w:after="0"/>
              <w:rPr>
                <w:sz w:val="20"/>
                <w:szCs w:val="20"/>
                <w:color w:val="auto"/>
              </w:rPr>
            </w:pPr>
            <w:r>
              <w:rPr>
                <w:rFonts w:ascii="Arial" w:cs="Arial" w:eastAsia="Arial" w:hAnsi="Arial"/>
                <w:sz w:val="14"/>
                <w:szCs w:val="14"/>
                <w:color w:val="auto"/>
              </w:rPr>
              <w:t>charges, net</w:t>
            </w: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54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4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100"/>
              <w:spacing w:after="0" w:line="135" w:lineRule="exact"/>
              <w:rPr>
                <w:sz w:val="20"/>
                <w:szCs w:val="20"/>
                <w:color w:val="auto"/>
              </w:rPr>
            </w:pPr>
            <w:r>
              <w:rPr>
                <w:rFonts w:ascii="Arial" w:cs="Arial" w:eastAsia="Arial" w:hAnsi="Arial"/>
                <w:sz w:val="14"/>
                <w:szCs w:val="14"/>
                <w:color w:val="auto"/>
              </w:rPr>
              <w:t>Reportable segment Adjusted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220</w:t>
            </w:r>
          </w:p>
        </w:tc>
        <w:tc>
          <w:tcPr>
            <w:tcW w:w="1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302</w:t>
            </w:r>
          </w:p>
        </w:tc>
        <w:tc>
          <w:tcPr>
            <w:tcW w:w="80" w:type="dxa"/>
            <w:vAlign w:val="bottom"/>
            <w:vMerge w:val="restart"/>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186</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8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94"/>
        </w:trPr>
        <w:tc>
          <w:tcPr>
            <w:tcW w:w="2540" w:type="dxa"/>
            <w:vAlign w:val="bottom"/>
          </w:tcPr>
          <w:p>
            <w:pPr>
              <w:ind w:left="260"/>
              <w:spacing w:after="0"/>
              <w:rPr>
                <w:sz w:val="20"/>
                <w:szCs w:val="20"/>
                <w:color w:val="auto"/>
              </w:rPr>
            </w:pPr>
            <w:r>
              <w:rPr>
                <w:rFonts w:ascii="Arial" w:cs="Arial" w:eastAsia="Arial" w:hAnsi="Arial"/>
                <w:sz w:val="14"/>
                <w:szCs w:val="14"/>
                <w:color w:val="auto"/>
              </w:rPr>
              <w:t>EBITDA</w:t>
            </w: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200" w:type="dxa"/>
            <w:vAlign w:val="bottom"/>
            <w:gridSpan w:val="7"/>
          </w:tcPr>
          <w:p>
            <w:pPr>
              <w:spacing w:after="0"/>
              <w:rPr>
                <w:sz w:val="20"/>
                <w:szCs w:val="20"/>
                <w:color w:val="auto"/>
              </w:rPr>
            </w:pPr>
            <w:r>
              <w:rPr>
                <w:rFonts w:ascii="Arial" w:cs="Arial" w:eastAsia="Arial" w:hAnsi="Arial"/>
                <w:sz w:val="14"/>
                <w:szCs w:val="14"/>
                <w:color w:val="auto"/>
              </w:rPr>
              <w:t>Reconciliation of reportable segment Adjusted EBITDA to income before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40" w:type="dxa"/>
            <w:vAlign w:val="bottom"/>
          </w:tcPr>
          <w:p>
            <w:pPr>
              <w:ind w:left="160"/>
              <w:spacing w:after="0"/>
              <w:rPr>
                <w:sz w:val="20"/>
                <w:szCs w:val="20"/>
                <w:color w:val="auto"/>
              </w:rPr>
            </w:pPr>
            <w:r>
              <w:rPr>
                <w:rFonts w:ascii="Arial" w:cs="Arial" w:eastAsia="Arial" w:hAnsi="Arial"/>
                <w:sz w:val="14"/>
                <w:szCs w:val="14"/>
                <w:color w:val="auto"/>
              </w:rPr>
              <w:t>income taxes: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20"/>
                <w:szCs w:val="20"/>
                <w:color w:val="auto"/>
              </w:rPr>
            </w:pPr>
            <w:r>
              <w:rPr>
                <w:rFonts w:ascii="Arial" w:cs="Arial" w:eastAsia="Arial" w:hAnsi="Arial"/>
                <w:sz w:val="14"/>
                <w:szCs w:val="14"/>
                <w:color w:val="auto"/>
              </w:rPr>
              <w:t>Reportable segment Adjusted EBITDA</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03"/>
        </w:trPr>
        <w:tc>
          <w:tcPr>
            <w:tcW w:w="3840" w:type="dxa"/>
            <w:vAlign w:val="bottom"/>
            <w:gridSpan w:val="4"/>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3"/>
        </w:trPr>
        <w:tc>
          <w:tcPr>
            <w:tcW w:w="3840" w:type="dxa"/>
            <w:vAlign w:val="bottom"/>
            <w:gridSpan w:val="4"/>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3"/>
        </w:trPr>
        <w:tc>
          <w:tcPr>
            <w:tcW w:w="254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2540" w:type="dxa"/>
            <w:vAlign w:val="bottom"/>
          </w:tcPr>
          <w:p>
            <w:pPr>
              <w:ind w:left="100"/>
              <w:spacing w:after="0"/>
              <w:rPr>
                <w:sz w:val="20"/>
                <w:szCs w:val="20"/>
                <w:color w:val="auto"/>
              </w:rPr>
            </w:pPr>
            <w:r>
              <w:rPr>
                <w:rFonts w:ascii="Arial" w:cs="Arial" w:eastAsia="Arial" w:hAnsi="Arial"/>
                <w:sz w:val="14"/>
                <w:szCs w:val="14"/>
                <w:color w:val="auto"/>
              </w:rPr>
              <w:t>Other (income) expense, net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2"/>
        </w:trPr>
        <w:tc>
          <w:tcPr>
            <w:tcW w:w="2540" w:type="dxa"/>
            <w:vAlign w:val="bottom"/>
          </w:tcPr>
          <w:p>
            <w:pPr>
              <w:ind w:left="100"/>
              <w:spacing w:after="0"/>
              <w:rPr>
                <w:sz w:val="20"/>
                <w:szCs w:val="20"/>
                <w:color w:val="auto"/>
              </w:rPr>
            </w:pPr>
            <w:r>
              <w:rPr>
                <w:rFonts w:ascii="Arial" w:cs="Arial" w:eastAsia="Arial" w:hAnsi="Arial"/>
                <w:sz w:val="14"/>
                <w:szCs w:val="14"/>
                <w:color w:val="auto"/>
              </w:rPr>
              <w:t xml:space="preserve">Other segment expenses </w:t>
            </w:r>
            <w:r>
              <w:rPr>
                <w:rFonts w:ascii="Arial" w:cs="Arial" w:eastAsia="Arial" w:hAnsi="Arial"/>
                <w:sz w:val="18"/>
                <w:szCs w:val="18"/>
                <w:color w:val="auto"/>
                <w:vertAlign w:val="superscript"/>
              </w:rPr>
              <w:t>(b)</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1"/>
        </w:trPr>
        <w:tc>
          <w:tcPr>
            <w:tcW w:w="2540" w:type="dxa"/>
            <w:vAlign w:val="bottom"/>
          </w:tcPr>
          <w:p>
            <w:pPr>
              <w:ind w:left="100"/>
              <w:spacing w:after="0" w:line="201" w:lineRule="exact"/>
              <w:rPr>
                <w:sz w:val="20"/>
                <w:szCs w:val="20"/>
                <w:color w:val="auto"/>
              </w:rPr>
            </w:pPr>
            <w:r>
              <w:rPr>
                <w:rFonts w:ascii="Arial" w:cs="Arial" w:eastAsia="Arial" w:hAnsi="Arial"/>
                <w:sz w:val="14"/>
                <w:szCs w:val="14"/>
                <w:color w:val="auto"/>
              </w:rPr>
              <w:t xml:space="preserve">Corporate and other </w:t>
            </w:r>
            <w:r>
              <w:rPr>
                <w:rFonts w:ascii="Arial" w:cs="Arial" w:eastAsia="Arial" w:hAnsi="Arial"/>
                <w:sz w:val="18"/>
                <w:szCs w:val="18"/>
                <w:color w:val="auto"/>
                <w:vertAlign w:val="superscript"/>
              </w:rPr>
              <w:t>(c)</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219" w:lineRule="auto"/>
        <w:tabs>
          <w:tab w:leader="none" w:pos="82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Excludes other segment expenses.</w:t>
      </w:r>
    </w:p>
    <w:p>
      <w:pPr>
        <w:ind w:left="820" w:hanging="326"/>
        <w:spacing w:after="0"/>
        <w:tabs>
          <w:tab w:leader="none" w:pos="820" w:val="left"/>
        </w:tabs>
        <w:numPr>
          <w:ilvl w:val="0"/>
          <w:numId w:val="45"/>
        </w:numPr>
        <w:rPr>
          <w:rFonts w:ascii="Arial" w:cs="Arial" w:eastAsia="Arial" w:hAnsi="Arial"/>
          <w:sz w:val="9"/>
          <w:szCs w:val="9"/>
          <w:color w:val="auto"/>
        </w:rPr>
      </w:pPr>
      <w:r>
        <w:rPr>
          <w:rFonts w:ascii="Arial" w:cs="Arial" w:eastAsia="Arial" w:hAnsi="Arial"/>
          <w:sz w:val="14"/>
          <w:szCs w:val="14"/>
          <w:color w:val="auto"/>
        </w:rPr>
        <w:t>Cloud computing costs and legal matters, net.</w:t>
      </w:r>
    </w:p>
    <w:p>
      <w:pPr>
        <w:spacing w:after="0" w:line="14" w:lineRule="exact"/>
        <w:rPr>
          <w:rFonts w:ascii="Arial" w:cs="Arial" w:eastAsia="Arial" w:hAnsi="Arial"/>
          <w:sz w:val="9"/>
          <w:szCs w:val="9"/>
          <w:color w:val="auto"/>
        </w:rPr>
      </w:pPr>
    </w:p>
    <w:p>
      <w:pPr>
        <w:ind w:left="820" w:hanging="326"/>
        <w:spacing w:after="0" w:line="284" w:lineRule="auto"/>
        <w:tabs>
          <w:tab w:leader="none" w:pos="807" w:val="left"/>
        </w:tabs>
        <w:numPr>
          <w:ilvl w:val="0"/>
          <w:numId w:val="45"/>
        </w:numPr>
        <w:rPr>
          <w:rFonts w:ascii="Arial" w:cs="Arial" w:eastAsia="Arial" w:hAnsi="Arial"/>
          <w:sz w:val="9"/>
          <w:szCs w:val="9"/>
          <w:color w:val="auto"/>
        </w:rPr>
      </w:pPr>
      <w:r>
        <w:rPr>
          <w:rFonts w:ascii="Arial" w:cs="Arial" w:eastAsia="Arial" w:hAnsi="Arial"/>
          <w:sz w:val="14"/>
          <w:szCs w:val="14"/>
          <w:color w:val="auto"/>
        </w:rPr>
        <w:t>Consists of unallocated corporate expenses not attributable to a particular reportable segment. For the three months ended June 30, 2025 and 2024, includes $106 million and $88 million of interest expense related to corporate debt,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2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Americas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International</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Americas</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20"/>
                <w:szCs w:val="20"/>
                <w:color w:val="auto"/>
              </w:rPr>
            </w:pPr>
            <w:r>
              <w:rPr>
                <w:rFonts w:ascii="Arial" w:cs="Arial" w:eastAsia="Arial" w:hAnsi="Arial"/>
                <w:sz w:val="14"/>
                <w:szCs w:val="14"/>
                <w:color w:val="auto"/>
              </w:rPr>
              <w:t>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4,239</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1,230</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5,469</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4,354</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1,245</w:t>
            </w:r>
          </w:p>
        </w:tc>
        <w:tc>
          <w:tcPr>
            <w:tcW w:w="1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35"/>
        </w:trPr>
        <w:tc>
          <w:tcPr>
            <w:tcW w:w="2540" w:type="dxa"/>
            <w:vAlign w:val="bottom"/>
          </w:tcPr>
          <w:p>
            <w:pPr>
              <w:spacing w:after="0"/>
              <w:rPr>
                <w:sz w:val="20"/>
                <w:szCs w:val="20"/>
                <w:color w:val="auto"/>
              </w:rPr>
            </w:pPr>
            <w:r>
              <w:rPr>
                <w:rFonts w:ascii="Arial" w:cs="Arial" w:eastAsia="Arial" w:hAnsi="Arial"/>
                <w:sz w:val="14"/>
                <w:szCs w:val="14"/>
                <w:color w:val="auto"/>
              </w:rPr>
              <w:t>Significant segment expenses:</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tcPr>
          <w:p>
            <w:pPr>
              <w:ind w:left="100"/>
              <w:spacing w:after="0"/>
              <w:rPr>
                <w:sz w:val="20"/>
                <w:szCs w:val="20"/>
                <w:color w:val="auto"/>
              </w:rPr>
            </w:pPr>
            <w:r>
              <w:rPr>
                <w:rFonts w:ascii="Arial" w:cs="Arial" w:eastAsia="Arial" w:hAnsi="Arial"/>
                <w:sz w:val="14"/>
                <w:szCs w:val="14"/>
                <w:color w:val="auto"/>
              </w:rPr>
              <w:t xml:space="preserve">Operating </w:t>
            </w:r>
            <w:r>
              <w:rPr>
                <w:rFonts w:ascii="Arial" w:cs="Arial" w:eastAsia="Arial" w:hAnsi="Arial"/>
                <w:sz w:val="18"/>
                <w:szCs w:val="18"/>
                <w:color w:val="auto"/>
                <w:vertAlign w:val="superscript"/>
              </w:rPr>
              <w:t>(a)</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540" w:type="dxa"/>
            <w:vAlign w:val="bottom"/>
          </w:tcPr>
          <w:p>
            <w:pPr>
              <w:ind w:left="100"/>
              <w:spacing w:after="0" w:line="146" w:lineRule="exact"/>
              <w:rPr>
                <w:sz w:val="20"/>
                <w:szCs w:val="20"/>
                <w:color w:val="auto"/>
              </w:rPr>
            </w:pPr>
            <w:r>
              <w:rPr>
                <w:rFonts w:ascii="Arial" w:cs="Arial" w:eastAsia="Arial" w:hAnsi="Arial"/>
                <w:sz w:val="14"/>
                <w:szCs w:val="14"/>
                <w:color w:val="auto"/>
              </w:rPr>
              <w:t>Vehicle depreciation and lease</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284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323</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540" w:type="dxa"/>
            <w:vAlign w:val="bottom"/>
          </w:tcPr>
          <w:p>
            <w:pPr>
              <w:ind w:left="260"/>
              <w:spacing w:after="0" w:line="205" w:lineRule="exact"/>
              <w:rPr>
                <w:sz w:val="20"/>
                <w:szCs w:val="20"/>
                <w:color w:val="auto"/>
              </w:rPr>
            </w:pPr>
            <w:r>
              <w:rPr>
                <w:rFonts w:ascii="Arial" w:cs="Arial" w:eastAsia="Arial" w:hAnsi="Arial"/>
                <w:sz w:val="14"/>
                <w:szCs w:val="14"/>
                <w:color w:val="auto"/>
              </w:rPr>
              <w:t xml:space="preserve">charges, net </w:t>
            </w:r>
            <w:r>
              <w:rPr>
                <w:rFonts w:ascii="Arial" w:cs="Arial" w:eastAsia="Arial" w:hAnsi="Arial"/>
                <w:sz w:val="18"/>
                <w:szCs w:val="18"/>
                <w:color w:val="auto"/>
                <w:vertAlign w:val="superscript"/>
              </w:rPr>
              <w:t>(b)</w:t>
            </w: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4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4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540" w:type="dxa"/>
            <w:vAlign w:val="bottom"/>
          </w:tcPr>
          <w:p>
            <w:pPr>
              <w:ind w:left="100"/>
              <w:spacing w:after="0" w:line="139" w:lineRule="exact"/>
              <w:rPr>
                <w:sz w:val="20"/>
                <w:szCs w:val="20"/>
                <w:color w:val="auto"/>
              </w:rPr>
            </w:pPr>
            <w:r>
              <w:rPr>
                <w:rFonts w:ascii="Arial" w:cs="Arial" w:eastAsia="Arial" w:hAnsi="Arial"/>
                <w:sz w:val="14"/>
                <w:szCs w:val="14"/>
                <w:color w:val="auto"/>
              </w:rPr>
              <w:t>Reportable segment Adjusted</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153</w:t>
            </w:r>
          </w:p>
        </w:tc>
        <w:tc>
          <w:tcPr>
            <w:tcW w:w="1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2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232</w:t>
            </w:r>
          </w:p>
        </w:tc>
        <w:tc>
          <w:tcPr>
            <w:tcW w:w="80" w:type="dxa"/>
            <w:vAlign w:val="bottom"/>
            <w:vMerge w:val="restart"/>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2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90"/>
        </w:trPr>
        <w:tc>
          <w:tcPr>
            <w:tcW w:w="2540" w:type="dxa"/>
            <w:vAlign w:val="bottom"/>
          </w:tcPr>
          <w:p>
            <w:pPr>
              <w:ind w:left="260"/>
              <w:spacing w:after="0"/>
              <w:rPr>
                <w:sz w:val="20"/>
                <w:szCs w:val="20"/>
                <w:color w:val="auto"/>
              </w:rPr>
            </w:pPr>
            <w:r>
              <w:rPr>
                <w:rFonts w:ascii="Arial" w:cs="Arial" w:eastAsia="Arial" w:hAnsi="Arial"/>
                <w:sz w:val="14"/>
                <w:szCs w:val="14"/>
                <w:color w:val="auto"/>
              </w:rPr>
              <w:t>EBITDA</w:t>
            </w:r>
          </w:p>
        </w:tc>
        <w:tc>
          <w:tcPr>
            <w:tcW w:w="1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5200" w:type="dxa"/>
            <w:vAlign w:val="bottom"/>
            <w:gridSpan w:val="7"/>
          </w:tcPr>
          <w:p>
            <w:pPr>
              <w:spacing w:after="0"/>
              <w:rPr>
                <w:sz w:val="20"/>
                <w:szCs w:val="20"/>
                <w:color w:val="auto"/>
              </w:rPr>
            </w:pPr>
            <w:r>
              <w:rPr>
                <w:rFonts w:ascii="Arial" w:cs="Arial" w:eastAsia="Arial" w:hAnsi="Arial"/>
                <w:sz w:val="14"/>
                <w:szCs w:val="14"/>
                <w:color w:val="auto"/>
              </w:rPr>
              <w:t>Reconciliation of reportable segment Adjusted EBITDA to loss before income</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16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20"/>
                <w:szCs w:val="20"/>
                <w:color w:val="auto"/>
              </w:rPr>
            </w:pPr>
            <w:r>
              <w:rPr>
                <w:rFonts w:ascii="Arial" w:cs="Arial" w:eastAsia="Arial" w:hAnsi="Arial"/>
                <w:sz w:val="14"/>
                <w:szCs w:val="14"/>
                <w:color w:val="auto"/>
              </w:rPr>
              <w:t>Reportable segment Adjusted EBITDA</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03"/>
        </w:trPr>
        <w:tc>
          <w:tcPr>
            <w:tcW w:w="3840" w:type="dxa"/>
            <w:vAlign w:val="bottom"/>
            <w:gridSpan w:val="4"/>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2"/>
        </w:trPr>
        <w:tc>
          <w:tcPr>
            <w:tcW w:w="3840" w:type="dxa"/>
            <w:vAlign w:val="bottom"/>
            <w:gridSpan w:val="4"/>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2540" w:type="dxa"/>
            <w:vAlign w:val="bottom"/>
          </w:tcPr>
          <w:p>
            <w:pPr>
              <w:ind w:left="100"/>
              <w:spacing w:after="0"/>
              <w:rPr>
                <w:sz w:val="20"/>
                <w:szCs w:val="20"/>
                <w:color w:val="auto"/>
              </w:rPr>
            </w:pPr>
            <w:r>
              <w:rPr>
                <w:rFonts w:ascii="Arial" w:cs="Arial" w:eastAsia="Arial" w:hAnsi="Arial"/>
                <w:sz w:val="14"/>
                <w:szCs w:val="14"/>
                <w:color w:val="auto"/>
              </w:rPr>
              <w:t>Other fleet charges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254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2540" w:type="dxa"/>
            <w:vAlign w:val="bottom"/>
          </w:tcPr>
          <w:p>
            <w:pPr>
              <w:ind w:left="100"/>
              <w:spacing w:after="0"/>
              <w:rPr>
                <w:sz w:val="20"/>
                <w:szCs w:val="20"/>
                <w:color w:val="auto"/>
              </w:rPr>
            </w:pPr>
            <w:r>
              <w:rPr>
                <w:rFonts w:ascii="Arial" w:cs="Arial" w:eastAsia="Arial" w:hAnsi="Arial"/>
                <w:sz w:val="14"/>
                <w:szCs w:val="14"/>
                <w:color w:val="auto"/>
              </w:rPr>
              <w:t>Other (income) expense, net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2"/>
        </w:trPr>
        <w:tc>
          <w:tcPr>
            <w:tcW w:w="2540" w:type="dxa"/>
            <w:vAlign w:val="bottom"/>
          </w:tcPr>
          <w:p>
            <w:pPr>
              <w:ind w:left="100"/>
              <w:spacing w:after="0"/>
              <w:rPr>
                <w:sz w:val="20"/>
                <w:szCs w:val="20"/>
                <w:color w:val="auto"/>
              </w:rPr>
            </w:pPr>
            <w:r>
              <w:rPr>
                <w:rFonts w:ascii="Arial" w:cs="Arial" w:eastAsia="Arial" w:hAnsi="Arial"/>
                <w:sz w:val="14"/>
                <w:szCs w:val="14"/>
                <w:color w:val="auto"/>
              </w:rPr>
              <w:t xml:space="preserve">Other segment expenses </w:t>
            </w:r>
            <w:r>
              <w:rPr>
                <w:rFonts w:ascii="Arial" w:cs="Arial" w:eastAsia="Arial" w:hAnsi="Arial"/>
                <w:sz w:val="18"/>
                <w:szCs w:val="18"/>
                <w:color w:val="auto"/>
                <w:vertAlign w:val="superscript"/>
              </w:rPr>
              <w:t>(c)</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1"/>
        </w:trPr>
        <w:tc>
          <w:tcPr>
            <w:tcW w:w="2540" w:type="dxa"/>
            <w:vAlign w:val="bottom"/>
          </w:tcPr>
          <w:p>
            <w:pPr>
              <w:ind w:left="100"/>
              <w:spacing w:after="0" w:line="201" w:lineRule="exact"/>
              <w:rPr>
                <w:sz w:val="20"/>
                <w:szCs w:val="20"/>
                <w:color w:val="auto"/>
              </w:rPr>
            </w:pPr>
            <w:r>
              <w:rPr>
                <w:rFonts w:ascii="Arial" w:cs="Arial" w:eastAsia="Arial" w:hAnsi="Arial"/>
                <w:sz w:val="14"/>
                <w:szCs w:val="14"/>
                <w:color w:val="auto"/>
              </w:rPr>
              <w:t xml:space="preserve">Corporate and other </w:t>
            </w:r>
            <w:r>
              <w:rPr>
                <w:rFonts w:ascii="Arial" w:cs="Arial" w:eastAsia="Arial" w:hAnsi="Arial"/>
                <w:sz w:val="18"/>
                <w:szCs w:val="18"/>
                <w:color w:val="auto"/>
                <w:vertAlign w:val="superscript"/>
              </w:rPr>
              <w:t>(d)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6"/>
        </w:trPr>
        <w:tc>
          <w:tcPr>
            <w:tcW w:w="254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ind w:left="820" w:hanging="326"/>
        <w:spacing w:after="0" w:line="219" w:lineRule="auto"/>
        <w:tabs>
          <w:tab w:leader="none" w:pos="8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Excludes other segment expenses.</w:t>
      </w:r>
    </w:p>
    <w:p>
      <w:pPr>
        <w:ind w:left="820" w:hanging="326"/>
        <w:spacing w:after="0" w:line="213" w:lineRule="auto"/>
        <w:tabs>
          <w:tab w:leader="none" w:pos="813"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For the six months ended June 30, 2025, excludes other fleet charges related to the accelerated disposal of certain fleet within our Americas reportable segment. These costs relate to vehicles that were not included in the long-lived asset impairment and other related charges recorded in 2024.</w:t>
      </w:r>
    </w:p>
    <w:p>
      <w:pPr>
        <w:ind w:left="800" w:hanging="306"/>
        <w:spacing w:after="0"/>
        <w:tabs>
          <w:tab w:leader="none" w:pos="800" w:val="left"/>
        </w:tabs>
        <w:numPr>
          <w:ilvl w:val="0"/>
          <w:numId w:val="46"/>
        </w:numPr>
        <w:rPr>
          <w:rFonts w:ascii="Arial" w:cs="Arial" w:eastAsia="Arial" w:hAnsi="Arial"/>
          <w:sz w:val="9"/>
          <w:szCs w:val="9"/>
          <w:color w:val="auto"/>
        </w:rPr>
      </w:pPr>
      <w:r>
        <w:rPr>
          <w:rFonts w:ascii="Arial" w:cs="Arial" w:eastAsia="Arial" w:hAnsi="Arial"/>
          <w:sz w:val="14"/>
          <w:szCs w:val="14"/>
          <w:color w:val="auto"/>
        </w:rPr>
        <w:t>Cloud computing costs and legal matters, net.</w:t>
      </w:r>
    </w:p>
    <w:p>
      <w:pPr>
        <w:spacing w:after="0" w:line="14" w:lineRule="exact"/>
        <w:rPr>
          <w:rFonts w:ascii="Arial" w:cs="Arial" w:eastAsia="Arial" w:hAnsi="Arial"/>
          <w:sz w:val="9"/>
          <w:szCs w:val="9"/>
          <w:color w:val="auto"/>
        </w:rPr>
      </w:pPr>
    </w:p>
    <w:p>
      <w:pPr>
        <w:ind w:left="820" w:right="20" w:hanging="326"/>
        <w:spacing w:after="0" w:line="284" w:lineRule="auto"/>
        <w:tabs>
          <w:tab w:leader="none" w:pos="813" w:val="left"/>
        </w:tabs>
        <w:numPr>
          <w:ilvl w:val="0"/>
          <w:numId w:val="46"/>
        </w:numPr>
        <w:rPr>
          <w:rFonts w:ascii="Arial" w:cs="Arial" w:eastAsia="Arial" w:hAnsi="Arial"/>
          <w:sz w:val="9"/>
          <w:szCs w:val="9"/>
          <w:color w:val="auto"/>
        </w:rPr>
      </w:pPr>
      <w:r>
        <w:rPr>
          <w:rFonts w:ascii="Arial" w:cs="Arial" w:eastAsia="Arial" w:hAnsi="Arial"/>
          <w:sz w:val="14"/>
          <w:szCs w:val="14"/>
          <w:color w:val="auto"/>
        </w:rPr>
        <w:t>Consists of unallocated corporate expenses not attributable to a particular reportable segment. For the six months ended June 30, 2025 and 2024, includes $201 million and $169 million of interest expense related to corporate debt, respectively.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Provided below is information about our segment assets.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Americas</w:t>
            </w:r>
          </w:p>
        </w:tc>
        <w:tc>
          <w:tcPr>
            <w:tcW w:w="14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Unallocated</w:t>
            </w:r>
          </w:p>
        </w:tc>
        <w:tc>
          <w:tcPr>
            <w:tcW w:w="28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Six Months Ended June 30, 2025</w:t>
            </w:r>
          </w:p>
        </w:tc>
        <w:tc>
          <w:tcPr>
            <w:tcW w:w="2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line="216" w:lineRule="exact"/>
              <w:rPr>
                <w:sz w:val="20"/>
                <w:szCs w:val="20"/>
                <w:color w:val="auto"/>
              </w:rPr>
            </w:pPr>
            <w:r>
              <w:rPr>
                <w:rFonts w:ascii="Arial" w:cs="Arial" w:eastAsia="Arial" w:hAnsi="Arial"/>
                <w:sz w:val="16"/>
                <w:szCs w:val="16"/>
                <w:b w:val="1"/>
                <w:bCs w:val="1"/>
                <w:color w:val="auto"/>
                <w:w w:val="94"/>
              </w:rPr>
              <w:t xml:space="preserve">Assets </w:t>
            </w:r>
            <w:r>
              <w:rPr>
                <w:rFonts w:ascii="Arial" w:cs="Arial" w:eastAsia="Arial" w:hAnsi="Arial"/>
                <w:sz w:val="21"/>
                <w:szCs w:val="21"/>
                <w:b w:val="1"/>
                <w:bCs w:val="1"/>
                <w:color w:val="auto"/>
                <w:w w:val="94"/>
                <w:vertAlign w:val="superscript"/>
              </w:rPr>
              <w:t>(a)</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Property and equipment additions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6"/>
                <w:szCs w:val="16"/>
                <w:b w:val="1"/>
                <w:bCs w:val="1"/>
                <w:color w:val="auto"/>
              </w:rPr>
              <w:t>As of June 30, 2025</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Assets exclusive of 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10,157</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22,214</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Net long-lived assets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474"/>
        </w:trPr>
        <w:tc>
          <w:tcPr>
            <w:tcW w:w="4640" w:type="dxa"/>
            <w:vAlign w:val="bottom"/>
          </w:tcPr>
          <w:p>
            <w:pPr>
              <w:spacing w:after="0"/>
              <w:rPr>
                <w:sz w:val="20"/>
                <w:szCs w:val="20"/>
                <w:color w:val="auto"/>
              </w:rPr>
            </w:pPr>
            <w:r>
              <w:rPr>
                <w:rFonts w:ascii="Arial" w:cs="Arial" w:eastAsia="Arial" w:hAnsi="Arial"/>
                <w:sz w:val="16"/>
                <w:szCs w:val="16"/>
                <w:b w:val="1"/>
                <w:bCs w:val="1"/>
                <w:color w:val="auto"/>
              </w:rPr>
              <w:t>Year Ended December 31, 2024</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Property and equipment additions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17"/>
        </w:trPr>
        <w:tc>
          <w:tcPr>
            <w:tcW w:w="4640" w:type="dxa"/>
            <w:vAlign w:val="bottom"/>
          </w:tcPr>
          <w:p>
            <w:pPr>
              <w:spacing w:after="0"/>
              <w:rPr>
                <w:sz w:val="20"/>
                <w:szCs w:val="20"/>
                <w:color w:val="auto"/>
              </w:rPr>
            </w:pPr>
            <w:r>
              <w:rPr>
                <w:rFonts w:ascii="Arial" w:cs="Arial" w:eastAsia="Arial" w:hAnsi="Arial"/>
                <w:sz w:val="16"/>
                <w:szCs w:val="16"/>
                <w:b w:val="1"/>
                <w:bCs w:val="1"/>
                <w:color w:val="auto"/>
              </w:rPr>
              <w:t>As of December 31, 2024</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ind w:left="100"/>
              <w:spacing w:after="0"/>
              <w:rPr>
                <w:sz w:val="20"/>
                <w:szCs w:val="20"/>
                <w:color w:val="auto"/>
              </w:rPr>
            </w:pPr>
            <w:r>
              <w:rPr>
                <w:rFonts w:ascii="Arial" w:cs="Arial" w:eastAsia="Arial" w:hAnsi="Arial"/>
                <w:sz w:val="16"/>
                <w:szCs w:val="16"/>
                <w:color w:val="auto"/>
              </w:rPr>
              <w:t>Assets exclusive of 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9,668</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Assets under vehicle programs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19,373</w:t>
            </w:r>
          </w:p>
        </w:tc>
        <w:tc>
          <w:tcPr>
            <w:tcW w:w="0" w:type="dxa"/>
            <w:vAlign w:val="bottom"/>
          </w:tcPr>
          <w:p>
            <w:pPr>
              <w:spacing w:after="0"/>
              <w:rPr>
                <w:sz w:val="1"/>
                <w:szCs w:val="1"/>
                <w:color w:val="auto"/>
              </w:rPr>
            </w:pPr>
          </w:p>
        </w:tc>
      </w:tr>
      <w:tr>
        <w:trPr>
          <w:trHeight w:val="216"/>
        </w:trPr>
        <w:tc>
          <w:tcPr>
            <w:tcW w:w="4640" w:type="dxa"/>
            <w:vAlign w:val="bottom"/>
          </w:tcPr>
          <w:p>
            <w:pPr>
              <w:ind w:left="100"/>
              <w:spacing w:after="0"/>
              <w:rPr>
                <w:sz w:val="20"/>
                <w:szCs w:val="20"/>
                <w:color w:val="auto"/>
              </w:rPr>
            </w:pPr>
            <w:r>
              <w:rPr>
                <w:rFonts w:ascii="Arial" w:cs="Arial" w:eastAsia="Arial" w:hAnsi="Arial"/>
                <w:sz w:val="16"/>
                <w:szCs w:val="16"/>
                <w:color w:val="auto"/>
              </w:rPr>
              <w:t>Net long-lived assets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29" w:lineRule="auto"/>
        <w:tabs>
          <w:tab w:leader="none" w:pos="820" w:val="left"/>
        </w:tabs>
        <w:numPr>
          <w:ilvl w:val="1"/>
          <w:numId w:val="47"/>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assets which are not attributable to a particular reportable segment.</w:t>
      </w:r>
    </w:p>
    <w:p>
      <w:pPr>
        <w:spacing w:after="0" w:line="205" w:lineRule="exact"/>
        <w:rPr>
          <w:rFonts w:ascii="Arial" w:cs="Arial" w:eastAsia="Arial" w:hAnsi="Arial"/>
          <w:sz w:val="19"/>
          <w:szCs w:val="19"/>
          <w:color w:val="auto"/>
          <w:vertAlign w:val="superscript"/>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52"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July 2025, we amended our floating rate term loan, extending its maturity date from August 2027 to July 2032 and increasing the interest rate to SOFR plus 2.50%.</w:t>
      </w:r>
    </w:p>
    <w:p>
      <w:pPr>
        <w:spacing w:after="0" w:line="200" w:lineRule="exact"/>
        <w:rPr>
          <w:rFonts w:ascii="Arial" w:cs="Arial" w:eastAsia="Arial" w:hAnsi="Arial"/>
          <w:sz w:val="18"/>
          <w:szCs w:val="18"/>
          <w:b w:val="1"/>
          <w:bCs w:val="1"/>
          <w:color w:val="auto"/>
        </w:rPr>
      </w:pPr>
    </w:p>
    <w:p>
      <w:pPr>
        <w:spacing w:after="0" w:line="228" w:lineRule="exact"/>
        <w:rPr>
          <w:rFonts w:ascii="Arial" w:cs="Arial" w:eastAsia="Arial" w:hAnsi="Arial"/>
          <w:sz w:val="18"/>
          <w:szCs w:val="18"/>
          <w:b w:val="1"/>
          <w:bCs w:val="1"/>
          <w:color w:val="auto"/>
        </w:rPr>
      </w:pPr>
    </w:p>
    <w:p>
      <w:pPr>
        <w:ind w:left="5360"/>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our Condensed Consolidated Financial Statements and accompanying Notes included in this Quarterly Report on Form 10-Q and with our 2024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699,000 vehicles in second quarter 2025. We also license the use of our trademarks to licensees in the areas in which we do not operate directly. We and our licensees operate our brands in approximately 180 countries throughout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(i) vehicle rental operations in North America, South America, Central America and the Caribbean, (ii) car sharing operations in certain of these markets, and (iii) licensees in the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(i) vehicle rental operations in Europe, the Middle East, Africa, Asia and Australasia, (ii) car sharing operations in certain of these markets, and (iii) licensees in the areas in which we do not operate directly.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strategy continues to focus on transforming key parts of our business through technology, system enhancements and data, particularly with respect to customer experience, revenue generation and costs. Additionally, during the fourth quarter of our fiscal year ended December 31, 2024, we changed our fleet strategy with respect to United States and Canadian rental car vehicles, to accelerate certain fleet rotations in order to decrease the age of our fleet for competitive reasons. We believe our strategies will continue to strengthen our Company, maximize profitability, and deliver stakeholder value. During the three months ended June 30, 2025, we generated revenues of $3.0 billion, net income of $5 million and Adjusted EBITDA of $277 million. These results were primarily driven by sustained volume and decreased fleet costs, offset by decreased revenue per day.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cost of new vehicles, used car values, increases in the number of personal injury claims and cost per incident, and an economic downturn that may impact travel demand, all of which may be exacerbated by ongoing military conflicts, including in the Middle East and Eastern Europe. Additionally, uncertainty remains with respect to tariffs and tax regulations, and this uncertainty has had and may continue to have impacts on our operations. We continue to monitor the potential favorable or unfavorable impacts of these and other factors on our business, operations, financial condition, and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 Management evaluates the operating results of each of our reportable segments based upon revenues and Adjusted EBITDA, which we define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legal matters, net, which primarily includes amounts recorded in excess of $ 5 million, related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In the first quarter of 2025, we revised our definition of Adjusted EBITDA to exclude other fleet charges. We did not revise prior years' Adjusted EBITDA amounts because there were no other charges similar in nature to these.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2025:</w:t>
      </w:r>
    </w:p>
    <w:p>
      <w:pPr>
        <w:spacing w:after="0" w:line="252" w:lineRule="exact"/>
        <w:rPr>
          <w:sz w:val="20"/>
          <w:szCs w:val="20"/>
          <w:color w:val="auto"/>
        </w:rPr>
      </w:pPr>
    </w:p>
    <w:p>
      <w:pPr>
        <w:ind w:left="660" w:hanging="328"/>
        <w:spacing w:after="0" w:line="28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revenues totaled $5.5 billion, a decrease of $130 million year-over-year, primarily due to decreased revenue per day and volume.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net loss attributable to Avis Budget Group, Inc. was $501 million, representing an additional loss of $401 million year-over-year, primarily due to other fleet charges related to the accelerated disposal of certain fleet in our Americas reportable segment.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Adjusted EBITDA was $184 million, representing a decrease of $42 million year-over-year.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2025 vs. Three Months Ended June 30, 2024</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results of operations comprised of the following:</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Three Months Ended June 30,</w:t>
            </w:r>
          </w:p>
        </w:tc>
        <w:tc>
          <w:tcPr>
            <w:tcW w:w="1500" w:type="dxa"/>
            <w:vAlign w:val="bottom"/>
            <w:tcBorders>
              <w:bottom w:val="single" w:sz="8" w:color="auto"/>
            </w:tcBorders>
          </w:tcPr>
          <w:p>
            <w:pPr>
              <w:spacing w:after="0"/>
              <w:rPr>
                <w:sz w:val="18"/>
                <w:szCs w:val="18"/>
                <w:color w:val="auto"/>
              </w:rPr>
            </w:pPr>
          </w:p>
        </w:tc>
      </w:tr>
      <w:tr>
        <w:trPr>
          <w:trHeight w:val="209"/>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50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03"/>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w:t>
            </w:r>
          </w:p>
        </w:tc>
        <w:tc>
          <w:tcPr>
            <w:tcW w:w="15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w:t>
            </w:r>
          </w:p>
        </w:tc>
        <w:tc>
          <w:tcPr>
            <w:tcW w:w="15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5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5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25"/>
        </w:trPr>
        <w:tc>
          <w:tcPr>
            <w:tcW w:w="588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5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5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5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5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decreased $9 million during the three months ended June 30, 2025 compared to the similar period in 2024, primarily due to a 1% decrease in revenue per day, excluding exchange rate effects, partially offset by a $24 million positive impact from currency exchange rate movements. Total expenses during the three months ended June 30, 2025 were consistent with the similar period in 2024. Our effective tax rates were a provision of 66.7% and 44.4% for the three months ended June 30, 2025 and 2024, respectively. As a result of these items, our net income attributable to Avis Budget Group, Inc. decreased by $10 million compared to the similar period in 2024. For the three months ended June 30, 2025 and 2024, we reported diluted earnings per share of $0.10 and $0.41, respectively.</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were 50.2% of revenue during the three months ended June 30, 2025 compared to 50.3% during the similar period in 2024. Vehicle depreciation and lease charges decreased to 20.9% of revenue during the three months ended June 30, 2025 compared to 24.0% during the similar period in 2024, primarily due to decreased per-unit fleet costs, excluding exchange rate effects, driven by an increase in the gain on sale of vehicles. Selling, general and administrative costs increased to 13.0% of revenue during the three months ended June 30, 2025 compared to 11.4% during the similar period in 2024, primarily due to increased commissions and marketing costs. Vehicle interest costs decreased to 7.6% of revenue during the three months ended June 30, 2025, compared to 8.0% during the similar period in 2024, primarily due to decreased fleet levels and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Following is a more detailed discussion of the results of each of our reportable segments and corporate and other, together with a reconciliation of net income to Adjusted EBITDA: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8"/>
        </w:trPr>
        <w:tc>
          <w:tcPr>
            <w:tcW w:w="456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4560" w:type="dxa"/>
            <w:vAlign w:val="bottom"/>
          </w:tcPr>
          <w:p>
            <w:pPr>
              <w:ind w:left="12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3,039</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
        </w:trPr>
        <w:tc>
          <w:tcPr>
            <w:tcW w:w="4560" w:type="dxa"/>
            <w:vAlign w:val="bottom"/>
            <w:vMerge w:val="restart"/>
          </w:tcPr>
          <w:p>
            <w:pPr>
              <w:spacing w:after="0"/>
              <w:rPr>
                <w:sz w:val="20"/>
                <w:szCs w:val="20"/>
                <w:color w:val="auto"/>
              </w:rPr>
            </w:pPr>
            <w:r>
              <w:rPr>
                <w:rFonts w:ascii="Arial" w:cs="Arial" w:eastAsia="Arial" w:hAnsi="Arial"/>
                <w:sz w:val="16"/>
                <w:szCs w:val="16"/>
                <w:color w:val="auto"/>
              </w:rPr>
              <w:t>Reconciliation of net income to Adjusted EBITDA:</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4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456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456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6"/>
                <w:szCs w:val="16"/>
                <w:color w:val="auto"/>
              </w:rPr>
              <w:t>Early extinguishment of debt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56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56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Legal matters, net </w:t>
            </w:r>
            <w:r>
              <w:rPr>
                <w:rFonts w:ascii="Arial" w:cs="Arial" w:eastAsia="Arial" w:hAnsi="Arial"/>
                <w:sz w:val="21"/>
                <w:szCs w:val="21"/>
                <w:color w:val="auto"/>
                <w:vertAlign w:val="superscript"/>
              </w:rPr>
              <w:t>(c)</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56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Cloud computing costs </w:t>
            </w:r>
            <w:r>
              <w:rPr>
                <w:rFonts w:ascii="Arial" w:cs="Arial" w:eastAsia="Arial" w:hAnsi="Arial"/>
                <w:sz w:val="21"/>
                <w:szCs w:val="21"/>
                <w:color w:val="auto"/>
                <w:vertAlign w:val="superscript"/>
              </w:rPr>
              <w:t>(d)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90"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expenses which are not attributable to a particular segment.</w:t>
      </w:r>
    </w:p>
    <w:p>
      <w:pPr>
        <w:spacing w:after="0" w:line="12" w:lineRule="exact"/>
        <w:rPr>
          <w:rFonts w:ascii="Arial" w:cs="Arial" w:eastAsia="Arial" w:hAnsi="Arial"/>
          <w:sz w:val="19"/>
          <w:szCs w:val="19"/>
          <w:color w:val="auto"/>
          <w:vertAlign w:val="superscript"/>
        </w:rPr>
      </w:pPr>
    </w:p>
    <w:p>
      <w:pPr>
        <w:ind w:left="340" w:hanging="332"/>
        <w:spacing w:after="0" w:line="222" w:lineRule="auto"/>
        <w:tabs>
          <w:tab w:leader="none" w:pos="333"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method investment in a former subsidiary, offset by fleet related and certain administrative services provided to the same former subsidiary.</w:t>
      </w:r>
    </w:p>
    <w:p>
      <w:pPr>
        <w:ind w:left="340" w:hanging="332"/>
        <w:spacing w:after="0" w:line="230" w:lineRule="auto"/>
        <w:tabs>
          <w:tab w:leader="none" w:pos="327"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Consists of $1 million reported within selling, general, and administrative expenses for the three months ended June 30, 2025 and $11 million and $12 million reported within operating expenses for the three months ended June 30, 2025 and 2024, respectively.</w:t>
      </w:r>
    </w:p>
    <w:p>
      <w:pPr>
        <w:ind w:left="320" w:hanging="312"/>
        <w:spacing w:after="0" w:line="207" w:lineRule="auto"/>
        <w:tabs>
          <w:tab w:leader="none" w:pos="32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799"/>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3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decreased during the three months ended June 30, 2025 compared to the similar period in 2024, primarily due to a 2% decrease in revenue per day, excluding exchange rate effects, and a $1 million negative impact from currency exchange rate movements, offset by a 1% increase in volume.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were 50.6% of revenue during the three months ended June 30, 2025 compared to 50.4% during the similar period in 2024. Vehicle depreciation and lease charges decreased to 20.8% of revenue during the three months ended June 30, 2025 compared to 23.7% during the similar period in 2024, primarily due to decreased per-unit fleet costs, excluding exchange rate effects, driven by an increase in the gain on sale of vehicles. Selling, general and administrative costs increased to 11.3% of revenue during the three months ended June 30, 2025 compared to 9.4% during the similar period in 2024, primarily due to increased commissions and marketing costs. Vehicle interest costs decreased to 8.4% of revenue during the three months ended June 30, 2025 compared to 8.8% during the similar period in 2024, primarily due to decreased interest rates.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increased during the three months ended June 30, 2025 compared to the similar period in 2024, primarily due to lower per-unit fleet costs and a $1 million positive impact from currency exchange rate movements.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right"/>
              <w:ind w:right="779"/>
              <w:spacing w:after="0"/>
              <w:rPr>
                <w:sz w:val="20"/>
                <w:szCs w:val="20"/>
                <w:color w:val="auto"/>
              </w:rPr>
            </w:pPr>
            <w:r>
              <w:rPr>
                <w:rFonts w:ascii="Arial" w:cs="Arial" w:eastAsia="Arial" w:hAnsi="Arial"/>
                <w:sz w:val="16"/>
                <w:szCs w:val="16"/>
                <w:b w:val="1"/>
                <w:bCs w:val="1"/>
                <w:color w:val="auto"/>
              </w:rPr>
              <w:t>Three Months Ended June 30,</w:t>
            </w:r>
          </w:p>
        </w:tc>
      </w:tr>
      <w:tr>
        <w:trPr>
          <w:trHeight w:val="210"/>
        </w:trPr>
        <w:tc>
          <w:tcPr>
            <w:tcW w:w="72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220" w:type="dxa"/>
            <w:vAlign w:val="bottom"/>
          </w:tcPr>
          <w:p>
            <w:pPr>
              <w:spacing w:after="0"/>
              <w:rPr>
                <w:sz w:val="20"/>
                <w:szCs w:val="20"/>
                <w:color w:val="auto"/>
              </w:rPr>
            </w:pPr>
            <w:r>
              <w:rPr>
                <w:rFonts w:ascii="Arial" w:cs="Arial" w:eastAsia="Arial" w:hAnsi="Arial"/>
                <w:sz w:val="16"/>
                <w:szCs w:val="16"/>
                <w:color w:val="auto"/>
              </w:rPr>
              <w:t>Revenues</w:t>
            </w:r>
          </w:p>
        </w:tc>
        <w:tc>
          <w:tcPr>
            <w:tcW w:w="8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707</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687</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220" w:type="dxa"/>
            <w:vAlign w:val="bottom"/>
          </w:tcPr>
          <w:p>
            <w:pPr>
              <w:spacing w:after="0"/>
              <w:rPr>
                <w:sz w:val="20"/>
                <w:szCs w:val="20"/>
                <w:color w:val="auto"/>
              </w:rPr>
            </w:pPr>
            <w:r>
              <w:rPr>
                <w:rFonts w:ascii="Arial" w:cs="Arial" w:eastAsia="Arial" w:hAnsi="Arial"/>
                <w:sz w:val="16"/>
                <w:szCs w:val="16"/>
                <w:color w:val="auto"/>
              </w:rPr>
              <w:t>Adjusted EBITDA</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during the three months ended June 30, 2025, compared to the similar period in 2024, primarily due to a 3% increase in revenue per day, excluding exchange rate effects, and a $25 million positive impact from currency exchange rate movements, partially offset by a 4% decrease in volume.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46.7% of revenue during the three months ended June 30, 2025 compared to 48.0% during the similar period in 2024, primarily due to an increase in revenue per day, excluding exchange rate effects, offset by sustained costs. Vehicle depreciation and lease charges decreased to 21.4% of revenue during the three months ended June 30, 2025 compared to 25.2% during the similar period in 2024, primarily due to decreased per-unit fleet costs, excluding exchange rate effects, driven by decreased fleet levels, partially offset by a decrease in the gain on sale of vehicles. Selling, general and administrative costs decreased to 15.5% of revenue during the three months ended June 30, 2025 compared to 15.8% during the similar period in 2024 primarily due to decreased commissions, partially offset by an increase in marketing costs and other selling, general and administrative costs. Vehicle interest costs decreased to 4.9% of revenue during the three months ended June 30, 2025 compared to 5.5% during the similar period in 2024, primarily due to decreased fleet levels and interest rates.</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increased during the three months ended June 30, 2025 compared to the similar period in 2024, primarily due to lower per-unit fleet costs and a $4 million positive impact from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2025 vs. Six Months Ended June 30, 2024</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results of operations comprised of the following: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Six Months Ended June 30,</w:t>
            </w:r>
          </w:p>
        </w:tc>
        <w:tc>
          <w:tcPr>
            <w:tcW w:w="1500" w:type="dxa"/>
            <w:vAlign w:val="bottom"/>
            <w:tcBorders>
              <w:bottom w:val="single" w:sz="8" w:color="auto"/>
            </w:tcBorders>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50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5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03"/>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w:t>
            </w:r>
          </w:p>
        </w:tc>
        <w:tc>
          <w:tcPr>
            <w:tcW w:w="15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c>
          <w:tcPr>
            <w:tcW w:w="1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c>
          <w:tcPr>
            <w:tcW w:w="15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15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417</w:t>
            </w:r>
          </w:p>
        </w:tc>
        <w:tc>
          <w:tcPr>
            <w:tcW w:w="15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25"/>
        </w:trPr>
        <w:tc>
          <w:tcPr>
            <w:tcW w:w="5880" w:type="dxa"/>
            <w:vAlign w:val="bottom"/>
          </w:tcPr>
          <w:p>
            <w:pPr>
              <w:spacing w:after="0"/>
              <w:rPr>
                <w:sz w:val="20"/>
                <w:szCs w:val="20"/>
                <w:color w:val="auto"/>
              </w:rPr>
            </w:pPr>
            <w:r>
              <w:rPr>
                <w:rFonts w:ascii="Arial" w:cs="Arial" w:eastAsia="Arial" w:hAnsi="Arial"/>
                <w:sz w:val="16"/>
                <w:szCs w:val="16"/>
                <w:b w:val="1"/>
                <w:bCs w:val="1"/>
                <w:color w:val="auto"/>
              </w:rPr>
              <w:t>Loss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(547)</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Benefit from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loss attributable to Avis Budget Group,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5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decreased $130 million or 2% during the six months ended June 30, 2025 compared to the similar period in 2024, primarily due to a 2% decrease in revenue per day, excluding exchange rate effects and a 1% decrease in volume, partially offset by a $ 1 million positive impact from currency exchange rate movements. Total expenses increased 7% during the six months ended June 30, 2025, compared to the similar period in 2024, primarily due to fleet costs. Our effective tax rates were a benefit of 24.6% and 14.8% for the six months ended June 30, 2025 and 2024, respectively. As a result of these items, our net loss attributable to Avis Budget Group, Inc. resulted in an additional loss of $401 million compared to the similar period in 2024. For the six months ended June 30, 2025 and 2024, we reported diluted loss per share of $14.24 and $2.80, respectively.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52.6% of revenue during the six months ended June 30, 2025 compared to 51.4% during the similar period in 2024, primarily due to a decrease in revenue per day, excluding exchange rate effects, and sustained costs. Vehicle depreciation and lease charges increased to 30.9% of revenue during the six months ended June 30, 2025 compared to 24.4% during the similar period in 2024, primarily due to other fleet charges related to the accelerated disposal of certain fleet in our Americas reportable segment. Selling, general and administrative costs increased to 12.9% of revenue during the six months ended June 30, 2025, compared to 12.0% during the similar period in 2024, primarily due to increased commissions and marketing costs. Vehicle interest costs decreased to 8.0% of revenue during the six months ended June 30, 2025 compared to 8.6% during the similar period in 2024, primarily due to decreased fleet levels and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Following is a more detailed discussion of the results of each of our reportable segments and corporate and other, together with a reconciliation of net loss to Adjusted EBITDA: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Revenues</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4,354</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8"/>
        </w:trPr>
        <w:tc>
          <w:tcPr>
            <w:tcW w:w="522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5220" w:type="dxa"/>
            <w:vAlign w:val="bottom"/>
          </w:tcPr>
          <w:p>
            <w:pPr>
              <w:ind w:left="12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5,599</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color w:val="auto"/>
              </w:rPr>
              <w:t>Reconciliation of net loss to Adjusted EBITDA:</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5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5220" w:type="dxa"/>
            <w:vAlign w:val="bottom"/>
          </w:tcPr>
          <w:p>
            <w:pPr>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Benefit from income taxes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6"/>
                <w:szCs w:val="16"/>
                <w:color w:val="auto"/>
              </w:rPr>
              <w:t>Early extinguishment of debt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Other fleet charges </w:t>
            </w:r>
            <w:r>
              <w:rPr>
                <w:rFonts w:ascii="Arial" w:cs="Arial" w:eastAsia="Arial" w:hAnsi="Arial"/>
                <w:sz w:val="21"/>
                <w:szCs w:val="21"/>
                <w:color w:val="auto"/>
                <w:vertAlign w:val="superscript"/>
              </w:rPr>
              <w:t>(b)</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22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(c)</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220" w:type="dxa"/>
            <w:vAlign w:val="bottom"/>
          </w:tcPr>
          <w:p>
            <w:pPr>
              <w:ind w:left="120"/>
              <w:spacing w:after="0" w:line="216" w:lineRule="exact"/>
              <w:rPr>
                <w:sz w:val="20"/>
                <w:szCs w:val="20"/>
                <w:color w:val="auto"/>
              </w:rPr>
            </w:pPr>
            <w:r>
              <w:rPr>
                <w:rFonts w:ascii="Arial" w:cs="Arial" w:eastAsia="Arial" w:hAnsi="Arial"/>
                <w:sz w:val="16"/>
                <w:szCs w:val="16"/>
                <w:color w:val="auto"/>
              </w:rPr>
              <w:t xml:space="preserve">Legal matters, net </w:t>
            </w:r>
            <w:r>
              <w:rPr>
                <w:rFonts w:ascii="Arial" w:cs="Arial" w:eastAsia="Arial" w:hAnsi="Arial"/>
                <w:sz w:val="21"/>
                <w:szCs w:val="21"/>
                <w:color w:val="auto"/>
                <w:vertAlign w:val="superscript"/>
              </w:rPr>
              <w:t>(d)</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5220" w:type="dxa"/>
            <w:vAlign w:val="bottom"/>
          </w:tcPr>
          <w:p>
            <w:pPr>
              <w:ind w:left="120"/>
              <w:spacing w:after="0" w:line="217" w:lineRule="exact"/>
              <w:rPr>
                <w:sz w:val="20"/>
                <w:szCs w:val="20"/>
                <w:color w:val="auto"/>
              </w:rPr>
            </w:pPr>
            <w:r>
              <w:rPr>
                <w:rFonts w:ascii="Arial" w:cs="Arial" w:eastAsia="Arial" w:hAnsi="Arial"/>
                <w:sz w:val="16"/>
                <w:szCs w:val="16"/>
                <w:color w:val="auto"/>
              </w:rPr>
              <w:t xml:space="preserve">Cloud computing costs </w:t>
            </w:r>
            <w:r>
              <w:rPr>
                <w:rFonts w:ascii="Arial" w:cs="Arial" w:eastAsia="Arial" w:hAnsi="Arial"/>
                <w:sz w:val="21"/>
                <w:szCs w:val="21"/>
                <w:color w:val="auto"/>
                <w:vertAlign w:val="superscript"/>
              </w:rPr>
              <w:t>(e)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9"/>
          <w:szCs w:val="9"/>
          <w:color w:val="auto"/>
        </w:rPr>
      </w:pPr>
      <w:r>
        <w:rPr>
          <w:rFonts w:ascii="Arial" w:cs="Arial" w:eastAsia="Arial" w:hAnsi="Arial"/>
          <w:sz w:val="14"/>
          <w:szCs w:val="14"/>
          <w:color w:val="auto"/>
        </w:rPr>
        <w:t>Includes unallocated corporate expenses which are not attributable to a particular segment.</w:t>
      </w:r>
    </w:p>
    <w:p>
      <w:pPr>
        <w:spacing w:after="0" w:line="27" w:lineRule="exact"/>
        <w:rPr>
          <w:rFonts w:ascii="Arial" w:cs="Arial" w:eastAsia="Arial" w:hAnsi="Arial"/>
          <w:sz w:val="9"/>
          <w:szCs w:val="9"/>
          <w:color w:val="auto"/>
        </w:rPr>
      </w:pPr>
    </w:p>
    <w:p>
      <w:pPr>
        <w:ind w:left="340" w:hanging="332"/>
        <w:spacing w:after="0" w:line="222" w:lineRule="auto"/>
        <w:tabs>
          <w:tab w:leader="none" w:pos="333"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Costs reported within vehicle depreciation and lease charges, net related to the accelerated disposal of certain fleet in our Americas reportable segment. These costs relate to vehicles that were not included in the long-lived asset impairment and other related charges recorded in 2024.</w:t>
      </w:r>
    </w:p>
    <w:p>
      <w:pPr>
        <w:spacing w:after="0" w:line="13" w:lineRule="exact"/>
        <w:rPr>
          <w:rFonts w:ascii="Arial" w:cs="Arial" w:eastAsia="Arial" w:hAnsi="Arial"/>
          <w:sz w:val="19"/>
          <w:szCs w:val="19"/>
          <w:color w:val="auto"/>
          <w:vertAlign w:val="superscript"/>
        </w:rPr>
      </w:pPr>
    </w:p>
    <w:p>
      <w:pPr>
        <w:ind w:left="340" w:hanging="332"/>
        <w:spacing w:after="0" w:line="222" w:lineRule="auto"/>
        <w:tabs>
          <w:tab w:leader="none" w:pos="327"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method investment in a former subsidiary, offset by fleet related and certain administrative services provided to the same former subsidiary.</w:t>
      </w:r>
    </w:p>
    <w:p>
      <w:pPr>
        <w:spacing w:after="0" w:line="1" w:lineRule="exact"/>
        <w:rPr>
          <w:rFonts w:ascii="Arial" w:cs="Arial" w:eastAsia="Arial" w:hAnsi="Arial"/>
          <w:sz w:val="19"/>
          <w:szCs w:val="19"/>
          <w:color w:val="auto"/>
          <w:vertAlign w:val="superscript"/>
        </w:rPr>
      </w:pPr>
    </w:p>
    <w:p>
      <w:pPr>
        <w:ind w:left="340" w:right="20" w:hanging="332"/>
        <w:spacing w:after="0" w:line="271" w:lineRule="auto"/>
        <w:tabs>
          <w:tab w:leader="none" w:pos="333" w:val="left"/>
        </w:tabs>
        <w:numPr>
          <w:ilvl w:val="0"/>
          <w:numId w:val="51"/>
        </w:numPr>
        <w:rPr>
          <w:rFonts w:ascii="Arial" w:cs="Arial" w:eastAsia="Arial" w:hAnsi="Arial"/>
          <w:sz w:val="9"/>
          <w:szCs w:val="9"/>
          <w:color w:val="auto"/>
        </w:rPr>
      </w:pPr>
      <w:r>
        <w:rPr>
          <w:rFonts w:ascii="Arial" w:cs="Arial" w:eastAsia="Arial" w:hAnsi="Arial"/>
          <w:sz w:val="14"/>
          <w:szCs w:val="14"/>
          <w:color w:val="auto"/>
        </w:rPr>
        <w:t>Consists of $2 million reported within selling, general and administrative expenses for the six months ended June 30, 2025 and $11 million and $7 million reported within operating expenses for the six months ended June 30, 2025 and 2024, respectively.</w:t>
      </w:r>
    </w:p>
    <w:p>
      <w:pPr>
        <w:ind w:left="320" w:hanging="312"/>
        <w:spacing w:after="0"/>
        <w:tabs>
          <w:tab w:leader="none" w:pos="320" w:val="left"/>
        </w:tabs>
        <w:numPr>
          <w:ilvl w:val="0"/>
          <w:numId w:val="51"/>
        </w:numPr>
        <w:rPr>
          <w:rFonts w:ascii="Arial" w:cs="Arial" w:eastAsia="Arial" w:hAnsi="Arial"/>
          <w:sz w:val="9"/>
          <w:szCs w:val="9"/>
          <w:color w:val="auto"/>
        </w:rPr>
      </w:pPr>
      <w:r>
        <w:rPr>
          <w:rFonts w:ascii="Arial" w:cs="Arial" w:eastAsia="Arial" w:hAnsi="Arial"/>
          <w:sz w:val="14"/>
          <w:szCs w:val="14"/>
          <w:color w:val="auto"/>
        </w:rPr>
        <w:t>Reported within operating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8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4,239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4,354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decreased during the six months ended June 30, 2025 compared to the similar period in 2024, primarily due to a 3% decrease in revenue per day and a $5 million negative impact from currency exchange rate movements, partially offset by sustained volume.</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expenses increased to 52.9% of revenue during the six months ended June 30, 2025 compared to 51.4% during the similar period in 2024, primarily due to a decrease in revenue per day, excluding exchange rate effects, and sustained costs. Vehicle depreciation and lease charges increased to 33.2% of revenue during the six months ended June 30, 2025 compared to 24.0% during the similar period in 2024, primarily due to other fleet charges related to the accelerated disposal of certain fleet. Selling, general and administrative costs were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approximately 10.9% of revenue during the six months ended June 30, 2025 compared to 9.8% during the similar period in 2024, primarily due to increased commissions and marketing costs. Vehicle interest costs decreased to 8.8% of revenue during the six months ended June 30, 2025 compared to 9.4% during the similar period in 2024, primarily due to decreased fleet levels and interest rates.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decreased during the six months ended June 30, 2025 compared to the similar period in 2024, primarily due to decreased revenue per day and other fleet charges related to the accelerated disposal of certain fleet, partially offset by approximately $1 million positive impact from currency exchange rate movements.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899"/>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139%</w:t>
            </w:r>
          </w:p>
        </w:tc>
      </w:tr>
    </w:tbl>
    <w:p>
      <w:pPr>
        <w:spacing w:after="0" w:line="3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decreased during the six months ended June 30, 2025 compared to the similar period in 2024, primarily due to a 4% decrease in volume, partially offset by a $6 million positive impact from currency exchange rate movements and a 2% increase in revenue per day, excluding exchange rate effects.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49.2% of revenue during the six months ended June 30, 2025 compared to 49.8% during the similar period in 2024, primarily due to a decrease in volume, partially offset by an increase in revenue per day, excluding exchange rate effects. Vehicle depreciation and lease charges decreased to 23.0% of revenue during the six months ended June 30, 2025 compared to 25.9% during the similar period in 2024, primarily due to decreased per-unit fleet costs, excluding exchange rate effects, driven by decreased fleet levels. Selling, general and administrative costs decreased to 16.0% of revenue during the six months ended June 30, 2025 compared to 16.7% during the similar period in 2024, primarily due to a decrease in marketing costs and commissions. Vehicle interest costs decreased to 5.5% of revenue during the six months ended June 30, 2025 compared to 5.9% during the similar period in 2024, primarily due to decreased fleet levels and interest rates.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increased during the six months ended June 30, 2025 compared to the similar period in 2024, primarily due to lower per-unit fleet costs and approximately $4 million positive impact from currency exchange rate movements.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6"/>
                <w:szCs w:val="16"/>
                <w:color w:val="auto"/>
              </w:rPr>
            </w:pPr>
          </w:p>
        </w:tc>
        <w:tc>
          <w:tcPr>
            <w:tcW w:w="13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0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10,157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9,668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5"/>
        </w:trPr>
        <w:tc>
          <w:tcPr>
            <w:tcW w:w="610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12,393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19,373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2,841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22,711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20,311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total liabilities exclusive of liabilities under vehicle programs is primarily due to the increase in corporate indebtedness from the issuance of Senior Notes due June 2032. See “Liquidity and Capital Resources,” and Note 10 – Long-term Corporate Debt and Borrowing Arrangements to our Condensed Consolidated Financial Statements. The increases in both assets under vehicle programs and liabilities under vehicle programs is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the increase in the cost of our rental fleet. The decrease in total stockholders’ equity is primarily due to our net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2025, we borrowed $500 million under a floating rate term loan due December 2025, which is part of our senior revolving credit facilities. The proceeds were primarily used to pay down fleet indebtedness. In June 2025, we fully repaid our outstanding borrowings under the floating rate term loan due 2025.</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April 2025, our Avis Budget Rental Car Funding (AESOP) LLC subsidiary amended and extended its asset-backed variable-funding financing facilities to increase its capacity. The proceeds from these borrowings were used to repay maturing vehicle-backed debt and the acquisition of rental cars in the United States.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May 2025, we issued $ 600 million of 8.375% Senior Notes due June 2032. Net proceeds were used to repay our floating rate term loan due 2025 and a portion of our 5.750% Senior Notes due July 2027, with the remaining proceeds being used to repay outstanding fleet debt and for general corporate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 June 2025, we redeemed $100 million of our outstanding 5.750% Senior Notes due July 2027.</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July 2025, we amended our floating rate term loan, extending its maturity date from August 2027 to July 2032 and increasing the interest rate to SOFR plus 2.50%.</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2025, our Avis Budget Rental Car Funding (AESOP) LLC subsidiary issued approximately $1,008 million of asset-backed notes with expected final payment dates ranging from August 2027 to August 2030 and a weighted average interest rate of 5.95%. The proceeds from these borrowings were used to fund the repayment of maturing vehicle-backed debt and the acquisition of rental cars in the United States.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Stock Repurchase Program may be suspended, modified or discontinued at any time without prior notice. The Stock Repurchase Program has no set expiration or termination date. During the six months ended June 30, 2025, we did not repurchase shares of common stock under the Stock Repurchase Program. As of June 30, 2025, approximately $757 million of authorization remained available to repurchase common stock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762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4"/>
        </w:trPr>
        <w:tc>
          <w:tcPr>
            <w:tcW w:w="7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1,473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Net change in cash and cash equivalents, program and restricted cash</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1"/>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during the six months ended June 30, 2025 is consistent with the similar period in 2024.</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used in investing activities during the six months ended June 30, 2025 increased when compared with the similar period in 2024, primarily due to the increase in our investment in vehicles.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financing activities during the six months ended June 30, 2025 increased when compared with the similar period in 2024, primarily due to the increase in our borrowings under vehicle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2025, we had approximately $26.0 billion of indebtedness, including corporate indebtedness of approximately $6.1 billion and debt under vehicle programs of approximately $19.9 billion. For information regarding our debt and borrowing arrangements, see Note 1 – Basis of Presentation, Note 10 – Long-term Corporate Debt and Borrowing Arrangements and Note 11 – Debt Under Vehicle Programs and Borrowing Arrangements to our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a worsening of the United States and worldwide economies or by increases in interest rates,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 vehicle market, (ii) increased costs associated with, and/or reduced capacity or increased collateral needs, including due to a decrease in the fair value of our fleet,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2025, we had $541 million of available cash and cash equivalents and access to $403 million of available borrowing capacity under our revolving credit facility, providing us with access to approximately $944 million of total liquidity.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June 30, 2025, we were in compliance with the financial covenants governing our indebtedness. For additional information regarding our liquidity risks, see Part I, Item 1A, “Risk Factors” of our 2024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2024 Form 10-K with the exception of our commitment to purchase vehicles, which decreased by approximately $4.0 billion from December 31, 2024, to approximately $2.3 billion as of June 30, 2025 due to existing fleet levels. Changes to our obligations related to corporate indebtedness and debt under vehicle programs are presented above within the section titled “Liquidity and Capital Resources—Debt and Financing Arrangements” and also within Note 10 – Long-term Corporate Debt and Borrowing Arrangements and Note 11 – Debt Under Vehicle Programs and Borrowing Arrangements to our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2024 Form 10-K are the accounting 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 Basis of Presentation to our Condensed Consolidated Financial Statements.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fuel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June 30, 2025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fuel. We anticipate that such commodity risk will remain a market risk exposure for the foreseeable future. We determined that a 10% change in the price of unleaded fuel would not have a material impact on our earnings for the period ended June 30, 2025. For additional information regarding our long-term borrowings and financial instruments, see Note 10 – Long-term Corporate Debt and Borrowing Arrangements, Note 11 – Debt Under Vehicle Programs and Borrowing Arrangements and Note 16 – Financial Instruments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left="340" w:hanging="332"/>
        <w:spacing w:after="0" w:line="259" w:lineRule="auto"/>
        <w:tabs>
          <w:tab w:leader="none" w:pos="33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June 30, 2025.</w:t>
      </w:r>
    </w:p>
    <w:p>
      <w:pPr>
        <w:spacing w:after="0" w:line="206"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second quarter of 2025, there was no change in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legal proceedings, see Note 12 – Commitments and Contingencies to our Condensed Consolidated Financial Statements and refer to our 2024 Form 10-K.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quarter ended June 30, 2025, we had no material developments to report with respect to our risk factors. For additional information regarding our risk factors, please refer to our 2024 Form 10-K.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 (the “Stock Repurchase Program”)</w:t>
      </w:r>
      <w:r>
        <w:rPr>
          <w:rFonts w:ascii="Arial" w:cs="Arial" w:eastAsia="Arial" w:hAnsi="Arial"/>
          <w:sz w:val="18"/>
          <w:szCs w:val="18"/>
          <w:color w:val="262626"/>
        </w:rPr>
        <w:t xml:space="preserve">. Under our Stock Repurchase Program, we may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“Exchange Act”). The timing and amount of repurchase transactions is determined by management based on our evaluation of market conditions, our share price, legal requirements, restricted payment capacity under our debt instruments and other factors. The Stock Repurchase Program may be suspended, modified or discontinued without prior notice. During the </w:t>
      </w:r>
      <w:r>
        <w:rPr>
          <w:rFonts w:ascii="Arial" w:cs="Arial" w:eastAsia="Arial" w:hAnsi="Arial"/>
          <w:sz w:val="18"/>
          <w:szCs w:val="18"/>
          <w:color w:val="000000"/>
        </w:rPr>
        <w:t>second quarter</w:t>
      </w:r>
      <w:r>
        <w:rPr>
          <w:rFonts w:ascii="Arial" w:cs="Arial" w:eastAsia="Arial" w:hAnsi="Arial"/>
          <w:sz w:val="18"/>
          <w:szCs w:val="18"/>
          <w:color w:val="262626"/>
        </w:rPr>
        <w:t xml:space="preserve"> of </w:t>
      </w:r>
      <w:r>
        <w:rPr>
          <w:rFonts w:ascii="Arial" w:cs="Arial" w:eastAsia="Arial" w:hAnsi="Arial"/>
          <w:sz w:val="18"/>
          <w:szCs w:val="18"/>
          <w:color w:val="000000"/>
        </w:rPr>
        <w:t>2025</w:t>
      </w:r>
      <w:r>
        <w:rPr>
          <w:rFonts w:ascii="Arial" w:cs="Arial" w:eastAsia="Arial" w:hAnsi="Arial"/>
          <w:sz w:val="18"/>
          <w:szCs w:val="18"/>
          <w:color w:val="262626"/>
        </w:rPr>
        <w:t xml:space="preserve">, no common stock repurchases were made under the Stock Repurchase Program. As of </w:t>
      </w:r>
      <w:r>
        <w:rPr>
          <w:rFonts w:ascii="Arial" w:cs="Arial" w:eastAsia="Arial" w:hAnsi="Arial"/>
          <w:sz w:val="18"/>
          <w:szCs w:val="18"/>
          <w:color w:val="000000"/>
        </w:rPr>
        <w:t>June 30, 2025</w:t>
      </w:r>
      <w:r>
        <w:rPr>
          <w:rFonts w:ascii="Arial" w:cs="Arial" w:eastAsia="Arial" w:hAnsi="Arial"/>
          <w:sz w:val="18"/>
          <w:szCs w:val="18"/>
          <w:color w:val="262626"/>
        </w:rPr>
        <w:t xml:space="preserve">, approximately </w:t>
      </w:r>
      <w:r>
        <w:rPr>
          <w:rFonts w:ascii="Arial" w:cs="Arial" w:eastAsia="Arial" w:hAnsi="Arial"/>
          <w:sz w:val="18"/>
          <w:szCs w:val="18"/>
          <w:color w:val="000000"/>
        </w:rPr>
        <w:t>$757 million</w:t>
      </w:r>
      <w:r>
        <w:rPr>
          <w:rFonts w:ascii="Arial" w:cs="Arial" w:eastAsia="Arial" w:hAnsi="Arial"/>
          <w:sz w:val="18"/>
          <w:szCs w:val="18"/>
          <w:color w:val="262626"/>
        </w:rPr>
        <w:t xml:space="preserve"> of authorization remained available to repurchase common stock under the Stock Repurchase Program.</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262626"/>
        </w:rPr>
        <w:t xml:space="preserve">During </w:t>
      </w:r>
      <w:r>
        <w:rPr>
          <w:rFonts w:ascii="Arial" w:cs="Arial" w:eastAsia="Arial" w:hAnsi="Arial"/>
          <w:sz w:val="18"/>
          <w:szCs w:val="18"/>
          <w:color w:val="000000"/>
        </w:rPr>
        <w:t>the quarter ended June 30, 2025</w:t>
      </w:r>
      <w:r>
        <w:rPr>
          <w:rFonts w:ascii="Arial" w:cs="Arial" w:eastAsia="Arial" w:hAnsi="Arial"/>
          <w:sz w:val="18"/>
          <w:szCs w:val="18"/>
          <w:color w:val="262626"/>
        </w:rPr>
        <w:t>, no director or Section 16 officer of the Company adopted or terminated a "Rule 10b5-1 trading arrangement" or "non-Rule 10b5-1 trading arrangement," as each term is defined in Item 408(a) of Regulation S-K.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commencing on page 47 hereof.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July 30, 2025</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8"/>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30"/>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46</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29"/>
          </w:tcPr>
          <w:p>
            <w:pPr>
              <w:ind w:left="60"/>
              <w:spacing w:after="0"/>
              <w:rPr>
                <w:sz w:val="20"/>
                <w:szCs w:val="20"/>
                <w:color w:val="auto"/>
              </w:rPr>
            </w:pPr>
            <w:r>
              <w:rPr>
                <w:rFonts w:ascii="Arial" w:cs="Arial" w:eastAsia="Arial" w:hAnsi="Arial"/>
                <w:sz w:val="16"/>
                <w:szCs w:val="16"/>
                <w:b w:val="1"/>
                <w:bCs w:val="1"/>
                <w:color w:val="auto"/>
              </w:rPr>
              <w:t>Exhibit Index</w:t>
            </w:r>
          </w:p>
        </w:tc>
      </w:tr>
      <w:tr>
        <w:trPr>
          <w:trHeight w:val="250"/>
        </w:trPr>
        <w:tc>
          <w:tcPr>
            <w:tcW w:w="1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40" w:type="dxa"/>
            <w:vAlign w:val="bottom"/>
            <w:tcBorders>
              <w:bottom w:val="single" w:sz="8" w:color="auto"/>
              <w:right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760" w:type="dxa"/>
            <w:vAlign w:val="bottom"/>
            <w:tcBorders>
              <w:bottom w:val="single" w:sz="8" w:color="auto"/>
              <w:right w:val="single" w:sz="8" w:color="auto"/>
            </w:tcBorders>
            <w:gridSpan w:val="27"/>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70">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2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70">
              <w:r>
                <w:rPr>
                  <w:rFonts w:ascii="Arial" w:cs="Arial" w:eastAsia="Arial" w:hAnsi="Arial"/>
                  <w:sz w:val="16"/>
                  <w:szCs w:val="16"/>
                  <w:color w:val="0000FF"/>
                </w:rPr>
                <w:t>Current Report on Form 8-K, dated September 5, 2006).</w:t>
              </w:r>
            </w:hyperlink>
          </w:p>
        </w:tc>
        <w:tc>
          <w:tcPr>
            <w:tcW w:w="40" w:type="dxa"/>
            <w:vAlign w:val="bottom"/>
            <w:tcBorders>
              <w:right w:val="single" w:sz="8" w:color="auto"/>
            </w:tcBorders>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71">
              <w:r>
                <w:rPr>
                  <w:rFonts w:ascii="Arial" w:cs="Arial" w:eastAsia="Arial" w:hAnsi="Arial"/>
                  <w:sz w:val="16"/>
                  <w:szCs w:val="16"/>
                  <w:color w:val="0000FF"/>
                </w:rPr>
                <w:t>Amended and Restated Bylaws of Avis Budget Group, Inc., dated August 10, 2020 (Incorporated by reference to Exhibit 3.2 to the</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71">
              <w:r>
                <w:rPr>
                  <w:rFonts w:ascii="Arial" w:cs="Arial" w:eastAsia="Arial" w:hAnsi="Arial"/>
                  <w:sz w:val="16"/>
                  <w:szCs w:val="16"/>
                  <w:color w:val="0000FF"/>
                </w:rPr>
                <w:t>Company’s Current Report on Form 8-K, dated August 13,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72">
              <w:r>
                <w:rPr>
                  <w:rFonts w:ascii="Arial" w:cs="Arial" w:eastAsia="Arial" w:hAnsi="Arial"/>
                  <w:sz w:val="16"/>
                  <w:szCs w:val="16"/>
                  <w:color w:val="0000FF"/>
                </w:rPr>
                <w:t>Indenture, dated as of May 19, 2025, by and among Avis Budget Car Rental, LLC and Avis Budget Finance, Inc., together as issuers, the</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guarantors party thereto and U.S. Bank Trust Company, National Association, as trustee (incorporated by reference to Exhibit 4.1 to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72">
              <w:r>
                <w:rPr>
                  <w:rFonts w:ascii="Arial" w:cs="Arial" w:eastAsia="Arial" w:hAnsi="Arial"/>
                  <w:sz w:val="16"/>
                  <w:szCs w:val="16"/>
                  <w:color w:val="0000FF"/>
                </w:rPr>
                <w:t>Company’s Current Report on Form 8-K, dated May 19, 2025).</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Second Amended and Restated Series 2023-1 Supplement, dated as of April 9, 2025, between Avis Budget Rental Car Funding (AESOP)</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LLC and The Bank of New York Mellon Trust Company, N.A., as trustee and as Series 2023-1 Agent.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Second Amended and Restated Series 2023-7 Supplement, dated as of April 9, 2025, between Avis Budget Rental Car Funding (AESOP)</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LLC and The Bank of New York Mellon Trust Company, N.A., as trustee and as Series 2023-7 Agent.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10.3</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Supplemental Indenture No. 5, dated as of April 22, 2025, among Avis Budget Rental Car Funding (AESOP) LLC, as Issuer, and The</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20" w:type="dxa"/>
            <w:vAlign w:val="bottom"/>
            <w:tcBorders>
              <w:top w:val="single" w:sz="8" w:color="0000FF"/>
            </w:tcBorders>
            <w:gridSpan w:val="28"/>
          </w:tcPr>
          <w:p>
            <w:pPr>
              <w:spacing w:after="0" w:line="142" w:lineRule="exact"/>
              <w:rPr>
                <w:sz w:val="20"/>
                <w:szCs w:val="20"/>
                <w:color w:val="auto"/>
              </w:rPr>
            </w:pPr>
            <w:r>
              <w:rPr>
                <w:rFonts w:ascii="Arial" w:cs="Arial" w:eastAsia="Arial" w:hAnsi="Arial"/>
                <w:sz w:val="16"/>
                <w:szCs w:val="16"/>
                <w:color w:val="0000FF"/>
              </w:rPr>
              <w:t>Bank of New York Trust Company, N.A. (as successor in interest to The Bank of New York), as Trustee, to the Second Amended and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24"/>
          </w:tcPr>
          <w:p>
            <w:pPr>
              <w:spacing w:after="0" w:line="142" w:lineRule="exact"/>
              <w:rPr>
                <w:sz w:val="20"/>
                <w:szCs w:val="20"/>
                <w:color w:val="auto"/>
              </w:rPr>
            </w:pPr>
            <w:r>
              <w:rPr>
                <w:rFonts w:ascii="Arial" w:cs="Arial" w:eastAsia="Arial" w:hAnsi="Arial"/>
                <w:sz w:val="16"/>
                <w:szCs w:val="16"/>
                <w:color w:val="0000FF"/>
              </w:rPr>
              <w:t>Restated Base Indenture, dated as of June 3, 2004.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10.4</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Sixth Amendment, dated as of April 22, 2025, among AESOP Leasing L.P., as Lessor, Avis Budget Car Rental, LLC, as Lessee, as</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80" w:type="dxa"/>
            <w:vAlign w:val="bottom"/>
            <w:tcBorders>
              <w:top w:val="single" w:sz="8" w:color="0000FF"/>
            </w:tcBorders>
            <w:gridSpan w:val="31"/>
          </w:tcPr>
          <w:p>
            <w:pPr>
              <w:spacing w:after="0" w:line="142" w:lineRule="exact"/>
              <w:rPr>
                <w:sz w:val="20"/>
                <w:szCs w:val="20"/>
                <w:color w:val="auto"/>
              </w:rPr>
            </w:pPr>
            <w:r>
              <w:rPr>
                <w:rFonts w:ascii="Arial" w:cs="Arial" w:eastAsia="Arial" w:hAnsi="Arial"/>
                <w:sz w:val="16"/>
                <w:szCs w:val="16"/>
                <w:color w:val="0000FF"/>
              </w:rPr>
              <w:t>Administrator and as Finance Lease Guarantor, Avis Rent A Car System, LLC, as Lessee, and Budget Rent A Car System, Inc., as</w:t>
            </w:r>
          </w:p>
        </w:tc>
        <w:tc>
          <w:tcPr>
            <w:tcW w:w="60" w:type="dxa"/>
            <w:vAlign w:val="bottom"/>
            <w:tcBorders>
              <w:right w:val="single" w:sz="8" w:color="auto"/>
            </w:tcBorders>
            <w:gridSpan w:val="2"/>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Lessee, to the Amended and Restated Master Motor Vehicle Finance Lease Agreement, dated as of June 3, 2004.</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10.5</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73">
              <w:r>
                <w:rPr>
                  <w:rFonts w:ascii="Arial" w:cs="Arial" w:eastAsia="Arial" w:hAnsi="Arial"/>
                  <w:sz w:val="16"/>
                  <w:szCs w:val="16"/>
                  <w:color w:val="0000FF"/>
                </w:rPr>
                <w:t>Second Amendment, dated as of April 30, 2025, to Sixth Amended and Restated Series 2010-6 Supplement, dated as of March 4, 2024,</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tcBorders>
              <w:top w:val="single" w:sz="8" w:color="0000FF"/>
              <w:bottom w:val="single" w:sz="8" w:color="0000FF"/>
            </w:tcBorders>
            <w:gridSpan w:val="25"/>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by and among Avis Budget Rental Car Funding (AESOP) LLC, as Issuer, Avis Budget Car Rental, LLC, as Administrator, JPMorgan</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gridSpan w:val="29"/>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Chase Bank, N.A., as Administrative Agent, the Non-Conduit Purchasers, the CP Conduit Purchasers, the Committed Note Purchasers,</w:t>
              </w:r>
            </w:hyperlink>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the APA Banks and the Funding Agents named therein and The Bank of New York Mellon Trust Company, N.A., as Trustee and as Series</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2010-6 Agent (incorporated by reference to Exhibit 10.1 to the Company’s Current Report on Form 8-K, dated May 6, 2025).</w:t>
              </w:r>
            </w:hyperlink>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10.6</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74">
              <w:r>
                <w:rPr>
                  <w:rFonts w:ascii="Arial" w:cs="Arial" w:eastAsia="Arial" w:hAnsi="Arial"/>
                  <w:sz w:val="16"/>
                  <w:szCs w:val="16"/>
                  <w:color w:val="0000FF"/>
                </w:rPr>
                <w:t>Second Amendment, dated as of April 30, 2025, to Fourth Amended and Restated Series 2015-3 Supplement, dated as of March 4, 2024,</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by and among Avis Budget Rental Car Funding (AESOP) LLC, as Issuer, Avis Budget Car Rental, LLC, as Administrator, JPMorgan</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4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Chase Bank, N.A., as Administrative Agent, the Non-Conduit Purchasers, the CP Conduit Purchasers, the Committed Note Purchasers,</w:t>
              </w:r>
            </w:hyperlink>
          </w:p>
        </w:tc>
        <w:tc>
          <w:tcPr>
            <w:tcW w:w="20" w:type="dxa"/>
            <w:vAlign w:val="bottom"/>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the APA Banks and the Funding Agents named therein and The Bank of New York Mellon Trust Company, N.A., as Trustee and as Series</w:t>
              </w:r>
            </w:hyperlink>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2015-3 Agent (incorporated by reference to Exhibit 10.2 to the Company’s Current Report on Form 8-K, dated May 6, 2025).</w:t>
              </w:r>
            </w:hyperlink>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60" w:type="dxa"/>
            <w:vAlign w:val="bottom"/>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10.7</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75">
              <w:r>
                <w:rPr>
                  <w:rFonts w:ascii="Arial" w:cs="Arial" w:eastAsia="Arial" w:hAnsi="Arial"/>
                  <w:sz w:val="16"/>
                  <w:szCs w:val="16"/>
                  <w:color w:val="0000FF"/>
                </w:rPr>
                <w:t>First Amendment, dated May 6, 2025, to the Fourth Cooperation Agreement, dated as of December 23, 2022, by and among Avis Budget</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Group, Inc., SRS Investment Management, LLC and certain of its affiliates (incorporated by reference to Exhibit 10.3 to the Company’s</w:t>
              </w:r>
            </w:hyperlink>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140" w:type="dxa"/>
            <w:vAlign w:val="bottom"/>
            <w:tcBorders>
              <w:bottom w:val="single" w:sz="8" w:color="0000FF"/>
            </w:tcBorders>
            <w:gridSpan w:val="7"/>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80" w:type="dxa"/>
            <w:vAlign w:val="bottom"/>
            <w:tcBorders>
              <w:right w:val="single" w:sz="8" w:color="auto"/>
            </w:tcBorders>
            <w:gridSpan w:val="3"/>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gridSpan w:val="30"/>
          </w:tcPr>
          <w:p>
            <w:pPr>
              <w:spacing w:after="0" w:line="142" w:lineRule="exact"/>
              <w:rPr>
                <w:rFonts w:ascii="Arial" w:cs="Arial" w:eastAsia="Arial" w:hAnsi="Arial"/>
                <w:sz w:val="16"/>
                <w:szCs w:val="16"/>
                <w:color w:val="0000FF"/>
              </w:rPr>
            </w:pPr>
            <w:hyperlink r:id="rId75">
              <w:r>
                <w:rPr>
                  <w:rFonts w:ascii="Arial" w:cs="Arial" w:eastAsia="Arial" w:hAnsi="Arial"/>
                  <w:sz w:val="16"/>
                  <w:szCs w:val="16"/>
                  <w:color w:val="0000FF"/>
                </w:rPr>
                <w:t>Current Report on Form 8-K, dated May 6, 2025).</w:t>
              </w:r>
            </w:hyperlink>
          </w:p>
        </w:tc>
        <w:tc>
          <w:tcPr>
            <w:tcW w:w="80" w:type="dxa"/>
            <w:vAlign w:val="bottom"/>
            <w:tcBorders>
              <w:right w:val="single" w:sz="8" w:color="auto"/>
            </w:tcBorders>
            <w:gridSpan w:val="3"/>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10.8</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76">
              <w:r>
                <w:rPr>
                  <w:rFonts w:ascii="Arial" w:cs="Arial" w:eastAsia="Arial" w:hAnsi="Arial"/>
                  <w:sz w:val="16"/>
                  <w:szCs w:val="16"/>
                  <w:color w:val="0000FF"/>
                </w:rPr>
                <w:t>Series 2025-1 Supplement, dated as of May 28, 2025, between Avis Budget Group, Inc. and The Bank of New York Mellon Trust</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76">
              <w:r>
                <w:rPr>
                  <w:rFonts w:ascii="Arial" w:cs="Arial" w:eastAsia="Arial" w:hAnsi="Arial"/>
                  <w:sz w:val="16"/>
                  <w:szCs w:val="16"/>
                  <w:color w:val="0000FF"/>
                </w:rPr>
                <w:t>Company, N.A., as trustee and as Series 2025-1 Agent (incorporated by reference to Exhibit 10.1 to the Company’s Current Report on</w:t>
              </w:r>
            </w:hyperlink>
          </w:p>
        </w:tc>
        <w:tc>
          <w:tcPr>
            <w:tcW w:w="140" w:type="dxa"/>
            <w:vAlign w:val="bottom"/>
            <w:gridSpan w:val="7"/>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76">
              <w:r>
                <w:rPr>
                  <w:rFonts w:ascii="Arial" w:cs="Arial" w:eastAsia="Arial" w:hAnsi="Arial"/>
                  <w:sz w:val="16"/>
                  <w:szCs w:val="16"/>
                  <w:color w:val="0000FF"/>
                </w:rPr>
                <w:t>Form 8-K, dated June 2, 2025).</w:t>
              </w:r>
            </w:hyperlink>
          </w:p>
        </w:tc>
        <w:tc>
          <w:tcPr>
            <w:tcW w:w="80" w:type="dxa"/>
            <w:vAlign w:val="bottom"/>
            <w:tcBorders>
              <w:right w:val="single" w:sz="8" w:color="auto"/>
            </w:tcBorders>
            <w:gridSpan w:val="3"/>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10.9</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77">
              <w:r>
                <w:rPr>
                  <w:rFonts w:ascii="Arial" w:cs="Arial" w:eastAsia="Arial" w:hAnsi="Arial"/>
                  <w:sz w:val="16"/>
                  <w:szCs w:val="16"/>
                  <w:color w:val="0000FF"/>
                </w:rPr>
                <w:t>Series 2025-2 Supplement, dated as of May 28, 2025, between Avis Budget Group, Inc. and The Bank of New York Mellon Trust</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Company, N.A., as trustee and as Series 2025-2 Agent (incorporated by reference to Exhibit 10.2 to the Company’s Current Report on</w:t>
              </w:r>
            </w:hyperlink>
          </w:p>
        </w:tc>
        <w:tc>
          <w:tcPr>
            <w:tcW w:w="140" w:type="dxa"/>
            <w:vAlign w:val="bottom"/>
            <w:gridSpan w:val="7"/>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60" w:type="dxa"/>
            <w:vAlign w:val="bottom"/>
            <w:tcBorders>
              <w:top w:val="single" w:sz="8" w:color="0000FF"/>
            </w:tcBorders>
            <w:gridSpan w:val="30"/>
          </w:tcPr>
          <w:p>
            <w:pPr>
              <w:spacing w:after="0" w:line="142" w:lineRule="exact"/>
              <w:rPr>
                <w:rFonts w:ascii="Arial" w:cs="Arial" w:eastAsia="Arial" w:hAnsi="Arial"/>
                <w:sz w:val="16"/>
                <w:szCs w:val="16"/>
                <w:color w:val="0000FF"/>
              </w:rPr>
            </w:pPr>
            <w:hyperlink r:id="rId77">
              <w:r>
                <w:rPr>
                  <w:rFonts w:ascii="Arial" w:cs="Arial" w:eastAsia="Arial" w:hAnsi="Arial"/>
                  <w:sz w:val="16"/>
                  <w:szCs w:val="16"/>
                  <w:color w:val="0000FF"/>
                </w:rPr>
                <w:t>Form 8-K, dated June 2, 2025).</w:t>
              </w:r>
            </w:hyperlink>
          </w:p>
        </w:tc>
        <w:tc>
          <w:tcPr>
            <w:tcW w:w="80" w:type="dxa"/>
            <w:vAlign w:val="bottom"/>
            <w:tcBorders>
              <w:right w:val="single" w:sz="8" w:color="auto"/>
            </w:tcBorders>
            <w:gridSpan w:val="3"/>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10.10</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rFonts w:ascii="Arial" w:cs="Arial" w:eastAsia="Arial" w:hAnsi="Arial"/>
                <w:sz w:val="16"/>
                <w:szCs w:val="16"/>
                <w:color w:val="0000FF"/>
              </w:rPr>
            </w:pPr>
            <w:hyperlink r:id="rId78">
              <w:r>
                <w:rPr>
                  <w:rFonts w:ascii="Arial" w:cs="Arial" w:eastAsia="Arial" w:hAnsi="Arial"/>
                  <w:sz w:val="16"/>
                  <w:szCs w:val="16"/>
                  <w:color w:val="0000FF"/>
                </w:rPr>
                <w:t>Offer Letter dated June 7, 2025 between Daniel Cunha and Avis Budget Group, Inc. (incorporated by reference to Exhibit 10.1 to the</w:t>
              </w:r>
            </w:hyperlink>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14"/>
          </w:tcPr>
          <w:p>
            <w:pPr>
              <w:spacing w:after="0" w:line="142" w:lineRule="exact"/>
              <w:rPr>
                <w:rFonts w:ascii="Arial" w:cs="Arial" w:eastAsia="Arial" w:hAnsi="Arial"/>
                <w:sz w:val="16"/>
                <w:szCs w:val="16"/>
                <w:color w:val="0000FF"/>
              </w:rPr>
            </w:pPr>
            <w:hyperlink r:id="rId78">
              <w:r>
                <w:rPr>
                  <w:rFonts w:ascii="Arial" w:cs="Arial" w:eastAsia="Arial" w:hAnsi="Arial"/>
                  <w:sz w:val="16"/>
                  <w:szCs w:val="16"/>
                  <w:color w:val="0000FF"/>
                </w:rPr>
                <w:t>Company’s Current Report on Form 8-K, dated June 9, 2025).†</w:t>
              </w:r>
            </w:hyperlink>
          </w:p>
        </w:tc>
        <w:tc>
          <w:tcPr>
            <w:tcW w:w="460" w:type="dxa"/>
            <w:vAlign w:val="bottom"/>
            <w:gridSpan w:val="4"/>
          </w:tcPr>
          <w:p>
            <w:pPr>
              <w:spacing w:after="0"/>
              <w:rPr>
                <w:sz w:val="12"/>
                <w:szCs w:val="12"/>
                <w:color w:val="auto"/>
              </w:rPr>
            </w:pPr>
          </w:p>
        </w:tc>
        <w:tc>
          <w:tcPr>
            <w:tcW w:w="180" w:type="dxa"/>
            <w:vAlign w:val="bottom"/>
            <w:gridSpan w:val="9"/>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Second Amended and Restated Series 2023-4 Supplement, dated as of June 10, 2025, between Avis Budget Rental Car Funding</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(AESOP) LLC and The Bank of New York Mellon Trust Company, N.A., as trustee and as Series 2023-4 Agent.</w:t>
            </w:r>
          </w:p>
        </w:tc>
        <w:tc>
          <w:tcPr>
            <w:tcW w:w="180" w:type="dxa"/>
            <w:vAlign w:val="bottom"/>
            <w:gridSpan w:val="9"/>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Second Amended and Restated Series 2023-6 Supplement, dated as of June 10, 2025, between Avis Budget Rental Car Funding</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(AESOP) LLC and The Bank of New York Mellon Trust Company, N.A., as trustee and as Series 2023-6 Agent.</w:t>
            </w:r>
          </w:p>
        </w:tc>
        <w:tc>
          <w:tcPr>
            <w:tcW w:w="180" w:type="dxa"/>
            <w:vAlign w:val="bottom"/>
            <w:gridSpan w:val="9"/>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10.13</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Second Amended and Restated Series 2023-8 Supplement, dated as of June 10, 2025, between Avis Budget Rental Car Funding</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(AESOP) LLC and The Bank of New York Mellon Trust Company, N.A., as trustee and as Series 2023-8 Agent.</w:t>
            </w:r>
          </w:p>
        </w:tc>
        <w:tc>
          <w:tcPr>
            <w:tcW w:w="180" w:type="dxa"/>
            <w:vAlign w:val="bottom"/>
            <w:gridSpan w:val="9"/>
          </w:tcPr>
          <w:p>
            <w:pPr>
              <w:spacing w:after="0"/>
              <w:rPr>
                <w:sz w:val="12"/>
                <w:szCs w:val="12"/>
                <w:color w:val="auto"/>
              </w:rPr>
            </w:pPr>
          </w:p>
        </w:tc>
        <w:tc>
          <w:tcPr>
            <w:tcW w:w="140" w:type="dxa"/>
            <w:vAlign w:val="bottom"/>
            <w:tcBorders>
              <w:right w:val="single" w:sz="8" w:color="auto"/>
            </w:tcBorders>
            <w:gridSpan w:val="6"/>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7"/>
          </w:tcPr>
          <w:p>
            <w:pPr>
              <w:spacing w:after="0" w:line="142" w:lineRule="exact"/>
              <w:rPr>
                <w:sz w:val="20"/>
                <w:szCs w:val="20"/>
                <w:color w:val="auto"/>
              </w:rPr>
            </w:pPr>
            <w:r>
              <w:rPr>
                <w:rFonts w:ascii="Arial" w:cs="Arial" w:eastAsia="Arial" w:hAnsi="Arial"/>
                <w:sz w:val="16"/>
                <w:szCs w:val="16"/>
                <w:color w:val="0000FF"/>
              </w:rPr>
              <w:t>1934, as amended.</w:t>
            </w:r>
          </w:p>
        </w:tc>
        <w:tc>
          <w:tcPr>
            <w:tcW w:w="140" w:type="dxa"/>
            <w:vAlign w:val="bottom"/>
            <w:tcBorders>
              <w:right w:val="single" w:sz="8" w:color="auto"/>
            </w:tcBorders>
            <w:gridSpan w:val="6"/>
          </w:tcPr>
          <w:p>
            <w:pPr>
              <w:spacing w:after="0"/>
              <w:rPr>
                <w:sz w:val="12"/>
                <w:szCs w:val="12"/>
                <w:color w:val="auto"/>
              </w:rPr>
            </w:pPr>
          </w:p>
        </w:tc>
      </w:tr>
      <w:tr>
        <w:trPr>
          <w:trHeight w:val="21"/>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180" w:type="dxa"/>
            <w:vAlign w:val="bottom"/>
            <w:tcBorders>
              <w:left w:val="single" w:sz="8" w:color="auto"/>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100" w:type="dxa"/>
            <w:vAlign w:val="bottom"/>
            <w:tcBorders>
              <w:top w:val="single" w:sz="8" w:color="0000FF"/>
            </w:tcBorders>
            <w:gridSpan w:val="27"/>
          </w:tcPr>
          <w:p>
            <w:pPr>
              <w:spacing w:after="0" w:line="142" w:lineRule="exact"/>
              <w:rPr>
                <w:sz w:val="20"/>
                <w:szCs w:val="20"/>
                <w:color w:val="auto"/>
              </w:rPr>
            </w:pPr>
            <w:r>
              <w:rPr>
                <w:rFonts w:ascii="Arial" w:cs="Arial" w:eastAsia="Arial" w:hAnsi="Arial"/>
                <w:sz w:val="16"/>
                <w:szCs w:val="16"/>
                <w:color w:val="0000FF"/>
              </w:rPr>
              <w:t>1934, as amended.</w:t>
            </w:r>
          </w:p>
        </w:tc>
        <w:tc>
          <w:tcPr>
            <w:tcW w:w="140" w:type="dxa"/>
            <w:vAlign w:val="bottom"/>
            <w:tcBorders>
              <w:right w:val="single" w:sz="8" w:color="auto"/>
            </w:tcBorders>
            <w:gridSpan w:val="6"/>
          </w:tcPr>
          <w:p>
            <w:pPr>
              <w:spacing w:after="0"/>
              <w:rPr>
                <w:sz w:val="12"/>
                <w:szCs w:val="12"/>
                <w:color w:val="auto"/>
              </w:rPr>
            </w:pP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8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right w:val="single" w:sz="8" w:color="auto"/>
            </w:tcBorders>
            <w:gridSpan w:val="33"/>
          </w:tcPr>
          <w:p>
            <w:pPr>
              <w:spacing w:after="0" w:line="169" w:lineRule="exact"/>
              <w:rPr>
                <w:sz w:val="20"/>
                <w:szCs w:val="20"/>
                <w:color w:val="auto"/>
              </w:rPr>
            </w:pPr>
            <w:r>
              <w:rPr>
                <w:rFonts w:ascii="Arial" w:cs="Arial" w:eastAsia="Arial" w:hAnsi="Arial"/>
                <w:sz w:val="16"/>
                <w:szCs w:val="16"/>
                <w:color w:val="0000FF"/>
              </w:rPr>
              <w:t>Certifications Pursuant to 18 U.S.C. Section 1350, as Adopted Pursuant to Section 906 of the Sarbanes-Oxley Act of 2002.</w:t>
            </w:r>
          </w:p>
        </w:tc>
      </w:tr>
      <w:tr>
        <w:trPr>
          <w:trHeight w:val="20"/>
        </w:trPr>
        <w:tc>
          <w:tcPr>
            <w:tcW w:w="1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860" w:type="dxa"/>
            <w:vAlign w:val="bottom"/>
            <w:tcBorders>
              <w:top w:val="single" w:sz="8" w:color="0000FF"/>
              <w:bottom w:val="single" w:sz="8" w:color="auto"/>
            </w:tcBorders>
          </w:tcPr>
          <w:p>
            <w:pPr>
              <w:spacing w:after="0" w:line="20" w:lineRule="exact"/>
              <w:rPr>
                <w:sz w:val="1"/>
                <w:szCs w:val="1"/>
                <w:color w:val="auto"/>
              </w:rPr>
            </w:pPr>
          </w:p>
        </w:tc>
        <w:tc>
          <w:tcPr>
            <w:tcW w:w="1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54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180" w:type="dxa"/>
            <w:vAlign w:val="bottom"/>
            <w:tcBorders>
              <w:top w:val="single" w:sz="8" w:color="auto"/>
              <w:left w:val="single" w:sz="8" w:color="auto"/>
              <w:right w:val="single" w:sz="8" w:color="auto"/>
            </w:tcBorders>
          </w:tcPr>
          <w:p>
            <w:pPr>
              <w:ind w:left="40"/>
              <w:spacing w:after="0" w:line="175" w:lineRule="exact"/>
              <w:rPr>
                <w:sz w:val="20"/>
                <w:szCs w:val="20"/>
                <w:color w:val="auto"/>
              </w:rPr>
            </w:pPr>
            <w:r>
              <w:rPr>
                <w:rFonts w:ascii="Arial" w:cs="Arial" w:eastAsia="Arial" w:hAnsi="Arial"/>
                <w:sz w:val="16"/>
                <w:szCs w:val="16"/>
                <w:color w:val="auto"/>
              </w:rPr>
              <w:t>101.INS</w:t>
            </w:r>
          </w:p>
        </w:tc>
        <w:tc>
          <w:tcPr>
            <w:tcW w:w="140" w:type="dxa"/>
            <w:vAlign w:val="bottom"/>
            <w:tcBorders>
              <w:top w:val="single" w:sz="8" w:color="auto"/>
              <w:right w:val="single" w:sz="8" w:color="auto"/>
            </w:tcBorders>
          </w:tcPr>
          <w:p>
            <w:pPr>
              <w:spacing w:after="0"/>
              <w:rPr>
                <w:sz w:val="15"/>
                <w:szCs w:val="15"/>
                <w:color w:val="auto"/>
              </w:rPr>
            </w:pPr>
          </w:p>
        </w:tc>
        <w:tc>
          <w:tcPr>
            <w:tcW w:w="9940" w:type="dxa"/>
            <w:vAlign w:val="bottom"/>
            <w:tcBorders>
              <w:top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9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within the Inline XBRL document.</w:t>
            </w: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40" w:type="dxa"/>
            <w:vAlign w:val="bottom"/>
            <w:tcBorders>
              <w:bottom w:val="single" w:sz="8" w:color="auto"/>
              <w:right w:val="single" w:sz="8" w:color="auto"/>
            </w:tcBorders>
          </w:tcPr>
          <w:p>
            <w:pPr>
              <w:spacing w:after="0"/>
              <w:rPr>
                <w:sz w:val="18"/>
                <w:szCs w:val="18"/>
                <w:color w:val="auto"/>
              </w:rPr>
            </w:pPr>
          </w:p>
        </w:tc>
        <w:tc>
          <w:tcPr>
            <w:tcW w:w="9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Extension Schema.</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40" w:type="dxa"/>
            <w:vAlign w:val="bottom"/>
            <w:tcBorders>
              <w:bottom w:val="single" w:sz="8" w:color="auto"/>
              <w:right w:val="single" w:sz="8" w:color="auto"/>
            </w:tcBorders>
          </w:tcPr>
          <w:p>
            <w:pPr>
              <w:spacing w:after="0"/>
              <w:rPr>
                <w:sz w:val="18"/>
                <w:szCs w:val="18"/>
                <w:color w:val="auto"/>
              </w:rPr>
            </w:pPr>
          </w:p>
        </w:tc>
        <w:tc>
          <w:tcPr>
            <w:tcW w:w="9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Extension Calculation Linkbase.</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40" w:type="dxa"/>
            <w:vAlign w:val="bottom"/>
            <w:tcBorders>
              <w:bottom w:val="single" w:sz="8" w:color="auto"/>
              <w:right w:val="single" w:sz="8" w:color="auto"/>
            </w:tcBorders>
          </w:tcPr>
          <w:p>
            <w:pPr>
              <w:spacing w:after="0"/>
              <w:rPr>
                <w:sz w:val="18"/>
                <w:szCs w:val="18"/>
                <w:color w:val="auto"/>
              </w:rPr>
            </w:pPr>
          </w:p>
        </w:tc>
        <w:tc>
          <w:tcPr>
            <w:tcW w:w="9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Extension Definition Linkbase.</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40" w:type="dxa"/>
            <w:vAlign w:val="bottom"/>
            <w:tcBorders>
              <w:bottom w:val="single" w:sz="8" w:color="auto"/>
              <w:right w:val="single" w:sz="8" w:color="auto"/>
            </w:tcBorders>
          </w:tcPr>
          <w:p>
            <w:pPr>
              <w:spacing w:after="0"/>
              <w:rPr>
                <w:sz w:val="18"/>
                <w:szCs w:val="18"/>
                <w:color w:val="auto"/>
              </w:rPr>
            </w:pPr>
          </w:p>
        </w:tc>
        <w:tc>
          <w:tcPr>
            <w:tcW w:w="9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Extension Label Linkbase.</w:t>
            </w:r>
          </w:p>
        </w:tc>
      </w:tr>
      <w:tr>
        <w:trPr>
          <w:trHeight w:val="209"/>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40" w:type="dxa"/>
            <w:vAlign w:val="bottom"/>
            <w:tcBorders>
              <w:bottom w:val="single" w:sz="8" w:color="auto"/>
              <w:right w:val="single" w:sz="8" w:color="auto"/>
            </w:tcBorders>
          </w:tcPr>
          <w:p>
            <w:pPr>
              <w:spacing w:after="0"/>
              <w:rPr>
                <w:sz w:val="18"/>
                <w:szCs w:val="18"/>
                <w:color w:val="auto"/>
              </w:rPr>
            </w:pPr>
          </w:p>
        </w:tc>
        <w:tc>
          <w:tcPr>
            <w:tcW w:w="9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Extension Presentation Linkbase.</w:t>
            </w:r>
          </w:p>
        </w:tc>
      </w:tr>
      <w:tr>
        <w:trPr>
          <w:trHeight w:val="210"/>
        </w:trPr>
        <w:tc>
          <w:tcPr>
            <w:tcW w:w="1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140" w:type="dxa"/>
            <w:vAlign w:val="bottom"/>
            <w:tcBorders>
              <w:bottom w:val="single" w:sz="8" w:color="auto"/>
              <w:right w:val="single" w:sz="8" w:color="auto"/>
            </w:tcBorders>
          </w:tcPr>
          <w:p>
            <w:pPr>
              <w:spacing w:after="0"/>
              <w:rPr>
                <w:sz w:val="18"/>
                <w:szCs w:val="18"/>
                <w:color w:val="auto"/>
              </w:rPr>
            </w:pPr>
          </w:p>
        </w:tc>
        <w:tc>
          <w:tcPr>
            <w:tcW w:w="99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Cover Page Interactive Data File - (formatted as Inline XBRL and contained in Exhibit 101)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334" w:lineRule="exact"/>
        <w:rPr>
          <w:sz w:val="20"/>
          <w:szCs w:val="20"/>
          <w:color w:val="auto"/>
        </w:rPr>
      </w:pPr>
    </w:p>
    <w:p>
      <w:pPr>
        <w:ind w:left="540" w:hanging="514"/>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Denotes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320" w:top="122" w:right="31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BANK OF NEW YORK MELLON TRUST COMPANY, N.A.,</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Trustee and Series 2023-1 Agent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SERIES 2023-1 SUPPLEMENT</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April 9, 2025</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to</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Series 2023-1 5.25% Rental Car Asset Backed Notes, Class A</w:t>
      </w:r>
    </w:p>
    <w:p>
      <w:pPr>
        <w:spacing w:after="0" w:line="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Series 2023-1 6.08% Rental Car Asset Backed Notes, Class B</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Series 2023-1 6.23% Rental Car Asset Backed Notes, Class C</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Series 2023-1 7.59% Rental Car Asset Backed Notes, Class D</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Series 2023-1 10.623% Rental Car Asset Backed Notes, Class 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129834060</w:t>
      </w:r>
    </w:p>
    <w:p>
      <w:pPr>
        <w:sectPr>
          <w:pgSz w:w="11900" w:h="16838" w:orient="portrait"/>
          <w:cols w:equalWidth="0" w:num="1">
            <w:col w:w="11160"/>
          </w:cols>
          <w:pgMar w:left="400" w:top="122" w:right="339" w:bottom="1440" w:gutter="0" w:footer="0" w:header="0"/>
        </w:sectPr>
      </w:pPr>
    </w:p>
    <w:bookmarkStart w:id="51" w:name="page52"/>
    <w:bookmarkEnd w:id="51"/>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SECOND AMENDED AND RESTATED SERIES 2023-1 SUPPLEMENT, dated as of April 9, 2025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THE BANK OF NEW YORK MELLON TRUST COMPANY, N.A. (formerly known as The Bank of New York), as agent (in such capacity, the “</w:t>
      </w:r>
      <w:r>
        <w:rPr>
          <w:rFonts w:ascii="Times New Roman" w:cs="Times New Roman" w:eastAsia="Times New Roman" w:hAnsi="Times New Roman"/>
          <w:sz w:val="22"/>
          <w:szCs w:val="22"/>
          <w:u w:val="single" w:color="auto"/>
          <w:color w:val="auto"/>
        </w:rPr>
        <w:t>Series 2023-1 Agent</w:t>
      </w:r>
      <w:r>
        <w:rPr>
          <w:rFonts w:ascii="Times New Roman" w:cs="Times New Roman" w:eastAsia="Times New Roman" w:hAnsi="Times New Roman"/>
          <w:sz w:val="22"/>
          <w:szCs w:val="22"/>
          <w:color w:val="auto"/>
        </w:rPr>
        <w:t>”) for the benefit of the Series 2023-1 Noteholders,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and the Trustee entered into the Series 2023-1 Supplement, dated January 17, 2023 (as amended by the First Amendment to the Series 2023-1 Supplement, dated as of February 5, 2024, the “</w:t>
      </w:r>
      <w:r>
        <w:rPr>
          <w:rFonts w:ascii="Times New Roman" w:cs="Times New Roman" w:eastAsia="Times New Roman" w:hAnsi="Times New Roman"/>
          <w:sz w:val="22"/>
          <w:szCs w:val="22"/>
          <w:u w:val="single" w:color="auto"/>
          <w:color w:val="auto"/>
        </w:rPr>
        <w:t>Prior Supplement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on January 17, 2023, ABRCF issued its Series 2023-1 5.25% Rental Car Asset Backed Notes, Class A, its Series 2023-1 6.08% Rental Car Asset Backed Notes, Class B, its Series 2023-1 6.23% Rental Car Asset Backed Notes, Class C, and its Series 2023-1 10.623% Rental Car Asset Backed Notes, Class R under the Prior Supplement;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and the Trustee entered into the Amended and Restated Series 2023-1 Supplement, dated January 31, 2025 (the “</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in accordance with Section 5.15 of the Prior Supplement, on January 31, 2025, ABRCF issued its Series 2023-1 8.00% Rental Car Asset Backed Notes, Class D and additional Class R Notes (the “</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on the Class D Notes Closing Date and amended and restated the Prior Supplement in its entirety as set forth in the Prior A&amp;R Supplement;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 5.7 of the Prior A&amp;R Supplement permits ABRCF to make certain amendments to the Prior A&amp;R Supplement in connection with the re-marketing and/or offering and sale of the Class D Notes, subject, in each case, to certain conditions set forth therein;</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desires to re-market and/or sell the Class D Notes on the date hereof (the “</w:t>
      </w: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Sale Date</w:t>
      </w:r>
      <w:r>
        <w:rPr>
          <w:rFonts w:ascii="Times New Roman" w:cs="Times New Roman" w:eastAsia="Times New Roman" w:hAnsi="Times New Roman"/>
          <w:sz w:val="22"/>
          <w:szCs w:val="22"/>
          <w:color w:val="auto"/>
        </w:rPr>
        <w:t>”); and</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in connection with the re-marketing and/or offering and sale of the Class D Notes and in accordance with Section 5.7 of the Prior A&amp;R Supplement, the Prior A&amp;R Supplement is amended and restated on the Class D Notes Sale Date in its entirety as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1030" w:right="339" w:bottom="1440" w:gutter="0" w:footer="0" w:header="0"/>
        </w:sectPr>
      </w:pPr>
    </w:p>
    <w:bookmarkStart w:id="52" w:name="page53"/>
    <w:bookmarkEnd w:id="52"/>
    <w:p>
      <w:pPr>
        <w:ind w:left="130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3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There was created a Series of Notes issued pursuant to the Base Indenture and the Prior Supplement, and such Series of Notes was designated generally as the “Series 2023-1 Rental Car Asset Backed Notes”. The Series 2023-1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w:t>
      </w:r>
    </w:p>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On the Class A/B/C Notes Closing Date, ABRCF issued (i) one tranche of Class A Notes designated as the “Series 2023-1 5.25% Rental Car Asset Backed Notes, Class A”, (ii) one tranche of Class B Notes designated as the “Series 2023-1 6.08% Rental Car Asset Backed Notes, Class B”, (iii) one tranche of Class C Notes designated as the “Series 2023-1 6.23% Rental Car Asset Backed Notes, Class C” and (iv) one tranche of Class R Notes designated the “Series 2023-1 10.623% Rental Car Asset Backed Notes, Class R”.</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On the Class D Notes Closing Date, ABRCF issued (i) one tranche of Class D Notes designated as the “Series 2023-1 8.00% Rental Car Asset Backed Notes, Class D” and (ii) the Additional Class R Notes.</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On the Class D Notes Sale Date, ABRCF shall re-market the Class D Notes and such Class D Notes will be designated as the “Series 2023-1 7.59% Rental Car Asset Backed Notes, Class D”.</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The Class A Notes, Class B Notes, Class C Notes, Class D Notes and Class R Notes collectively, constitute the Series 2023-1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w:t>
      </w:r>
    </w:p>
    <w:p>
      <w:pPr>
        <w:spacing w:after="0" w:line="181"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The proceeds from the sale of the Class A Notes, Class B Notes, Class C Notes and Class R Notes were deposited in the Collection Account and were deemed to be Principal Collections, and the proceeds from the sale of the Class D Notes and the Additional Class R Notes were deposited in the Collection Account and were deemed to be Principal Collections.</w:t>
      </w:r>
    </w:p>
    <w:p>
      <w:pPr>
        <w:spacing w:after="0" w:line="15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Series 2023-1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113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jc w:val="both"/>
        <w:ind w:firstLine="1304"/>
        <w:spacing w:after="0" w:line="251" w:lineRule="auto"/>
        <w:tabs>
          <w:tab w:leader="none" w:pos="182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2023-1 Notes and not to any other Series of Notes issued by ABRCF. In the event that a term used herein shall be defined both herein and in the Base Indenture, the definition of such term herein shall govern.</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words and phrases shall have the following meanings with respect to the Series 2023-1 Notes and the definitions of such terms are applicable to the singular as well as the plural form of such terms and to the masculine as well as the feminine and neuter genders of such terms: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means Avis Budget Car Rental, LLC.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is defined in the preamble hereto.</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Net Book Value</w:t>
      </w:r>
      <w:r>
        <w:rPr>
          <w:rFonts w:ascii="Times New Roman" w:cs="Times New Roman" w:eastAsia="Times New Roman" w:hAnsi="Times New Roman"/>
          <w:sz w:val="22"/>
          <w:szCs w:val="22"/>
          <w:color w:val="auto"/>
        </w:rPr>
        <w:t>” means, as of any date of determination, with respect to each Adjusted Program Vehicle as of such date, the product of 0.965 and the Net Book Value of such Adjusted Program Vehicle as of such date.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Distribution Date</w:t>
      </w:r>
      <w:r>
        <w:rPr>
          <w:rFonts w:ascii="Times New Roman" w:cs="Times New Roman" w:eastAsia="Times New Roman" w:hAnsi="Times New Roman"/>
          <w:sz w:val="22"/>
          <w:szCs w:val="22"/>
          <w:color w:val="auto"/>
        </w:rPr>
        <w:t>” means each Distribution Date occurring after the later of (i) the Optional Repurchase Distribution Date and (ii) the first Distribution Date occurring during the Series 2023-1 Controlled Amortization Period.</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a Sunday or (b) a day on which banking institutions in New York City or in the city in which the corporate trust office of the Trustee is located are authorized or obligated by law or executive order to close.</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Lease Deficit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Date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Unpaid Demand Note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means a class of the Series 2023-1 Notes, which may be the Class A Notes, the Class B Notes, the Class C Notes, the Class D Notes or the Class R Notes.</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1350" w:right="339" w:bottom="1440" w:gutter="0" w:footer="0" w:header="0"/>
        </w:sectPr>
      </w:pPr>
    </w:p>
    <w:bookmarkStart w:id="54" w:name="page55"/>
    <w:bookmarkEnd w:id="54"/>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Carryover Controlled Amortization Amount</w:t>
      </w:r>
      <w:r>
        <w:rPr>
          <w:rFonts w:ascii="Times New Roman" w:cs="Times New Roman" w:eastAsia="Times New Roman" w:hAnsi="Times New Roman"/>
          <w:sz w:val="22"/>
          <w:szCs w:val="22"/>
          <w:color w:val="auto"/>
        </w:rPr>
        <w:t xml:space="preserve">” means, with respect to any Related Month during the Series 2023-1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2023-1 Controlled Amortization Period, the Class A Carryover Controlled Amortization Amount shall be zero.</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Amortization Amount</w:t>
      </w:r>
      <w:r>
        <w:rPr>
          <w:rFonts w:ascii="Times New Roman" w:cs="Times New Roman" w:eastAsia="Times New Roman" w:hAnsi="Times New Roman"/>
          <w:sz w:val="22"/>
          <w:szCs w:val="22"/>
          <w:color w:val="auto"/>
        </w:rPr>
        <w:t>” means, (i) with respect to any Related Month during the Series 2023-1 Controlled Amortization Period other than the Related Month immediately preceding the Series 2023-1 Expected Final Distribution Date, $72,283,333.33 and (ii) with respect to the Related Month immediately preceding the Series 2023-1 Expected Final Distribution Date, $72,283,333.35.</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Distribution Amount</w:t>
      </w:r>
      <w:r>
        <w:rPr>
          <w:rFonts w:ascii="Times New Roman" w:cs="Times New Roman" w:eastAsia="Times New Roman" w:hAnsi="Times New Roman"/>
          <w:sz w:val="22"/>
          <w:szCs w:val="22"/>
          <w:color w:val="auto"/>
        </w:rPr>
        <w:t>” means, with respect to any Related Month during the Series 2023-1 Controlled Amortization Period, an amount equal to the sum of the Class A Controlled Amortization Amount and any Class A Carryover Controlled Amortization Amount for such Related Month.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Initial Invested Amount</w:t>
      </w:r>
      <w:r>
        <w:rPr>
          <w:rFonts w:ascii="Times New Roman" w:cs="Times New Roman" w:eastAsia="Times New Roman" w:hAnsi="Times New Roman"/>
          <w:sz w:val="22"/>
          <w:szCs w:val="22"/>
          <w:color w:val="auto"/>
        </w:rPr>
        <w:t>” means the aggregate initial principal amount of the Class A Notes, which 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$433,700,000.</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Invested Amount</w:t>
      </w:r>
      <w:r>
        <w:rPr>
          <w:rFonts w:ascii="Times New Roman" w:cs="Times New Roman" w:eastAsia="Times New Roman" w:hAnsi="Times New Roman"/>
          <w:sz w:val="22"/>
          <w:szCs w:val="22"/>
          <w:color w:val="auto"/>
        </w:rPr>
        <w:t xml:space="preserve">” means, when used with respect to any date, an amount equal to (a) the Class A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A Noteholders on or prior to such date.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means, with respect to (i) the initial Series 2023-1 Interest Period, an amount equal to $2,087,181.25 and (ii) any other Series 2023-1 Interest Period, an amount equal to the product of (A) one-twelfth of the Class A Note Rate and (B) the Class A Invested Amount on the first day of such Series 2023-1 Interest Period, after giving effect to any principal payments made on such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w:t>
      </w:r>
      <w:r>
        <w:rPr>
          <w:rFonts w:ascii="Times New Roman" w:cs="Times New Roman" w:eastAsia="Times New Roman" w:hAnsi="Times New Roman"/>
          <w:sz w:val="22"/>
          <w:szCs w:val="22"/>
          <w:color w:val="auto"/>
        </w:rPr>
        <w:t xml:space="preserve">” means any one of the Series 2023-1 5.25% Rental Car Asset Backed Notes, Class A,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 Definitive Class A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 Rate</w:t>
      </w:r>
      <w:r>
        <w:rPr>
          <w:rFonts w:ascii="Times New Roman" w:cs="Times New Roman" w:eastAsia="Times New Roman" w:hAnsi="Times New Roman"/>
          <w:sz w:val="22"/>
          <w:szCs w:val="22"/>
          <w:color w:val="auto"/>
        </w:rPr>
        <w:t>” means 5.25%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Noteholder</w:t>
      </w:r>
      <w:r>
        <w:rPr>
          <w:rFonts w:ascii="Times New Roman" w:cs="Times New Roman" w:eastAsia="Times New Roman" w:hAnsi="Times New Roman"/>
          <w:sz w:val="22"/>
          <w:szCs w:val="22"/>
          <w:color w:val="auto"/>
        </w:rPr>
        <w:t>” means the Person in whose name a Class A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Shortfall</w:t>
      </w:r>
      <w:r>
        <w:rPr>
          <w:rFonts w:ascii="Times New Roman" w:cs="Times New Roman" w:eastAsia="Times New Roman" w:hAnsi="Times New Roman"/>
          <w:sz w:val="22"/>
          <w:szCs w:val="22"/>
          <w:color w:val="auto"/>
        </w:rPr>
        <w:t>” has the meaning set forth in Section 2.3(g)(i).</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Applicable Multi-Series L/C Amount</w:t>
      </w:r>
      <w:r>
        <w:rPr>
          <w:rFonts w:ascii="Times New Roman" w:cs="Times New Roman" w:eastAsia="Times New Roman" w:hAnsi="Times New Roman"/>
          <w:sz w:val="22"/>
          <w:szCs w:val="22"/>
          <w:color w:val="auto"/>
        </w:rPr>
        <w:t>” means, as of any date of determination, an amount equal to the sum, for each Multi-Series Letter of Credit, of (1) the aggregate amount allocable to the Class A/B/C Notes and available to be drawn on such date under</w:t>
      </w: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ectPr>
          <w:pgSz w:w="11900" w:h="16838" w:orient="portrait"/>
          <w:cols w:equalWidth="0" w:num="1">
            <w:col w:w="11240"/>
          </w:cols>
          <w:pgMar w:left="320" w:top="1030" w:right="339" w:bottom="1440" w:gutter="0" w:footer="0" w:header="0"/>
        </w:sectPr>
      </w:pPr>
    </w:p>
    <w:bookmarkStart w:id="55" w:name="page56"/>
    <w:bookmarkEnd w:id="55"/>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A/B/C Required Liquidity Amount divided by “Required Liquidity Amount” for each applicable Series for which such Multi-Series Letter of Credit is providing credit enhancement.</w:t>
      </w:r>
    </w:p>
    <w:p>
      <w:pPr>
        <w:spacing w:after="0" w:line="16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Cash Collateral Account Amount</w:t>
      </w:r>
      <w:r>
        <w:rPr>
          <w:rFonts w:ascii="Times New Roman" w:cs="Times New Roman" w:eastAsia="Times New Roman" w:hAnsi="Times New Roman"/>
          <w:sz w:val="22"/>
          <w:szCs w:val="22"/>
          <w:color w:val="auto"/>
        </w:rPr>
        <w:t>” means, as of any date of determination, the amount on deposit in the Class A/B/C Cash Collateral Account (after giving effect to any deposits thereto and withdrawals and releases therefrom on such date).</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Reserve Account Amount</w:t>
      </w:r>
      <w:r>
        <w:rPr>
          <w:rFonts w:ascii="Times New Roman" w:cs="Times New Roman" w:eastAsia="Times New Roman" w:hAnsi="Times New Roman"/>
          <w:sz w:val="22"/>
          <w:szCs w:val="22"/>
          <w:color w:val="auto"/>
        </w:rPr>
        <w:t>” means, as of any date of determination, the amount on deposit in the Class A/B/C Reserve Account (after giving effect to any deposits thereto and withdrawals and releases therefrom on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w:t>
      </w:r>
      <w:r>
        <w:rPr>
          <w:rFonts w:ascii="Times New Roman" w:cs="Times New Roman" w:eastAsia="Times New Roman" w:hAnsi="Times New Roman"/>
          <w:sz w:val="22"/>
          <w:szCs w:val="22"/>
          <w:color w:val="auto"/>
        </w:rPr>
        <w:t>” is defined in Section 2.8(h).</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Collateral</w:t>
      </w:r>
      <w:r>
        <w:rPr>
          <w:rFonts w:ascii="Times New Roman" w:cs="Times New Roman" w:eastAsia="Times New Roman" w:hAnsi="Times New Roman"/>
          <w:sz w:val="22"/>
          <w:szCs w:val="22"/>
          <w:color w:val="auto"/>
        </w:rPr>
        <w:t>” is defined in Section 2.8(a).</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Surplus</w:t>
      </w:r>
      <w:r>
        <w:rPr>
          <w:rFonts w:ascii="Times New Roman" w:cs="Times New Roman" w:eastAsia="Times New Roman" w:hAnsi="Times New Roman"/>
          <w:sz w:val="22"/>
          <w:szCs w:val="22"/>
          <w:color w:val="auto"/>
        </w:rPr>
        <w:t xml:space="preserve">” 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2023-1 Reserve Accounts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A/B/C Cash Collateral Account Surplus shall mean the excess, if any, of (x) the Class A/B/C Available Cash Collateral Account Amount over (y) the Series 2023-1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w:t>
      </w:r>
    </w:p>
    <w:p>
      <w:pPr>
        <w:spacing w:after="0" w:line="18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Amount</w:t>
      </w:r>
      <w:r>
        <w:rPr>
          <w:rFonts w:ascii="Times New Roman" w:cs="Times New Roman" w:eastAsia="Times New Roman" w:hAnsi="Times New Roman"/>
          <w:sz w:val="22"/>
          <w:szCs w:val="22"/>
          <w:color w:val="auto"/>
        </w:rPr>
        <w:t>” 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2023-1 Collection Account (not including amounts allocable to the Series 2023-1 Accrued Interest Account) and the Series 2023-1 Excess Collection Account as of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Deficiency</w:t>
      </w:r>
      <w:r>
        <w:rPr>
          <w:rFonts w:ascii="Times New Roman" w:cs="Times New Roman" w:eastAsia="Times New Roman" w:hAnsi="Times New Roman"/>
          <w:sz w:val="22"/>
          <w:szCs w:val="22"/>
          <w:color w:val="auto"/>
        </w:rPr>
        <w:t>” means, on any date of determination, the amount by which the Class A/B/C Enhancement Amount is less than the Class A/B/C Required Enhancement Amount as of such date.</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240"/>
          </w:cols>
          <w:pgMar w:left="320" w:top="1026" w:right="339" w:bottom="1440" w:gutter="0" w:footer="0" w:header="0"/>
        </w:sectPr>
      </w:pPr>
    </w:p>
    <w:bookmarkStart w:id="56" w:name="page57"/>
    <w:bookmarkEnd w:id="56"/>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and the Class C Invested Amount as of such date.</w:t>
      </w:r>
    </w:p>
    <w:p>
      <w:pPr>
        <w:spacing w:after="0" w:line="17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Amount</w:t>
      </w:r>
      <w:r>
        <w:rPr>
          <w:rFonts w:ascii="Times New Roman" w:cs="Times New Roman" w:eastAsia="Times New Roman" w:hAnsi="Times New Roman"/>
          <w:sz w:val="22"/>
          <w:szCs w:val="22"/>
          <w:color w:val="auto"/>
        </w:rPr>
        <w:t>” 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2023-1 Demand Notes on such date.</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Liquidity Amount</w:t>
      </w:r>
      <w:r>
        <w:rPr>
          <w:rFonts w:ascii="Times New Roman" w:cs="Times New Roman" w:eastAsia="Times New Roman" w:hAnsi="Times New Roman"/>
          <w:sz w:val="22"/>
          <w:szCs w:val="22"/>
          <w:color w:val="auto"/>
        </w:rPr>
        <w:t>” 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Liquidity Amount</w:t>
      </w:r>
      <w:r>
        <w:rPr>
          <w:rFonts w:ascii="Times New Roman" w:cs="Times New Roman" w:eastAsia="Times New Roman" w:hAnsi="Times New Roman"/>
          <w:sz w:val="22"/>
          <w:szCs w:val="22"/>
          <w:color w:val="auto"/>
        </w:rPr>
        <w:t>” means, as of any date of determination, the sum of (a) the Class A/B/C Letter of Credit Liquidity Amount on such date and (b) the Class A/B/C Available Reserve Account Amount on such date.</w:t>
      </w:r>
    </w:p>
    <w:p>
      <w:pPr>
        <w:spacing w:after="0" w:line="15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Maximum Amounts</w:t>
      </w:r>
      <w:r>
        <w:rPr>
          <w:rFonts w:ascii="Times New Roman" w:cs="Times New Roman" w:eastAsia="Times New Roman" w:hAnsi="Times New Roman"/>
          <w:sz w:val="21"/>
          <w:szCs w:val="21"/>
          <w:color w:val="auto"/>
        </w:rPr>
        <w:t>” means, collectively, the Series 2023-1 Maximum Jaguar Amount, Series 2023-1 Maximum Tesla Amount, the Series 2023-1 Maximum Land Rover Amount, the Series 2023-1 Maximum Mitsubishi Amount, the Series 2023-1 Maximum Isuzu Amount, the Series 2023-1 Maximum Subaru Amount, the Series 2023-1 Maximum Hyundai Amount, the Series 2023-1 Maximum Kia Amount, the Series 2023-1 Maximum Suzuki Amount, the Series 2023-1 Maximum Specified States Amount (if applicable), the Series 2023-1 Maximum Non-Perfected Vehicle Amount, the Series 2023-1 Maximum Non-Eligible Manufacturer Amount and the Series 2023-1 Maximum Medium/Heavy Duty Truck Amount.</w:t>
      </w:r>
    </w:p>
    <w:p>
      <w:pPr>
        <w:spacing w:after="0" w:line="16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40"/>
          </w:cols>
          <w:pgMar w:left="320" w:top="1030" w:right="339" w:bottom="1440" w:gutter="0" w:footer="0" w:header="0"/>
        </w:sectPr>
      </w:pPr>
    </w:p>
    <w:bookmarkStart w:id="57" w:name="page58"/>
    <w:bookmarkEnd w:id="57"/>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Notes Closing Date</w:t>
      </w:r>
      <w:r>
        <w:rPr>
          <w:rFonts w:ascii="Times New Roman" w:cs="Times New Roman" w:eastAsia="Times New Roman" w:hAnsi="Times New Roman"/>
          <w:sz w:val="22"/>
          <w:szCs w:val="22"/>
          <w:color w:val="auto"/>
        </w:rPr>
        <w:t>” means January 17, 2023.</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Overcollateralization Amount</w:t>
      </w:r>
      <w:r>
        <w:rPr>
          <w:rFonts w:ascii="Times New Roman" w:cs="Times New Roman" w:eastAsia="Times New Roman" w:hAnsi="Times New Roman"/>
          <w:sz w:val="22"/>
          <w:szCs w:val="22"/>
          <w:color w:val="auto"/>
        </w:rPr>
        <w:t>” means, the excess, if any of (x) the Series 2023-1 AESOP I Operating Lease Loan Agreement Borrowing Base as of such date over (y) the sum of the Class A Invested Amount, the Class B Invested Amount and the Class C Invested Amount, in each case, as of such date.</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Percentage</w:t>
      </w:r>
      <w:r>
        <w:rPr>
          <w:rFonts w:ascii="Times New Roman" w:cs="Times New Roman" w:eastAsia="Times New Roman" w:hAnsi="Times New Roman"/>
          <w:sz w:val="22"/>
          <w:szCs w:val="22"/>
          <w:color w:val="auto"/>
        </w:rPr>
        <w:t>” 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2023-1 Invested Amount and the Class D Required Overcollateralization Amount and (ii) as of any other date of determination, 0%.</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xml:space="preserve">” 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2023-1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bl>
    <w:p>
      <w:pPr>
        <w:sectPr>
          <w:pgSz w:w="11900" w:h="16838" w:orient="portrait"/>
          <w:cols w:equalWidth="0" w:num="1">
            <w:col w:w="11240"/>
          </w:cols>
          <w:pgMar w:left="320" w:top="1030" w:right="339" w:bottom="1440" w:gutter="0" w:footer="0" w:header="0"/>
        </w:sectPr>
      </w:pPr>
    </w:p>
    <w:bookmarkStart w:id="58" w:name="page59"/>
    <w:bookmarkEnd w:id="58"/>
    <w:p>
      <w:pPr>
        <w:jc w:val="both"/>
        <w:spacing w:after="0" w:line="250" w:lineRule="auto"/>
        <w:rPr>
          <w:sz w:val="20"/>
          <w:szCs w:val="20"/>
          <w:color w:val="auto"/>
        </w:rPr>
      </w:pPr>
      <w:r>
        <w:rPr>
          <w:rFonts w:ascii="Times New Roman" w:cs="Times New Roman" w:eastAsia="Times New Roman" w:hAnsi="Times New Roman"/>
          <w:sz w:val="22"/>
          <w:szCs w:val="22"/>
          <w:color w:val="auto"/>
        </w:rPr>
        <w:t>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2023-1 AESOP I Operating Lease Loan Agreement Borrowing Base on such date and (2) the lesser of (a) the Class A/B/C Liquidity Amount on such date and (b) the Class A/B/C Required Liquidity Amount on such date.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Pro Rata Share</w:t>
      </w:r>
      <w:r>
        <w:rPr>
          <w:rFonts w:ascii="Times New Roman" w:cs="Times New Roman" w:eastAsia="Times New Roman" w:hAnsi="Times New Roman"/>
          <w:sz w:val="21"/>
          <w:szCs w:val="21"/>
          <w:color w:val="auto"/>
        </w:rPr>
        <w:t xml:space="preserve">” 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available amount allocated to the Class A/B/C Notes under all Multi-Series Letters of Credit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calculation shall not in any manner reduce the undersigned’s actual liability in respect of any failure to pay any demand under the Multi-Series Letter of Credit).</w:t>
      </w:r>
    </w:p>
    <w:p>
      <w:pPr>
        <w:spacing w:after="0" w:line="17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Enhancement Amount</w:t>
      </w:r>
      <w:r>
        <w:rPr>
          <w:rFonts w:ascii="Times New Roman" w:cs="Times New Roman" w:eastAsia="Times New Roman" w:hAnsi="Times New Roman"/>
          <w:sz w:val="22"/>
          <w:szCs w:val="22"/>
          <w:color w:val="auto"/>
        </w:rPr>
        <w:t>” means, as of any date of determination, the sum, without duplication, of (i) the Series 2023-1 Moody’s Required Enhancement Amount as of such date, (ii) the Series 2023-1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2023-1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2023-1 AESOP I Operating Lease Vehicle Percentage as of the immediately preceding Business Day of the excess, if any, of the aggregate Net Book Value of all Vehicles manufactured by Subaru and leased under the Leases as of such date over the Series 2023-1 Maximum Subaru Amount as of such date, (v) the Series 2023-1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2023-1 AESOP I Operating Lease Vehicle Percentage as of the immediately preceding Business Day of the excess, if any, of the aggregate Net Book Value of all Vehicles manufactured by Kia and leased under the Leases as of such date over the Class A/B/C Maximum Kia Amount as of</w:t>
      </w:r>
    </w:p>
    <w:p>
      <w:pPr>
        <w:spacing w:after="0" w:line="200" w:lineRule="exact"/>
        <w:rPr>
          <w:sz w:val="20"/>
          <w:szCs w:val="20"/>
          <w:color w:val="auto"/>
        </w:rPr>
      </w:pP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bl>
    <w:p>
      <w:pPr>
        <w:sectPr>
          <w:pgSz w:w="11900" w:h="16838" w:orient="portrait"/>
          <w:cols w:equalWidth="0" w:num="1">
            <w:col w:w="11240"/>
          </w:cols>
          <w:pgMar w:left="320" w:top="1030" w:right="339" w:bottom="1440" w:gutter="0" w:footer="0" w:header="0"/>
        </w:sectPr>
      </w:pPr>
    </w:p>
    <w:bookmarkStart w:id="59" w:name="page60"/>
    <w:bookmarkEnd w:id="59"/>
    <w:p>
      <w:pPr>
        <w:jc w:val="both"/>
        <w:spacing w:after="0" w:line="259" w:lineRule="auto"/>
        <w:rPr>
          <w:sz w:val="20"/>
          <w:szCs w:val="20"/>
          <w:color w:val="auto"/>
        </w:rPr>
      </w:pPr>
      <w:r>
        <w:rPr>
          <w:rFonts w:ascii="Times New Roman" w:cs="Times New Roman" w:eastAsia="Times New Roman" w:hAnsi="Times New Roman"/>
          <w:sz w:val="21"/>
          <w:szCs w:val="21"/>
          <w:color w:val="auto"/>
        </w:rPr>
        <w:t>such date, (vii) the Series 2023-1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2023-1 AESOP I Operating Lease Vehicle Percentage as of the immediately preceding Business Day of the excess, if any, of the aggregate Net Book Value of all Vehicles manufactured by Tesla and leased under the Leases as of such date over the Class A/B/C Maximum Tesla Amount as of such date, (ix) the Series 2023-1 AESOP I Operating Lease Vehicle Percentage as of the immediately preceding Business Day of the excess, if any, of the aggregate Net Book Value of all Vehicles manufactured by Land Rover and leased under the Leases as of such date over the Class A/B/C Maximum Land Rover Amount as of such date, (x) the Series 2023-1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2023-1 AESOP I Operating Lease 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2023-1 Maximum Non-Perfected Vehicle Amount (as applicable) as of such date, (xii) the Series 2023-1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2023-1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Liquidity Amount</w:t>
      </w:r>
      <w:r>
        <w:rPr>
          <w:rFonts w:ascii="Times New Roman" w:cs="Times New Roman" w:eastAsia="Times New Roman" w:hAnsi="Times New Roman"/>
          <w:sz w:val="22"/>
          <w:szCs w:val="22"/>
          <w:color w:val="auto"/>
        </w:rPr>
        <w:t>” means, as of any date of determination, an amount equal to the product of 4.00% and the Class A/B/C Senior Invested Amount as of such date.</w:t>
      </w:r>
    </w:p>
    <w:p>
      <w:pPr>
        <w:spacing w:after="0" w:line="14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Required Overcollateralization Amount</w:t>
      </w:r>
      <w:r>
        <w:rPr>
          <w:rFonts w:ascii="Times New Roman" w:cs="Times New Roman" w:eastAsia="Times New Roman" w:hAnsi="Times New Roman"/>
          <w:sz w:val="21"/>
          <w:szCs w:val="21"/>
          <w:color w:val="auto"/>
        </w:rPr>
        <w:t>” means, as of any date of determination, the excess, if any, of the Class A/B/C Required Enhancement Amount over the sum of (i) the Class A/B/C Letter of Credit Amount as of such date,</w:t>
      </w:r>
    </w:p>
    <w:p>
      <w:pPr>
        <w:spacing w:after="0" w:line="2" w:lineRule="exact"/>
        <w:rPr>
          <w:sz w:val="20"/>
          <w:szCs w:val="20"/>
          <w:color w:val="auto"/>
        </w:rPr>
      </w:pPr>
    </w:p>
    <w:p>
      <w:pPr>
        <w:jc w:val="both"/>
        <w:ind w:firstLine="8"/>
        <w:spacing w:after="0" w:line="245" w:lineRule="auto"/>
        <w:tabs>
          <w:tab w:leader="none" w:pos="32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A/B/C Available Reserve Account Amount on such date and (iii) the amount of cash and Permitted Investments on deposit in the Series 2023-1 Collection Account (not including amounts allocable to the Series 2023-1 Accrued Interest Account) and the Series 2023-1 Excess Collection Account on such date.</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Reserve Account Amount</w:t>
      </w:r>
      <w:r>
        <w:rPr>
          <w:rFonts w:ascii="Times New Roman" w:cs="Times New Roman" w:eastAsia="Times New Roman" w:hAnsi="Times New Roman"/>
          <w:sz w:val="22"/>
          <w:szCs w:val="22"/>
          <w:color w:val="auto"/>
        </w:rPr>
        <w:t>” 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bl>
    <w:p>
      <w:pPr>
        <w:sectPr>
          <w:pgSz w:w="11900" w:h="16838" w:orient="portrait"/>
          <w:cols w:equalWidth="0" w:num="1">
            <w:col w:w="11240"/>
          </w:cols>
          <w:pgMar w:left="320" w:top="1030" w:right="339" w:bottom="1440" w:gutter="0" w:footer="0" w:header="0"/>
        </w:sectPr>
      </w:pPr>
    </w:p>
    <w:bookmarkStart w:id="60" w:name="page61"/>
    <w:bookmarkEnd w:id="60"/>
    <w:p>
      <w:pPr>
        <w:jc w:val="both"/>
        <w:spacing w:after="0" w:line="263" w:lineRule="auto"/>
        <w:rPr>
          <w:sz w:val="20"/>
          <w:szCs w:val="20"/>
          <w:color w:val="auto"/>
        </w:rPr>
      </w:pPr>
      <w:r>
        <w:rPr>
          <w:rFonts w:ascii="Times New Roman" w:cs="Times New Roman" w:eastAsia="Times New Roman" w:hAnsi="Times New Roman"/>
          <w:sz w:val="22"/>
          <w:szCs w:val="22"/>
          <w:color w:val="auto"/>
        </w:rPr>
        <w:t>to be made on the Series 2023-1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2023-1 Notes) as of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w:t>
      </w:r>
      <w:r>
        <w:rPr>
          <w:rFonts w:ascii="Times New Roman" w:cs="Times New Roman" w:eastAsia="Times New Roman" w:hAnsi="Times New Roman"/>
          <w:sz w:val="22"/>
          <w:szCs w:val="22"/>
          <w:color w:val="auto"/>
        </w:rPr>
        <w:t>” is defined in Section 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Collateral</w:t>
      </w:r>
      <w:r>
        <w:rPr>
          <w:rFonts w:ascii="Times New Roman" w:cs="Times New Roman" w:eastAsia="Times New Roman" w:hAnsi="Times New Roman"/>
          <w:sz w:val="22"/>
          <w:szCs w:val="22"/>
          <w:color w:val="auto"/>
        </w:rPr>
        <w:t>” is defined in Section 2.7(d).</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means, with respect to any Distribution Date, the excess, if any, of the Class A/B/C Available Reserve Account Amount over the Class A/B/C Required Reserve Account Amount on such Distribution Date.</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Carryover Controlled Amortization Amount</w:t>
      </w:r>
      <w:r>
        <w:rPr>
          <w:rFonts w:ascii="Times New Roman" w:cs="Times New Roman" w:eastAsia="Times New Roman" w:hAnsi="Times New Roman"/>
          <w:sz w:val="22"/>
          <w:szCs w:val="22"/>
          <w:color w:val="auto"/>
        </w:rPr>
        <w:t xml:space="preserve">” means, with respect to any Related Month during the Series 2023-1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2023-1 Controlled Amortization Period, the Class B Carryover Controlled Amortization Amount shall be zero.</w:t>
      </w:r>
    </w:p>
    <w:p>
      <w:pPr>
        <w:spacing w:after="0" w:line="19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Amortization Amount</w:t>
      </w:r>
      <w:r>
        <w:rPr>
          <w:rFonts w:ascii="Times New Roman" w:cs="Times New Roman" w:eastAsia="Times New Roman" w:hAnsi="Times New Roman"/>
          <w:sz w:val="22"/>
          <w:szCs w:val="22"/>
          <w:color w:val="auto"/>
        </w:rPr>
        <w:t>” means, with respect to any Related Month during the Series 2023-1 Controlled Amortization Period, $11,050,000.00.</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Distribution Amount</w:t>
      </w:r>
      <w:r>
        <w:rPr>
          <w:rFonts w:ascii="Times New Roman" w:cs="Times New Roman" w:eastAsia="Times New Roman" w:hAnsi="Times New Roman"/>
          <w:sz w:val="22"/>
          <w:szCs w:val="22"/>
          <w:color w:val="auto"/>
        </w:rPr>
        <w:t>” means, with respect to any Related Month during the Series 2023-1 Controlled Amortization Period, an amount equal to the sum of the Class B Controlled Amortization Amount and any Class B Carryover Controlled Amortization Amount for such Related Month.</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Initial Invested Amount</w:t>
      </w:r>
      <w:r>
        <w:rPr>
          <w:rFonts w:ascii="Times New Roman" w:cs="Times New Roman" w:eastAsia="Times New Roman" w:hAnsi="Times New Roman"/>
          <w:sz w:val="22"/>
          <w:szCs w:val="22"/>
          <w:color w:val="auto"/>
        </w:rPr>
        <w:t>” means the aggregate initial principal amount of the Class B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$66,300,000.</w:t>
      </w:r>
    </w:p>
    <w:p>
      <w:pPr>
        <w:spacing w:after="0" w:line="19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Invested Amount</w:t>
      </w:r>
      <w:r>
        <w:rPr>
          <w:rFonts w:ascii="Times New Roman" w:cs="Times New Roman" w:eastAsia="Times New Roman" w:hAnsi="Times New Roman"/>
          <w:sz w:val="22"/>
          <w:szCs w:val="22"/>
          <w:color w:val="auto"/>
        </w:rPr>
        <w:t xml:space="preserve">” means, when used with respect to any date, an amount equal to (a) the Class B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B Noteholders on or prior to such date.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Monthly Interest</w:t>
      </w:r>
      <w:r>
        <w:rPr>
          <w:rFonts w:ascii="Times New Roman" w:cs="Times New Roman" w:eastAsia="Times New Roman" w:hAnsi="Times New Roman"/>
          <w:sz w:val="22"/>
          <w:szCs w:val="22"/>
          <w:color w:val="auto"/>
        </w:rPr>
        <w:t>” means, with respect to (i) the initial Series 2023-1 Interest Period, an amount equal to $369,512.00 and (ii) any other Series 2023-1 Interest Period, an amount equal to the product of (A) one-twelfth of the Class B Note Rate and (B) the Class B Invested Amount on the first day of such Series 2023-1 Interest Period, after giving effect to any principal payments made on such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w:t>
      </w:r>
      <w:r>
        <w:rPr>
          <w:rFonts w:ascii="Times New Roman" w:cs="Times New Roman" w:eastAsia="Times New Roman" w:hAnsi="Times New Roman"/>
          <w:sz w:val="22"/>
          <w:szCs w:val="22"/>
          <w:color w:val="auto"/>
        </w:rPr>
        <w:t xml:space="preserve">” means any one of the Series 2023-1 6.08% Rental Car Asset Backed Notes, Class B,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Definitive Class B Notes shall have such insertions and deletions as are necessary to give effect to the provisions of Section 2.18 of the Base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bl>
    <w:p>
      <w:pPr>
        <w:sectPr>
          <w:pgSz w:w="11900" w:h="16838" w:orient="portrait"/>
          <w:cols w:equalWidth="0" w:num="1">
            <w:col w:w="11240"/>
          </w:cols>
          <w:pgMar w:left="320" w:top="1030" w:right="339" w:bottom="1440" w:gutter="0" w:footer="0" w:header="0"/>
        </w:sectPr>
      </w:pPr>
    </w:p>
    <w:bookmarkStart w:id="61" w:name="page62"/>
    <w:bookmarkEnd w:id="6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Rate</w:t>
      </w:r>
      <w:r>
        <w:rPr>
          <w:rFonts w:ascii="Times New Roman" w:cs="Times New Roman" w:eastAsia="Times New Roman" w:hAnsi="Times New Roman"/>
          <w:sz w:val="22"/>
          <w:szCs w:val="22"/>
          <w:color w:val="auto"/>
        </w:rPr>
        <w:t>” means 6.08%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w:t>
      </w:r>
      <w:r>
        <w:rPr>
          <w:rFonts w:ascii="Times New Roman" w:cs="Times New Roman" w:eastAsia="Times New Roman" w:hAnsi="Times New Roman"/>
          <w:sz w:val="22"/>
          <w:szCs w:val="22"/>
          <w:color w:val="auto"/>
        </w:rPr>
        <w:t>” means the Person in whose name a Class B Note is registered in the Note Register.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has the meaning set forth in Section 2.3(g)(ii).</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Carryover Controlled Amortization Amount</w:t>
      </w:r>
      <w:r>
        <w:rPr>
          <w:rFonts w:ascii="Times New Roman" w:cs="Times New Roman" w:eastAsia="Times New Roman" w:hAnsi="Times New Roman"/>
          <w:sz w:val="22"/>
          <w:szCs w:val="22"/>
          <w:color w:val="auto"/>
        </w:rPr>
        <w:t xml:space="preserve">” means, with respect to any Related Month during the Series 2023-1 Controlled Amortization Period, the amount, if any, by which the portion of the Monthly Total Principal Allocation paid to the Class C Noteholders pursuant to Section 2.5(f)(iii) for the previous Related Month was less than the Class C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2023-1 Controlled Amortization Period, the Class C Carryover Controlled Amortization Amount shall be zero.</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Amortization Amount</w:t>
      </w:r>
      <w:r>
        <w:rPr>
          <w:rFonts w:ascii="Times New Roman" w:cs="Times New Roman" w:eastAsia="Times New Roman" w:hAnsi="Times New Roman"/>
          <w:sz w:val="22"/>
          <w:szCs w:val="22"/>
          <w:color w:val="auto"/>
        </w:rPr>
        <w:t>” means, (i) with respect to any Related Month during the Series 2023-1 Controlled Amortization Period other than the Related Month immediately preceding the Series 2023-1 Expected Final Distribution Date, $8,748,333.33 and (ii) with respect to the Related Month immediately preceding the Series 2023-1 Expected Final Distribution Date, $8,748,333.35.</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Distribution Amount</w:t>
      </w:r>
      <w:r>
        <w:rPr>
          <w:rFonts w:ascii="Times New Roman" w:cs="Times New Roman" w:eastAsia="Times New Roman" w:hAnsi="Times New Roman"/>
          <w:sz w:val="22"/>
          <w:szCs w:val="22"/>
          <w:color w:val="auto"/>
        </w:rPr>
        <w:t>” means, with respect to any Related Month during the Series 2023-1 Controlled Amortization Period, an amount equal to the sum of the Class C Controlled Amortization Amount and any Class C Carryover Controlled Amortization Amount for such Related Month.</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Initial Invested Amount</w:t>
      </w:r>
      <w:r>
        <w:rPr>
          <w:rFonts w:ascii="Times New Roman" w:cs="Times New Roman" w:eastAsia="Times New Roman" w:hAnsi="Times New Roman"/>
          <w:sz w:val="22"/>
          <w:szCs w:val="22"/>
          <w:color w:val="auto"/>
        </w:rPr>
        <w:t>” means the aggregate initial principal amount of the Class C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$52,490,000.</w:t>
      </w:r>
    </w:p>
    <w:p>
      <w:pPr>
        <w:spacing w:after="0" w:line="196"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Invested Amount</w:t>
      </w:r>
      <w:r>
        <w:rPr>
          <w:rFonts w:ascii="Times New Roman" w:cs="Times New Roman" w:eastAsia="Times New Roman" w:hAnsi="Times New Roman"/>
          <w:sz w:val="22"/>
          <w:szCs w:val="22"/>
          <w:color w:val="auto"/>
        </w:rPr>
        <w:t xml:space="preserve">” means, when used with respect to any date, an amount equal to (a) the Class C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C Noteholders on or prior to such date.</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w:t>
      </w:r>
      <w:r>
        <w:rPr>
          <w:rFonts w:ascii="Times New Roman" w:cs="Times New Roman" w:eastAsia="Times New Roman" w:hAnsi="Times New Roman"/>
          <w:sz w:val="22"/>
          <w:szCs w:val="22"/>
          <w:color w:val="auto"/>
        </w:rPr>
        <w:t>” means, (A) for so long as ABRCF owns 100% of the Class C Notes, $0 and (B) if ABRCF owns less than 100% of the Class C Notes, with respect to (i) the initial Series 2023-1 Interest Period with respect to the Class C Notes, an amount equal to $408,765.88 and (ii) any other Series 2023-1 Interest Period, an amount equal to the product of (A) one-twelfth of the Class C Note Rate and (B) the Class C Invested Amount on the first day of such Series 2023-1 Interest Period, after giving effect to any principal payments made on such date.</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w:t>
      </w:r>
      <w:r>
        <w:rPr>
          <w:rFonts w:ascii="Times New Roman" w:cs="Times New Roman" w:eastAsia="Times New Roman" w:hAnsi="Times New Roman"/>
          <w:sz w:val="22"/>
          <w:szCs w:val="22"/>
          <w:color w:val="auto"/>
        </w:rPr>
        <w:t xml:space="preserve">” means any one of the Series 2023-1 6.23% Rental Car Asset Backed Notes, Class C,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Definitive Class C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means 6.23%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ectPr>
          <w:pgSz w:w="11900" w:h="16838" w:orient="portrait"/>
          <w:cols w:equalWidth="0" w:num="1">
            <w:col w:w="11240"/>
          </w:cols>
          <w:pgMar w:left="320" w:top="1030" w:right="339" w:bottom="1440" w:gutter="0" w:footer="0" w:header="0"/>
        </w:sectPr>
      </w:pPr>
    </w:p>
    <w:bookmarkStart w:id="62" w:name="page63"/>
    <w:bookmarkEnd w:id="6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the Person in whose name a Class C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has the meaning set forth in Section 2.3(g)(iii).</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Applicable Multi-Series L/C Amount</w:t>
      </w:r>
      <w:r>
        <w:rPr>
          <w:rFonts w:ascii="Times New Roman" w:cs="Times New Roman" w:eastAsia="Times New Roman" w:hAnsi="Times New Roman"/>
          <w:sz w:val="22"/>
          <w:szCs w:val="22"/>
          <w:color w:val="auto"/>
        </w:rPr>
        <w:t xml:space="preserve">” means, as of any date of determination, an amount equal to the sum, for each Multi-Series Letter of Credit, of (1) the aggregate amount allocable to the Class D Notes and available to be drawn on such date under 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D Required Liquidity Amount divided by “Required Liquidity Amount” for each applicable Series for which such Multi-Series Letter of Credit is providing credit enhancement.</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Cash Collateral Account Amount</w:t>
      </w:r>
      <w:r>
        <w:rPr>
          <w:rFonts w:ascii="Times New Roman" w:cs="Times New Roman" w:eastAsia="Times New Roman" w:hAnsi="Times New Roman"/>
          <w:sz w:val="22"/>
          <w:szCs w:val="22"/>
          <w:color w:val="auto"/>
        </w:rPr>
        <w:t>” means, as of any date of determination, the amount on deposit in the Class D Cash Collateral Account (after giving effect to any deposits thereto and withdrawals and releases therefrom on such date).</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Reserve Account Amount</w:t>
      </w:r>
      <w:r>
        <w:rPr>
          <w:rFonts w:ascii="Times New Roman" w:cs="Times New Roman" w:eastAsia="Times New Roman" w:hAnsi="Times New Roman"/>
          <w:sz w:val="22"/>
          <w:szCs w:val="22"/>
          <w:color w:val="auto"/>
        </w:rPr>
        <w:t>” means, as of any date of determination, the amount on deposit in the Class D Reserve Account (after giving effect to any deposits thereto and withdrawals and releases therefrom on such date).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Carryover Controlled Amortization Amount</w:t>
      </w:r>
      <w:r>
        <w:rPr>
          <w:rFonts w:ascii="Times New Roman" w:cs="Times New Roman" w:eastAsia="Times New Roman" w:hAnsi="Times New Roman"/>
          <w:sz w:val="22"/>
          <w:szCs w:val="22"/>
          <w:color w:val="auto"/>
        </w:rPr>
        <w:t xml:space="preserve">” means, with respect to any Related Month during the Series 2023-1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2023-1 Controlled Amortization Period, the Class D Carryover Controlled Amortization Amount shall be zero.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is defined in Section 2.8(j).</w:t>
      </w:r>
    </w:p>
    <w:p>
      <w:pPr>
        <w:spacing w:after="0" w:line="23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 Surplus</w:t>
      </w:r>
      <w:r>
        <w:rPr>
          <w:rFonts w:ascii="Times New Roman" w:cs="Times New Roman" w:eastAsia="Times New Roman" w:hAnsi="Times New Roman"/>
          <w:sz w:val="22"/>
          <w:szCs w:val="22"/>
          <w:color w:val="auto"/>
        </w:rPr>
        <w:t xml:space="preserve">” 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D Cash Collateral Account Surplus shall mean the excess, if any, of (x) the Class D Available Cash Collateral Account Amount over (y) the Series 2023-1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A/B/C Cash Collateral Account Amount.</w:t>
      </w:r>
    </w:p>
    <w:p>
      <w:pPr>
        <w:spacing w:after="0" w:line="191"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D Available Cash</w:t>
      </w: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bl>
    <w:p>
      <w:pPr>
        <w:sectPr>
          <w:pgSz w:w="11900" w:h="16838" w:orient="portrait"/>
          <w:cols w:equalWidth="0" w:num="1">
            <w:col w:w="11240"/>
          </w:cols>
          <w:pgMar w:left="320" w:top="1030" w:right="339" w:bottom="1440" w:gutter="0" w:footer="0" w:header="0"/>
        </w:sectPr>
      </w:pPr>
    </w:p>
    <w:bookmarkStart w:id="63" w:name="page64"/>
    <w:bookmarkEnd w:id="63"/>
    <w:p>
      <w:pPr>
        <w:jc w:val="both"/>
        <w:spacing w:after="0" w:line="271" w:lineRule="auto"/>
        <w:rPr>
          <w:sz w:val="20"/>
          <w:szCs w:val="20"/>
          <w:color w:val="auto"/>
        </w:rPr>
      </w:pPr>
      <w:r>
        <w:rPr>
          <w:rFonts w:ascii="Times New Roman" w:cs="Times New Roman" w:eastAsia="Times New Roman" w:hAnsi="Times New Roman"/>
          <w:sz w:val="22"/>
          <w:szCs w:val="22"/>
          <w:color w:val="auto"/>
        </w:rPr>
        <w:t>Collateral Account Amount as of such date and the denominator of which is the Class D Letter of Credit Liquidity Amount as of such date.</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Amortization Amount</w:t>
      </w:r>
      <w:r>
        <w:rPr>
          <w:rFonts w:ascii="Times New Roman" w:cs="Times New Roman" w:eastAsia="Times New Roman" w:hAnsi="Times New Roman"/>
          <w:sz w:val="22"/>
          <w:szCs w:val="22"/>
          <w:color w:val="auto"/>
        </w:rPr>
        <w:t>” means, (i) with respect to any Related Month during the Series 2023-1 Controlled Amortization Period other than the Related Month immediately preceding the Series 2023-1 Expected Final Distribution Date, $12,556,666.67 and (ii) with respect to the Related Month immediately preceding the Series 2023-1 Expected Final Distribution Date, $12,556,666.65.</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Distribution Amount</w:t>
      </w:r>
      <w:r>
        <w:rPr>
          <w:rFonts w:ascii="Times New Roman" w:cs="Times New Roman" w:eastAsia="Times New Roman" w:hAnsi="Times New Roman"/>
          <w:sz w:val="22"/>
          <w:szCs w:val="22"/>
          <w:color w:val="auto"/>
        </w:rPr>
        <w:t>” means, with respect to any Related Month during the Series 2023-1 Controlled Amortization Period, an amount equal to the sum of the Class D Controlled Amortization Amount and any Class D Carryover Controlled Amortization Amount for such Related Month.</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Amount</w:t>
      </w:r>
      <w:r>
        <w:rPr>
          <w:rFonts w:ascii="Times New Roman" w:cs="Times New Roman" w:eastAsia="Times New Roman" w:hAnsi="Times New Roman"/>
          <w:sz w:val="22"/>
          <w:szCs w:val="22"/>
          <w:color w:val="auto"/>
        </w:rPr>
        <w:t>” 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2023-1 Collection Account (not including amounts allocable to the Series 2023-1 Accrued Interest Account) and the Series 2023-1 Excess Collection Account as of such date.</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Deficiency</w:t>
      </w:r>
      <w:r>
        <w:rPr>
          <w:rFonts w:ascii="Times New Roman" w:cs="Times New Roman" w:eastAsia="Times New Roman" w:hAnsi="Times New Roman"/>
          <w:sz w:val="22"/>
          <w:szCs w:val="22"/>
          <w:color w:val="auto"/>
        </w:rPr>
        <w:t>” means, on any date of determination, the amount by which the Class D Enhancement Amount is less than the Class D Required Enhancement Amount as of such date.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Initial Invested Amount</w:t>
      </w:r>
      <w:r>
        <w:rPr>
          <w:rFonts w:ascii="Times New Roman" w:cs="Times New Roman" w:eastAsia="Times New Roman" w:hAnsi="Times New Roman"/>
          <w:sz w:val="22"/>
          <w:szCs w:val="22"/>
          <w:color w:val="auto"/>
        </w:rPr>
        <w:t>” means the aggregate initial principal amount of the Class D Notes, which 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$75,340,000.</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Invested Amount</w:t>
      </w:r>
      <w:r>
        <w:rPr>
          <w:rFonts w:ascii="Times New Roman" w:cs="Times New Roman" w:eastAsia="Times New Roman" w:hAnsi="Times New Roman"/>
          <w:sz w:val="22"/>
          <w:szCs w:val="22"/>
          <w:color w:val="auto"/>
        </w:rPr>
        <w:t xml:space="preserve">” means, when used with respect to any date, an amount equal to (a) the Class D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D Noteholders on or prior to such date.</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Letter of Credit Amount</w:t>
      </w:r>
      <w:r>
        <w:rPr>
          <w:rFonts w:ascii="Times New Roman" w:cs="Times New Roman" w:eastAsia="Times New Roman" w:hAnsi="Times New Roman"/>
          <w:sz w:val="21"/>
          <w:szCs w:val="21"/>
          <w:color w:val="auto"/>
        </w:rPr>
        <w:t>” 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2023-1 Demand Notes on such date.</w:t>
      </w:r>
    </w:p>
    <w:p>
      <w:pPr>
        <w:spacing w:after="0" w:line="16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Letter of Credit Liquidity Amount</w:t>
      </w:r>
      <w:r>
        <w:rPr>
          <w:rFonts w:ascii="Times New Roman" w:cs="Times New Roman" w:eastAsia="Times New Roman" w:hAnsi="Times New Roman"/>
          <w:sz w:val="22"/>
          <w:szCs w:val="22"/>
          <w:color w:val="auto"/>
        </w:rPr>
        <w:t>” 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bl>
    <w:p>
      <w:pPr>
        <w:sectPr>
          <w:pgSz w:w="11900" w:h="16838" w:orient="portrait"/>
          <w:cols w:equalWidth="0" w:num="1">
            <w:col w:w="11240"/>
          </w:cols>
          <w:pgMar w:left="320" w:top="1030" w:right="339" w:bottom="1440" w:gutter="0" w:footer="0" w:header="0"/>
        </w:sectPr>
      </w:pPr>
    </w:p>
    <w:bookmarkStart w:id="64" w:name="page65"/>
    <w:bookmarkEnd w:id="6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Collateral Account has been established and funded pursuant to Section 2.8, the Class D Available Cash Collateral Account Amount on such date.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Liquidity Amount</w:t>
      </w:r>
      <w:r>
        <w:rPr>
          <w:rFonts w:ascii="Times New Roman" w:cs="Times New Roman" w:eastAsia="Times New Roman" w:hAnsi="Times New Roman"/>
          <w:sz w:val="22"/>
          <w:szCs w:val="22"/>
          <w:color w:val="auto"/>
        </w:rPr>
        <w:t>” means, as of any date of determination, the sum of (a) the Class D Letter of Credit Liquidity Amount on such date and (b) the Class D Available Reserve Account Amount on such date.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Amounts</w:t>
      </w:r>
      <w:r>
        <w:rPr>
          <w:rFonts w:ascii="Times New Roman" w:cs="Times New Roman" w:eastAsia="Times New Roman" w:hAnsi="Times New Roman"/>
          <w:sz w:val="22"/>
          <w:szCs w:val="22"/>
          <w:color w:val="auto"/>
        </w:rPr>
        <w:t>” means, collectively,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and the Class D Maximum Medium/Heavy Duty Truck Amount.</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ectPr>
          <w:pgSz w:w="11900" w:h="16838" w:orient="portrait"/>
          <w:cols w:equalWidth="0" w:num="1">
            <w:col w:w="11240"/>
          </w:cols>
          <w:pgMar w:left="320" w:top="1030" w:right="339" w:bottom="1440" w:gutter="0" w:footer="0" w:header="0"/>
        </w:sectPr>
      </w:pPr>
    </w:p>
    <w:bookmarkStart w:id="65" w:name="page66"/>
    <w:bookmarkEnd w:id="65"/>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7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Monthly Interest</w:t>
      </w:r>
      <w:r>
        <w:rPr>
          <w:rFonts w:ascii="Times New Roman" w:cs="Times New Roman" w:eastAsia="Times New Roman" w:hAnsi="Times New Roman"/>
          <w:sz w:val="22"/>
          <w:szCs w:val="22"/>
          <w:color w:val="auto"/>
        </w:rPr>
        <w:t>” means, with respect to (i) the initial Series 2023-1 Interest Period for the Class D Notes following the Class D Notes Closing Date, an amount equal to $837,111, (ii) the initial Series 2023-1 Interest Period for the Class D Notes from the Class D Notes Sale Date to and including May 19, 2025, an amount equal to $651,251.52 and (iii) any other Series 2023-1 Interest Period, an amount equal to the product of (A) one-twelfth of the Class D Note Rate and (B) the Class D Invested Amount on the first day of such Series 2023-1 Interest Period, after giving effect to any principal payments made on such date.</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w:t>
      </w:r>
      <w:r>
        <w:rPr>
          <w:rFonts w:ascii="Times New Roman" w:cs="Times New Roman" w:eastAsia="Times New Roman" w:hAnsi="Times New Roman"/>
          <w:sz w:val="22"/>
          <w:szCs w:val="22"/>
          <w:color w:val="auto"/>
        </w:rPr>
        <w:t xml:space="preserve">” means any one of the Series 2023-1 7.59% Rental Car Asset Backed Notes, Class D,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Definitive Class D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Owner</w:t>
      </w:r>
      <w:r>
        <w:rPr>
          <w:rFonts w:ascii="Times New Roman" w:cs="Times New Roman" w:eastAsia="Times New Roman" w:hAnsi="Times New Roman"/>
          <w:sz w:val="22"/>
          <w:szCs w:val="22"/>
          <w:color w:val="auto"/>
        </w:rPr>
        <w:t>” means each beneficial owner of a Class D Note.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Rate</w:t>
      </w:r>
      <w:r>
        <w:rPr>
          <w:rFonts w:ascii="Times New Roman" w:cs="Times New Roman" w:eastAsia="Times New Roman" w:hAnsi="Times New Roman"/>
          <w:sz w:val="22"/>
          <w:szCs w:val="22"/>
          <w:color w:val="auto"/>
        </w:rPr>
        <w:t>” means 7.59% per annum.</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Noteholder</w:t>
      </w:r>
      <w:r>
        <w:rPr>
          <w:rFonts w:ascii="Times New Roman" w:cs="Times New Roman" w:eastAsia="Times New Roman" w:hAnsi="Times New Roman"/>
          <w:sz w:val="22"/>
          <w:szCs w:val="22"/>
          <w:color w:val="auto"/>
        </w:rPr>
        <w:t>” means the Person in whose name a Class D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Closing Date</w:t>
      </w:r>
      <w:r>
        <w:rPr>
          <w:rFonts w:ascii="Times New Roman" w:cs="Times New Roman" w:eastAsia="Times New Roman" w:hAnsi="Times New Roman"/>
          <w:sz w:val="22"/>
          <w:szCs w:val="22"/>
          <w:color w:val="auto"/>
        </w:rPr>
        <w:t>” means January 31, 2025.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Sale Date</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Overcollateralization Amount</w:t>
      </w:r>
      <w:r>
        <w:rPr>
          <w:rFonts w:ascii="Times New Roman" w:cs="Times New Roman" w:eastAsia="Times New Roman" w:hAnsi="Times New Roman"/>
          <w:sz w:val="22"/>
          <w:szCs w:val="22"/>
          <w:color w:val="auto"/>
        </w:rPr>
        <w:t>” means, the excess, if any of (x) the Series 2023-1 AESOP I Operating Lease Loan Agreement Borrowing Base as of such date over (y) the Series 2023-1 Invested Amount as of such date.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Percentage</w:t>
      </w:r>
      <w:r>
        <w:rPr>
          <w:rFonts w:ascii="Times New Roman" w:cs="Times New Roman" w:eastAsia="Times New Roman" w:hAnsi="Times New Roman"/>
          <w:sz w:val="22"/>
          <w:szCs w:val="22"/>
          <w:color w:val="auto"/>
        </w:rPr>
        <w:t>” means, as of any date of determination, a percentage equal to the excess, if any, of (x) 100% over (y) the Class A/B/C Percentage as of such date.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Principal Deficit Amount</w:t>
      </w:r>
      <w:r>
        <w:rPr>
          <w:rFonts w:ascii="Times New Roman" w:cs="Times New Roman" w:eastAsia="Times New Roman" w:hAnsi="Times New Roman"/>
          <w:sz w:val="22"/>
          <w:szCs w:val="22"/>
          <w:color w:val="auto"/>
        </w:rPr>
        <w:t xml:space="preserve">” means, as of any date of determination, the excess, if any, of (i) the Class D Invested Amount on such date (after giving effect to the distribution of the Monthly Total Principal Allocation for the Related Month if such date is a Distribution Date) over (ii) the Series 2023-1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D Principal Deficit Amount on any date occurring during the period commencing on and including the date of the filing by any of the Lessees of a petition for relief under Chapter 11 of the Bankruptcy Code to but excluding the</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ectPr>
          <w:pgSz w:w="11900" w:h="16838" w:orient="portrait"/>
          <w:cols w:equalWidth="0" w:num="1">
            <w:col w:w="11240"/>
          </w:cols>
          <w:pgMar w:left="320" w:top="1030" w:right="339" w:bottom="1440" w:gutter="0" w:footer="0" w:header="0"/>
        </w:sectPr>
      </w:pPr>
    </w:p>
    <w:bookmarkStart w:id="66" w:name="page67"/>
    <w:bookmarkEnd w:id="66"/>
    <w:p>
      <w:pPr>
        <w:jc w:val="both"/>
        <w:spacing w:after="0" w:line="251" w:lineRule="auto"/>
        <w:rPr>
          <w:sz w:val="20"/>
          <w:szCs w:val="20"/>
          <w:color w:val="auto"/>
        </w:rPr>
      </w:pPr>
      <w:r>
        <w:rPr>
          <w:rFonts w:ascii="Times New Roman" w:cs="Times New Roman" w:eastAsia="Times New Roman" w:hAnsi="Times New Roman"/>
          <w:sz w:val="22"/>
          <w:szCs w:val="22"/>
          <w:color w:val="auto"/>
        </w:rPr>
        <w:t>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2023-1 AESOP I Operating Lease Loan Agreement Borrowing Base on such date and (2) the lesser of (a) the Class D Liquidity Amount on such date and (b) the Class D Required Liquidity Amount on such date.</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Pro Rata Share</w:t>
      </w:r>
      <w:r>
        <w:rPr>
          <w:rFonts w:ascii="Times New Roman" w:cs="Times New Roman" w:eastAsia="Times New Roman" w:hAnsi="Times New Roman"/>
          <w:sz w:val="22"/>
          <w:szCs w:val="22"/>
          <w:color w:val="auto"/>
        </w:rPr>
        <w:t xml:space="preserve">” means, with respect to any Multi-Series Letter of Credit Provider as of any date, the fraction (expressed as a percentage) obtained by dividing (A) the available amount allocated to the Class D Notes under such Multi-Series Letter of Credit Provider’s Multi-Series Letter of Credit as of such date by (B) an amount equal to the aggregate available amount allocated to the Class D Notes under all Multi-Series Letters of Credit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calculation shall not in any manner reduce the undersigned’s actual liability in respect of any failure to pay any demand under the Multi-Series Letter of Credit).</w:t>
      </w:r>
    </w:p>
    <w:p>
      <w:pPr>
        <w:spacing w:after="0" w:line="19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Required Enhancement Amount</w:t>
      </w:r>
      <w:r>
        <w:rPr>
          <w:rFonts w:ascii="Times New Roman" w:cs="Times New Roman" w:eastAsia="Times New Roman" w:hAnsi="Times New Roman"/>
          <w:sz w:val="21"/>
          <w:szCs w:val="21"/>
          <w:color w:val="auto"/>
        </w:rPr>
        <w:t>” means an amount equal to, as of any date of determination, the sum (without duplication) of (i) the applicable Series 2023-1 Moody’s Required Enhancement Amount as of such date, (ii) the Series 2023-1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2023-1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2023-1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2023-1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2023-1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2023-1 AESOP I Operating Lease Vehicle Percentage as of the immediately preceding Business Day of the excess, if any, of the aggregate Net Book Value of all Vehicles manufactured by Suzuki and leased under the Leases as of such date over the Class D Maximum Suzuki Amount as of such</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bl>
    <w:p>
      <w:pPr>
        <w:sectPr>
          <w:pgSz w:w="11900" w:h="16838" w:orient="portrait"/>
          <w:cols w:equalWidth="0" w:num="1">
            <w:col w:w="11240"/>
          </w:cols>
          <w:pgMar w:left="320" w:top="1030" w:right="339" w:bottom="1440" w:gutter="0" w:footer="0" w:header="0"/>
        </w:sectPr>
      </w:pPr>
    </w:p>
    <w:bookmarkStart w:id="67" w:name="page68"/>
    <w:bookmarkEnd w:id="67"/>
    <w:p>
      <w:pPr>
        <w:jc w:val="both"/>
        <w:spacing w:after="0" w:line="259" w:lineRule="auto"/>
        <w:rPr>
          <w:sz w:val="20"/>
          <w:szCs w:val="20"/>
          <w:color w:val="auto"/>
        </w:rPr>
      </w:pPr>
      <w:r>
        <w:rPr>
          <w:rFonts w:ascii="Times New Roman" w:cs="Times New Roman" w:eastAsia="Times New Roman" w:hAnsi="Times New Roman"/>
          <w:sz w:val="21"/>
          <w:szCs w:val="21"/>
          <w:color w:val="auto"/>
        </w:rPr>
        <w:t>date, (viii) the Series 2023-1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2023-1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2023-1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2023-1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w:t>
      </w:r>
    </w:p>
    <w:p>
      <w:pPr>
        <w:spacing w:after="0" w:line="10" w:lineRule="exact"/>
        <w:rPr>
          <w:sz w:val="20"/>
          <w:szCs w:val="20"/>
          <w:color w:val="auto"/>
        </w:rPr>
      </w:pPr>
    </w:p>
    <w:p>
      <w:pPr>
        <w:jc w:val="both"/>
        <w:ind w:firstLine="8"/>
        <w:spacing w:after="0" w:line="247" w:lineRule="auto"/>
        <w:tabs>
          <w:tab w:leader="none" w:pos="31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2023-1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2023-1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spacing w:after="0" w:line="18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Liquidity Amount</w:t>
      </w:r>
      <w:r>
        <w:rPr>
          <w:rFonts w:ascii="Times New Roman" w:cs="Times New Roman" w:eastAsia="Times New Roman" w:hAnsi="Times New Roman"/>
          <w:sz w:val="22"/>
          <w:szCs w:val="22"/>
          <w:color w:val="auto"/>
        </w:rPr>
        <w:t>” means an amount equal to the product of 4.75% and the Class D Invested Amount as of such date.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Overcollateralization Amount</w:t>
      </w:r>
      <w:r>
        <w:rPr>
          <w:rFonts w:ascii="Times New Roman" w:cs="Times New Roman" w:eastAsia="Times New Roman" w:hAnsi="Times New Roman"/>
          <w:sz w:val="22"/>
          <w:szCs w:val="22"/>
          <w:color w:val="auto"/>
        </w:rPr>
        <w:t>” 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 Permitted Investments on deposit in the Series 2023-1 Collection Account (not including amounts allocable to the Series 2023-1 Accrued Interest Account) and the Series 2023-1 Excess Collection Account on such date.</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Reserve Account Amount</w:t>
      </w:r>
      <w:r>
        <w:rPr>
          <w:rFonts w:ascii="Times New Roman" w:cs="Times New Roman" w:eastAsia="Times New Roman" w:hAnsi="Times New Roman"/>
          <w:sz w:val="22"/>
          <w:szCs w:val="22"/>
          <w:color w:val="auto"/>
        </w:rPr>
        <w:t>” 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2023-1 Notes)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w:t>
      </w:r>
      <w:r>
        <w:rPr>
          <w:rFonts w:ascii="Times New Roman" w:cs="Times New Roman" w:eastAsia="Times New Roman" w:hAnsi="Times New Roman"/>
          <w:sz w:val="22"/>
          <w:szCs w:val="22"/>
          <w:color w:val="auto"/>
        </w:rPr>
        <w:t>” is defined in Section 2.7(g).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ectPr>
          <w:pgSz w:w="11900" w:h="16838" w:orient="portrait"/>
          <w:cols w:equalWidth="0" w:num="1">
            <w:col w:w="11240"/>
          </w:cols>
          <w:pgMar w:left="320" w:top="1030" w:right="339" w:bottom="1440" w:gutter="0" w:footer="0" w:header="0"/>
        </w:sectPr>
      </w:pPr>
    </w:p>
    <w:bookmarkStart w:id="68" w:name="page69"/>
    <w:bookmarkEnd w:id="6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is defined in Section 2.7(j).</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Surplus</w:t>
      </w:r>
      <w:r>
        <w:rPr>
          <w:rFonts w:ascii="Times New Roman" w:cs="Times New Roman" w:eastAsia="Times New Roman" w:hAnsi="Times New Roman"/>
          <w:sz w:val="22"/>
          <w:szCs w:val="22"/>
          <w:color w:val="auto"/>
        </w:rPr>
        <w:t>” means, with respect to any Distribution Date, the excess, if any, of the Class D Available Reserve Account Amount over the Class D Required Reserve Account Amount on such Distribution Date.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has the meaning set forth in Section 2.3(g)(iv).</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Controlled Amortization Amount</w:t>
      </w:r>
      <w:r>
        <w:rPr>
          <w:rFonts w:ascii="Times New Roman" w:cs="Times New Roman" w:eastAsia="Times New Roman" w:hAnsi="Times New Roman"/>
          <w:sz w:val="22"/>
          <w:szCs w:val="22"/>
          <w:color w:val="auto"/>
        </w:rPr>
        <w:t>” means, (i) with respect to any Related Month during the Series 2023-1 Controlled Amortization Period other than the Related Month immediately preceding the Series 2023-1 Expected Final Distribution Date, $0 and (ii) with respect to the Related Month immediately preceding the Series 2023-1 Expected Final Distribution Date, $34,600,000.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Initial Invested Amount</w:t>
      </w:r>
      <w:r>
        <w:rPr>
          <w:rFonts w:ascii="Times New Roman" w:cs="Times New Roman" w:eastAsia="Times New Roman" w:hAnsi="Times New Roman"/>
          <w:sz w:val="22"/>
          <w:szCs w:val="22"/>
          <w:color w:val="auto"/>
        </w:rPr>
        <w:t>” means the aggregate initial principal amount of the Class R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$34,600,000.</w:t>
      </w:r>
    </w:p>
    <w:p>
      <w:pPr>
        <w:spacing w:after="0" w:line="196"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Invested Amount</w:t>
      </w:r>
      <w:r>
        <w:rPr>
          <w:rFonts w:ascii="Times New Roman" w:cs="Times New Roman" w:eastAsia="Times New Roman" w:hAnsi="Times New Roman"/>
          <w:sz w:val="22"/>
          <w:szCs w:val="22"/>
          <w:color w:val="auto"/>
        </w:rPr>
        <w:t xml:space="preserve">” means, when used with respect to any date, an amount equal to (a) the Class R Initial Invested Amount plus (b) the aggregate principal amount of any Additional Class R Notes issued on or prior to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amount of principal payments made to Class R Noteholders on or prior to such date.</w:t>
      </w:r>
    </w:p>
    <w:p>
      <w:pPr>
        <w:spacing w:after="0" w:line="18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Monthly Interest</w:t>
      </w:r>
      <w:r>
        <w:rPr>
          <w:rFonts w:ascii="Times New Roman" w:cs="Times New Roman" w:eastAsia="Times New Roman" w:hAnsi="Times New Roman"/>
          <w:sz w:val="21"/>
          <w:szCs w:val="21"/>
          <w:color w:val="auto"/>
        </w:rPr>
        <w:t>” means, with respect to (i) the initial Series 2023-1 Interest Period, an amount equal to $296,033.40, (ii) the initial Series 2023-1 Interest Period following the Class D Notes Closing Date, an amount equal to $61,968 and (iii) any other Series 2023-1 Interest Period, an amount equal to the product of (A) one-twelfth of the Class R Note Rate and</w:t>
      </w:r>
    </w:p>
    <w:p>
      <w:pPr>
        <w:spacing w:after="0" w:line="3" w:lineRule="exact"/>
        <w:rPr>
          <w:sz w:val="20"/>
          <w:szCs w:val="20"/>
          <w:color w:val="auto"/>
        </w:rPr>
      </w:pPr>
    </w:p>
    <w:p>
      <w:pPr>
        <w:ind w:firstLine="8"/>
        <w:spacing w:after="0" w:line="248" w:lineRule="auto"/>
        <w:tabs>
          <w:tab w:leader="none" w:pos="375"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R Invested Amount on the first day of such Series 2023-1 Interest Period, after giving effect to any principal payments made on such date.</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w:t>
      </w:r>
      <w:r>
        <w:rPr>
          <w:rFonts w:ascii="Times New Roman" w:cs="Times New Roman" w:eastAsia="Times New Roman" w:hAnsi="Times New Roman"/>
          <w:sz w:val="22"/>
          <w:szCs w:val="22"/>
          <w:color w:val="auto"/>
        </w:rPr>
        <w:t xml:space="preserve">” means any one of the Series 2023-1 10.623% Rental Car Asset Backed Notes, Class R,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Definitive Class R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 Rate</w:t>
      </w:r>
      <w:r>
        <w:rPr>
          <w:rFonts w:ascii="Times New Roman" w:cs="Times New Roman" w:eastAsia="Times New Roman" w:hAnsi="Times New Roman"/>
          <w:sz w:val="22"/>
          <w:szCs w:val="22"/>
          <w:color w:val="auto"/>
        </w:rPr>
        <w:t>” means 10.623% per annum</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Noteholder</w:t>
      </w:r>
      <w:r>
        <w:rPr>
          <w:rFonts w:ascii="Times New Roman" w:cs="Times New Roman" w:eastAsia="Times New Roman" w:hAnsi="Times New Roman"/>
          <w:sz w:val="22"/>
          <w:szCs w:val="22"/>
          <w:color w:val="auto"/>
        </w:rPr>
        <w:t>” means the Person in whose name a Class R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has the meaning set forth in Section 2.3(g)(v).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w:t>
      </w:r>
      <w:r>
        <w:rPr>
          <w:rFonts w:ascii="Times New Roman" w:cs="Times New Roman" w:eastAsia="Times New Roman" w:hAnsi="Times New Roman"/>
          <w:sz w:val="22"/>
          <w:szCs w:val="22"/>
          <w:color w:val="auto"/>
        </w:rPr>
        <w:t>” means any optional repurchase pursuant to Section 5.1(a).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 Distribution Date</w:t>
      </w:r>
      <w:r>
        <w:rPr>
          <w:rFonts w:ascii="Times New Roman" w:cs="Times New Roman" w:eastAsia="Times New Roman" w:hAnsi="Times New Roman"/>
          <w:sz w:val="22"/>
          <w:szCs w:val="22"/>
          <w:color w:val="auto"/>
        </w:rPr>
        <w:t>” has the meaning set forth in Section 5.1(a).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ectPr>
          <w:pgSz w:w="11900" w:h="16838" w:orient="portrait"/>
          <w:cols w:equalWidth="0" w:num="1">
            <w:col w:w="11240"/>
          </w:cols>
          <w:pgMar w:left="320" w:top="1030" w:right="339" w:bottom="1440" w:gutter="0" w:footer="0" w:header="0"/>
        </w:sectPr>
      </w:pPr>
    </w:p>
    <w:bookmarkStart w:id="69" w:name="page70"/>
    <w:bookmarkEnd w:id="69"/>
    <w:p>
      <w:pPr>
        <w:jc w:val="both"/>
        <w:ind w:firstLine="1296"/>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Confirmation Condition</w:t>
      </w:r>
      <w:r>
        <w:rPr>
          <w:rFonts w:ascii="Times New Roman" w:cs="Times New Roman" w:eastAsia="Times New Roman" w:hAnsi="Times New Roman"/>
          <w:sz w:val="22"/>
          <w:szCs w:val="22"/>
          <w:color w:val="auto"/>
        </w:rPr>
        <w:t xml:space="preserve">”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the foregoing, the Confirmation Condition shall be deemed satisfied until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initial filing in respect of such Chapter 11 Proceedings.</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Note Issuer</w:t>
      </w:r>
      <w:r>
        <w:rPr>
          <w:rFonts w:ascii="Times New Roman" w:cs="Times New Roman" w:eastAsia="Times New Roman" w:hAnsi="Times New Roman"/>
          <w:sz w:val="22"/>
          <w:szCs w:val="22"/>
          <w:color w:val="auto"/>
        </w:rPr>
        <w:t>” means each issuer of a Series 2023-1 Demand Note.</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Disbursement</w:t>
      </w:r>
      <w:r>
        <w:rPr>
          <w:rFonts w:ascii="Times New Roman" w:cs="Times New Roman" w:eastAsia="Times New Roman" w:hAnsi="Times New Roman"/>
          <w:sz w:val="22"/>
          <w:szCs w:val="22"/>
          <w:color w:val="auto"/>
        </w:rPr>
        <w:t>” means any Lease Deficit Disbursement, any Unpaid Demand Note Disbursement, any Termination Date Disbursement or any Termination Disbursement under a Multi-Series Letter of Credit, or any combination thereof, as the context may require.</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Value</w:t>
      </w:r>
      <w:r>
        <w:rPr>
          <w:rFonts w:ascii="Times New Roman" w:cs="Times New Roman" w:eastAsia="Times New Roman" w:hAnsi="Times New Roman"/>
          <w:sz w:val="22"/>
          <w:szCs w:val="22"/>
          <w:color w:val="auto"/>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Guide</w:t>
      </w:r>
      <w:r>
        <w:rPr>
          <w:rFonts w:ascii="Times New Roman" w:cs="Times New Roman" w:eastAsia="Times New Roman" w:hAnsi="Times New Roman"/>
          <w:sz w:val="22"/>
          <w:szCs w:val="22"/>
          <w:color w:val="auto"/>
        </w:rPr>
        <w:t>” means the Black Book Official Finance/Lease Guide.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A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B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C Notes</w:t>
      </w:r>
      <w:r>
        <w:rPr>
          <w:rFonts w:ascii="Times New Roman" w:cs="Times New Roman" w:eastAsia="Times New Roman" w:hAnsi="Times New Roman"/>
          <w:sz w:val="22"/>
          <w:szCs w:val="22"/>
          <w:color w:val="auto"/>
        </w:rPr>
        <w:t>” is defined in Section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ectPr>
          <w:pgSz w:w="11900" w:h="16838" w:orient="portrait"/>
          <w:cols w:equalWidth="0" w:num="1">
            <w:col w:w="11240"/>
          </w:cols>
          <w:pgMar w:left="320" w:top="1030" w:right="339" w:bottom="1440" w:gutter="0" w:footer="0" w:header="0"/>
        </w:sectPr>
      </w:pPr>
    </w:p>
    <w:bookmarkStart w:id="70" w:name="page71"/>
    <w:bookmarkEnd w:id="7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D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R Notes</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Deficit Disbursement</w:t>
      </w:r>
      <w:r>
        <w:rPr>
          <w:rFonts w:ascii="Times New Roman" w:cs="Times New Roman" w:eastAsia="Times New Roman" w:hAnsi="Times New Roman"/>
          <w:sz w:val="22"/>
          <w:szCs w:val="22"/>
          <w:color w:val="auto"/>
        </w:rPr>
        <w:t>” means an amount drawn under a Multi-Series Letter of Credit pursuant to a Certificate of Lease Deficit Demand.</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 Whole Payment</w:t>
      </w:r>
      <w:r>
        <w:rPr>
          <w:rFonts w:ascii="Times New Roman" w:cs="Times New Roman" w:eastAsia="Times New Roman" w:hAnsi="Times New Roman"/>
          <w:sz w:val="22"/>
          <w:szCs w:val="22"/>
          <w:color w:val="auto"/>
        </w:rPr>
        <w:t xml:space="preserve">” means, with respect to any Series 2023-1 Note on any Optional Repurchase Distribution Date,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with respect to such Series 2023-1 Note of the excess, if any, of (x) the sum of the Discounted Values for each Remaining Distribution Amount with respect to each Applicable Distribution Date over (y) the Series 2023-1 Invested Amount as of such Optional Repurchase Distribution Date (determined after giving effect to any payments made pursuant to Section 2.5(a) on such Distribution Date).</w:t>
      </w:r>
    </w:p>
    <w:p>
      <w:pPr>
        <w:spacing w:after="0" w:line="17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Market Value Average</w:t>
      </w:r>
      <w:r>
        <w:rPr>
          <w:rFonts w:ascii="Times New Roman" w:cs="Times New Roman" w:eastAsia="Times New Roman" w:hAnsi="Times New Roman"/>
          <w:sz w:val="21"/>
          <w:szCs w:val="21"/>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73"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Total Principal Allocation</w:t>
      </w:r>
      <w:r>
        <w:rPr>
          <w:rFonts w:ascii="Times New Roman" w:cs="Times New Roman" w:eastAsia="Times New Roman" w:hAnsi="Times New Roman"/>
          <w:sz w:val="22"/>
          <w:szCs w:val="22"/>
          <w:color w:val="auto"/>
        </w:rPr>
        <w:t>” means for any Related Month the sum of all Series 2023-1 Principal Allocations with respect to such Related Month.</w:t>
      </w:r>
    </w:p>
    <w:p>
      <w:pPr>
        <w:spacing w:after="0" w:line="14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 Excluded Manufacturer Amount</w:t>
      </w:r>
      <w:r>
        <w:rPr>
          <w:rFonts w:ascii="Times New Roman" w:cs="Times New Roman" w:eastAsia="Times New Roman" w:hAnsi="Times New Roman"/>
          <w:sz w:val="21"/>
          <w:szCs w:val="21"/>
          <w:color w:val="auto"/>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w:t>
      </w:r>
    </w:p>
    <w:p>
      <w:pPr>
        <w:spacing w:after="0" w:line="5" w:lineRule="exact"/>
        <w:rPr>
          <w:sz w:val="20"/>
          <w:szCs w:val="20"/>
          <w:color w:val="auto"/>
        </w:rPr>
      </w:pPr>
    </w:p>
    <w:p>
      <w:pPr>
        <w:jc w:val="both"/>
        <w:ind w:firstLine="8"/>
        <w:spacing w:after="0" w:line="252" w:lineRule="auto"/>
        <w:tabs>
          <w:tab w:leader="none" w:pos="36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spacing w:after="0" w:line="178"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Excluded Manufacturer Receivable Specified Percentage</w:t>
      </w:r>
      <w:r>
        <w:rPr>
          <w:rFonts w:ascii="Times New Roman" w:cs="Times New Roman" w:eastAsia="Times New Roman" w:hAnsi="Times New Roman"/>
          <w:sz w:val="22"/>
          <w:szCs w:val="22"/>
          <w:color w:val="auto"/>
        </w:rPr>
        <w:t>” means, as of any date of determination, with respect to each Moody’s Non-Investment Grade Manufacturer as</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bl>
    <w:p>
      <w:pPr>
        <w:sectPr>
          <w:pgSz w:w="11900" w:h="16838" w:orient="portrait"/>
          <w:cols w:equalWidth="0" w:num="1">
            <w:col w:w="11240"/>
          </w:cols>
          <w:pgMar w:left="320" w:top="1030" w:right="339" w:bottom="1440" w:gutter="0" w:footer="0" w:header="0"/>
        </w:sectPr>
      </w:pPr>
    </w:p>
    <w:bookmarkStart w:id="71" w:name="page72"/>
    <w:bookmarkEnd w:id="71"/>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of such date, the percentage (not to exceed 100%) most recently specified in writing by Moody’s to ABRCF and the Trustee and consented to by the Requisite Series 2023-1 Noteholders with respect to such Moody’s Non-Investment Grade Manufacturer;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as of the Class A/B/C Notes Closing Date the Moody’s Excluded Manufacturer Receivable Specified Percentage for each Moody’s Non-Investment Grade Manufacturer shall be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initial Moody’s Excluded Manufacturer Receivable Specified Percentage with respect to any Manufacturer that becomes a Moody’s Non-Investment Grade Manufacturer after the Class A/B/C Notes Closing Date shall be 100%.</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Non-Investment Grade Manufacturer</w:t>
      </w:r>
      <w:r>
        <w:rPr>
          <w:rFonts w:ascii="Times New Roman" w:cs="Times New Roman" w:eastAsia="Times New Roman" w:hAnsi="Times New Roman"/>
          <w:sz w:val="22"/>
          <w:szCs w:val="22"/>
          <w:color w:val="auto"/>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Turnback Vehicle Specified Percentage</w:t>
      </w:r>
      <w:r>
        <w:rPr>
          <w:rFonts w:ascii="Times New Roman" w:cs="Times New Roman" w:eastAsia="Times New Roman" w:hAnsi="Times New Roman"/>
          <w:sz w:val="22"/>
          <w:szCs w:val="22"/>
          <w:color w:val="auto"/>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following such downgrade.</w:t>
      </w:r>
    </w:p>
    <w:p>
      <w:pPr>
        <w:spacing w:after="0" w:line="1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w:t>
      </w:r>
      <w:r>
        <w:rPr>
          <w:rFonts w:ascii="Times New Roman" w:cs="Times New Roman" w:eastAsia="Times New Roman" w:hAnsi="Times New Roman"/>
          <w:sz w:val="22"/>
          <w:szCs w:val="22"/>
          <w:color w:val="auto"/>
        </w:rPr>
        <w:t xml:space="preserve">” means an irrevocable letter of credit, if any,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issued by a Series 2023-1 Eligible Letter of Credit Provider in favor of the Trustee for the benefit, in whole or in part, of the Series 2023-1 Noteholders (provided that a Multi-Series Letter of Credit may also benefit Noteholders of certain other Series).</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Expiration Date</w:t>
      </w:r>
      <w:r>
        <w:rPr>
          <w:rFonts w:ascii="Times New Roman" w:cs="Times New Roman" w:eastAsia="Times New Roman" w:hAnsi="Times New Roman"/>
          <w:sz w:val="22"/>
          <w:szCs w:val="22"/>
          <w:color w:val="auto"/>
        </w:rPr>
        <w:t>” means, with respect to any Multi-Series Letter of Credit, the expiration date set forth in such Multi-Series Letter of Credit, as such date may be extended in accordance with the terms of such Multi-Series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ectPr>
          <w:pgSz w:w="11900" w:h="16838" w:orient="portrait"/>
          <w:cols w:equalWidth="0" w:num="1">
            <w:col w:w="11240"/>
          </w:cols>
          <w:pgMar w:left="320" w:top="1030" w:right="339"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Provider</w:t>
      </w:r>
      <w:r>
        <w:rPr>
          <w:rFonts w:ascii="Times New Roman" w:cs="Times New Roman" w:eastAsia="Times New Roman" w:hAnsi="Times New Roman"/>
          <w:sz w:val="22"/>
          <w:szCs w:val="22"/>
          <w:color w:val="auto"/>
        </w:rPr>
        <w:t>” means any issuer of any Multi-Series Letter of Credit.</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Termination Date</w:t>
      </w:r>
      <w:r>
        <w:rPr>
          <w:rFonts w:ascii="Times New Roman" w:cs="Times New Roman" w:eastAsia="Times New Roman" w:hAnsi="Times New Roman"/>
          <w:sz w:val="22"/>
          <w:szCs w:val="22"/>
          <w:color w:val="auto"/>
        </w:rPr>
        <w:t>” means the first to occur of (a) the date on which the Series 2023-1 Notes are fully paid and (b) the Series 2023-1 Termination Date.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Delivery Condition</w:t>
      </w:r>
      <w:r>
        <w:rPr>
          <w:rFonts w:ascii="Times New Roman" w:cs="Times New Roman" w:eastAsia="Times New Roman" w:hAnsi="Times New Roman"/>
          <w:sz w:val="22"/>
          <w:szCs w:val="22"/>
          <w:color w:val="auto"/>
        </w:rPr>
        <w:t>” means a condition that shall be satisfied if, on or prior to the Offering Memorandum Related Date, ABRCF delivers to BofA Securities, Inc. an agreed-upon undated preliminary offering memorandum in customary form consistent with ABRCF’s past Notes offerings for the offering of Notes by ABRCF that provides for the offering and sale of the Class D Notes and contains information, including the applicable financial and statistical information, as of a date reasonably recent to the Offering Memorandum Related Date.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Related Date</w:t>
      </w:r>
      <w:r>
        <w:rPr>
          <w:rFonts w:ascii="Times New Roman" w:cs="Times New Roman" w:eastAsia="Times New Roman" w:hAnsi="Times New Roman"/>
          <w:sz w:val="22"/>
          <w:szCs w:val="22"/>
          <w:color w:val="auto"/>
        </w:rPr>
        <w:t>” means, solely if the Offering Memorandum Delivery Condition is not satisfied, the date which is six weeks following the Class D Notes Closing Date (or such longer period as mutually agreed upon among ABRCF, ABCR and BofA Securities, Inc.).</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 Distribution Date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is defined in Section 2.2(g).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B Note</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C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D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R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Series 2023-1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Pre-Preference Period Demand Note Payments</w:t>
      </w:r>
      <w:r>
        <w:rPr>
          <w:rFonts w:ascii="Times New Roman" w:cs="Times New Roman" w:eastAsia="Times New Roman" w:hAnsi="Times New Roman"/>
          <w:sz w:val="22"/>
          <w:szCs w:val="22"/>
          <w:color w:val="auto"/>
        </w:rPr>
        <w:t xml:space="preserve">” means, as of any date of determination, the aggregate amount of all proceeds of demands made on the Series 2023-1 Demand Notes included in the Series 2023-1 Demand Note Payment Amount as of the Multi-Series Letter of Credit Termination Date that were paid by the Demand Note Issuers more than one year before such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ectPr>
          <w:pgSz w:w="11900" w:h="16838" w:orient="portrait"/>
          <w:cols w:equalWidth="0" w:num="1">
            <w:col w:w="11240"/>
          </w:cols>
          <w:pgMar w:left="320" w:top="1030" w:right="339" w:bottom="1440" w:gutter="0" w:footer="0" w:header="0"/>
        </w:sectPr>
      </w:pPr>
    </w:p>
    <w:bookmarkStart w:id="73" w:name="page74"/>
    <w:bookmarkEnd w:id="73"/>
    <w:p>
      <w:pPr>
        <w:jc w:val="both"/>
        <w:spacing w:after="0" w:line="250" w:lineRule="auto"/>
        <w:rPr>
          <w:sz w:val="20"/>
          <w:szCs w:val="20"/>
          <w:color w:val="auto"/>
        </w:rPr>
      </w:pPr>
      <w:r>
        <w:rPr>
          <w:rFonts w:ascii="Times New Roman" w:cs="Times New Roman" w:eastAsia="Times New Roman" w:hAnsi="Times New Roman"/>
          <w:sz w:val="22"/>
          <w:szCs w:val="22"/>
          <w:color w:val="auto"/>
        </w:rPr>
        <w:t>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2023-1 Demand Note Payment Amount as of the date of the conclusion or dismissal of such proceedings.</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Yield</w:t>
      </w:r>
      <w:r>
        <w:rPr>
          <w:rFonts w:ascii="Times New Roman" w:cs="Times New Roman" w:eastAsia="Times New Roman" w:hAnsi="Times New Roman"/>
          <w:sz w:val="22"/>
          <w:szCs w:val="22"/>
          <w:color w:val="auto"/>
        </w:rPr>
        <w:t>” means, with respect to any Remaining Distribution Amount, the sum of (i) 0.25% and (ii) the greater of (x) 0% and (y) the U.S. Treasury Rate with respect to such Remaining Distribution Amount.</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Distribution Amount</w:t>
      </w:r>
      <w:r>
        <w:rPr>
          <w:rFonts w:ascii="Times New Roman" w:cs="Times New Roman" w:eastAsia="Times New Roman" w:hAnsi="Times New Roman"/>
          <w:sz w:val="22"/>
          <w:szCs w:val="22"/>
          <w:color w:val="auto"/>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November 2027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November 2027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November 2027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November 2027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Controlling Class Series 2023-1 Noteholders</w:t>
      </w:r>
      <w:r>
        <w:rPr>
          <w:rFonts w:ascii="Times New Roman" w:cs="Times New Roman" w:eastAsia="Times New Roman" w:hAnsi="Times New Roman"/>
          <w:sz w:val="22"/>
          <w:szCs w:val="22"/>
          <w:color w:val="auto"/>
        </w:rPr>
        <w:t>” means (i) for so long as any Class A Notes are outstanding, Class A Noteholders holding more than 50% of the Class A</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ectPr>
          <w:pgSz w:w="11900" w:h="16838" w:orient="portrait"/>
          <w:cols w:equalWidth="0" w:num="1">
            <w:col w:w="11240"/>
          </w:cols>
          <w:pgMar w:left="320" w:top="1030" w:right="339" w:bottom="1440" w:gutter="0" w:footer="0" w:header="0"/>
        </w:sectPr>
      </w:pPr>
    </w:p>
    <w:bookmarkStart w:id="74" w:name="page75"/>
    <w:bookmarkEnd w:id="74"/>
    <w:p>
      <w:pPr>
        <w:jc w:val="both"/>
        <w:spacing w:after="0" w:line="250" w:lineRule="auto"/>
        <w:rPr>
          <w:sz w:val="20"/>
          <w:szCs w:val="20"/>
          <w:color w:val="auto"/>
        </w:rPr>
      </w:pPr>
      <w:r>
        <w:rPr>
          <w:rFonts w:ascii="Times New Roman" w:cs="Times New Roman" w:eastAsia="Times New Roman" w:hAnsi="Times New Roman"/>
          <w:sz w:val="22"/>
          <w:szCs w:val="22"/>
          <w:color w:val="auto"/>
        </w:rPr>
        <w:t>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2023-1 Notes held by ABCR or any Affiliate of ABCR unless ABCR or such Affiliate is the sole Series 2023-1 Noteholder) and (v) if no Class A Notes, Class B Notes, Class C Notes or Class D Notes are outstanding, Class R Noteholders holding more than 50% Class R Invested Amount (excluding, for the purpose of making any of the foregoing calculations, any Series 2023-1 Notes held by ABCR or any Affiliate of ABCR unless ABCR or such Affiliate is the sole Series 2023-1 Noteholder).</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Series 2023-1 Noteholders</w:t>
      </w:r>
      <w:r>
        <w:rPr>
          <w:rFonts w:ascii="Times New Roman" w:cs="Times New Roman" w:eastAsia="Times New Roman" w:hAnsi="Times New Roman"/>
          <w:sz w:val="22"/>
          <w:szCs w:val="22"/>
          <w:color w:val="auto"/>
        </w:rPr>
        <w:t>” means Series 2023-1 Noteholders holding, in the aggregate, more than 50% of the Series 2023-1 Invested Amount (excluding, for the purpose of making the foregoing calculation (x) for all purposes, any Series 2023-1 Notes held by ABCR or any Affiliate of ABCR unless ABCR or such Affiliate is the sole Series 2023-1 Noteholder and (y) for so long as any Class A Notes, the Class B Notes, or the Class C Notes are outstanding, any Class D Notes).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A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B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C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D Note</w:t>
      </w:r>
      <w:r>
        <w:rPr>
          <w:rFonts w:ascii="Times New Roman" w:cs="Times New Roman" w:eastAsia="Times New Roman" w:hAnsi="Times New Roman"/>
          <w:sz w:val="22"/>
          <w:szCs w:val="22"/>
          <w:color w:val="auto"/>
        </w:rPr>
        <w:t>” is defined in Section 4.1.</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R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Series 2023-1 Notes</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Selected Fleet Market Value</w:t>
      </w:r>
      <w:r>
        <w:rPr>
          <w:rFonts w:ascii="Times New Roman" w:cs="Times New Roman" w:eastAsia="Times New Roman" w:hAnsi="Times New Roman"/>
          <w:sz w:val="22"/>
          <w:szCs w:val="22"/>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NADA Guide is not being published or the NADA Guide is being published but such Vehicle is not included therein, the Market Value of such Vehicle shall be based on the market value specified in the most recently published Finance Guide for the model</w:t>
      </w:r>
    </w:p>
    <w:p>
      <w:pPr>
        <w:spacing w:after="0" w:line="200" w:lineRule="exact"/>
        <w:rPr>
          <w:sz w:val="20"/>
          <w:szCs w:val="20"/>
          <w:color w:val="auto"/>
        </w:rPr>
      </w:pP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bl>
    <w:p>
      <w:pPr>
        <w:sectPr>
          <w:pgSz w:w="11900" w:h="16838" w:orient="portrait"/>
          <w:cols w:equalWidth="0" w:num="1">
            <w:col w:w="11240"/>
          </w:cols>
          <w:pgMar w:left="320" w:top="1030" w:right="339" w:bottom="1440" w:gutter="0" w:footer="0" w:header="0"/>
        </w:sectPr>
      </w:pPr>
    </w:p>
    <w:bookmarkStart w:id="75" w:name="page76"/>
    <w:bookmarkEnd w:id="75"/>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class and model year of such Vehicle based on the average equipment and the average mileage of each Vehicle of such model class and model year then leased under the AESOP I Operating Lease or the Finance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2010-6 Notes</w:t>
      </w:r>
      <w:r>
        <w:rPr>
          <w:rFonts w:ascii="Times New Roman" w:cs="Times New Roman" w:eastAsia="Times New Roman" w:hAnsi="Times New Roman"/>
          <w:sz w:val="22"/>
          <w:szCs w:val="22"/>
          <w:color w:val="auto"/>
        </w:rPr>
        <w:t>” means the Series of Notes designated as the Series 2010-6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2011-4 Notes</w:t>
      </w:r>
      <w:r>
        <w:rPr>
          <w:rFonts w:ascii="Times New Roman" w:cs="Times New Roman" w:eastAsia="Times New Roman" w:hAnsi="Times New Roman"/>
          <w:sz w:val="22"/>
          <w:szCs w:val="22"/>
          <w:color w:val="auto"/>
        </w:rPr>
        <w:t>” means the Series of Notes designated as the Series 2011-4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2015-3 Notes</w:t>
      </w:r>
      <w:r>
        <w:rPr>
          <w:rFonts w:ascii="Times New Roman" w:cs="Times New Roman" w:eastAsia="Times New Roman" w:hAnsi="Times New Roman"/>
          <w:sz w:val="22"/>
          <w:szCs w:val="22"/>
          <w:color w:val="auto"/>
        </w:rPr>
        <w:t>” means the Series of Notes designated as the Series 2015-3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2020-1 Notes</w:t>
      </w:r>
      <w:r>
        <w:rPr>
          <w:rFonts w:ascii="Times New Roman" w:cs="Times New Roman" w:eastAsia="Times New Roman" w:hAnsi="Times New Roman"/>
          <w:sz w:val="22"/>
          <w:szCs w:val="22"/>
          <w:color w:val="auto"/>
        </w:rPr>
        <w:t>” means the Series of Notes designated as the Series 2020-1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2020-2 Notes</w:t>
      </w:r>
      <w:r>
        <w:rPr>
          <w:rFonts w:ascii="Times New Roman" w:cs="Times New Roman" w:eastAsia="Times New Roman" w:hAnsi="Times New Roman"/>
          <w:sz w:val="22"/>
          <w:szCs w:val="22"/>
          <w:color w:val="auto"/>
        </w:rPr>
        <w:t>” means the Series of Notes designated as the Series 2020-2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2021-1 Notes</w:t>
      </w:r>
      <w:r>
        <w:rPr>
          <w:rFonts w:ascii="Times New Roman" w:cs="Times New Roman" w:eastAsia="Times New Roman" w:hAnsi="Times New Roman"/>
          <w:sz w:val="22"/>
          <w:szCs w:val="22"/>
          <w:color w:val="auto"/>
        </w:rPr>
        <w:t>” means the Series of Notes designated as the Series 2021-1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2021-2 Notes</w:t>
      </w:r>
      <w:r>
        <w:rPr>
          <w:rFonts w:ascii="Times New Roman" w:cs="Times New Roman" w:eastAsia="Times New Roman" w:hAnsi="Times New Roman"/>
          <w:sz w:val="22"/>
          <w:szCs w:val="22"/>
          <w:color w:val="auto"/>
        </w:rPr>
        <w:t>” means the Series of Notes designated as the Series 2021-2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2022-1 Notes</w:t>
      </w:r>
      <w:r>
        <w:rPr>
          <w:rFonts w:ascii="Times New Roman" w:cs="Times New Roman" w:eastAsia="Times New Roman" w:hAnsi="Times New Roman"/>
          <w:sz w:val="22"/>
          <w:szCs w:val="22"/>
          <w:color w:val="auto"/>
        </w:rPr>
        <w:t>” means the Series of Notes designated as the Series 2022-1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2022-3 Notes</w:t>
      </w:r>
      <w:r>
        <w:rPr>
          <w:rFonts w:ascii="Times New Roman" w:cs="Times New Roman" w:eastAsia="Times New Roman" w:hAnsi="Times New Roman"/>
          <w:sz w:val="22"/>
          <w:szCs w:val="22"/>
          <w:color w:val="auto"/>
        </w:rPr>
        <w:t>” means the Series of Notes designated as the Series 2022-3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2022-4 Notes</w:t>
      </w:r>
      <w:r>
        <w:rPr>
          <w:rFonts w:ascii="Times New Roman" w:cs="Times New Roman" w:eastAsia="Times New Roman" w:hAnsi="Times New Roman"/>
          <w:sz w:val="22"/>
          <w:szCs w:val="22"/>
          <w:color w:val="auto"/>
        </w:rPr>
        <w:t>” means the Series of Notes designated as the Series 2022-4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ectPr>
          <w:pgSz w:w="11900" w:h="16838" w:orient="portrait"/>
          <w:cols w:equalWidth="0" w:num="1">
            <w:col w:w="11240"/>
          </w:cols>
          <w:pgMar w:left="320" w:top="1030" w:right="339" w:bottom="1440" w:gutter="0" w:footer="0" w:header="0"/>
        </w:sectPr>
      </w:pPr>
    </w:p>
    <w:bookmarkStart w:id="76" w:name="page77"/>
    <w:bookmarkEnd w:id="7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Notes</w:t>
      </w:r>
      <w:r>
        <w:rPr>
          <w:rFonts w:ascii="Times New Roman" w:cs="Times New Roman" w:eastAsia="Times New Roman" w:hAnsi="Times New Roman"/>
          <w:sz w:val="22"/>
          <w:szCs w:val="22"/>
          <w:color w:val="auto"/>
        </w:rPr>
        <w:t>” means the Series of Notes designated as the Series 2022-5 Notes.</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Accounts</w:t>
      </w:r>
      <w:r>
        <w:rPr>
          <w:rFonts w:ascii="Times New Roman" w:cs="Times New Roman" w:eastAsia="Times New Roman" w:hAnsi="Times New Roman"/>
          <w:sz w:val="22"/>
          <w:szCs w:val="22"/>
          <w:color w:val="auto"/>
        </w:rPr>
        <w:t>” means each of the Series 2023-1 Distribution Account, the Class A/B/C Reserve Account, the Class D Reserve Account, the Series 2023-1 Collection Account, the Series 2023-1 Excess Collection Account and the Series 2023-1 Accrued Interest Account.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Accrued Interest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AESOP I Operating Lease Loan Agreement Borrowing Base</w:t>
      </w:r>
      <w:r>
        <w:rPr>
          <w:rFonts w:ascii="Times New Roman" w:cs="Times New Roman" w:eastAsia="Times New Roman" w:hAnsi="Times New Roman"/>
          <w:sz w:val="22"/>
          <w:szCs w:val="22"/>
          <w:color w:val="auto"/>
        </w:rPr>
        <w:t xml:space="preserve">” means, as of any date of determination, the product of (a) the Series 2023-1 AESOP I Operating Lease Vehicle Percentage as of such date and (b) the excess of (i) the AESOP I Operating Lease Loan Agreement Borrowing Base as of such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Moody’s Excluded Manufacturer Amount as of such date.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AESOP I Operating Lease Vehicle Percentage</w:t>
      </w:r>
      <w:r>
        <w:rPr>
          <w:rFonts w:ascii="Times New Roman" w:cs="Times New Roman" w:eastAsia="Times New Roman" w:hAnsi="Times New Roman"/>
          <w:sz w:val="22"/>
          <w:szCs w:val="22"/>
          <w:color w:val="auto"/>
        </w:rPr>
        <w:t>” means, as of any date of determination, a fraction, expressed as a percentage (which percentage shall never exceed 100%), the numerator of which is the Series 2023-1 Required AESOP I Operating Lease Vehicle Amount as of such date and the denominator of which is the sum of the Required AESOP I Operating Lease Vehicle Amounts for all Series of Notes as of such date.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Agent</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Allocated Cash Amount</w:t>
      </w:r>
      <w:r>
        <w:rPr>
          <w:rFonts w:ascii="Times New Roman" w:cs="Times New Roman" w:eastAsia="Times New Roman" w:hAnsi="Times New Roman"/>
          <w:sz w:val="22"/>
          <w:szCs w:val="22"/>
          <w:color w:val="auto"/>
        </w:rPr>
        <w:t>” means, as of any date of determination, an amount equal to (x) all cash on deposit in the Collection Account as of such date times (y) the Series 2023-1 Invested Percentage (calculated with respect to Principal Collections) as of such date.</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Cash Collateral Accounts</w:t>
      </w:r>
      <w:r>
        <w:rPr>
          <w:rFonts w:ascii="Times New Roman" w:cs="Times New Roman" w:eastAsia="Times New Roman" w:hAnsi="Times New Roman"/>
          <w:sz w:val="22"/>
          <w:szCs w:val="22"/>
          <w:color w:val="auto"/>
        </w:rPr>
        <w:t>” means, together, the Class A/B/C Cash Collateral Account and the Class D Cash Collateral Account.</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Collateral</w:t>
      </w:r>
      <w:r>
        <w:rPr>
          <w:rFonts w:ascii="Times New Roman" w:cs="Times New Roman" w:eastAsia="Times New Roman" w:hAnsi="Times New Roman"/>
          <w:sz w:val="22"/>
          <w:szCs w:val="22"/>
          <w:color w:val="auto"/>
        </w:rPr>
        <w:t>” means the Collateral, the Multi-Series Letters of Credit, each Series 2023-1 Demand Note, the Series 2023-1 Distribution Account Collateral, the Class A/B/C Cash Collateral Account Collateral, the Class D Cash Collateral Account Collateral, the Class A/B/C Reserve Account Collateral and the Class D Reserve Account Collateral.</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Collection Account</w:t>
      </w:r>
      <w:r>
        <w:rPr>
          <w:rFonts w:ascii="Times New Roman" w:cs="Times New Roman" w:eastAsia="Times New Roman" w:hAnsi="Times New Roman"/>
          <w:sz w:val="22"/>
          <w:szCs w:val="22"/>
          <w:color w:val="auto"/>
        </w:rPr>
        <w:t>” is defined in Section 2.1(b).</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Controlled Amortization Period</w:t>
      </w:r>
      <w:r>
        <w:rPr>
          <w:rFonts w:ascii="Times New Roman" w:cs="Times New Roman" w:eastAsia="Times New Roman" w:hAnsi="Times New Roman"/>
          <w:sz w:val="22"/>
          <w:szCs w:val="22"/>
          <w:color w:val="auto"/>
        </w:rPr>
        <w:t>” means the period commencing upon the close of business on September 30, 2027 (or, if such day is not a Business Day, the Business Day immediately preceding such day) and continuing to the earliest of (i) the commencement of the Series 2023-1 Rapid Amortization Period, (ii) the date on which the Series 2023-1 Notes are fully paid and (iii) the termination of the Indenture.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Demand Note</w:t>
      </w:r>
      <w:r>
        <w:rPr>
          <w:rFonts w:ascii="Times New Roman" w:cs="Times New Roman" w:eastAsia="Times New Roman" w:hAnsi="Times New Roman"/>
          <w:sz w:val="22"/>
          <w:szCs w:val="22"/>
          <w:color w:val="auto"/>
        </w:rPr>
        <w:t xml:space="preserve">” means each demand note made by a Demand Note Issuer,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as amended, modified or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ectPr>
          <w:pgSz w:w="11900" w:h="16838" w:orient="portrait"/>
          <w:cols w:equalWidth="0" w:num="1">
            <w:col w:w="11240"/>
          </w:cols>
          <w:pgMar w:left="320" w:top="1030" w:right="339" w:bottom="1440" w:gutter="0" w:footer="0" w:header="0"/>
        </w:sectPr>
      </w:pPr>
    </w:p>
    <w:bookmarkStart w:id="77" w:name="page78"/>
    <w:bookmarkEnd w:id="77"/>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Demand Note Payment Amount</w:t>
      </w:r>
      <w:r>
        <w:rPr>
          <w:rFonts w:ascii="Times New Roman" w:cs="Times New Roman" w:eastAsia="Times New Roman" w:hAnsi="Times New Roman"/>
          <w:sz w:val="22"/>
          <w:szCs w:val="22"/>
          <w:color w:val="auto"/>
        </w:rPr>
        <w:t xml:space="preserve">” means, as of the Multi-Series Letter of Credit Termination Date, the aggregate amount of all proceeds of demands made on the Series 2023-1 Demand Notes pursuant to Section 2.5(c)(i), (d)(i) or (e)(i) that were deposited into the Series 2023-1 Distribution Account and paid to the Series 2023-1 Noteholders during the one year period ending on the Multi-Series Letter of Credit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2023-1 Demand Note Payment Amount as of the Multi-Series Letter of Credit Termination Date shall equal the Series 2023-1 Demand Note Payment Amount as if it were calculated as of the date of such occurrence.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Deposit Date</w:t>
      </w:r>
      <w:r>
        <w:rPr>
          <w:rFonts w:ascii="Times New Roman" w:cs="Times New Roman" w:eastAsia="Times New Roman" w:hAnsi="Times New Roman"/>
          <w:sz w:val="22"/>
          <w:szCs w:val="22"/>
          <w:color w:val="auto"/>
        </w:rPr>
        <w:t>” is defined in Section 2.2.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Distribution Account</w:t>
      </w:r>
      <w:r>
        <w:rPr>
          <w:rFonts w:ascii="Times New Roman" w:cs="Times New Roman" w:eastAsia="Times New Roman" w:hAnsi="Times New Roman"/>
          <w:sz w:val="22"/>
          <w:szCs w:val="22"/>
          <w:color w:val="auto"/>
        </w:rPr>
        <w:t>” is defined in Section 2.9(a).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Distribution Account Collateral</w:t>
      </w:r>
      <w:r>
        <w:rPr>
          <w:rFonts w:ascii="Times New Roman" w:cs="Times New Roman" w:eastAsia="Times New Roman" w:hAnsi="Times New Roman"/>
          <w:sz w:val="22"/>
          <w:szCs w:val="22"/>
          <w:color w:val="auto"/>
        </w:rPr>
        <w:t>” is defined in Section 2.9(d).</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2023-1 Eligible Letter of Credit Provider</w:t>
      </w:r>
      <w:r>
        <w:rPr>
          <w:rFonts w:ascii="Times New Roman" w:cs="Times New Roman" w:eastAsia="Times New Roman" w:hAnsi="Times New Roman"/>
          <w:sz w:val="21"/>
          <w:szCs w:val="21"/>
          <w:color w:val="auto"/>
        </w:rPr>
        <w:t xml:space="preserve">” 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Person is not a Multi-Series Letter of Credit Provider (or a letter of credit provider under the Series Supplement for any other Series of Notes), then such Person shall not be a Series 2023-1 Eligible Letter of Credit Provider until ABRCF has provided ten (10) days’ prior notice to the Rating Agencies that such Person has been proposed as a Multi-Series Letter of Credit Provider.</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Enhancement</w:t>
      </w:r>
      <w:r>
        <w:rPr>
          <w:rFonts w:ascii="Times New Roman" w:cs="Times New Roman" w:eastAsia="Times New Roman" w:hAnsi="Times New Roman"/>
          <w:sz w:val="22"/>
          <w:szCs w:val="22"/>
          <w:color w:val="auto"/>
        </w:rPr>
        <w:t>” means the Class A/B/C Cash Collateral Account Collateral, the Class D Cash Collateral Account Collateral, the Multi-Series Letters of Credit, the Series 2023-1 Demand Notes, the Class D Overcollateralization Amount and the Class A/B/C Required Reserve Account Amount.</w:t>
      </w:r>
    </w:p>
    <w:p>
      <w:pPr>
        <w:spacing w:after="0" w:line="18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Enhancement Deficiency</w:t>
      </w:r>
      <w:r>
        <w:rPr>
          <w:rFonts w:ascii="Times New Roman" w:cs="Times New Roman" w:eastAsia="Times New Roman" w:hAnsi="Times New Roman"/>
          <w:sz w:val="22"/>
          <w:szCs w:val="22"/>
          <w:color w:val="auto"/>
        </w:rPr>
        <w:t>” means a Class A/B/C Enhancement Deficiency or a Class D Enhancement Deficiency.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Excess Collection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Excess Tesla Percentage</w:t>
      </w:r>
      <w:r>
        <w:rPr>
          <w:rFonts w:ascii="Times New Roman" w:cs="Times New Roman" w:eastAsia="Times New Roman" w:hAnsi="Times New Roman"/>
          <w:sz w:val="22"/>
          <w:szCs w:val="22"/>
          <w:color w:val="auto"/>
        </w:rPr>
        <w:t>” means, as of any date of determination, the greater of (1) zero and (2) the percentage equal to (x) a fraction (expressed as a percentage) equal to the aggregate Net Book Value of all Vehicles manufactured by Tesla and leased under the Leases divided by the aggregate Net Book Value of all Vehicles leased under the Leases minus (y) 15 percentage points.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Expected Final Distribution Date</w:t>
      </w:r>
      <w:r>
        <w:rPr>
          <w:rFonts w:ascii="Times New Roman" w:cs="Times New Roman" w:eastAsia="Times New Roman" w:hAnsi="Times New Roman"/>
          <w:sz w:val="22"/>
          <w:szCs w:val="22"/>
          <w:color w:val="auto"/>
        </w:rPr>
        <w:t>” means the April 2028 Distribution Date.</w:t>
      </w: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ectPr>
          <w:pgSz w:w="11900" w:h="16838" w:orient="portrait"/>
          <w:cols w:equalWidth="0" w:num="1">
            <w:col w:w="11240"/>
          </w:cols>
          <w:pgMar w:left="320" w:top="1030" w:right="339" w:bottom="1440" w:gutter="0" w:footer="0" w:header="0"/>
        </w:sectPr>
      </w:pPr>
    </w:p>
    <w:bookmarkStart w:id="78" w:name="page79"/>
    <w:bookmarkEnd w:id="7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Final Distribution Date</w:t>
      </w:r>
      <w:r>
        <w:rPr>
          <w:rFonts w:ascii="Times New Roman" w:cs="Times New Roman" w:eastAsia="Times New Roman" w:hAnsi="Times New Roman"/>
          <w:sz w:val="22"/>
          <w:szCs w:val="22"/>
          <w:color w:val="auto"/>
        </w:rPr>
        <w:t>” means the April 2029 Distribution Date.</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Interest Period</w:t>
      </w:r>
      <w:r>
        <w:rPr>
          <w:rFonts w:ascii="Times New Roman" w:cs="Times New Roman" w:eastAsia="Times New Roman" w:hAnsi="Times New Roman"/>
          <w:sz w:val="22"/>
          <w:szCs w:val="22"/>
          <w:color w:val="auto"/>
        </w:rPr>
        <w:t xml:space="preserve">” means a period commencing on and including a Distribution Date and ending on and including the day preceding the next succeeding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(x) the initial Series 2023-1 Interest Period with respect to the Class A Notes, the Class B Notes and the Class C Notes commenced on and included the Class A/B/C Notes Closing Date and ended on and included February 20, 2023, (y) the initial Series 2023-1 Interest Period with respect to the Class D Notes following the Class D Notes Closing Date commenced on and included the Class D Notes Closing Date and ended on and included March 19, 2025 and (z) the initial Series 2023-1 Interest Period with respect to the Class D Notes following the Class D Notes Sale Date shall commence on and include the Class D Notes Sale Date and shall end on and include May 19, 2025.</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Invested Percentage</w:t>
      </w:r>
      <w:r>
        <w:rPr>
          <w:rFonts w:ascii="Times New Roman" w:cs="Times New Roman" w:eastAsia="Times New Roman" w:hAnsi="Times New Roman"/>
          <w:sz w:val="22"/>
          <w:szCs w:val="22"/>
          <w:color w:val="auto"/>
        </w:rPr>
        <w:t>” means, as of any date of determination:</w:t>
      </w:r>
    </w:p>
    <w:p>
      <w:pPr>
        <w:spacing w:after="0" w:line="233" w:lineRule="exact"/>
        <w:rPr>
          <w:sz w:val="20"/>
          <w:szCs w:val="20"/>
          <w:color w:val="auto"/>
        </w:rPr>
      </w:pPr>
    </w:p>
    <w:p>
      <w:pPr>
        <w:jc w:val="both"/>
        <w:ind w:firstLine="1304"/>
        <w:spacing w:after="0" w:line="247" w:lineRule="auto"/>
        <w:tabs>
          <w:tab w:leader="none" w:pos="163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2023-1 Invested Amount and the Class D Overcollateralization Amount, determined during the Series 2023-1 Revolving Period as of the end of the Related Month (or, until the end of the Related Month during which the Class D Notes Closing Date occurs, on the Class D Notes Closing Date), or, during the Series 2023-1 Controlled Amortization Period and the Series 2023-1 Rapid Amortization Period, as of the end of the Series 2023-1 Revolving Period, and the denominator of which shall be the greater of (I) the Aggregate Asset Amount as of the end of the Related Month or, until the end of the initial Related Month, as 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204" w:lineRule="exact"/>
        <w:rPr>
          <w:rFonts w:ascii="Times New Roman" w:cs="Times New Roman" w:eastAsia="Times New Roman" w:hAnsi="Times New Roman"/>
          <w:sz w:val="22"/>
          <w:szCs w:val="22"/>
          <w:color w:val="auto"/>
        </w:rPr>
      </w:pPr>
    </w:p>
    <w:p>
      <w:pPr>
        <w:jc w:val="both"/>
        <w:ind w:firstLine="1304"/>
        <w:spacing w:after="0" w:line="265" w:lineRule="auto"/>
        <w:tabs>
          <w:tab w:leader="none" w:pos="1604"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used with respect to Interest Collections, the percentage equivalent (which percentage shall never exceed 100%) of a fraction, the numerator of which shall be the Accrued Amounts with respect to the Series 2023-1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2023-1 Notes.</w:t>
      </w:r>
    </w:p>
    <w:p>
      <w:pPr>
        <w:spacing w:after="0" w:line="16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Lease Interest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Interest Collections which pursuant to Section 2.2(a), (b), (c) or (d) would have been allocated to the Series 2023-1 Accrued Interest Account if all payments of Monthly Base Rent required to have been made under the Leases from and excluding the preceding Distribution Date to and including</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bl>
    <w:p>
      <w:pPr>
        <w:sectPr>
          <w:pgSz w:w="11900" w:h="16838" w:orient="portrait"/>
          <w:cols w:equalWidth="0" w:num="1">
            <w:col w:w="11240"/>
          </w:cols>
          <w:pgMar w:left="320" w:top="1030" w:right="339" w:bottom="1440" w:gutter="0" w:footer="0" w:header="0"/>
        </w:sectPr>
      </w:pPr>
    </w:p>
    <w:bookmarkStart w:id="79" w:name="page80"/>
    <w:bookmarkEnd w:id="79"/>
    <w:p>
      <w:pPr>
        <w:jc w:val="both"/>
        <w:spacing w:after="0" w:line="253" w:lineRule="auto"/>
        <w:rPr>
          <w:sz w:val="20"/>
          <w:szCs w:val="20"/>
          <w:color w:val="auto"/>
        </w:rPr>
      </w:pPr>
      <w:r>
        <w:rPr>
          <w:rFonts w:ascii="Times New Roman" w:cs="Times New Roman" w:eastAsia="Times New Roman" w:hAnsi="Times New Roman"/>
          <w:sz w:val="22"/>
          <w:szCs w:val="22"/>
          <w:color w:val="auto"/>
        </w:rPr>
        <w:t>such Distribution Date were made in full over (b) the aggregate amount of Interest Collections which pursuant to Section 2.2(a), (b), (c) or (d) have been allocated to the Series 2023-1 Accrued Interest Account (excluding any amounts paid into the Series 2023-1 Accrued Interest Account pursuant to the proviso in Sections 2.2(c)(ii) and/or 2.2(d)(ii)) from and excluding the preceding Distribution Date to and including the Business Day immediately preceding such Distribution Date over (2) the Class R Monthly Interest with respect to the Series 2023-1 Interest Period ended on the day preceding such Distribution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Lease Payment Deficit</w:t>
      </w:r>
      <w:r>
        <w:rPr>
          <w:rFonts w:ascii="Times New Roman" w:cs="Times New Roman" w:eastAsia="Times New Roman" w:hAnsi="Times New Roman"/>
          <w:sz w:val="22"/>
          <w:szCs w:val="22"/>
          <w:color w:val="auto"/>
        </w:rPr>
        <w:t>” means either a Series 2023-1 Lease Interest Payment Deficit or a Series 2023-1 Lease Principal Payment Deficit.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Lease Principal Payment Carryover Deficit</w:t>
      </w:r>
      <w:r>
        <w:rPr>
          <w:rFonts w:ascii="Times New Roman" w:cs="Times New Roman" w:eastAsia="Times New Roman" w:hAnsi="Times New Roman"/>
          <w:sz w:val="22"/>
          <w:szCs w:val="22"/>
          <w:color w:val="auto"/>
        </w:rPr>
        <w:t>” means (a) for the initial Distribution Date, zero and</w:t>
      </w:r>
    </w:p>
    <w:p>
      <w:pPr>
        <w:spacing w:after="0" w:line="28" w:lineRule="exact"/>
        <w:rPr>
          <w:sz w:val="20"/>
          <w:szCs w:val="20"/>
          <w:color w:val="auto"/>
        </w:rPr>
      </w:pPr>
    </w:p>
    <w:p>
      <w:pPr>
        <w:jc w:val="both"/>
        <w:ind w:firstLine="8"/>
        <w:spacing w:after="0" w:line="245" w:lineRule="auto"/>
        <w:tabs>
          <w:tab w:leader="none" w:pos="31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other Distribution Date, the excess of (x) the Series 2023-1 Lease Principal Payment Deficit, if any, on the preceding Distribution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the amount deposited in the Distribution Account on such preceding Distribution Date pursuant to Section 2.5(b) on account of such Series 2023-1 Lease Principal Payment Deficit.</w:t>
      </w:r>
    </w:p>
    <w:p>
      <w:pPr>
        <w:spacing w:after="0" w:line="18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Lease Principal Payment Deficit</w:t>
      </w:r>
      <w:r>
        <w:rPr>
          <w:rFonts w:ascii="Times New Roman" w:cs="Times New Roman" w:eastAsia="Times New Roman" w:hAnsi="Times New Roman"/>
          <w:sz w:val="22"/>
          <w:szCs w:val="22"/>
          <w:color w:val="auto"/>
        </w:rPr>
        <w:t>” means on any Distribution Date, the sum of (a) the Series 2023-1 Monthly Lease Principal Payment Deficit for such Distribution Date and (b) the Series 2023-1 Lease Principal Payment Carryover Deficit for such Distribution Date.</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Limited Liquidation Event of Default</w:t>
      </w:r>
      <w:r>
        <w:rPr>
          <w:rFonts w:ascii="Times New Roman" w:cs="Times New Roman" w:eastAsia="Times New Roman" w:hAnsi="Times New Roman"/>
          <w:sz w:val="22"/>
          <w:szCs w:val="22"/>
          <w:color w:val="auto"/>
        </w:rPr>
        <w:t xml:space="preserve">” means, so long as such event or condition continues, any event or condition of the type specified in clauses (a) through (g) of Article III;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event or condition of the type specified in clauses (a) through (g) of Article III shall not constitute a Series 2023-1 Limited Liquidation Event of Default if the Trustee shall have received the written consent of the Requisite Series 2023-1 Noteholders waiving the occurrence of such Series 2023-1 Limited Liquidation Event of Default. The Trustee shall promptly (but in any event within two (2) days) provide the Rating Agencies with written notice of such waiver.</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Monthly Lease Principal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Principal Collections which pursuant to Section 2.2(a), (b), (c) or (d) would have been allocated to the Series 2023-1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2023-1 Collection Account (without giving effect to any amounts paid into the Series 2023-1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spacing w:after="0" w:line="19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Moody’s Highest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(other than “medium duty” and “heavy duty” trucks)</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ectPr>
          <w:pgSz w:w="11900" w:h="16838" w:orient="portrait"/>
          <w:cols w:equalWidth="0" w:num="1">
            <w:col w:w="11240"/>
          </w:cols>
          <w:pgMar w:left="320" w:top="1030" w:right="339" w:bottom="1440" w:gutter="0" w:footer="0" w:header="0"/>
        </w:sectPr>
      </w:pPr>
    </w:p>
    <w:bookmarkStart w:id="80" w:name="page81"/>
    <w:bookmarkEnd w:id="80"/>
    <w:p>
      <w:pPr>
        <w:jc w:val="both"/>
        <w:spacing w:after="0" w:line="263" w:lineRule="auto"/>
        <w:rPr>
          <w:sz w:val="20"/>
          <w:szCs w:val="20"/>
          <w:color w:val="auto"/>
        </w:rPr>
      </w:pPr>
      <w:r>
        <w:rPr>
          <w:rFonts w:ascii="Times New Roman" w:cs="Times New Roman" w:eastAsia="Times New Roman" w:hAnsi="Times New Roman"/>
          <w:sz w:val="22"/>
          <w:szCs w:val="22"/>
          <w:color w:val="auto"/>
        </w:rPr>
        <w:t>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Moody’s Highest Enhancement Rate</w:t>
      </w:r>
      <w:r>
        <w:rPr>
          <w:rFonts w:ascii="Times New Roman" w:cs="Times New Roman" w:eastAsia="Times New Roman" w:hAnsi="Times New Roman"/>
          <w:sz w:val="22"/>
          <w:szCs w:val="22"/>
          <w:color w:val="auto"/>
        </w:rPr>
        <w:t xml:space="preserve">” means, as of any date of determination, the sum of (a) 14.50% (with respect to calculating the Class D Required Enhancement Amount) or 28.35% (with respect to calculating the Class A/B/C Required Enhancement Amount), (b) the greater of (x) the highest, for any calendar month within the preceding 12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Measurement Month Average for the immediately preceding Measurement Month and (y) the highest, for any calendar month within the preceding 3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Market Value Average as of the Determination Date within such calendar month (excluding the Market Value Average for any Determination Date which has not yet occurred) and (c) a percentage equal to the product of (x) the Series 2023-1 Excess Tesla Percentage and (y) 10%.</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Moody’s Intermediate Enhanced Vehicle Percentage</w:t>
      </w:r>
      <w:r>
        <w:rPr>
          <w:rFonts w:ascii="Times New Roman" w:cs="Times New Roman" w:eastAsia="Times New Roman" w:hAnsi="Times New Roman"/>
          <w:sz w:val="22"/>
          <w:szCs w:val="22"/>
          <w:color w:val="auto"/>
        </w:rPr>
        <w:t xml:space="preserve">” means, as of any date of determination,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sum of (a) the Series 2023-1 Moody’s Lowest Enhanced Vehicle Percentage, (b) the Series 2023-1 Moody’s Highest Enhanced Vehicle Percentage and (c) the Series 2023-1 Moody’s Trucks Percentage.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Moody’s Intermediate Enhancement Rate</w:t>
      </w:r>
      <w:r>
        <w:rPr>
          <w:rFonts w:ascii="Times New Roman" w:cs="Times New Roman" w:eastAsia="Times New Roman" w:hAnsi="Times New Roman"/>
          <w:sz w:val="22"/>
          <w:szCs w:val="22"/>
          <w:color w:val="auto"/>
        </w:rPr>
        <w:t>” means, as of any date of determination, 8.50% (with respect to calculating the Class D Required Enhancement Amount) or 16.25% (with respect to calculating the Class A/B/C Required Enhancement Amount).</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Moody’s Lowest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bl>
    <w:p>
      <w:pPr>
        <w:sectPr>
          <w:pgSz w:w="11900" w:h="16838" w:orient="portrait"/>
          <w:cols w:equalWidth="0" w:num="1">
            <w:col w:w="11240"/>
          </w:cols>
          <w:pgMar w:left="320" w:top="1030" w:right="339" w:bottom="1440" w:gutter="0" w:footer="0" w:header="0"/>
        </w:sectPr>
      </w:pPr>
    </w:p>
    <w:bookmarkStart w:id="81" w:name="page82"/>
    <w:bookmarkEnd w:id="81"/>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Moody’s Lowest Enhancement Rate</w:t>
      </w:r>
      <w:r>
        <w:rPr>
          <w:rFonts w:ascii="Times New Roman" w:cs="Times New Roman" w:eastAsia="Times New Roman" w:hAnsi="Times New Roman"/>
          <w:sz w:val="22"/>
          <w:szCs w:val="22"/>
          <w:color w:val="auto"/>
        </w:rPr>
        <w:t>” means, as of any date of determination, 5.00% (with respect to calculating the Class D Required Enhancement Amount) or 12.75% (with respect to calculating the Class A/B/C Required Enhancement Amount).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2023-1 Moody’s Required Enhancement Amount</w:t>
      </w:r>
      <w:r>
        <w:rPr>
          <w:rFonts w:ascii="Times New Roman" w:cs="Times New Roman" w:eastAsia="Times New Roman" w:hAnsi="Times New Roman"/>
          <w:sz w:val="21"/>
          <w:szCs w:val="21"/>
          <w:color w:val="auto"/>
        </w:rPr>
        <w:t>” means, as of any date of determination, the product of</w:t>
      </w:r>
    </w:p>
    <w:p>
      <w:pPr>
        <w:spacing w:after="0" w:line="39" w:lineRule="exact"/>
        <w:rPr>
          <w:sz w:val="20"/>
          <w:szCs w:val="20"/>
          <w:color w:val="auto"/>
        </w:rPr>
      </w:pPr>
    </w:p>
    <w:p>
      <w:pPr>
        <w:jc w:val="both"/>
        <w:ind w:firstLine="8"/>
        <w:spacing w:after="0" w:line="247" w:lineRule="auto"/>
        <w:tabs>
          <w:tab w:leader="none" w:pos="26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Series 2023-1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2023-1 Senior Invested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Series 2023-1 Allocated Cash Amount.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Moody’s Required Enhancement Percentage</w:t>
      </w:r>
      <w:r>
        <w:rPr>
          <w:rFonts w:ascii="Times New Roman" w:cs="Times New Roman" w:eastAsia="Times New Roman" w:hAnsi="Times New Roman"/>
          <w:sz w:val="22"/>
          <w:szCs w:val="22"/>
          <w:color w:val="auto"/>
        </w:rPr>
        <w:t>” means, as of any date of determination, the sum of</w:t>
      </w:r>
    </w:p>
    <w:p>
      <w:pPr>
        <w:spacing w:after="0" w:line="28" w:lineRule="exact"/>
        <w:rPr>
          <w:sz w:val="20"/>
          <w:szCs w:val="20"/>
          <w:color w:val="auto"/>
        </w:rPr>
      </w:pPr>
    </w:p>
    <w:p>
      <w:pPr>
        <w:jc w:val="both"/>
        <w:ind w:firstLine="8"/>
        <w:spacing w:after="0" w:line="255" w:lineRule="auto"/>
        <w:tabs>
          <w:tab w:leader="none" w:pos="268"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(A) the Series 2023-1 Moody’s Lowest Enhancement Rate as of such date and (B) the Series 2023-1 Moody’s Lowest Enhanced Vehicle Percentage as of such date, (ii) the product of (A) the Series 2023-1 Moody’s Intermediate Enhancement Rate as of such date and (B) the Series 2023-1 Moody’s Intermediate Enhanced Vehicle Percentage as of such date,</w:t>
      </w:r>
    </w:p>
    <w:p>
      <w:pPr>
        <w:spacing w:after="0" w:line="1" w:lineRule="exact"/>
        <w:rPr>
          <w:rFonts w:ascii="Times New Roman" w:cs="Times New Roman" w:eastAsia="Times New Roman" w:hAnsi="Times New Roman"/>
          <w:sz w:val="21"/>
          <w:szCs w:val="21"/>
          <w:color w:val="auto"/>
        </w:rPr>
      </w:pPr>
    </w:p>
    <w:p>
      <w:pPr>
        <w:jc w:val="both"/>
        <w:ind w:firstLine="8"/>
        <w:spacing w:after="0" w:line="251" w:lineRule="auto"/>
        <w:tabs>
          <w:tab w:leader="none" w:pos="38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Series 2023-1 Moody’s Highest Enhancement Rate as of such date and (B) the Series 2023-1 Moody’s Highest Enhanced Vehicle Percentage as of such date and (iv) the product of (A) the Series 2023-1 Moody’s Trucks Enhancement Rate as of such date and (B) the Series 2023-1 Moody’s Trucks Percentage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Moody’s Trucks Enhancement Rate</w:t>
      </w:r>
      <w:r>
        <w:rPr>
          <w:rFonts w:ascii="Times New Roman" w:cs="Times New Roman" w:eastAsia="Times New Roman" w:hAnsi="Times New Roman"/>
          <w:sz w:val="22"/>
          <w:szCs w:val="22"/>
          <w:color w:val="auto"/>
        </w:rPr>
        <w:t>” means, as of any date of determination, 35.75%.</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Moody’s Trucks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Note Owner</w:t>
      </w:r>
      <w:r>
        <w:rPr>
          <w:rFonts w:ascii="Times New Roman" w:cs="Times New Roman" w:eastAsia="Times New Roman" w:hAnsi="Times New Roman"/>
          <w:sz w:val="22"/>
          <w:szCs w:val="22"/>
          <w:color w:val="auto"/>
        </w:rPr>
        <w:t>” means each beneficial owner of a Series 2023-1 Note.</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Noteholder</w:t>
      </w:r>
      <w:r>
        <w:rPr>
          <w:rFonts w:ascii="Times New Roman" w:cs="Times New Roman" w:eastAsia="Times New Roman" w:hAnsi="Times New Roman"/>
          <w:sz w:val="22"/>
          <w:szCs w:val="22"/>
          <w:color w:val="auto"/>
        </w:rPr>
        <w:t>” means any Class A Noteholder, any Class B Noteholder, any Class C Noteholder, any Class D Noteholder or any Class R Noteholder.</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Notes</w:t>
      </w:r>
      <w:r>
        <w:rPr>
          <w:rFonts w:ascii="Times New Roman" w:cs="Times New Roman" w:eastAsia="Times New Roman" w:hAnsi="Times New Roman"/>
          <w:sz w:val="22"/>
          <w:szCs w:val="22"/>
          <w:color w:val="auto"/>
        </w:rPr>
        <w:t>” means, collectively, the Class A Notes, the Class B Notes, the Class C Notes, the Class D Notes, and the Class R Notes.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Past Due Rent Payment</w:t>
      </w:r>
      <w:r>
        <w:rPr>
          <w:rFonts w:ascii="Times New Roman" w:cs="Times New Roman" w:eastAsia="Times New Roman" w:hAnsi="Times New Roman"/>
          <w:sz w:val="22"/>
          <w:szCs w:val="22"/>
          <w:color w:val="auto"/>
        </w:rPr>
        <w:t>” is defined in Section 2.2(g).</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Percentage</w:t>
      </w:r>
      <w:r>
        <w:rPr>
          <w:rFonts w:ascii="Times New Roman" w:cs="Times New Roman" w:eastAsia="Times New Roman" w:hAnsi="Times New Roman"/>
          <w:sz w:val="22"/>
          <w:szCs w:val="22"/>
          <w:color w:val="auto"/>
        </w:rPr>
        <w:t>” means, as of any date of determination, a fraction, expressed as a percentage, the numerator of which is the Series 2023-1 Invested Amount as of such date and the denominator of which is the Aggregate Invested Amount as of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Principal Allocation</w:t>
      </w:r>
      <w:r>
        <w:rPr>
          <w:rFonts w:ascii="Times New Roman" w:cs="Times New Roman" w:eastAsia="Times New Roman" w:hAnsi="Times New Roman"/>
          <w:sz w:val="22"/>
          <w:szCs w:val="22"/>
          <w:color w:val="auto"/>
        </w:rPr>
        <w:t>” is defined in Section 2.2(a)(ii).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ectPr>
          <w:pgSz w:w="11900" w:h="16838" w:orient="portrait"/>
          <w:cols w:equalWidth="0" w:num="1">
            <w:col w:w="11240"/>
          </w:cols>
          <w:pgMar w:left="320" w:top="1030" w:right="339" w:bottom="1440" w:gutter="0" w:footer="0" w:header="0"/>
        </w:sectPr>
      </w:pPr>
    </w:p>
    <w:bookmarkStart w:id="82" w:name="page83"/>
    <w:bookmarkEnd w:id="82"/>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Rapid Amortization Period</w:t>
      </w:r>
      <w:r>
        <w:rPr>
          <w:rFonts w:ascii="Times New Roman" w:cs="Times New Roman" w:eastAsia="Times New Roman" w:hAnsi="Times New Roman"/>
          <w:sz w:val="22"/>
          <w:szCs w:val="22"/>
          <w:color w:val="auto"/>
        </w:rPr>
        <w:t>” means the period beginning at the close of business on the Business Day immediately preceding the day on which an Amortization Event is deemed to have occurred with respect to the Series 2023-1 Notes and ending upon the earliest to occur of (i) the date on which the Series 2023-1 Notes are fully paid, (ii) the Series 2023-1 Final Distribution Date and (iii) the termination of the Indenture.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Reimbursement Agreement</w:t>
      </w:r>
      <w:r>
        <w:rPr>
          <w:rFonts w:ascii="Times New Roman" w:cs="Times New Roman" w:eastAsia="Times New Roman" w:hAnsi="Times New Roman"/>
          <w:sz w:val="22"/>
          <w:szCs w:val="22"/>
          <w:color w:val="auto"/>
        </w:rPr>
        <w:t>” means any and each agreement providing for the reimbursement of a Multi-Series Letter of Credit Provider for draws under its Multi-Series Letter of Credit as the same may be amended, supplemented, restated or otherwise modified from time to time.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Repurchase Amount</w:t>
      </w:r>
      <w:r>
        <w:rPr>
          <w:rFonts w:ascii="Times New Roman" w:cs="Times New Roman" w:eastAsia="Times New Roman" w:hAnsi="Times New Roman"/>
          <w:sz w:val="22"/>
          <w:szCs w:val="22"/>
          <w:color w:val="auto"/>
        </w:rPr>
        <w:t>” is defined in Section 5.1(a).</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Required AESOP I Operating Lease Vehicle Amount</w:t>
      </w:r>
      <w:r>
        <w:rPr>
          <w:rFonts w:ascii="Times New Roman" w:cs="Times New Roman" w:eastAsia="Times New Roman" w:hAnsi="Times New Roman"/>
          <w:sz w:val="22"/>
          <w:szCs w:val="22"/>
          <w:color w:val="auto"/>
        </w:rPr>
        <w:t>” 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Reserve Accounts</w:t>
      </w:r>
      <w:r>
        <w:rPr>
          <w:rFonts w:ascii="Times New Roman" w:cs="Times New Roman" w:eastAsia="Times New Roman" w:hAnsi="Times New Roman"/>
          <w:sz w:val="22"/>
          <w:szCs w:val="22"/>
          <w:color w:val="auto"/>
        </w:rPr>
        <w:t>” means, together, the Class A/B/C Reserve Account and the Class D Reserve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w:t>
      </w:r>
    </w:p>
    <w:p>
      <w:pPr>
        <w:spacing w:after="0" w:line="2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Revolving Period</w:t>
      </w:r>
      <w:r>
        <w:rPr>
          <w:rFonts w:ascii="Times New Roman" w:cs="Times New Roman" w:eastAsia="Times New Roman" w:hAnsi="Times New Roman"/>
          <w:sz w:val="22"/>
          <w:szCs w:val="22"/>
          <w:color w:val="auto"/>
        </w:rPr>
        <w:t>” means the period from and including the Class A/B/C Notes Closing Date to the earlier of (i) the commencement of the Series 2023-1 Controlled Amortization Period and (ii) the commencement of the Series 2023-1 Rapid Amortization Period.</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Senior Invested Amount</w:t>
      </w:r>
      <w:r>
        <w:rPr>
          <w:rFonts w:ascii="Times New Roman" w:cs="Times New Roman" w:eastAsia="Times New Roman" w:hAnsi="Times New Roman"/>
          <w:sz w:val="22"/>
          <w:szCs w:val="22"/>
          <w:color w:val="auto"/>
        </w:rPr>
        <w:t>” means, on any date, the sum of the Class A Invested Amount on such date, the Class B Invested Amount on such date, the Class C Invested Amount on such date and the Class D Invested Amount on such date.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Senior Monthly Interest</w:t>
      </w:r>
      <w:r>
        <w:rPr>
          <w:rFonts w:ascii="Times New Roman" w:cs="Times New Roman" w:eastAsia="Times New Roman" w:hAnsi="Times New Roman"/>
          <w:sz w:val="22"/>
          <w:szCs w:val="22"/>
          <w:color w:val="auto"/>
        </w:rPr>
        <w:t>” means, with respect to any Distribution Date, the sum of the Class A Monthly Interest, the Class B Monthly Interest, the Class C Monthly Interest and the Class D Monthly Interest, in each case with respect to the Series 2023-1 Interest Period ended on the day preceding such Distribution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2023-1 Senior Notes</w:t>
      </w:r>
      <w:r>
        <w:rPr>
          <w:rFonts w:ascii="Times New Roman" w:cs="Times New Roman" w:eastAsia="Times New Roman" w:hAnsi="Times New Roman"/>
          <w:sz w:val="21"/>
          <w:szCs w:val="21"/>
          <w:color w:val="auto"/>
        </w:rPr>
        <w:t>” means, collectively, the Class A Notes, the Class B Notes, the Class C Notes and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D Notes.</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Shortfall</w:t>
      </w:r>
      <w:r>
        <w:rPr>
          <w:rFonts w:ascii="Times New Roman" w:cs="Times New Roman" w:eastAsia="Times New Roman" w:hAnsi="Times New Roman"/>
          <w:sz w:val="22"/>
          <w:szCs w:val="22"/>
          <w:color w:val="auto"/>
        </w:rPr>
        <w:t>” means, on any Distribution Date, the sum of the Class A Shortfall, the Class B Shortfall, the Class C Shortfall and the Class D Shortfall on such Distribution Date.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Termination Date</w:t>
      </w:r>
      <w:r>
        <w:rPr>
          <w:rFonts w:ascii="Times New Roman" w:cs="Times New Roman" w:eastAsia="Times New Roman" w:hAnsi="Times New Roman"/>
          <w:sz w:val="22"/>
          <w:szCs w:val="22"/>
          <w:color w:val="auto"/>
        </w:rPr>
        <w:t>” means the April 2029 Distribution Date.</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Trustee’s Fees</w:t>
      </w:r>
      <w:r>
        <w:rPr>
          <w:rFonts w:ascii="Times New Roman" w:cs="Times New Roman" w:eastAsia="Times New Roman" w:hAnsi="Times New Roman"/>
          <w:sz w:val="22"/>
          <w:szCs w:val="22"/>
          <w:color w:val="auto"/>
        </w:rPr>
        <w:t>” means, for any Distribution Date during the Series 2023-1 Rapid Amortization Period on which there exists a Series 2023-1 Lease Interest Payment Deficit, a portion of the fees payable to the Trustee in an amount equal to the product of (i) the Series 2023-1 Percentage as of the beginning of the Series 2023-1 Interest Period ending on the</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ectPr>
          <w:pgSz w:w="11900" w:h="16838" w:orient="portrait"/>
          <w:cols w:equalWidth="0" w:num="1">
            <w:col w:w="11240"/>
          </w:cols>
          <w:pgMar w:left="320" w:top="1030" w:right="339" w:bottom="1440" w:gutter="0" w:footer="0" w:header="0"/>
        </w:sectPr>
      </w:pPr>
    </w:p>
    <w:bookmarkStart w:id="83" w:name="page84"/>
    <w:bookmarkEnd w:id="83"/>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day preceding such Distribution Date and (ii) the fees owing to the Trustee under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Series 2023-1 Trustee’s Fees in the aggregate for all Distribution Dates shall not exceed 1.1% of the Series 2023-1 Required AESOP I Operating Lease Vehicle Amount as of the last day of the Series 2023-1 Revolving Period.</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Notes</w:t>
      </w:r>
      <w:r>
        <w:rPr>
          <w:rFonts w:ascii="Times New Roman" w:cs="Times New Roman" w:eastAsia="Times New Roman" w:hAnsi="Times New Roman"/>
          <w:sz w:val="22"/>
          <w:szCs w:val="22"/>
          <w:color w:val="auto"/>
        </w:rPr>
        <w:t>” means the Series of Notes designated as the Series 2023-2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2023-3 Notes</w:t>
      </w:r>
      <w:r>
        <w:rPr>
          <w:rFonts w:ascii="Times New Roman" w:cs="Times New Roman" w:eastAsia="Times New Roman" w:hAnsi="Times New Roman"/>
          <w:sz w:val="22"/>
          <w:szCs w:val="22"/>
          <w:color w:val="auto"/>
        </w:rPr>
        <w:t>” means the Series of Notes designated as the Series 2023-3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Notes</w:t>
      </w:r>
      <w:r>
        <w:rPr>
          <w:rFonts w:ascii="Times New Roman" w:cs="Times New Roman" w:eastAsia="Times New Roman" w:hAnsi="Times New Roman"/>
          <w:sz w:val="22"/>
          <w:szCs w:val="22"/>
          <w:color w:val="auto"/>
        </w:rPr>
        <w:t>” means the Series of Notes designated as the Series 2023-4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2023-5 Notes</w:t>
      </w:r>
      <w:r>
        <w:rPr>
          <w:rFonts w:ascii="Times New Roman" w:cs="Times New Roman" w:eastAsia="Times New Roman" w:hAnsi="Times New Roman"/>
          <w:sz w:val="22"/>
          <w:szCs w:val="22"/>
          <w:color w:val="auto"/>
        </w:rPr>
        <w:t>” means the Series of Notes designated as the Series 2023-5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Notes</w:t>
      </w:r>
      <w:r>
        <w:rPr>
          <w:rFonts w:ascii="Times New Roman" w:cs="Times New Roman" w:eastAsia="Times New Roman" w:hAnsi="Times New Roman"/>
          <w:sz w:val="22"/>
          <w:szCs w:val="22"/>
          <w:color w:val="auto"/>
        </w:rPr>
        <w:t>” means the Series of Notes designated as the Series 2023-6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Notes</w:t>
      </w:r>
      <w:r>
        <w:rPr>
          <w:rFonts w:ascii="Times New Roman" w:cs="Times New Roman" w:eastAsia="Times New Roman" w:hAnsi="Times New Roman"/>
          <w:sz w:val="22"/>
          <w:szCs w:val="22"/>
          <w:color w:val="auto"/>
        </w:rPr>
        <w:t>” means the Series of Notes designated as the Series 2023-7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Notes</w:t>
      </w:r>
      <w:r>
        <w:rPr>
          <w:rFonts w:ascii="Times New Roman" w:cs="Times New Roman" w:eastAsia="Times New Roman" w:hAnsi="Times New Roman"/>
          <w:sz w:val="22"/>
          <w:szCs w:val="22"/>
          <w:color w:val="auto"/>
        </w:rPr>
        <w:t>” means the Series of Notes designated as the Series 2023-8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2024-1 Notes</w:t>
      </w:r>
      <w:r>
        <w:rPr>
          <w:rFonts w:ascii="Times New Roman" w:cs="Times New Roman" w:eastAsia="Times New Roman" w:hAnsi="Times New Roman"/>
          <w:sz w:val="22"/>
          <w:szCs w:val="22"/>
          <w:color w:val="auto"/>
        </w:rPr>
        <w:t>” means the Series of Notes designated as the Series 2024-1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2024-2 Notes</w:t>
      </w:r>
      <w:r>
        <w:rPr>
          <w:rFonts w:ascii="Times New Roman" w:cs="Times New Roman" w:eastAsia="Times New Roman" w:hAnsi="Times New Roman"/>
          <w:sz w:val="22"/>
          <w:szCs w:val="22"/>
          <w:color w:val="auto"/>
        </w:rPr>
        <w:t>” means the Series of Notes designated as the Series 2024-2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2024-3 Notes</w:t>
      </w:r>
      <w:r>
        <w:rPr>
          <w:rFonts w:ascii="Times New Roman" w:cs="Times New Roman" w:eastAsia="Times New Roman" w:hAnsi="Times New Roman"/>
          <w:sz w:val="22"/>
          <w:szCs w:val="22"/>
          <w:color w:val="auto"/>
        </w:rPr>
        <w:t>” means the Series of Notes designated as the Series 2024-3 Notes.</w:t>
      </w: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per annum equal to the secured overnight financing rate as administered by the SOFR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or any successor source for the secured overnight financing rate identified as such by the SOFR Administrator from time to time.</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(Non-Perfected Lien)</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ectPr>
          <w:pgSz w:w="11900" w:h="16838" w:orient="portrait"/>
          <w:cols w:equalWidth="0" w:num="1">
            <w:col w:w="11240"/>
          </w:cols>
          <w:pgMar w:left="320" w:top="1030" w:right="339" w:bottom="1440" w:gutter="0" w:footer="0" w:header="0"/>
        </w:sectPr>
      </w:pPr>
    </w:p>
    <w:bookmarkStart w:id="84" w:name="page85"/>
    <w:bookmarkEnd w:id="84"/>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R-2</w:t>
      </w:r>
      <w:r>
        <w:rPr>
          <w:rFonts w:ascii="Times New Roman" w:cs="Times New Roman" w:eastAsia="Times New Roman" w:hAnsi="Times New Roman"/>
          <w:sz w:val="22"/>
          <w:szCs w:val="22"/>
          <w:color w:val="auto"/>
        </w:rPr>
        <w:t xml:space="preserve"> 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(Trucks)</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R-2</w:t>
      </w:r>
      <w:r>
        <w:rPr>
          <w:rFonts w:ascii="Times New Roman" w:cs="Times New Roman" w:eastAsia="Times New Roman" w:hAnsi="Times New Roman"/>
          <w:sz w:val="22"/>
          <w:szCs w:val="22"/>
          <w:color w:val="auto"/>
        </w:rPr>
        <w:t xml:space="preserve"> that ABRCF has determined are required to allow for “medium duty” and “heavy duty” trucks to be considered an “Eligible Vehicle” under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B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C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D Note</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R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Series 2023-1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 Disbursement</w:t>
      </w:r>
      <w:r>
        <w:rPr>
          <w:rFonts w:ascii="Times New Roman" w:cs="Times New Roman" w:eastAsia="Times New Roman" w:hAnsi="Times New Roman"/>
          <w:sz w:val="22"/>
          <w:szCs w:val="22"/>
          <w:color w:val="auto"/>
        </w:rPr>
        <w:t>” means an amount drawn under a Multi-Series Letter of Credit pursuant to a Certificate of Termination Date Demand.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Disbursement</w:t>
      </w:r>
      <w:r>
        <w:rPr>
          <w:rFonts w:ascii="Times New Roman" w:cs="Times New Roman" w:eastAsia="Times New Roman" w:hAnsi="Times New Roman"/>
          <w:sz w:val="22"/>
          <w:szCs w:val="22"/>
          <w:color w:val="auto"/>
        </w:rPr>
        <w:t>” means an amount drawn under a Multi-Series Letter of Credit pursuant to a Certificate of Termination Demand.</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Unpaid Demand Note Disbursement</w:t>
      </w:r>
      <w:r>
        <w:rPr>
          <w:rFonts w:ascii="Times New Roman" w:cs="Times New Roman" w:eastAsia="Times New Roman" w:hAnsi="Times New Roman"/>
          <w:sz w:val="22"/>
          <w:szCs w:val="22"/>
          <w:color w:val="auto"/>
        </w:rPr>
        <w:t>” means an amount drawn under a Multi-Series Letter of Credit pursuant to a Certificate of Unpaid Demand Note Demand.</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Risk Retention Rules</w:t>
      </w:r>
      <w:r>
        <w:rPr>
          <w:rFonts w:ascii="Times New Roman" w:cs="Times New Roman" w:eastAsia="Times New Roman" w:hAnsi="Times New Roman"/>
          <w:sz w:val="22"/>
          <w:szCs w:val="22"/>
          <w:color w:val="auto"/>
        </w:rPr>
        <w:t>” means the federal interagency credit risk retention rules, codified at 17 C.F.R. Part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Treasury Rate</w:t>
      </w:r>
      <w:r>
        <w:rPr>
          <w:rFonts w:ascii="Times New Roman" w:cs="Times New Roman" w:eastAsia="Times New Roman" w:hAnsi="Times New Roman"/>
          <w:sz w:val="22"/>
          <w:szCs w:val="22"/>
          <w:color w:val="auto"/>
        </w:rPr>
        <w:t>” means, with respect to any Remaining Distribution Amount, a rate determined one Business Day prior to the Optional Repurchase Distribution Date that is</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ectPr>
          <w:pgSz w:w="11900" w:h="16838" w:orient="portrait"/>
          <w:cols w:equalWidth="0" w:num="1">
            <w:col w:w="11240"/>
          </w:cols>
          <w:pgMar w:left="320" w:top="1030" w:right="339" w:bottom="1440" w:gutter="0" w:footer="0" w:header="0"/>
        </w:sectPr>
      </w:pPr>
    </w:p>
    <w:bookmarkStart w:id="85" w:name="page86"/>
    <w:bookmarkEnd w:id="85"/>
    <w:p>
      <w:pPr>
        <w:jc w:val="both"/>
        <w:spacing w:after="0" w:line="256" w:lineRule="auto"/>
        <w:rPr>
          <w:sz w:val="20"/>
          <w:szCs w:val="20"/>
          <w:color w:val="auto"/>
        </w:rPr>
      </w:pPr>
      <w:r>
        <w:rPr>
          <w:rFonts w:ascii="Times New Roman" w:cs="Times New Roman" w:eastAsia="Times New Roman" w:hAnsi="Times New Roman"/>
          <w:sz w:val="22"/>
          <w:szCs w:val="22"/>
          <w:color w:val="auto"/>
        </w:rPr>
        <w:t>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spacing w:after="0" w:line="176" w:lineRule="exact"/>
        <w:rPr>
          <w:sz w:val="20"/>
          <w:szCs w:val="20"/>
          <w:color w:val="auto"/>
        </w:rPr>
      </w:pPr>
    </w:p>
    <w:p>
      <w:pPr>
        <w:jc w:val="both"/>
        <w:ind w:firstLine="1304"/>
        <w:spacing w:after="0" w:line="257" w:lineRule="auto"/>
        <w:tabs>
          <w:tab w:leader="none" w:pos="17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calculated by reference to the Series 2023-1 Invested Amount (or any component thereof) on any date shall, unless otherwise stated, be calculated after giving effect to any payment of principal made to the applicable Series 2023-1 Noteholders on such date.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SERIES 2023-1 ALLOCATIONS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respect to the Series 2023-1 Notes, the following shall apply:</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Establishment of Series 2023-1 Collection Account, Series 2023-1 Excess Collection Account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Series 2023-1 Accrued Interest Account</w:t>
      </w:r>
      <w:r>
        <w:rPr>
          <w:rFonts w:ascii="Times New Roman" w:cs="Times New Roman" w:eastAsia="Times New Roman" w:hAnsi="Times New Roman"/>
          <w:sz w:val="22"/>
          <w:szCs w:val="22"/>
          <w:color w:val="auto"/>
        </w:rPr>
        <w:t>. (a) All Collections allocable to the Series 2023-1 Notes shall be allocated to the Collection Account.</w:t>
      </w:r>
    </w:p>
    <w:p>
      <w:pPr>
        <w:spacing w:after="0" w:line="186" w:lineRule="exact"/>
        <w:rPr>
          <w:sz w:val="20"/>
          <w:szCs w:val="20"/>
          <w:color w:val="auto"/>
        </w:rPr>
      </w:pPr>
    </w:p>
    <w:p>
      <w:pPr>
        <w:jc w:val="both"/>
        <w:ind w:firstLine="1304"/>
        <w:spacing w:after="0" w:line="252" w:lineRule="auto"/>
        <w:tabs>
          <w:tab w:leader="none" w:pos="176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created three administrative subaccounts within the Collection Account for the benefit of the Series 2023-1 Noteholders: the Series 2023-1 Collection Account (such sub-account, the “</w:t>
      </w:r>
      <w:r>
        <w:rPr>
          <w:rFonts w:ascii="Times New Roman" w:cs="Times New Roman" w:eastAsia="Times New Roman" w:hAnsi="Times New Roman"/>
          <w:sz w:val="22"/>
          <w:szCs w:val="22"/>
          <w:u w:val="single" w:color="auto"/>
          <w:color w:val="auto"/>
        </w:rPr>
        <w:t>Series 2023-1 Collection Account</w:t>
      </w:r>
      <w:r>
        <w:rPr>
          <w:rFonts w:ascii="Times New Roman" w:cs="Times New Roman" w:eastAsia="Times New Roman" w:hAnsi="Times New Roman"/>
          <w:sz w:val="22"/>
          <w:szCs w:val="22"/>
          <w:color w:val="auto"/>
        </w:rPr>
        <w:t>”), the Series 2023-1 Excess Collection Account (such sub-account, the “</w:t>
      </w:r>
      <w:r>
        <w:rPr>
          <w:rFonts w:ascii="Times New Roman" w:cs="Times New Roman" w:eastAsia="Times New Roman" w:hAnsi="Times New Roman"/>
          <w:sz w:val="22"/>
          <w:szCs w:val="22"/>
          <w:u w:val="single" w:color="auto"/>
          <w:color w:val="auto"/>
        </w:rPr>
        <w:t>Series 2023-1 Excess Collection Account</w:t>
      </w:r>
      <w:r>
        <w:rPr>
          <w:rFonts w:ascii="Times New Roman" w:cs="Times New Roman" w:eastAsia="Times New Roman" w:hAnsi="Times New Roman"/>
          <w:sz w:val="22"/>
          <w:szCs w:val="22"/>
          <w:color w:val="auto"/>
        </w:rPr>
        <w:t>”) and the Series 2023-1 Accrued Interest Account (such sub-account, the “</w:t>
      </w:r>
      <w:r>
        <w:rPr>
          <w:rFonts w:ascii="Times New Roman" w:cs="Times New Roman" w:eastAsia="Times New Roman" w:hAnsi="Times New Roman"/>
          <w:sz w:val="22"/>
          <w:szCs w:val="22"/>
          <w:u w:val="single" w:color="auto"/>
          <w:color w:val="auto"/>
        </w:rPr>
        <w:t>Series 2023-1 Accrued Interest Account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Allocations with Respect to the Series 2023-1 Notes</w:t>
      </w:r>
      <w:r>
        <w:rPr>
          <w:rFonts w:ascii="Times New Roman" w:cs="Times New Roman" w:eastAsia="Times New Roman" w:hAnsi="Times New Roman"/>
          <w:sz w:val="22"/>
          <w:szCs w:val="22"/>
          <w:color w:val="auto"/>
        </w:rPr>
        <w:t>. The net proceeds from the initial sale of the Class A Notes, Class B Notes, Class C Notes and Class R Notes were deposited into the Collection Account on the Class A/B/C Notes Closing Date and the net proceeds from the issuance of Class D Notes and Additional Class R Notes were deposited into the Collection Account on the Class D Notes Closing Date. On each Business Day on which Collections are deposited into the Collection Account (each such date, a “</w:t>
      </w:r>
      <w:r>
        <w:rPr>
          <w:rFonts w:ascii="Times New Roman" w:cs="Times New Roman" w:eastAsia="Times New Roman" w:hAnsi="Times New Roman"/>
          <w:sz w:val="22"/>
          <w:szCs w:val="22"/>
          <w:u w:val="single" w:color="auto"/>
          <w:color w:val="auto"/>
        </w:rPr>
        <w:t>Series 2023-1 Deposit Date</w:t>
      </w:r>
      <w:r>
        <w:rPr>
          <w:rFonts w:ascii="Times New Roman" w:cs="Times New Roman" w:eastAsia="Times New Roman" w:hAnsi="Times New Roman"/>
          <w:sz w:val="22"/>
          <w:szCs w:val="22"/>
          <w:color w:val="auto"/>
        </w:rPr>
        <w:t>”), the Administrator will direct the Trustee in writing pursuant to the Administration Agreement to allocate all amounts deposited into the Collection Account in accordance with the provisions of this Section 2.2.</w:t>
      </w:r>
    </w:p>
    <w:p>
      <w:pPr>
        <w:spacing w:after="0" w:line="179" w:lineRule="exact"/>
        <w:rPr>
          <w:sz w:val="20"/>
          <w:szCs w:val="20"/>
          <w:color w:val="auto"/>
        </w:rPr>
      </w:pPr>
    </w:p>
    <w:p>
      <w:pPr>
        <w:jc w:val="both"/>
        <w:ind w:firstLine="1304"/>
        <w:spacing w:after="0" w:line="252" w:lineRule="auto"/>
        <w:tabs>
          <w:tab w:leader="none" w:pos="177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2023-1 Revolving Period</w:t>
      </w:r>
      <w:r>
        <w:rPr>
          <w:rFonts w:ascii="Times New Roman" w:cs="Times New Roman" w:eastAsia="Times New Roman" w:hAnsi="Times New Roman"/>
          <w:sz w:val="22"/>
          <w:szCs w:val="22"/>
          <w:color w:val="auto"/>
        </w:rPr>
        <w:t>. During the Series 2023-1 Revolving Period, the Administrator will direct the Trustee in writing pursuant to the Administration Agreement to allocate, prior to 11:00 a.m. (New York City time) on each Series 2023-1 Deposit Date, all amounts deposited into the Collection Account as set forth below:</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1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2023-1 Collection Account an amount equal to the Series 2023-1 Invested Percentage (as of such day) of the aggregate amount of Interest Collections on such day. All such amounts allocated to the Series 2023-1 Collection Account shall be further allocated to the Series 2023-1 Accrued Interest Account; and</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ectPr>
          <w:pgSz w:w="11900" w:h="16838" w:orient="portrait"/>
          <w:cols w:equalWidth="0" w:num="1">
            <w:col w:w="11240"/>
          </w:cols>
          <w:pgMar w:left="320" w:top="1030" w:right="339" w:bottom="1440" w:gutter="0" w:footer="0" w:header="0"/>
        </w:sectPr>
      </w:pPr>
    </w:p>
    <w:bookmarkStart w:id="86" w:name="page87"/>
    <w:bookmarkEnd w:id="86"/>
    <w:p>
      <w:pPr>
        <w:jc w:val="both"/>
        <w:ind w:left="580" w:firstLine="1292"/>
        <w:spacing w:after="0" w:line="263" w:lineRule="auto"/>
        <w:tabs>
          <w:tab w:leader="none" w:pos="2506" w:val="left"/>
        </w:tabs>
        <w:numPr>
          <w:ilvl w:val="2"/>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2023-1 Excess Collection Account an amount equal to the Series 2023-1 Invested Percentage (as of such day) of the aggregate amount of Principal Collections on such day (for any such day, the “</w:t>
      </w:r>
      <w:r>
        <w:rPr>
          <w:rFonts w:ascii="Times New Roman" w:cs="Times New Roman" w:eastAsia="Times New Roman" w:hAnsi="Times New Roman"/>
          <w:sz w:val="22"/>
          <w:szCs w:val="22"/>
          <w:u w:val="single" w:color="auto"/>
          <w:color w:val="auto"/>
        </w:rPr>
        <w:t>Series 2023-1 Principal Allocation</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80" w:firstLine="1304"/>
        <w:spacing w:after="0" w:line="252" w:lineRule="auto"/>
        <w:tabs>
          <w:tab w:leader="none" w:pos="1778"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2023-1 Controlled Amortization Period</w:t>
      </w:r>
      <w:r>
        <w:rPr>
          <w:rFonts w:ascii="Times New Roman" w:cs="Times New Roman" w:eastAsia="Times New Roman" w:hAnsi="Times New Roman"/>
          <w:sz w:val="22"/>
          <w:szCs w:val="22"/>
          <w:color w:val="auto"/>
        </w:rPr>
        <w:t>. With respect to the Series 2023-1 Controlled Amortization Period, the Administrator will direct the Trustee in writing pursuant to the Administration Agreement to allocate, prior to 11:00 a.m. (New York City time) on any Series 2023-1 Deposit Date, all amounts deposited into the Collection Account as set forth below:</w:t>
      </w:r>
    </w:p>
    <w:p>
      <w:pPr>
        <w:spacing w:after="0" w:line="192" w:lineRule="exact"/>
        <w:rPr>
          <w:rFonts w:ascii="Times New Roman" w:cs="Times New Roman" w:eastAsia="Times New Roman" w:hAnsi="Times New Roman"/>
          <w:sz w:val="22"/>
          <w:szCs w:val="22"/>
          <w:color w:val="auto"/>
        </w:rPr>
      </w:pPr>
    </w:p>
    <w:p>
      <w:pPr>
        <w:ind w:left="2340" w:hanging="468"/>
        <w:spacing w:after="0"/>
        <w:tabs>
          <w:tab w:leader="none" w:pos="2340"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2023-1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840" w:hanging="264"/>
        <w:spacing w:after="0"/>
        <w:tabs>
          <w:tab w:leader="none" w:pos="8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2023-1 Accrued Interest Account; and</w:t>
      </w:r>
    </w:p>
    <w:p>
      <w:pPr>
        <w:spacing w:after="0" w:line="195"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467"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2023-1 Collection Account an amount equal to the Series 2023-1 Principal Allocation for such day, which amount shall be used to make principal payments in respect of the Series 2023-1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2023-1 Excess Collection Account.</w:t>
      </w:r>
    </w:p>
    <w:p>
      <w:pPr>
        <w:spacing w:after="0" w:line="184" w:lineRule="exact"/>
        <w:rPr>
          <w:rFonts w:ascii="Times New Roman" w:cs="Times New Roman" w:eastAsia="Times New Roman" w:hAnsi="Times New Roman"/>
          <w:sz w:val="22"/>
          <w:szCs w:val="22"/>
          <w:color w:val="auto"/>
        </w:rPr>
      </w:pPr>
    </w:p>
    <w:p>
      <w:pPr>
        <w:jc w:val="both"/>
        <w:ind w:left="-80" w:firstLine="1304"/>
        <w:spacing w:after="0" w:line="253" w:lineRule="auto"/>
        <w:tabs>
          <w:tab w:leader="none" w:pos="172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2023-1 Rapid Amortization Period</w:t>
      </w:r>
      <w:r>
        <w:rPr>
          <w:rFonts w:ascii="Times New Roman" w:cs="Times New Roman" w:eastAsia="Times New Roman" w:hAnsi="Times New Roman"/>
          <w:sz w:val="22"/>
          <w:szCs w:val="22"/>
          <w:color w:val="auto"/>
        </w:rPr>
        <w:t>. With respect to the Series 2023-1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2023-1 Deposit Date, all amounts deposited into the Collection Account as set forth below:</w:t>
      </w:r>
    </w:p>
    <w:p>
      <w:pPr>
        <w:spacing w:after="0" w:line="178" w:lineRule="exact"/>
        <w:rPr>
          <w:rFonts w:ascii="Times New Roman" w:cs="Times New Roman" w:eastAsia="Times New Roman" w:hAnsi="Times New Roman"/>
          <w:sz w:val="22"/>
          <w:szCs w:val="22"/>
          <w:color w:val="auto"/>
        </w:rPr>
      </w:pPr>
    </w:p>
    <w:p>
      <w:pPr>
        <w:ind w:left="2340" w:hanging="468"/>
        <w:spacing w:after="0"/>
        <w:tabs>
          <w:tab w:leader="none" w:pos="2340" w:val="left"/>
        </w:tabs>
        <w:numPr>
          <w:ilvl w:val="2"/>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2023-1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840" w:hanging="264"/>
        <w:spacing w:after="0"/>
        <w:tabs>
          <w:tab w:leader="none" w:pos="8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2023-1 Accrued Interest Account; and</w:t>
      </w:r>
    </w:p>
    <w:p>
      <w:pPr>
        <w:spacing w:after="0" w:line="196" w:lineRule="exact"/>
        <w:rPr>
          <w:sz w:val="20"/>
          <w:szCs w:val="20"/>
          <w:color w:val="auto"/>
        </w:rPr>
      </w:pPr>
    </w:p>
    <w:p>
      <w:pPr>
        <w:jc w:val="both"/>
        <w:ind w:left="580" w:firstLine="1292"/>
        <w:spacing w:after="0" w:line="256" w:lineRule="auto"/>
        <w:tabs>
          <w:tab w:leader="none" w:pos="246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2023-1 Collection Account an amount equal to the Series 2023-1 Principal Allocation for such day, which amount shall be used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ectPr>
          <w:pgSz w:w="11900" w:h="16838" w:orient="portrait"/>
          <w:cols w:equalWidth="0" w:num="1">
            <w:col w:w="11160"/>
          </w:cols>
          <w:pgMar w:left="400" w:top="1030" w:right="339" w:bottom="1440" w:gutter="0" w:footer="0" w:header="0"/>
        </w:sectPr>
      </w:pPr>
    </w:p>
    <w:bookmarkStart w:id="87" w:name="page88"/>
    <w:bookmarkEnd w:id="87"/>
    <w:p>
      <w:pPr>
        <w:jc w:val="both"/>
        <w:ind w:left="580"/>
        <w:spacing w:after="0" w:line="258" w:lineRule="auto"/>
        <w:rPr>
          <w:sz w:val="20"/>
          <w:szCs w:val="20"/>
          <w:color w:val="auto"/>
        </w:rPr>
      </w:pPr>
      <w:r>
        <w:rPr>
          <w:rFonts w:ascii="Times New Roman" w:cs="Times New Roman" w:eastAsia="Times New Roman" w:hAnsi="Times New Roman"/>
          <w:sz w:val="21"/>
          <w:szCs w:val="21"/>
          <w:color w:val="auto"/>
        </w:rPr>
        <w:t>Class B Notes have been paid in full, and, after the Class A Notes and Class B Notes have been paid in full, shall be used to make principal payments in respect of the Class C Notes until the Class C Notes have been paid in full, and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on any Determination Date (A) the Administrator determines that the amount anticipated to be available from Interest Collections allocable to the Series 2023-1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2023-1 Notes during the Related Month equal to the lesser of such insufficiency and the Class A/B/C Enhancement Amount to the Series 2023-1 Accrued Interest Account to be treated as Interest Collections on such Distribution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2023-1 Notes and other amounts available pursuant to Section 2.3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2023-1 Notes during the Related Month equal to the lesser of such insufficiency and the Class D Enhancement Amount to the Series 2023-1 Accrued Interest Account to be treated as Interest Collections on such Distribution Date.</w:t>
      </w:r>
    </w:p>
    <w:p>
      <w:pPr>
        <w:spacing w:after="0" w:line="197" w:lineRule="exact"/>
        <w:rPr>
          <w:sz w:val="20"/>
          <w:szCs w:val="20"/>
          <w:color w:val="auto"/>
        </w:rPr>
      </w:pPr>
    </w:p>
    <w:p>
      <w:pPr>
        <w:jc w:val="both"/>
        <w:ind w:left="-80" w:firstLine="1304"/>
        <w:spacing w:after="0" w:line="253" w:lineRule="auto"/>
        <w:tabs>
          <w:tab w:leader="none" w:pos="169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after the Occurrence of an Event of Bankruptcy</w:t>
      </w:r>
      <w:r>
        <w:rPr>
          <w:rFonts w:ascii="Times New Roman" w:cs="Times New Roman" w:eastAsia="Times New Roman" w:hAnsi="Times New Roman"/>
          <w:sz w:val="22"/>
          <w:szCs w:val="22"/>
          <w:color w:val="auto"/>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2023-1 Deposit Date, all amounts attributable to the AESOP I Operating Lease Loan Agreement deposited into the Collection Account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bl>
    <w:p>
      <w:pPr>
        <w:sectPr>
          <w:pgSz w:w="11900" w:h="16838" w:orient="portrait"/>
          <w:cols w:equalWidth="0" w:num="1">
            <w:col w:w="11160"/>
          </w:cols>
          <w:pgMar w:left="400" w:top="1030" w:right="339" w:bottom="1440" w:gutter="0" w:footer="0" w:header="0"/>
        </w:sectPr>
      </w:pPr>
    </w:p>
    <w:bookmarkStart w:id="88" w:name="page89"/>
    <w:bookmarkEnd w:id="88"/>
    <w:p>
      <w:pPr>
        <w:jc w:val="both"/>
        <w:ind w:left="580" w:firstLine="1292"/>
        <w:spacing w:after="0" w:line="253" w:lineRule="auto"/>
        <w:tabs>
          <w:tab w:leader="none" w:pos="2407"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2023-1 Collection Account an amount equal to the Series 2023-1 AESOP I Operating Lease Vehicle Percentage as of the date of the occurrence of such Event of Bankruptcy of the aggregate amount of Interest Collections made under the AESOP I Operating Lease Loan Agreement for such day. All such amounts allocated to the Series 2023-1 Collection Account shall be further allocated to the Series 2023-1 Accrued Interest Account; and</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46" w:lineRule="auto"/>
        <w:tabs>
          <w:tab w:leader="none" w:pos="245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2023-1 Collection Account an amount equal to the Series 2023-1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(A) the Administrator determines that the amount anticipated to be available from Interest Collections allocable to the Series 2023-1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2023-1 Notes during the Related Month equal to the lesser of such insufficiency and the Class A/B/C Enhancement Amount to the Series 2023-1 Accrued Interest Account to be treated as Interest Collections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2023-1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D Monthly Interest on the related Distribution Date, and (y) any Class D Shortfall on such Distribution Date (together with interest thereon), will be less than the sum of (I) the Class D Monthly Interest for such</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ectPr>
          <w:pgSz w:w="11900" w:h="16838" w:orient="portrait"/>
          <w:cols w:equalWidth="0" w:num="1">
            <w:col w:w="11160"/>
          </w:cols>
          <w:pgMar w:left="400" w:top="1030" w:right="339" w:bottom="1440" w:gutter="0" w:footer="0" w:header="0"/>
        </w:sectPr>
      </w:pPr>
    </w:p>
    <w:bookmarkStart w:id="89" w:name="page90"/>
    <w:bookmarkEnd w:id="89"/>
    <w:p>
      <w:pPr>
        <w:jc w:val="both"/>
        <w:ind w:left="652"/>
        <w:spacing w:after="0" w:line="253" w:lineRule="auto"/>
        <w:rPr>
          <w:sz w:val="20"/>
          <w:szCs w:val="20"/>
          <w:color w:val="auto"/>
        </w:rPr>
      </w:pPr>
      <w:r>
        <w:rPr>
          <w:rFonts w:ascii="Times New Roman" w:cs="Times New Roman" w:eastAsia="Times New Roman" w:hAnsi="Times New Roman"/>
          <w:sz w:val="22"/>
          <w:szCs w:val="22"/>
          <w:color w:val="auto"/>
        </w:rPr>
        <w:t>Distribution Date and (II) such Class D Shortfall (together with interest thereon) and (B) the Class D Enhancement Amount is greater than zero, then the Administrator shall direct the Trustee in writing to reallocate a portion of the Principal Collections allocated to the Series 2023-1 Notes during the Related Month equal to the lesser of such insufficiency and the Class D Enhancement Amount to the Series 2023-1 Accrued Interest Account to be treated as Interest Collections on such Distribution Date.</w:t>
      </w:r>
    </w:p>
    <w:p>
      <w:pPr>
        <w:spacing w:after="0" w:line="179" w:lineRule="exact"/>
        <w:rPr>
          <w:sz w:val="20"/>
          <w:szCs w:val="20"/>
          <w:color w:val="auto"/>
        </w:rPr>
      </w:pPr>
    </w:p>
    <w:p>
      <w:pPr>
        <w:jc w:val="both"/>
        <w:ind w:left="-8" w:firstLine="1304"/>
        <w:spacing w:after="0" w:line="262" w:lineRule="auto"/>
        <w:tabs>
          <w:tab w:leader="none" w:pos="1933"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2023-1 Excess Collection Account</w:t>
      </w:r>
      <w:r>
        <w:rPr>
          <w:rFonts w:ascii="Times New Roman" w:cs="Times New Roman" w:eastAsia="Times New Roman" w:hAnsi="Times New Roman"/>
          <w:sz w:val="21"/>
          <w:szCs w:val="21"/>
          <w:color w:val="auto"/>
        </w:rPr>
        <w:t>. Amounts allocated to the Series 2023-1 Excess Collection Account on any Series 2023-1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w:t>
      </w:r>
    </w:p>
    <w:p>
      <w:pPr>
        <w:spacing w:after="0" w:line="1" w:lineRule="exact"/>
        <w:rPr>
          <w:rFonts w:ascii="Times New Roman" w:cs="Times New Roman" w:eastAsia="Times New Roman" w:hAnsi="Times New Roman"/>
          <w:sz w:val="21"/>
          <w:szCs w:val="21"/>
          <w:color w:val="auto"/>
        </w:rPr>
      </w:pPr>
    </w:p>
    <w:p>
      <w:pPr>
        <w:jc w:val="both"/>
        <w:ind w:left="-8" w:firstLine="8"/>
        <w:spacing w:after="0" w:line="246" w:lineRule="auto"/>
        <w:tabs>
          <w:tab w:leader="none" w:pos="31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clauses (x), (y) and (z), that no Amortization Event, Series 2023-1 Enhancement Deficiency or AESOP I Operating Lease Vehicle Deficiency would result therefrom or exist immediately thereafter. Upon the occurrence of an Amortization Event and once a Trust Officer has actual knowledge of the Amortization Event, funds on deposit in the Series 2023-1 Excess Collection Account will be withdrawn by the Trustee, deposited in the Series 2023-1 Collection Account and allocated as Principal Collections to reduce the Series 2023-1 Invested Amount on the immediately succeeding Distribution Date.</w:t>
      </w:r>
    </w:p>
    <w:p>
      <w:pPr>
        <w:spacing w:after="0" w:line="188" w:lineRule="exact"/>
        <w:rPr>
          <w:rFonts w:ascii="Times New Roman" w:cs="Times New Roman" w:eastAsia="Times New Roman" w:hAnsi="Times New Roman"/>
          <w:sz w:val="22"/>
          <w:szCs w:val="22"/>
          <w:color w:val="auto"/>
        </w:rPr>
      </w:pPr>
    </w:p>
    <w:p>
      <w:pPr>
        <w:jc w:val="both"/>
        <w:ind w:left="-8" w:firstLine="1304"/>
        <w:spacing w:after="0" w:line="268" w:lineRule="auto"/>
        <w:tabs>
          <w:tab w:leader="none" w:pos="1814"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From Other Series</w:t>
      </w:r>
      <w:r>
        <w:rPr>
          <w:rFonts w:ascii="Times New Roman" w:cs="Times New Roman" w:eastAsia="Times New Roman" w:hAnsi="Times New Roman"/>
          <w:sz w:val="21"/>
          <w:szCs w:val="21"/>
          <w:color w:val="auto"/>
        </w:rPr>
        <w:t>. Amounts allocated to other Series of Notes that have been reallocated by ABRCF to the Series 2023-1 Notes (i) during the Series 2023-1 Revolving Period shall be allocated to the Series 2023-1 Excess Collection Account and applied in accordance with Section 2.2(e) and (ii) during the Series 2023-1 Controlled Amortization Period or the Series 2023-1 Rapid Amortization Period shall be allocated to the Series 2023-1 Collection Account and applied in accordance with Section 2.2(b) or 2.2(c), as applicable, to make principal payments in respect of the Series 2023-1 Notes.</w:t>
      </w:r>
    </w:p>
    <w:p>
      <w:pPr>
        <w:spacing w:after="0" w:line="163" w:lineRule="exact"/>
        <w:rPr>
          <w:rFonts w:ascii="Times New Roman" w:cs="Times New Roman" w:eastAsia="Times New Roman" w:hAnsi="Times New Roman"/>
          <w:sz w:val="21"/>
          <w:szCs w:val="21"/>
          <w:color w:val="auto"/>
        </w:rPr>
      </w:pPr>
    </w:p>
    <w:p>
      <w:pPr>
        <w:jc w:val="both"/>
        <w:ind w:left="-8" w:firstLine="1304"/>
        <w:spacing w:after="0" w:line="250" w:lineRule="auto"/>
        <w:tabs>
          <w:tab w:leader="none" w:pos="185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Past Due Rent Payments</w:t>
      </w:r>
      <w:r>
        <w:rPr>
          <w:rFonts w:ascii="Times New Roman" w:cs="Times New Roman" w:eastAsia="Times New Roman" w:hAnsi="Times New Roman"/>
          <w:sz w:val="22"/>
          <w:szCs w:val="22"/>
          <w:color w:val="auto"/>
        </w:rPr>
        <w:t>. Notwithstanding the foregoing, if in the case of Section 2.2(a) or (b), after the occurrence of a Series 2023-1 Lease Payment Deficit, the Lessees shall make payments of Monthly Base Rent or other amounts payable by the Lessees under the Leases on or prior to the fifth Business Day after the occurrence of such Series 2023-1 Lease Payment Deficit (a “</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the Administrator shall direct the Trustee in writing pursuant to the Administration Agreement to allocate to the Series 2023-1 Collection Account an amount equal to the Series 2023-1 Invested Percentage as of the date of the occurrence of such Series 2023-1 Lease Payment Deficit of the Collections attributable to such Past Due Rent Payment (the “</w:t>
      </w:r>
      <w:r>
        <w:rPr>
          <w:rFonts w:ascii="Times New Roman" w:cs="Times New Roman" w:eastAsia="Times New Roman" w:hAnsi="Times New Roman"/>
          <w:sz w:val="22"/>
          <w:szCs w:val="22"/>
          <w:u w:val="single" w:color="auto"/>
          <w:color w:val="auto"/>
        </w:rPr>
        <w:t>Series 2023-1 Past Due Rent Payment</w:t>
      </w:r>
      <w:r>
        <w:rPr>
          <w:rFonts w:ascii="Times New Roman" w:cs="Times New Roman" w:eastAsia="Times New Roman" w:hAnsi="Times New Roman"/>
          <w:sz w:val="22"/>
          <w:szCs w:val="22"/>
          <w:color w:val="auto"/>
        </w:rPr>
        <w:t>”). The Administrator shall instruct the</w:t>
      </w:r>
    </w:p>
    <w:p>
      <w:pPr>
        <w:spacing w:after="0" w:line="200" w:lineRule="exact"/>
        <w:rPr>
          <w:sz w:val="20"/>
          <w:szCs w:val="20"/>
          <w:color w:val="auto"/>
        </w:rPr>
      </w:pPr>
    </w:p>
    <w:p>
      <w:pPr>
        <w:spacing w:after="0" w:line="277" w:lineRule="exact"/>
        <w:rPr>
          <w:sz w:val="20"/>
          <w:szCs w:val="20"/>
          <w:color w:val="auto"/>
        </w:rPr>
      </w:pPr>
    </w:p>
    <w:tbl>
      <w:tblPr>
        <w:tblLayout w:type="fixed"/>
        <w:tblInd w:w="72"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ectPr>
          <w:pgSz w:w="11900" w:h="16838" w:orient="portrait"/>
          <w:cols w:equalWidth="0" w:num="1">
            <w:col w:w="11232"/>
          </w:cols>
          <w:pgMar w:left="328" w:top="1030" w:right="339" w:bottom="1440" w:gutter="0" w:footer="0" w:header="0"/>
        </w:sectPr>
      </w:pPr>
    </w:p>
    <w:bookmarkStart w:id="90" w:name="page91"/>
    <w:bookmarkEnd w:id="90"/>
    <w:p>
      <w:pPr>
        <w:spacing w:after="0" w:line="271" w:lineRule="auto"/>
        <w:rPr>
          <w:sz w:val="20"/>
          <w:szCs w:val="20"/>
          <w:color w:val="auto"/>
        </w:rPr>
      </w:pPr>
      <w:r>
        <w:rPr>
          <w:rFonts w:ascii="Times New Roman" w:cs="Times New Roman" w:eastAsia="Times New Roman" w:hAnsi="Times New Roman"/>
          <w:sz w:val="22"/>
          <w:szCs w:val="22"/>
          <w:color w:val="auto"/>
        </w:rPr>
        <w:t>Trustee in writing pursuant to the Administration Agreement to withdraw from the Series 2023-1 Collection Account and apply the Series 2023-1 Past Due Rent Payment in the following order:</w:t>
      </w:r>
    </w:p>
    <w:p>
      <w:pPr>
        <w:spacing w:after="0" w:line="171" w:lineRule="exact"/>
        <w:rPr>
          <w:sz w:val="20"/>
          <w:szCs w:val="20"/>
          <w:color w:val="auto"/>
        </w:rPr>
      </w:pPr>
    </w:p>
    <w:p>
      <w:pPr>
        <w:jc w:val="both"/>
        <w:ind w:left="660" w:firstLine="1292"/>
        <w:spacing w:after="0" w:line="250" w:lineRule="auto"/>
        <w:tabs>
          <w:tab w:leader="none" w:pos="241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2023-1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2023-1 Reimbursement Agreement an amount equal to the lesser of (x) the unreimbursed amount of such Multi-Series Letter of Credit Provider’s Lease Deficit Disbursement with respect to the Class A/B/C Notes and (y) such Multi-Series Letter of Credit Provider’s Class A/B/C Pro Rata Share of the Series 2023-1 Past Due Rent Payment;</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62" w:lineRule="auto"/>
        <w:tabs>
          <w:tab w:leader="none" w:pos="2479"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2023-1 Lease Payment Deficit resulted in a withdrawal being made from the Class A/B/C Cash Collateral Account, deposit in the Class A/B/C Cash Collateral Account an amount equal to the lesser of (x) the amount of the Series 2023-1 Past Due Rent Payment remaining after any payment pursuant to clause</w:t>
      </w:r>
    </w:p>
    <w:p>
      <w:pPr>
        <w:spacing w:after="0" w:line="2" w:lineRule="exact"/>
        <w:rPr>
          <w:rFonts w:ascii="Times New Roman" w:cs="Times New Roman" w:eastAsia="Times New Roman" w:hAnsi="Times New Roman"/>
          <w:sz w:val="21"/>
          <w:szCs w:val="21"/>
          <w:color w:val="auto"/>
        </w:rPr>
      </w:pPr>
    </w:p>
    <w:p>
      <w:pPr>
        <w:ind w:left="660" w:hanging="4"/>
        <w:spacing w:after="0" w:line="261" w:lineRule="auto"/>
        <w:tabs>
          <w:tab w:leader="none" w:pos="92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A/B/C Cash Collateral Account on account of such Series 2023-1 Lease Payment Deficit;</w:t>
      </w:r>
    </w:p>
    <w:p>
      <w:pPr>
        <w:spacing w:after="0" w:line="168"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527"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2023-1 Lease Payment Deficit resulted in a withdrawal being made from the Class A/B/C Reserve Account pursuant to Section 2.3(d), deposit in the Class A/B/C Reserve Account an amount equal to the lesser of (x) the amount of the Series 2023-1 Past Due Rent Payment remaining after any payments pursuant to clauses (i) and (ii) above and (y) the excess, if any, of the Class A/B/C Required Reserve Account Amount over the Class A/B/C Available Reserve Account Amount on such day;</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2023-1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2023-1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2023-1 Past Due Rent Payment remaining after any payment pursuant to clauses (i) through (iii) above;</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469"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2023-1 Lease Payment Deficit resulted in a withdrawal being made from the Class D Cash Collateral Account, deposit in the Class D Cash Collateral Account an amount equal to the lesser of (x) the amount of the Series 2023-1 Past Due Rent Payment remaining after any payment pursuant to clause (i) through</w:t>
      </w:r>
    </w:p>
    <w:p>
      <w:pPr>
        <w:spacing w:after="0" w:line="1" w:lineRule="exact"/>
        <w:rPr>
          <w:rFonts w:ascii="Times New Roman" w:cs="Times New Roman" w:eastAsia="Times New Roman" w:hAnsi="Times New Roman"/>
          <w:sz w:val="21"/>
          <w:szCs w:val="21"/>
          <w:color w:val="auto"/>
        </w:rPr>
      </w:pPr>
    </w:p>
    <w:p>
      <w:pPr>
        <w:ind w:left="660" w:right="20" w:hanging="4"/>
        <w:spacing w:after="0" w:line="259" w:lineRule="auto"/>
        <w:tabs>
          <w:tab w:leader="none" w:pos="104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D Cash Collateral Account on account of such Series 2023-1 Lease Payment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ectPr>
          <w:pgSz w:w="11900" w:h="16838" w:orient="portrait"/>
          <w:cols w:equalWidth="0" w:num="1">
            <w:col w:w="11240"/>
          </w:cols>
          <w:pgMar w:left="320" w:top="1030" w:right="339" w:bottom="1440" w:gutter="0" w:footer="0" w:header="0"/>
        </w:sectPr>
      </w:pPr>
    </w:p>
    <w:bookmarkStart w:id="91" w:name="page92"/>
    <w:bookmarkEnd w:id="91"/>
    <w:p>
      <w:pPr>
        <w:jc w:val="both"/>
        <w:ind w:left="660" w:firstLine="1292"/>
        <w:spacing w:after="0" w:line="253" w:lineRule="auto"/>
        <w:tabs>
          <w:tab w:leader="none" w:pos="251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2023-1 Lease Payment Deficit resulted in a withdrawal being made from the Class D Reserve Account pursuant to Section 2.3(d), deposit in the Class D Reserve Account an amount equal to the lesser of (x) the amount of the Series 2023-1 Past Due Rent Payment remaining after any payments pursuant to clauses (i) through (v) above and (y) the excess, if any, of the Class D Required Reserve Account Amount over the Class D Available Reserve Account Amount on such day;</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65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2023-1 Accrued Interest Account the amount, if any, by which the Series 2023-1 Lease Interest Payment Deficit, if any, relating to such Series 2023-1 Lease Payment Deficit exceeds the amount of the Series 2023-1 Past Due Rent Payment applied pursuant to clauses (i) (vi) above; and</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67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 the remaining amount of the Series 2023-1 Past Due Rent Payment as Principal Collections allocated to the Series 2023-1 Notes in accordance with Section 2.2(a)(ii) or 2.2(b)(ii), as the case may be.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Payments to Noteholders</w:t>
      </w:r>
      <w:r>
        <w:rPr>
          <w:rFonts w:ascii="Times New Roman" w:cs="Times New Roman" w:eastAsia="Times New Roman" w:hAnsi="Times New Roman"/>
          <w:sz w:val="22"/>
          <w:szCs w:val="22"/>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2023-1 Notes.</w:t>
      </w:r>
    </w:p>
    <w:p>
      <w:pPr>
        <w:spacing w:after="0" w:line="179" w:lineRule="exact"/>
        <w:rPr>
          <w:sz w:val="20"/>
          <w:szCs w:val="20"/>
          <w:color w:val="auto"/>
        </w:rPr>
      </w:pPr>
    </w:p>
    <w:p>
      <w:pPr>
        <w:jc w:val="both"/>
        <w:ind w:firstLine="1304"/>
        <w:spacing w:after="0" w:line="260" w:lineRule="auto"/>
        <w:tabs>
          <w:tab w:leader="none" w:pos="1779"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Note Interest with Respect to the Series 2023-1 Notes</w:t>
      </w:r>
      <w:r>
        <w:rPr>
          <w:rFonts w:ascii="Times New Roman" w:cs="Times New Roman" w:eastAsia="Times New Roman" w:hAnsi="Times New Roman"/>
          <w:sz w:val="21"/>
          <w:szCs w:val="21"/>
          <w:color w:val="auto"/>
        </w:rPr>
        <w:t>. On each Determination Date, the Administrator shall instruct the Trustee and the Paying Agent in writing pursuant to the Administration Agreement as to the amount to be withdrawn and paid pursuant to Section 2.4 from the Series 2023-1 Accrued Interest Account to the extent funds are anticipated to be available from Interest Collections allocable to the Series 2023-1 Notes processed from but not including the preceding Distribution Date through the succeeding Distribution Date in respect of (i) an amount equal to the Class A Monthly Interest for the Series 2023-1 Interest Period ending on the day preceding the related Distribution Date, (ii) an amount equal to the amount of any unpaid Class A Shortfall as of the preceding Distribution Date (together with any accrued interest on such Class A Shortfall),</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7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Class B Monthly Interest for the Series 2023-1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2023-1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2023-1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2023-1 Interest Period ending on the day preceding the related Distribution Date and (x) an amount equal to the amount of any unpaid Class R Shortfall as of the preceding Distribution Date (together with any</w:t>
      </w:r>
    </w:p>
    <w:p>
      <w:pPr>
        <w:spacing w:after="0" w:line="200" w:lineRule="exact"/>
        <w:rPr>
          <w:sz w:val="20"/>
          <w:szCs w:val="20"/>
          <w:color w:val="auto"/>
        </w:rPr>
      </w:pP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bl>
    <w:p>
      <w:pPr>
        <w:sectPr>
          <w:pgSz w:w="11900" w:h="16838" w:orient="portrait"/>
          <w:cols w:equalWidth="0" w:num="1">
            <w:col w:w="11240"/>
          </w:cols>
          <w:pgMar w:left="320" w:top="1030" w:right="339" w:bottom="1440" w:gutter="0" w:footer="0" w:header="0"/>
        </w:sectPr>
      </w:pPr>
    </w:p>
    <w:bookmarkStart w:id="92" w:name="page93"/>
    <w:bookmarkEnd w:id="92"/>
    <w:p>
      <w:pPr>
        <w:jc w:val="both"/>
        <w:spacing w:after="0" w:line="256" w:lineRule="auto"/>
        <w:rPr>
          <w:sz w:val="20"/>
          <w:szCs w:val="20"/>
          <w:color w:val="auto"/>
        </w:rPr>
      </w:pPr>
      <w:r>
        <w:rPr>
          <w:rFonts w:ascii="Times New Roman" w:cs="Times New Roman" w:eastAsia="Times New Roman" w:hAnsi="Times New Roman"/>
          <w:sz w:val="22"/>
          <w:szCs w:val="22"/>
          <w:color w:val="auto"/>
        </w:rPr>
        <w:t>accrued interest on such Class R Shortfall). On the following Distribution Date, the Trustee shall withdraw the amounts described in the first sentence of this Section 2.3(a) from the Series 2023-1 Accrued Interest Account and deposit such amounts in the Series 2023-1 Distribution Account. For the avoidance of doubt, no interest shall accrue or be due and payable with respect to the Class C Notes for so long as ABRCF owns 100% of the Class C Notes.</w:t>
      </w:r>
    </w:p>
    <w:p>
      <w:pPr>
        <w:spacing w:after="0" w:line="176" w:lineRule="exact"/>
        <w:rPr>
          <w:sz w:val="20"/>
          <w:szCs w:val="20"/>
          <w:color w:val="auto"/>
        </w:rPr>
      </w:pPr>
    </w:p>
    <w:p>
      <w:pPr>
        <w:jc w:val="both"/>
        <w:ind w:firstLine="1304"/>
        <w:spacing w:after="0" w:line="257" w:lineRule="auto"/>
        <w:tabs>
          <w:tab w:leader="none" w:pos="1966"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 xml:space="preserve">. On or before 3:00 p.m. (New York City time) on the Business Day immediately preceding each Distribution Date, the Administrator shall notify the Trustee of the amount of any Series 2023-1 Lease Payment Deficit, such notification to be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w:t>
      </w:r>
    </w:p>
    <w:p>
      <w:pPr>
        <w:spacing w:after="0" w:line="18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8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Multi-Series Letters of Credit For Series 2023-1 Lease Interest Payment Deficits</w:t>
      </w:r>
      <w:r>
        <w:rPr>
          <w:rFonts w:ascii="Times New Roman" w:cs="Times New Roman" w:eastAsia="Times New Roman" w:hAnsi="Times New Roman"/>
          <w:sz w:val="22"/>
          <w:szCs w:val="22"/>
          <w:color w:val="auto"/>
        </w:rPr>
        <w:t>. If the Administrator determines on the Business Day immediately preceding any Distribution Date that on such Distribution Date there will exist a Series 2023-1 Lease Interest Payment Deficit, the Administrator shall:</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46" w:lineRule="auto"/>
        <w:tabs>
          <w:tab w:leader="none" w:pos="238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 the least of (x) the excess, if any, of such Series 2023-1 Lease Interest Payment Deficit over the sum of (1) the amounts described in clauses (vii) and (viii) of Section 2.3(a) above and (2) during the Series 2023-1 Rapid Amortization Period, the product of the Class D Percentage and the Series 2023-1 Trustee’s Fees for such Distribution Date, (y) the excess, if any, of (A) the sum of (1) the amounts described in clauses (i) through (vi) of Section 2.3(a) above for such Distribution Date and (2) during the Series 2023-1 Rapid Amortization Period, the product of the Class A/B/C Percentage and the Series 2023-1 Trustee’s Fees for such Distribution Date, over (B) the amounts available from the Series 2023-1 Accrued Interest Account and (z) the Class A/B/C Letter of Credit Liquidity Amount or (II) if no Class A Notes, Class B Notes or Class C Notes remain outstanding, the least of (x) such Series 2023-1 Lease Interest Payment Deficit, (y) the excess, if any, of (A) the sum of (1) the amounts described in clauses (i) through (viii) of Section 2.3(a) above for such Distribution Date and (2) during the Series 2023-1 Rapid Amortization Period, the Series 2023-1 Trustee’s Fees for such Distribution Date, over (B) the amounts available from the Series 2023-1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2023-1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2023-1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w:t>
      </w:r>
    </w:p>
    <w:p>
      <w:pPr>
        <w:spacing w:after="0" w:line="200" w:lineRule="exact"/>
        <w:rPr>
          <w:sz w:val="20"/>
          <w:szCs w:val="20"/>
          <w:color w:val="auto"/>
        </w:rPr>
      </w:pP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ectPr>
          <w:pgSz w:w="11900" w:h="16838" w:orient="portrait"/>
          <w:cols w:equalWidth="0" w:num="1">
            <w:col w:w="11240"/>
          </w:cols>
          <w:pgMar w:left="320" w:top="1030" w:right="339" w:bottom="1440" w:gutter="0" w:footer="0" w:header="0"/>
        </w:sectPr>
      </w:pPr>
    </w:p>
    <w:bookmarkStart w:id="93" w:name="page94"/>
    <w:bookmarkEnd w:id="93"/>
    <w:p>
      <w:pPr>
        <w:ind w:left="580"/>
        <w:spacing w:after="0"/>
        <w:rPr>
          <w:sz w:val="20"/>
          <w:szCs w:val="20"/>
          <w:color w:val="auto"/>
        </w:rPr>
      </w:pPr>
      <w:r>
        <w:rPr>
          <w:rFonts w:ascii="Times New Roman" w:cs="Times New Roman" w:eastAsia="Times New Roman" w:hAnsi="Times New Roman"/>
          <w:sz w:val="22"/>
          <w:szCs w:val="22"/>
          <w:color w:val="auto"/>
        </w:rPr>
        <w:t>date and draw an amount equal to the remainder of such amount on the Multi-Series Letters of Credit; and</w:t>
      </w:r>
    </w:p>
    <w:p>
      <w:pPr>
        <w:spacing w:after="0" w:line="220" w:lineRule="exact"/>
        <w:rPr>
          <w:sz w:val="20"/>
          <w:szCs w:val="20"/>
          <w:color w:val="auto"/>
        </w:rPr>
      </w:pPr>
    </w:p>
    <w:p>
      <w:pPr>
        <w:jc w:val="both"/>
        <w:ind w:left="580" w:firstLine="1292"/>
        <w:spacing w:after="0" w:line="260" w:lineRule="auto"/>
        <w:tabs>
          <w:tab w:leader="none" w:pos="2356"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2023-1 Lease Interest Payment Deficit, (y) the excess, if any, of (A) the sum of (1) the amounts described in clauses (vii) and (viii) of Section 2.3(a) above for such Distribution Date and (2) during the Series 2023-1 Rapid Amortization Period, the product of the Class D Percentage and the Series 2023-1 Trustee’s Fees for such Distribution Date, over (B) the excess of (1) the sum of (X) the amounts available from the Series 2023-1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2023-1 Rapid Amortization Period, the product of the Class A/B/C Percentage and the Series 2023-1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 Deficit Disbursements to be deposited in the Series 2023-1 Distribution Account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2023-1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spacing w:after="0" w:line="173" w:lineRule="exact"/>
        <w:rPr>
          <w:rFonts w:ascii="Times New Roman" w:cs="Times New Roman" w:eastAsia="Times New Roman" w:hAnsi="Times New Roman"/>
          <w:sz w:val="21"/>
          <w:szCs w:val="21"/>
          <w:color w:val="auto"/>
        </w:rPr>
      </w:pPr>
    </w:p>
    <w:p>
      <w:pPr>
        <w:jc w:val="both"/>
        <w:ind w:left="-80" w:firstLine="1304"/>
        <w:spacing w:after="0" w:line="251" w:lineRule="auto"/>
        <w:tabs>
          <w:tab w:leader="none" w:pos="179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Withdrawals from Series 2023-1 Reserve Accounts</w:t>
      </w:r>
      <w:r>
        <w:rPr>
          <w:rFonts w:ascii="Times New Roman" w:cs="Times New Roman" w:eastAsia="Times New Roman" w:hAnsi="Times New Roman"/>
          <w:sz w:val="22"/>
          <w:szCs w:val="22"/>
          <w:color w:val="auto"/>
        </w:rPr>
        <w:t xml:space="preserve">. If the Administrator determines on any Distribution Date that the amounts available from the Series 2023-1 Accrued Interest Account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to be drawn under the Multi-Series Letters of Credit and/or withdrawn from the Series 2023-1 Cash Collateral Accounts pursuant to Section 2.3(c) are insufficient to pay the sum of (A) the amounts described in clauses (i) through (viii) of Section 2.3(a) above on such Distribution Date and (B) during the Series 2023-1 Rapid Amortization Period, the Series 2023-1 Trustee’s Fees for such Distribution Date, the Administrator shall:</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51" w:lineRule="auto"/>
        <w:tabs>
          <w:tab w:leader="none" w:pos="232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Trustee in writing to withdraw from the Class A/B/C Reserve Account and deposit in the Series 2023-1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2023-1 Rapid Amortization Period, the product of the Class A/B/C Percentage and the Series 2023-1 Trustee’s Fees for such Distribution Date or (II) if no</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ectPr>
          <w:pgSz w:w="11900" w:h="16838" w:orient="portrait"/>
          <w:cols w:equalWidth="0" w:num="1">
            <w:col w:w="11160"/>
          </w:cols>
          <w:pgMar w:left="400" w:top="1030" w:right="339" w:bottom="1440" w:gutter="0" w:footer="0" w:header="0"/>
        </w:sectPr>
      </w:pPr>
    </w:p>
    <w:bookmarkStart w:id="94" w:name="page95"/>
    <w:bookmarkEnd w:id="94"/>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Class A Notes, Class B Notes or Class C Notes remain outstanding, the sum of (1) the amounts described in clauses (i) through (viii) of Section 2.3(a) above with respect to such Distribution Date and (2) during the Series 2023-1 Rapid Amortization Period, the Series 2023-1 Trustee’s Fees for such Distribution Date over (B) the sum of (1) the amounts available from the Series 2023-1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2023-1 Distribution Account; and</w:t>
      </w:r>
    </w:p>
    <w:p>
      <w:pPr>
        <w:spacing w:after="0" w:line="194" w:lineRule="exact"/>
        <w:rPr>
          <w:sz w:val="20"/>
          <w:szCs w:val="20"/>
          <w:color w:val="auto"/>
        </w:rPr>
      </w:pPr>
    </w:p>
    <w:p>
      <w:pPr>
        <w:jc w:val="both"/>
        <w:ind w:left="660" w:firstLine="1292"/>
        <w:spacing w:after="0" w:line="260" w:lineRule="auto"/>
        <w:tabs>
          <w:tab w:leader="none" w:pos="2538"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instruct the Trustee in writing to withdraw from the Class D Reserve Account and deposit in the Series 2023-1 Distribution Account on such Distribution Date an amount equal to the lesser of (x) the Class D Available Reserve Account Amount and (y) the excess of (A) the sum of (1) the amounts described in clauses (vii) and (viii) of Section 2.3(a) above with respect to such Distribution Date and (2) during the Series 2023-1 Rapid Amortization Period, the product of the Class D Percentage and the Series 2023-1 Trustee’s Fees for such Distribution Date over (B) the excess with respect to such Distribution Date of (1) the sum of (W) the amounts available from the Series 2023-1 Accrued Interest Account, (X) the amount drawn on the Class A/B/C Letters of Credit (and/or withdrawn from the Class A/B/C Cash Collateral Account) in accordance with 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2023-1 Rapid Amortization Period, the product of the Class A/B/C Percentage and the Series 2023-1 Trustee’s Fees for such Distribution Date. The Trustee shall withdraw such amount from the Class D Reserve Account and deposit such amount in the Series 2023-1 Distribution Account.</w:t>
      </w:r>
    </w:p>
    <w:p>
      <w:pPr>
        <w:spacing w:after="0" w:line="171"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8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Balance</w:t>
      </w:r>
      <w:r>
        <w:rPr>
          <w:rFonts w:ascii="Times New Roman" w:cs="Times New Roman" w:eastAsia="Times New Roman" w:hAnsi="Times New Roman"/>
          <w:sz w:val="21"/>
          <w:szCs w:val="21"/>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2023-1 Accrued Interest Account and the Series 2023-1 Distribution Account,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drawn under the Multi-Series Letters of Credit and/or withdrawn from the Series 2023-1 Cash Collateral Accounts pursuant to Section 2.3(c)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withdrawn from the Series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2023-1 Reserve Accounts pursuant to Section 2.3(d) as follows:</w:t>
      </w:r>
    </w:p>
    <w:p>
      <w:pPr>
        <w:spacing w:after="0" w:line="195" w:lineRule="exact"/>
        <w:rPr>
          <w:rFonts w:ascii="Times New Roman" w:cs="Times New Roman" w:eastAsia="Times New Roman" w:hAnsi="Times New Roman"/>
          <w:sz w:val="21"/>
          <w:szCs w:val="21"/>
          <w:color w:val="auto"/>
        </w:rPr>
      </w:pPr>
    </w:p>
    <w:p>
      <w:pPr>
        <w:jc w:val="both"/>
        <w:ind w:left="660" w:firstLine="1292"/>
        <w:spacing w:after="0" w:line="256" w:lineRule="auto"/>
        <w:tabs>
          <w:tab w:leader="none" w:pos="2400"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Distribution Date during the Series 2023-1 Revolving Period or the Series 2023-1 Controlled Amortization Period, (1) first, to the Administrator, an amount equal to the Series 2023-1 Percentage as of the beginning of the Series 2023-1 Interest Period ending on the day preceding such Distribution Date of the portion of the Monthly Administration Fee payable by ABRCF (as specified in clause (iii) of the</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bl>
    <w:p>
      <w:pPr>
        <w:sectPr>
          <w:pgSz w:w="11900" w:h="16838" w:orient="portrait"/>
          <w:cols w:equalWidth="0" w:num="1">
            <w:col w:w="11240"/>
          </w:cols>
          <w:pgMar w:left="320" w:top="1030" w:right="339" w:bottom="1440" w:gutter="0" w:footer="0" w:header="0"/>
        </w:sectPr>
      </w:pPr>
    </w:p>
    <w:bookmarkStart w:id="95" w:name="page96"/>
    <w:bookmarkEnd w:id="95"/>
    <w:p>
      <w:pPr>
        <w:jc w:val="both"/>
        <w:ind w:left="580"/>
        <w:spacing w:after="0" w:line="263" w:lineRule="auto"/>
        <w:rPr>
          <w:sz w:val="20"/>
          <w:szCs w:val="20"/>
          <w:color w:val="auto"/>
        </w:rPr>
      </w:pPr>
      <w:r>
        <w:rPr>
          <w:rFonts w:ascii="Times New Roman" w:cs="Times New Roman" w:eastAsia="Times New Roman" w:hAnsi="Times New Roman"/>
          <w:sz w:val="21"/>
          <w:szCs w:val="21"/>
          <w:color w:val="auto"/>
        </w:rPr>
        <w:t>definition thereof) for such Series 2023-1 Interest Period, (2) second, to the Trustee, an amount equal to the Series 2023-1 Percentage as of the beginning of such Series 2023-1 Interest Period of the fees owing to the Trustee under the Base Indenture for such Series 2023-1 Interest Period, (3) third to pay any Carrying Charges (other than Carrying Charges provided for above) to the Persons to whom such amounts are owed, an amount equal to the Series 2023-1 Percentage as of the beginning of such Series 2023-1 Interest Period of such Carrying Charges (other than Carrying Charges provided for above) for such Series 2023-1 Interest Period and (4) fourth, the balance, if any, shall be withdrawn by the Paying Agent from the Series 2023-1 Collection Account and deposited in the Series 2023-1 Excess Collection Account; and</w:t>
      </w:r>
    </w:p>
    <w:p>
      <w:pPr>
        <w:spacing w:after="0" w:line="186" w:lineRule="exact"/>
        <w:rPr>
          <w:sz w:val="20"/>
          <w:szCs w:val="20"/>
          <w:color w:val="auto"/>
        </w:rPr>
      </w:pPr>
    </w:p>
    <w:p>
      <w:pPr>
        <w:jc w:val="both"/>
        <w:ind w:left="580" w:firstLine="1292"/>
        <w:spacing w:after="0" w:line="259" w:lineRule="auto"/>
        <w:tabs>
          <w:tab w:leader="none" w:pos="2500" w:val="left"/>
        </w:tabs>
        <w:numPr>
          <w:ilvl w:val="2"/>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Distribution Date during the Series 2023-1 Rapid Amortization Period, (1) first, to the Trustee, an amount equal to the Series 2023-1 Percentage as of the beginning of such Series 2023-1 Interest Period ending on the day preceding such Distribution Date of the fees owing to the Trustee under the Base Indenture for such Series 2023-1 Interest Period, (2) second, to the Administrator, an amount equal to the Series 2023-1 Percentage as of the beginning of such Series 2023-1 Interest Period of the portion of the Monthly Administration Fee (as specified in clause</w:t>
      </w:r>
    </w:p>
    <w:p>
      <w:pPr>
        <w:spacing w:after="0" w:line="3" w:lineRule="exact"/>
        <w:rPr>
          <w:rFonts w:ascii="Times New Roman" w:cs="Times New Roman" w:eastAsia="Times New Roman" w:hAnsi="Times New Roman"/>
          <w:sz w:val="21"/>
          <w:szCs w:val="21"/>
          <w:color w:val="auto"/>
        </w:rPr>
      </w:pPr>
    </w:p>
    <w:p>
      <w:pPr>
        <w:jc w:val="both"/>
        <w:ind w:left="580" w:hanging="4"/>
        <w:spacing w:after="0" w:line="248" w:lineRule="auto"/>
        <w:tabs>
          <w:tab w:leader="none" w:pos="97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thereof) payable by ABRCF for such Series 2023-1 Interest Period, (3) third, to pay any Carrying Charges (other than Carrying Charges provided for above) to the Persons to whom such amounts are owed, an amount equal to the Series 2023-1 Percentage as of the beginning of such Series 2023-1 Interest Period of such Carrying Charges (other than Carrying Charges provided for above) for such Series 2023-1 Interest Period and (4) fourth, so long as the Series 2023-1 Invested Amount is greater than the Monthly Total Principal Allocations for the Related Month, an amount equal to the excess of the Series 2023-1 Invested Amount over the Monthly Total Principal Allocations for the Related Month shall be treated as Principal Collections.</w:t>
      </w:r>
    </w:p>
    <w:p>
      <w:pPr>
        <w:spacing w:after="0" w:line="184"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Shortfalls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417"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Class A Monthly Interest on any Distribution Date, payments of interest to the Class A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Shortfall</w:t>
      </w:r>
      <w:r>
        <w:rPr>
          <w:rFonts w:ascii="Times New Roman" w:cs="Times New Roman" w:eastAsia="Times New Roman" w:hAnsi="Times New Roman"/>
          <w:sz w:val="22"/>
          <w:szCs w:val="22"/>
          <w:color w:val="auto"/>
        </w:rPr>
        <w:t>”. Interest shall accrue on the Class A Shortfall at the Class A Note Rate.</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23"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B Monthly Interest for the Series 2023-1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Interest shall accrue on the Class B Shortfall at the Class B Note Rate.</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ectPr>
          <w:pgSz w:w="11900" w:h="16838" w:orient="portrait"/>
          <w:cols w:equalWidth="0" w:num="1">
            <w:col w:w="11160"/>
          </w:cols>
          <w:pgMar w:left="400" w:top="1030" w:right="339" w:bottom="1440" w:gutter="0" w:footer="0" w:header="0"/>
        </w:sectPr>
      </w:pPr>
    </w:p>
    <w:bookmarkStart w:id="96" w:name="page97"/>
    <w:bookmarkEnd w:id="96"/>
    <w:p>
      <w:pPr>
        <w:jc w:val="both"/>
        <w:ind w:left="660" w:firstLine="1292"/>
        <w:spacing w:after="0" w:line="250" w:lineRule="auto"/>
        <w:tabs>
          <w:tab w:leader="none" w:pos="255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C Monthly Interest for the Series 2023-1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Interest shall accrue on the Class C Shortfall at the Class C Note Rate.</w:t>
      </w:r>
    </w:p>
    <w:p>
      <w:pPr>
        <w:spacing w:after="0" w:line="193"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4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 of Section 2.3(a) and the Class D Monthly Interest on any Distribution Date, payments of interest to the Class D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D Monthly Interest for the Series 2023-1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Interest shall accrue on the Class D Shortfall at the Class D Note Rate.</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9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(vi) of Section 2.3(a) and the Class R Monthly Interest on any Distribution Date, payments of interest to the Class R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R Monthly Interest for the Series 2023-1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Interest shall accrue on the Class R Shortfall at the Class R Note Rate.</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Payment of Note Interest</w:t>
      </w:r>
      <w:r>
        <w:rPr>
          <w:rFonts w:ascii="Times New Roman" w:cs="Times New Roman" w:eastAsia="Times New Roman" w:hAnsi="Times New Roman"/>
          <w:sz w:val="22"/>
          <w:szCs w:val="22"/>
          <w:color w:val="auto"/>
        </w:rPr>
        <w:t>. (a) On each Distribution Date, subject to Section 9.8 of the Base Indenture, the Paying Agent shall, in accordance with Section 6.1 of the Base Indenture, pay the following amounts in the following order of priority from amounts deposited into the Series 2023-1 Distribution Account pursuant to Section 2.3:</w:t>
      </w:r>
    </w:p>
    <w:p>
      <w:pPr>
        <w:spacing w:after="0" w:line="167" w:lineRule="exact"/>
        <w:rPr>
          <w:sz w:val="20"/>
          <w:szCs w:val="20"/>
          <w:color w:val="auto"/>
        </w:rPr>
      </w:pPr>
    </w:p>
    <w:p>
      <w:pPr>
        <w:ind w:left="2420" w:hanging="468"/>
        <w:spacing w:after="0"/>
        <w:tabs>
          <w:tab w:leader="none" w:pos="24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Class A Noteholders, the amounts due to the Class A Noteholders described in Sections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 and (ii);</w:t>
      </w:r>
    </w:p>
    <w:p>
      <w:pPr>
        <w:spacing w:after="0" w:line="195"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 the Class B Noteholders, the amounts due to the Class B Noteholders described in Sections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2.3(a)(iii) and (iv);</w:t>
      </w:r>
    </w:p>
    <w:p>
      <w:pPr>
        <w:spacing w:after="0" w:line="195" w:lineRule="exact"/>
        <w:rPr>
          <w:rFonts w:ascii="Times New Roman" w:cs="Times New Roman" w:eastAsia="Times New Roman" w:hAnsi="Times New Roman"/>
          <w:sz w:val="21"/>
          <w:szCs w:val="21"/>
          <w:color w:val="auto"/>
        </w:rPr>
      </w:pPr>
    </w:p>
    <w:p>
      <w:pPr>
        <w:ind w:left="2500" w:hanging="548"/>
        <w:spacing w:after="0"/>
        <w:tabs>
          <w:tab w:leader="none" w:pos="250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the Class C Noteholders, the amounts due to the Class C Noteholders described in Sections</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2.3(a)(v) and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ectPr>
          <w:pgSz w:w="11900" w:h="16838" w:orient="portrait"/>
          <w:cols w:equalWidth="0" w:num="1">
            <w:col w:w="11240"/>
          </w:cols>
          <w:pgMar w:left="320" w:top="1030" w:right="339" w:bottom="1440" w:gutter="0" w:footer="0" w:header="0"/>
        </w:sectPr>
      </w:pPr>
    </w:p>
    <w:bookmarkStart w:id="97" w:name="page98"/>
    <w:bookmarkEnd w:id="97"/>
    <w:p>
      <w:pPr>
        <w:ind w:left="660" w:firstLine="1292"/>
        <w:spacing w:after="0" w:line="271" w:lineRule="auto"/>
        <w:tabs>
          <w:tab w:leader="none" w:pos="248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the Class D Noteholders, the amounts due to the Class D Noteholders described in Sections 2.3(a)(vii) and (viii); and</w:t>
      </w:r>
    </w:p>
    <w:p>
      <w:pPr>
        <w:spacing w:after="0" w:line="171"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Class R Noteholders, the amounts due to the Class R Noteholders described in Sections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2.3(a)(ix) and (x).</w:t>
      </w:r>
    </w:p>
    <w:p>
      <w:pPr>
        <w:spacing w:after="0" w:line="19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Payment of Note Principal</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Monthly Payments During Controlled Amortization Period or Rapid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Amortization Period</w:t>
      </w:r>
      <w:r>
        <w:rPr>
          <w:rFonts w:ascii="Times New Roman" w:cs="Times New Roman" w:eastAsia="Times New Roman" w:hAnsi="Times New Roman"/>
          <w:sz w:val="21"/>
          <w:szCs w:val="21"/>
          <w:color w:val="auto"/>
        </w:rPr>
        <w:t>. On each Determination Date, commencing on the second Determination Date during the Series 2023-1 Controlled Amortization Period or the first Determination Date after the commencement of the Series 2023-1 Rapid Amortization Period, the Administrator shall instruct the Trustee and the Paying Agent in writing pursuant to the Administration Agreement and in accordance with this Section 2.5 as to (1) the amount allocated to the Series 2023-1 Notes during the Related Month pursuant to Section 2.2(b)(ii), (c)(ii) or (d)(ii), as the case may be, (2) any amounts to be drawn on the Series 2023-1 Demand Notes and/or on the Multi-Series Letters of Credit (or withdrawn from the Series 2023-1 Cash Collateral Accounts) pursuant to this Section 2.5 and (3) any amounts to be withdrawn from the Series 2023-1 Reserve Accounts pursuant to this Section 2.5 and deposited into the Series 2023-1 Distribution Account. On the Distribution Date following each such Determination Date, the Trustee shall withdraw the amount allocated to the Series 2023-1 Notes during the Related Month pursuant to Section 2.2(b)(ii), (c)(ii) or (d)(ii), as the case may be, from the Series 2023-1 Collection Account and deposit such amount in the Series 2023-1 Distribution Account, to be paid to the holders of the Series 2023-1 Notes.</w:t>
      </w:r>
    </w:p>
    <w:p>
      <w:pPr>
        <w:spacing w:after="0" w:line="170" w:lineRule="exact"/>
        <w:rPr>
          <w:sz w:val="20"/>
          <w:szCs w:val="20"/>
          <w:color w:val="auto"/>
        </w:rPr>
      </w:pPr>
    </w:p>
    <w:p>
      <w:pPr>
        <w:jc w:val="both"/>
        <w:ind w:firstLine="1304"/>
        <w:spacing w:after="0" w:line="263" w:lineRule="auto"/>
        <w:tabs>
          <w:tab w:leader="none" w:pos="187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Draws on Multi-Series Letters of Credit</w:t>
      </w:r>
      <w:r>
        <w:rPr>
          <w:rFonts w:ascii="Times New Roman" w:cs="Times New Roman" w:eastAsia="Times New Roman" w:hAnsi="Times New Roman"/>
          <w:sz w:val="22"/>
          <w:szCs w:val="22"/>
          <w:color w:val="auto"/>
        </w:rPr>
        <w:t>. If the Administrator determines on the Business Day immediately preceding any Distribution Date during the Series 2023-1 Rapid Amortization Period that on such Distribution Date there will exist a Series 2023-1 Lease Principal Payment Deficit, the Administrator shall instruct the Trustee in writing to:</w:t>
      </w:r>
    </w:p>
    <w:p>
      <w:pPr>
        <w:spacing w:after="0" w:line="167" w:lineRule="exact"/>
        <w:rPr>
          <w:sz w:val="20"/>
          <w:szCs w:val="20"/>
          <w:color w:val="auto"/>
        </w:rPr>
      </w:pPr>
    </w:p>
    <w:p>
      <w:pPr>
        <w:jc w:val="both"/>
        <w:ind w:left="660" w:firstLine="644"/>
        <w:spacing w:after="0" w:line="247" w:lineRule="auto"/>
        <w:tabs>
          <w:tab w:leader="none" w:pos="182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2023-1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2023-1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2023-1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2023-1 Distribution Account an amount equal to the lesser of (x) the Class A/B/C Cash Collateral Percentage for such date of the lesser of the Series 2023-1 Lease Principal Payment Deficit and the Class A/B/C Principal Deficit Amount for such Distribution Date and (y) the Class A/B/C Available Cash Collateral Account Amount on</w:t>
      </w:r>
    </w:p>
    <w:p>
      <w:pPr>
        <w:spacing w:after="0" w:line="200" w:lineRule="exact"/>
        <w:rPr>
          <w:sz w:val="20"/>
          <w:szCs w:val="20"/>
          <w:color w:val="auto"/>
        </w:rPr>
      </w:pP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bl>
    <w:p>
      <w:pPr>
        <w:sectPr>
          <w:pgSz w:w="11900" w:h="16838" w:orient="portrait"/>
          <w:cols w:equalWidth="0" w:num="1">
            <w:col w:w="11240"/>
          </w:cols>
          <w:pgMar w:left="320" w:top="1030" w:right="339" w:bottom="1440" w:gutter="0" w:footer="0" w:header="0"/>
        </w:sectPr>
      </w:pPr>
    </w:p>
    <w:bookmarkStart w:id="98" w:name="page99"/>
    <w:bookmarkEnd w:id="98"/>
    <w:p>
      <w:pPr>
        <w:jc w:val="both"/>
        <w:ind w:left="580"/>
        <w:spacing w:after="0" w:line="260" w:lineRule="auto"/>
        <w:rPr>
          <w:sz w:val="20"/>
          <w:szCs w:val="20"/>
          <w:color w:val="auto"/>
        </w:rPr>
      </w:pPr>
      <w:r>
        <w:rPr>
          <w:rFonts w:ascii="Times New Roman" w:cs="Times New Roman" w:eastAsia="Times New Roman" w:hAnsi="Times New Roman"/>
          <w:sz w:val="21"/>
          <w:szCs w:val="21"/>
          <w:color w:val="auto"/>
        </w:rPr>
        <w:t>such date and draw an amount equal to the remainder of such amount on the Multi-Series Letters of Credit that shall be allocable to the Class A/B/C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in the preceding sentence and (y) the excess, if any, of (A) the Class A/B/C Liquidity Amount on such date over</w:t>
      </w:r>
    </w:p>
    <w:p>
      <w:pPr>
        <w:spacing w:after="0" w:line="5" w:lineRule="exact"/>
        <w:rPr>
          <w:sz w:val="20"/>
          <w:szCs w:val="20"/>
          <w:color w:val="auto"/>
        </w:rPr>
      </w:pPr>
    </w:p>
    <w:p>
      <w:pPr>
        <w:ind w:left="920" w:hanging="344"/>
        <w:spacing w:after="0"/>
        <w:tabs>
          <w:tab w:leader="none" w:pos="9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A/B/C Required Liquidity Amount on such date;</w:t>
      </w:r>
    </w:p>
    <w:p>
      <w:pPr>
        <w:spacing w:after="0" w:line="195" w:lineRule="exact"/>
        <w:rPr>
          <w:rFonts w:ascii="Times New Roman" w:cs="Times New Roman" w:eastAsia="Times New Roman" w:hAnsi="Times New Roman"/>
          <w:sz w:val="22"/>
          <w:szCs w:val="22"/>
          <w:color w:val="auto"/>
        </w:rPr>
      </w:pPr>
    </w:p>
    <w:p>
      <w:pPr>
        <w:jc w:val="both"/>
        <w:ind w:left="580" w:firstLine="644"/>
        <w:spacing w:after="0" w:line="246" w:lineRule="auto"/>
        <w:tabs>
          <w:tab w:leader="none" w:pos="1735"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2023-1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2023-1 Lease Principal Payment Deficit over (B) the amount, if any, to be drawn on the 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2023-1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2023-1 Distribution Account an amount equal to the lesser of (x) the Class A/B/C Cash Collateral Percentage for such date of the lesser of (A) the excess of (1) the Series 2023-1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ectPr>
          <w:pgSz w:w="11900" w:h="16838" w:orient="portrait"/>
          <w:cols w:equalWidth="0" w:num="1">
            <w:col w:w="11160"/>
          </w:cols>
          <w:pgMar w:left="400" w:top="1030" w:right="339" w:bottom="1440" w:gutter="0" w:footer="0" w:header="0"/>
        </w:sectPr>
      </w:pPr>
    </w:p>
    <w:bookmarkStart w:id="99" w:name="page100"/>
    <w:bookmarkEnd w:id="99"/>
    <w:p>
      <w:pPr>
        <w:ind w:left="580"/>
        <w:spacing w:after="0"/>
        <w:rPr>
          <w:sz w:val="20"/>
          <w:szCs w:val="20"/>
          <w:color w:val="auto"/>
        </w:rPr>
      </w:pPr>
      <w:r>
        <w:rPr>
          <w:rFonts w:ascii="Times New Roman" w:cs="Times New Roman" w:eastAsia="Times New Roman" w:hAnsi="Times New Roman"/>
          <w:sz w:val="22"/>
          <w:szCs w:val="22"/>
          <w:color w:val="auto"/>
        </w:rPr>
        <w:t>amount on the Multi-Series Letters of Credit that shall be allocable to the Class A/B/C Notes;</w:t>
      </w:r>
    </w:p>
    <w:p>
      <w:pPr>
        <w:spacing w:after="0" w:line="220" w:lineRule="exact"/>
        <w:rPr>
          <w:sz w:val="20"/>
          <w:szCs w:val="20"/>
          <w:color w:val="auto"/>
        </w:rPr>
      </w:pPr>
    </w:p>
    <w:p>
      <w:pPr>
        <w:jc w:val="both"/>
        <w:ind w:left="580" w:firstLine="644"/>
        <w:spacing w:after="0" w:line="247" w:lineRule="auto"/>
        <w:tabs>
          <w:tab w:leader="none" w:pos="178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any payments to be made on such Distribution Date, the Class A Notes, the Class B Notes and the Class C Notes will have been paid in full, draw on the Multi-Series Letters of Credit with respect to the Class D Notes, if any, as provided in this clause (iii). Upon receipt of a notice by the Trustee from the Administrator in respect of a Series 2023-1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2023-1 Lease Principal Payment Deficit over (B) the amount, if any, to be drawn on the Multi-Series Letters of Credit with respect to the Class D Notes and/or withdrawn from the Class A/B/C Cash Collateral Account on such Distribution Date in accordance with Section 2.5(b)(i) and/or (ii), (y) the Class D Principal Deficit Amount for such Distribution Date 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2023-1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D Cash Collateral Account has been established and funded, the Trustee shall withdraw from the Class D Cash Collateral Account and deposit in the Series 2023-1 Distribution Account an amount equal to the lesser of (x) the Class D Cash Collateral Percentage for such date of the lesser of (A) the excess of (1) the Series 2023-1 Lease Principal Payment 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spacing w:after="0" w:line="185" w:lineRule="exact"/>
        <w:rPr>
          <w:sz w:val="20"/>
          <w:szCs w:val="20"/>
          <w:color w:val="auto"/>
        </w:rPr>
      </w:pPr>
    </w:p>
    <w:p>
      <w:pPr>
        <w:jc w:val="both"/>
        <w:ind w:left="-80" w:firstLine="1304"/>
        <w:spacing w:after="0" w:line="257" w:lineRule="auto"/>
        <w:tabs>
          <w:tab w:leader="none" w:pos="167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Distribution Date</w:t>
      </w:r>
      <w:r>
        <w:rPr>
          <w:rFonts w:ascii="Times New Roman" w:cs="Times New Roman" w:eastAsia="Times New Roman" w:hAnsi="Times New Roman"/>
          <w:sz w:val="22"/>
          <w:szCs w:val="22"/>
          <w:color w:val="auto"/>
        </w:rPr>
        <w:t>. Each of the entire Class A Invested Amount, the entire Class B Invested Amount, the entire Class C Invested Amount, the entire Class D Invested Amount and the entire Class R Invested Amount shall be due and payable on the Series 2023-1 Final Distribution Date. In connection therewith:</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ectPr>
          <w:pgSz w:w="11900" w:h="16838" w:orient="portrait"/>
          <w:cols w:equalWidth="0" w:num="1">
            <w:col w:w="11160"/>
          </w:cols>
          <w:pgMar w:left="400" w:top="1030" w:right="339" w:bottom="1440" w:gutter="0" w:footer="0" w:header="0"/>
        </w:sectPr>
      </w:pPr>
    </w:p>
    <w:bookmarkStart w:id="100" w:name="page101"/>
    <w:bookmarkEnd w:id="100"/>
    <w:p>
      <w:pPr>
        <w:jc w:val="both"/>
        <w:ind w:left="580" w:firstLine="1292"/>
        <w:spacing w:after="0" w:line="248" w:lineRule="auto"/>
        <w:tabs>
          <w:tab w:leader="none" w:pos="241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If the amount to be deposited in the Series 2023-1 Distribution Account in accordance with Section 2.5(a) together with any amounts to be deposited therein in accordance with Section 2.5(b) on the Series 2023-1 Final Distribution Date is less than the Series 2023-1 Senior Invested Amount and there are any Multi-Series Letters of Credit on such date, then, prior to 10:00 a.m. (New York City time) on the second Business Day prior to the Series 2023-1 Final Distribution Date, the Administrator shall instruct the Trustee in writing to make a demand (a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xml:space="preserve">”) substantially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on the Demand Note Issuers for payment under the Series 2023-1 Demand Notes in an amount equal to the lesser of (x) such insufficiency and (y) the sum of the Class A/B/C Letter of Credit Amount and the Class D Letter of Credit Amount. The Trustee shall, prior to 12:00 noon (New York City time) on the second Business Day preceding such Series 2023-1 Final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2023-1 Demand Notes to be deposited into the Series 2023-1 Distribution Account.</w:t>
      </w:r>
    </w:p>
    <w:p>
      <w:pPr>
        <w:spacing w:after="0" w:line="187"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38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Draw</w:t>
      </w:r>
      <w:r>
        <w:rPr>
          <w:rFonts w:ascii="Times New Roman" w:cs="Times New Roman" w:eastAsia="Times New Roman" w:hAnsi="Times New Roman"/>
          <w:sz w:val="22"/>
          <w:szCs w:val="22"/>
          <w:color w:val="auto"/>
        </w:rPr>
        <w:t>. In the event that either (x) on or prior to 10:00 a.m. (New York City time) on the Business Day immediately preceding the Series 2023-1 Final Distribution Date a Demand Notice has been transmitted by the Trustee to the Demand Note Issuers pursuant to clause (i) of this Section 2.5(c) and any Demand Note Issuer shall have failed to pay to the Trustee or deposit into the Series 2023-1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2023-1 Final Distribution Date, then, in the case of (x) or (y) the Trustee shall:</w:t>
      </w:r>
    </w:p>
    <w:p>
      <w:pPr>
        <w:spacing w:after="0" w:line="198" w:lineRule="exact"/>
        <w:rPr>
          <w:rFonts w:ascii="Times New Roman" w:cs="Times New Roman" w:eastAsia="Times New Roman" w:hAnsi="Times New Roman"/>
          <w:sz w:val="22"/>
          <w:szCs w:val="22"/>
          <w:color w:val="auto"/>
        </w:rPr>
      </w:pPr>
    </w:p>
    <w:p>
      <w:pPr>
        <w:jc w:val="both"/>
        <w:ind w:left="1880" w:firstLine="640"/>
        <w:spacing w:after="0" w:line="260" w:lineRule="auto"/>
        <w:tabs>
          <w:tab w:leader="none" w:pos="3115"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draw on the Multi-Series Letters of Credit by 12:00 noon (New York City time) on such Business Day an amount allocable to the Class A/B/C Notes equal to the lesser of (a) the amount that the Demand Note Issuers so failed to pay under the Series 2023-1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A/B/C Cash Collateral Account has been established and funded, the Trustee shall withdraw from the Class A/B/C Cash Collateral Account and deposit in the Series 2023-1 Distribution Account an amount equal to the lesser of (x) the Class A/B/C Cash Collateral Percentage on such Business Day of the amount that the Demand Note Issuers so failed to pay under the Series 2023-1 Demand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ectPr>
          <w:pgSz w:w="11900" w:h="16838" w:orient="portrait"/>
          <w:cols w:equalWidth="0" w:num="1">
            <w:col w:w="11160"/>
          </w:cols>
          <w:pgMar w:left="400" w:top="1030"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AMERICAS 129834060</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22"/>
          <w:szCs w:val="22"/>
          <w:color w:val="auto"/>
        </w:rPr>
        <w:t>Notes (or, the amount that the Trustee failed to demand for payment thereunder) and (y) the Class A/B/C Available Cash Collateral Account Amount on such Business Day and draw an amount equal to the remainder of the amount that the Demand Note Issuers failed to pay under the Series 2023-1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2023-1 Distribution Account; and</w:t>
      </w:r>
    </w:p>
    <w:p>
      <w:pPr>
        <w:spacing w:after="0" w:line="187" w:lineRule="exact"/>
        <w:rPr>
          <w:sz w:val="20"/>
          <w:szCs w:val="20"/>
          <w:color w:val="auto"/>
        </w:rPr>
      </w:pPr>
    </w:p>
    <w:p>
      <w:pPr>
        <w:jc w:val="both"/>
        <w:ind w:firstLine="640"/>
        <w:spacing w:after="0" w:line="246" w:lineRule="auto"/>
        <w:tabs>
          <w:tab w:leader="none" w:pos="123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draw on the Multi-Series Letters of Credit by 12:00 noon (New York City time) on such Business Day an amount allocable to the Class D Notes equal to the lesser of (a) the excess of (x) the amount that the Demand Note Issuers so failed to pay under the Series 2023-1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 (b) the Class D Letter of Credit Amount on such Business Day by presenting to each Multi-Series Letter of Credit Provider with respect to the Class D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D Cash Collateral Account has been established and funded, the Trustee shall withdraw from the Class D Cash Collateral Account and deposit in the Series 2023-1 Distribution Account an amount equal to the lesser of (x) the Class D Cash Collateral Percentage on such Business Day of the excess of (A) the amount that the Demand Note Issuers so failed to pay under the Series 2023-1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2023-1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2023-1 Distribution Account.</w:t>
      </w:r>
    </w:p>
    <w:p>
      <w:pPr>
        <w:spacing w:after="0" w:line="200" w:lineRule="exact"/>
        <w:rPr>
          <w:sz w:val="20"/>
          <w:szCs w:val="20"/>
          <w:color w:val="auto"/>
        </w:rPr>
      </w:pPr>
    </w:p>
    <w:p>
      <w:pPr>
        <w:spacing w:after="0" w:line="29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2">
            <w:col w:w="1160" w:space="720"/>
            <w:col w:w="9280"/>
          </w:cols>
          <w:pgMar w:left="400" w:top="1246" w:right="339" w:bottom="1440" w:gutter="0" w:footer="0" w:header="0"/>
        </w:sectPr>
      </w:pPr>
    </w:p>
    <w:bookmarkStart w:id="102" w:name="page103"/>
    <w:bookmarkEnd w:id="102"/>
    <w:p>
      <w:pPr>
        <w:jc w:val="both"/>
        <w:ind w:left="580" w:firstLine="1292"/>
        <w:spacing w:after="0" w:line="262" w:lineRule="auto"/>
        <w:tabs>
          <w:tab w:leader="none" w:pos="2416"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 Account Withdrawal</w:t>
      </w:r>
      <w:r>
        <w:rPr>
          <w:rFonts w:ascii="Times New Roman" w:cs="Times New Roman" w:eastAsia="Times New Roman" w:hAnsi="Times New Roman"/>
          <w:sz w:val="21"/>
          <w:szCs w:val="21"/>
          <w:color w:val="auto"/>
        </w:rPr>
        <w:t>. If, after giving effect to the deposit into the Series 2023-1 Distribution Account of the amount to be deposited in accordance with Section 2.5(a) and the amounts described in clauses (i) and (ii) of this Section 2.5(c), the amount to be deposited in the Series 2023-1 Distribution Account with respect to the Series 2023-1 Final Distribution Date is or will be less than the Series 2023-1 Senior Invested Amount, then, prior to 12:00 noon (New York City time) on the second Business Day prior to such Series 2023-1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remaining insufficiency (after giving effect to any withdrawal from the Class A/B/C Reserve Account) and, in each case, deposit it in the Series 2023-1 Distribution Account on such Series 2023-1 Final Distribution Date.</w:t>
      </w:r>
    </w:p>
    <w:p>
      <w:pPr>
        <w:spacing w:after="0" w:line="171" w:lineRule="exact"/>
        <w:rPr>
          <w:rFonts w:ascii="Times New Roman" w:cs="Times New Roman" w:eastAsia="Times New Roman" w:hAnsi="Times New Roman"/>
          <w:sz w:val="21"/>
          <w:szCs w:val="21"/>
          <w:color w:val="auto"/>
        </w:rPr>
      </w:pPr>
    </w:p>
    <w:p>
      <w:pPr>
        <w:jc w:val="both"/>
        <w:ind w:left="-80" w:firstLine="1304"/>
        <w:spacing w:after="0" w:line="257" w:lineRule="auto"/>
        <w:tabs>
          <w:tab w:leader="none" w:pos="183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On each Distribution Date, other than the Series 2023-1 Final Distribution Date, on which the Class A/B/C Principal Deficit Amount is greater than zero, amounts shall be transferred to the Series 2023-1 Distribution Account as follows:</w:t>
      </w:r>
    </w:p>
    <w:p>
      <w:pPr>
        <w:spacing w:after="0" w:line="186"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29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xml:space="preserve">. If on any Determination Date, the Administrator determines that the Class A/B/C Principal Deficit Amount with respect to the next succeeding Distribution Date will be greater than zero and there are any Multi-Series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2023-1 Demand Note to be deposited into the Series 2023-1 Distribution Account.</w:t>
      </w:r>
    </w:p>
    <w:p>
      <w:pPr>
        <w:spacing w:after="0" w:line="184" w:lineRule="exact"/>
        <w:rPr>
          <w:sz w:val="20"/>
          <w:szCs w:val="20"/>
          <w:color w:val="auto"/>
        </w:rPr>
      </w:pPr>
    </w:p>
    <w:p>
      <w:pPr>
        <w:jc w:val="both"/>
        <w:ind w:left="580" w:firstLine="1292"/>
        <w:spacing w:after="0" w:line="249" w:lineRule="auto"/>
        <w:tabs>
          <w:tab w:leader="none" w:pos="239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Draw</w:t>
      </w:r>
      <w:r>
        <w:rPr>
          <w:rFonts w:ascii="Times New Roman" w:cs="Times New Roman" w:eastAsia="Times New Roman" w:hAnsi="Times New Roman"/>
          <w:sz w:val="22"/>
          <w:szCs w:val="22"/>
          <w:color w:val="auto"/>
        </w:rPr>
        <w:t>. In the event that either (x) on or prior to 10:00 a.m. (New York City time) on the Business Day prior to such Distribution Date, any Demand Note Issuer shall have failed to pay to the Trustee or deposit into the Series 2023-1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ectPr>
          <w:pgSz w:w="11900" w:h="16838" w:orient="portrait"/>
          <w:cols w:equalWidth="0" w:num="1">
            <w:col w:w="11160"/>
          </w:cols>
          <w:pgMar w:left="400" w:top="1030" w:right="339" w:bottom="1440" w:gutter="0" w:footer="0" w:header="0"/>
        </w:sectPr>
      </w:pPr>
    </w:p>
    <w:bookmarkStart w:id="103" w:name="page104"/>
    <w:bookmarkEnd w:id="103"/>
    <w:p>
      <w:pPr>
        <w:jc w:val="both"/>
        <w:ind w:left="580"/>
        <w:spacing w:after="0" w:line="248" w:lineRule="auto"/>
        <w:rPr>
          <w:sz w:val="20"/>
          <w:szCs w:val="20"/>
          <w:color w:val="auto"/>
        </w:rPr>
      </w:pPr>
      <w:r>
        <w:rPr>
          <w:rFonts w:ascii="Times New Roman" w:cs="Times New Roman" w:eastAsia="Times New Roman" w:hAnsi="Times New Roman"/>
          <w:sz w:val="22"/>
          <w:szCs w:val="22"/>
          <w:color w:val="auto"/>
        </w:rPr>
        <w:t xml:space="preserve">with respect to the Class A/B/C Notes an amount allocable to the Class A/B/C Notes equal to the lesser of (i) Class A/B/C Letter of Credit Amount and (ii) the aggregate amount that the Demand Note Issuers so failed to pay under the Series 2023-1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2023-1 Distribution Account an amount equal to the lesser of (x) the Class A/B/C Cash Collateral Percentage on such Business Day of the aggregate amount that the Demand Note Issuers so failed to pay under the Series 2023-1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2023-1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2023-1 Distribution Account.</w:t>
      </w:r>
    </w:p>
    <w:p>
      <w:pPr>
        <w:spacing w:after="0" w:line="183" w:lineRule="exact"/>
        <w:rPr>
          <w:sz w:val="20"/>
          <w:szCs w:val="20"/>
          <w:color w:val="auto"/>
        </w:rPr>
      </w:pPr>
    </w:p>
    <w:p>
      <w:pPr>
        <w:jc w:val="both"/>
        <w:ind w:left="580" w:firstLine="1292"/>
        <w:spacing w:after="0" w:line="250" w:lineRule="auto"/>
        <w:tabs>
          <w:tab w:leader="none" w:pos="2443"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Withdrawal</w:t>
      </w:r>
      <w:r>
        <w:rPr>
          <w:rFonts w:ascii="Times New Roman" w:cs="Times New Roman" w:eastAsia="Times New Roman" w:hAnsi="Times New Roman"/>
          <w:sz w:val="22"/>
          <w:szCs w:val="22"/>
          <w:color w:val="auto"/>
        </w:rPr>
        <w:t>.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2023-1 Distribution Account in accordance with clauses (i) and (ii) of this Section 2.5(d) and deposit it in the Series 2023-1 Distribution Account on such Distribution Date.</w:t>
      </w:r>
    </w:p>
    <w:p>
      <w:pPr>
        <w:spacing w:after="0" w:line="180" w:lineRule="exact"/>
        <w:rPr>
          <w:rFonts w:ascii="Times New Roman" w:cs="Times New Roman" w:eastAsia="Times New Roman" w:hAnsi="Times New Roman"/>
          <w:sz w:val="22"/>
          <w:szCs w:val="22"/>
          <w:color w:val="auto"/>
        </w:rPr>
      </w:pPr>
    </w:p>
    <w:p>
      <w:pPr>
        <w:jc w:val="both"/>
        <w:ind w:left="-80" w:firstLine="1304"/>
        <w:spacing w:after="0" w:line="281" w:lineRule="auto"/>
        <w:tabs>
          <w:tab w:leader="none" w:pos="167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Principal Deficit Amount</w:t>
      </w:r>
      <w:r>
        <w:rPr>
          <w:rFonts w:ascii="Times New Roman" w:cs="Times New Roman" w:eastAsia="Times New Roman" w:hAnsi="Times New Roman"/>
          <w:sz w:val="21"/>
          <w:szCs w:val="21"/>
          <w:color w:val="auto"/>
        </w:rPr>
        <w:t>. On each Distribution Date, other than the Series 2023-1 Final Distribution Date, on which the Class A Notes, Class B Notes and Class C Notes will have been paid in full and the Class D Principal Deficit Amount is greater than zero, amounts shall be transferred to the Series 2023-1 Distribution Account as follows:</w:t>
      </w:r>
    </w:p>
    <w:p>
      <w:pPr>
        <w:spacing w:after="0" w:line="150" w:lineRule="exact"/>
        <w:rPr>
          <w:rFonts w:ascii="Times New Roman" w:cs="Times New Roman" w:eastAsia="Times New Roman" w:hAnsi="Times New Roman"/>
          <w:sz w:val="21"/>
          <w:szCs w:val="21"/>
          <w:color w:val="auto"/>
        </w:rPr>
      </w:pPr>
    </w:p>
    <w:p>
      <w:pPr>
        <w:jc w:val="both"/>
        <w:ind w:left="580" w:firstLine="1292"/>
        <w:spacing w:after="0" w:line="248" w:lineRule="auto"/>
        <w:tabs>
          <w:tab w:leader="none" w:pos="239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bl>
    <w:p>
      <w:pPr>
        <w:sectPr>
          <w:pgSz w:w="11900" w:h="16838" w:orient="portrait"/>
          <w:cols w:equalWidth="0" w:num="1">
            <w:col w:w="11160"/>
          </w:cols>
          <w:pgMar w:left="400" w:top="1030" w:right="339" w:bottom="1440" w:gutter="0" w:footer="0" w:header="0"/>
        </w:sectPr>
      </w:pPr>
    </w:p>
    <w:bookmarkStart w:id="104" w:name="page105"/>
    <w:bookmarkEnd w:id="104"/>
    <w:p>
      <w:pPr>
        <w:jc w:val="both"/>
        <w:ind w:left="580"/>
        <w:spacing w:after="0" w:line="256" w:lineRule="auto"/>
        <w:rPr>
          <w:sz w:val="20"/>
          <w:szCs w:val="20"/>
          <w:color w:val="auto"/>
        </w:rPr>
      </w:pPr>
      <w:r>
        <w:rPr>
          <w:rFonts w:ascii="Times New Roman" w:cs="Times New Roman" w:eastAsia="Times New Roman" w:hAnsi="Times New Roman"/>
          <w:sz w:val="22"/>
          <w:szCs w:val="22"/>
          <w:color w:val="auto"/>
        </w:rPr>
        <w:t>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2023-1 Demand Note to be deposited into the Series 2023-1 Distribution Account.</w:t>
      </w:r>
    </w:p>
    <w:p>
      <w:pPr>
        <w:spacing w:after="0" w:line="176" w:lineRule="exact"/>
        <w:rPr>
          <w:sz w:val="20"/>
          <w:szCs w:val="20"/>
          <w:color w:val="auto"/>
        </w:rPr>
      </w:pPr>
    </w:p>
    <w:p>
      <w:pPr>
        <w:jc w:val="both"/>
        <w:ind w:left="580" w:firstLine="1292"/>
        <w:spacing w:after="0" w:line="246" w:lineRule="auto"/>
        <w:tabs>
          <w:tab w:leader="none" w:pos="23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Draw</w:t>
      </w:r>
      <w:r>
        <w:rPr>
          <w:rFonts w:ascii="Times New Roman" w:cs="Times New Roman" w:eastAsia="Times New Roman" w:hAnsi="Times New Roman"/>
          <w:sz w:val="22"/>
          <w:szCs w:val="22"/>
          <w:color w:val="auto"/>
        </w:rPr>
        <w:t xml:space="preserve">. In the event that either (x) on or prior to 10:00 a.m. (New York City time) on the Business Day prior to such Distribution Date, any Demand Note Issuer shall have failed to pay to the Trustee or deposit into the Series 2023-1 Distribution Account the amount specified in such Demand Notice delivered pursuant to Section 2.5I(i)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 Notes equal to the lesser of (i) Class A/B/C Letter of Credit Amount and (ii) the aggregate amount that the Demand Note Issuers so failed to pay under the Series 2023-1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2023-1 Distribution Account an amount equal to the lesser of (x) the Class A/B/C Cash Collateral Percentage on such Business Day of the aggregate amount that the Demand Note Issuers so failed to pay under the Series 2023-1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2023-1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2023-1 Distribution Account.</w:t>
      </w:r>
    </w:p>
    <w:p>
      <w:pPr>
        <w:spacing w:after="0" w:line="205" w:lineRule="exact"/>
        <w:rPr>
          <w:rFonts w:ascii="Times New Roman" w:cs="Times New Roman" w:eastAsia="Times New Roman" w:hAnsi="Times New Roman"/>
          <w:sz w:val="22"/>
          <w:szCs w:val="22"/>
          <w:color w:val="auto"/>
        </w:rPr>
      </w:pPr>
    </w:p>
    <w:p>
      <w:pPr>
        <w:jc w:val="both"/>
        <w:ind w:left="580" w:firstLine="1292"/>
        <w:spacing w:after="0" w:line="265" w:lineRule="auto"/>
        <w:tabs>
          <w:tab w:leader="none" w:pos="2537"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A/B/C Reserve Account Withdrawal</w:t>
      </w:r>
      <w:r>
        <w:rPr>
          <w:rFonts w:ascii="Times New Roman" w:cs="Times New Roman" w:eastAsia="Times New Roman" w:hAnsi="Times New Roman"/>
          <w:sz w:val="21"/>
          <w:szCs w:val="21"/>
          <w:color w:val="auto"/>
        </w:rPr>
        <w:t>. If the amounts to be deposited in the Series 2023-1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2023-1 Distribution</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bl>
    <w:p>
      <w:pPr>
        <w:sectPr>
          <w:pgSz w:w="11900" w:h="16838" w:orient="portrait"/>
          <w:cols w:equalWidth="0" w:num="1">
            <w:col w:w="11160"/>
          </w:cols>
          <w:pgMar w:left="400" w:top="1030" w:right="339" w:bottom="1440" w:gutter="0" w:footer="0" w:header="0"/>
        </w:sectPr>
      </w:pPr>
    </w:p>
    <w:bookmarkStart w:id="105" w:name="page106"/>
    <w:bookmarkEnd w:id="105"/>
    <w:p>
      <w:pPr>
        <w:ind w:left="580" w:right="20"/>
        <w:spacing w:after="0" w:line="271" w:lineRule="auto"/>
        <w:rPr>
          <w:sz w:val="20"/>
          <w:szCs w:val="20"/>
          <w:color w:val="auto"/>
        </w:rPr>
      </w:pPr>
      <w:r>
        <w:rPr>
          <w:rFonts w:ascii="Times New Roman" w:cs="Times New Roman" w:eastAsia="Times New Roman" w:hAnsi="Times New Roman"/>
          <w:sz w:val="22"/>
          <w:szCs w:val="22"/>
          <w:color w:val="auto"/>
        </w:rPr>
        <w:t>Account in accordance with clauses (i) and (ii) of this Section 2.5(e) and deposit it in the Series 2023-1 Distribution Account on such Distribution Date.</w:t>
      </w:r>
    </w:p>
    <w:p>
      <w:pPr>
        <w:spacing w:after="0" w:line="171" w:lineRule="exact"/>
        <w:rPr>
          <w:sz w:val="20"/>
          <w:szCs w:val="20"/>
          <w:color w:val="auto"/>
        </w:rPr>
      </w:pPr>
    </w:p>
    <w:p>
      <w:pPr>
        <w:jc w:val="both"/>
        <w:ind w:left="580" w:firstLine="1292"/>
        <w:spacing w:after="0" w:line="262" w:lineRule="auto"/>
        <w:tabs>
          <w:tab w:leader="none" w:pos="2431" w:val="left"/>
        </w:tabs>
        <w:numPr>
          <w:ilvl w:val="2"/>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 of Credit Draw</w:t>
      </w:r>
      <w:r>
        <w:rPr>
          <w:rFonts w:ascii="Times New Roman" w:cs="Times New Roman" w:eastAsia="Times New Roman" w:hAnsi="Times New Roman"/>
          <w:sz w:val="21"/>
          <w:szCs w:val="21"/>
          <w:color w:val="auto"/>
        </w:rPr>
        <w:t>. In the event that either (x) on or prior to 10:00 a.m. (New York City time) on the Business Day prior to such Distribution Date, any Demand Note Issuer shall have failed to pay to the Trustee or deposit into the Series 2023-1 Distribution Account the amount specified in such Demand Notice in whole or in part or</w:t>
      </w:r>
    </w:p>
    <w:p>
      <w:pPr>
        <w:spacing w:after="0" w:line="2" w:lineRule="exact"/>
        <w:rPr>
          <w:rFonts w:ascii="Times New Roman" w:cs="Times New Roman" w:eastAsia="Times New Roman" w:hAnsi="Times New Roman"/>
          <w:sz w:val="21"/>
          <w:szCs w:val="21"/>
          <w:color w:val="auto"/>
        </w:rPr>
      </w:pPr>
    </w:p>
    <w:p>
      <w:pPr>
        <w:jc w:val="both"/>
        <w:ind w:left="580" w:hanging="4"/>
        <w:spacing w:after="0" w:line="257" w:lineRule="auto"/>
        <w:tabs>
          <w:tab w:leader="none" w:pos="88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D Notes, if any, an amount allocable to the Class D Notes equal to the lesser of</w:t>
      </w:r>
    </w:p>
    <w:p>
      <w:pPr>
        <w:spacing w:after="0" w:line="3" w:lineRule="exact"/>
        <w:rPr>
          <w:rFonts w:ascii="Times New Roman" w:cs="Times New Roman" w:eastAsia="Times New Roman" w:hAnsi="Times New Roman"/>
          <w:sz w:val="21"/>
          <w:szCs w:val="21"/>
          <w:color w:val="auto"/>
        </w:rPr>
      </w:pPr>
    </w:p>
    <w:p>
      <w:pPr>
        <w:jc w:val="both"/>
        <w:ind w:left="580" w:hanging="4"/>
        <w:spacing w:after="0" w:line="255" w:lineRule="auto"/>
        <w:tabs>
          <w:tab w:leader="none" w:pos="862"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Class D Letter of Credit Amount and (ii) the excess of (A) the aggregate amount that the Demand Note Issuers so failed to pay under the Series 2023-1 Demand Notes (or, the amount that the Trustee failed to demand for payment thereunder) over (B) the amount deposited into the Series 2023-1 Distribution Account in accordance with Section 2.5(e)</w:t>
      </w:r>
    </w:p>
    <w:p>
      <w:pPr>
        <w:spacing w:after="0" w:line="1" w:lineRule="exact"/>
        <w:rPr>
          <w:rFonts w:ascii="Times New Roman" w:cs="Times New Roman" w:eastAsia="Times New Roman" w:hAnsi="Times New Roman"/>
          <w:sz w:val="21"/>
          <w:szCs w:val="21"/>
          <w:color w:val="auto"/>
        </w:rPr>
      </w:pPr>
    </w:p>
    <w:p>
      <w:pPr>
        <w:jc w:val="both"/>
        <w:ind w:left="580" w:hanging="4"/>
        <w:spacing w:after="0" w:line="259" w:lineRule="auto"/>
        <w:tabs>
          <w:tab w:leader="none" w:pos="906"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and (iii) above, by presenting to each Multi-Series Letter of Credit Provider with respect to the Class D Notes a draft accompanied by a Certificate of Unpaid Demand Note Demand;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2023-1 Distribution Account an amount equal to the lesser of (x) the Class D Cash Collateral Percentage on such Business Day of the excess of (A) the aggregate amount that the Demand Note Issuers so failed to pay under the Series 2023-1 Demand Notes (or, the amount that the Trustee failed to demand for payment thereunder) over</w:t>
      </w:r>
    </w:p>
    <w:p>
      <w:pPr>
        <w:jc w:val="both"/>
        <w:ind w:left="58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amount deposited into the Series 2023-1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2023-1 Distribution Account.</w:t>
      </w:r>
    </w:p>
    <w:p>
      <w:pPr>
        <w:spacing w:after="0" w:line="188" w:lineRule="exact"/>
        <w:rPr>
          <w:rFonts w:ascii="Times New Roman" w:cs="Times New Roman" w:eastAsia="Times New Roman" w:hAnsi="Times New Roman"/>
          <w:sz w:val="21"/>
          <w:szCs w:val="21"/>
          <w:color w:val="auto"/>
        </w:rPr>
      </w:pPr>
    </w:p>
    <w:p>
      <w:pPr>
        <w:jc w:val="both"/>
        <w:ind w:left="580" w:firstLine="1292"/>
        <w:spacing w:after="0" w:line="249" w:lineRule="auto"/>
        <w:tabs>
          <w:tab w:leader="none" w:pos="2573"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Reserve Account Withdrawal</w:t>
      </w:r>
      <w:r>
        <w:rPr>
          <w:rFonts w:ascii="Times New Roman" w:cs="Times New Roman" w:eastAsia="Times New Roman" w:hAnsi="Times New Roman"/>
          <w:sz w:val="22"/>
          <w:szCs w:val="22"/>
          <w:color w:val="auto"/>
        </w:rPr>
        <w:t>. If the amounts to be deposited in the Series 2023-1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2023-1 Distribution Account in accordance with clauses (i) through (iv) of this Section 2.5(e) and deposit it in the Series 2023-1 Distribution Account on such Distribution Date.</w:t>
      </w:r>
    </w:p>
    <w:p>
      <w:pPr>
        <w:spacing w:after="0" w:line="181" w:lineRule="exact"/>
        <w:rPr>
          <w:rFonts w:ascii="Times New Roman" w:cs="Times New Roman" w:eastAsia="Times New Roman" w:hAnsi="Times New Roman"/>
          <w:sz w:val="22"/>
          <w:szCs w:val="22"/>
          <w:color w:val="auto"/>
        </w:rPr>
      </w:pPr>
    </w:p>
    <w:p>
      <w:pPr>
        <w:ind w:left="1660" w:hanging="436"/>
        <w:spacing w:after="0"/>
        <w:tabs>
          <w:tab w:leader="none" w:pos="166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bl>
    <w:p>
      <w:pPr>
        <w:sectPr>
          <w:pgSz w:w="11900" w:h="16838" w:orient="portrait"/>
          <w:cols w:equalWidth="0" w:num="1">
            <w:col w:w="11160"/>
          </w:cols>
          <w:pgMar w:left="400" w:top="1030" w:right="339" w:bottom="1440" w:gutter="0" w:footer="0" w:header="0"/>
        </w:sectPr>
      </w:pPr>
    </w:p>
    <w:bookmarkStart w:id="106" w:name="page107"/>
    <w:bookmarkEnd w:id="106"/>
    <w:p>
      <w:pPr>
        <w:jc w:val="both"/>
        <w:ind w:left="580" w:firstLine="1292"/>
        <w:spacing w:after="0" w:line="250" w:lineRule="auto"/>
        <w:tabs>
          <w:tab w:leader="none" w:pos="235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Notes</w:t>
      </w:r>
      <w:r>
        <w:rPr>
          <w:rFonts w:ascii="Times New Roman" w:cs="Times New Roman" w:eastAsia="Times New Roman" w:hAnsi="Times New Roman"/>
          <w:sz w:val="22"/>
          <w:szCs w:val="22"/>
          <w:color w:val="auto"/>
        </w:rPr>
        <w:t xml:space="preserve">. On each Distribution Date occurring on or after the date a withdrawal is made from the Series 2023-1 Collection Account pursuant to Section 2.5(a) or amounts are deposited in the Series 2023-1 Distribution Account pursuant to Section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A Noteholder from the Series 2023-1 Distribution Account the amount deposited therein pursuant to Section 2.5(a), (b), (c) or (d), to the extent necessary to pay the Class A Controlled Distribution Amount during the Series 2023-1 Controlled Amortization Period or to the extent necessary to pay the Class A Invested Amount during the Series 2023-1 Rapid Amortization Period.</w:t>
      </w:r>
    </w:p>
    <w:p>
      <w:pPr>
        <w:spacing w:after="0" w:line="193"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39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Notes</w:t>
      </w:r>
      <w:r>
        <w:rPr>
          <w:rFonts w:ascii="Times New Roman" w:cs="Times New Roman" w:eastAsia="Times New Roman" w:hAnsi="Times New Roman"/>
          <w:sz w:val="22"/>
          <w:szCs w:val="22"/>
          <w:color w:val="auto"/>
        </w:rPr>
        <w:t xml:space="preserve">. On each Distribution Date occurring on or after the date a withdrawal is made from the Series 2023-1 Collection Account pursuant to Section 2.5(a) or amounts are deposited in the Series 2023-1 Distribution Account pursuant to Section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B Noteholder from the Series 2023-1 Distribution Account the amount deposited therein pursuant to Section 2.5(a), (b), (c) or (d) less the aggregate amount applied to make the payments required pursuant to Section 2.5(f)(i), to the extent necessary to pay the Class B Controlled Distribution Amount during the Series 2023-1 Controlled Amortization Period or to the extent necessary to pay the Class B Invested Amount during the Series 2023-1 Rapid Amortization Period.</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44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xml:space="preserve">. On each Distribution Date occurring on or after the date a withdrawal is made from the Series 2023-1 Collection Account pursuant to Section 2.5(a) or amounts are deposited in the Series 2023-1 Distribution Account pursuant to Section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C Noteholder from the Series 2023-1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2023-1 Controlled Amortization Period or to the extent necessary to pay the Class C Invested Amount during the Series 2023-1 Rapid Amortization Period.</w:t>
      </w:r>
    </w:p>
    <w:p>
      <w:pPr>
        <w:spacing w:after="0" w:line="195"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43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On each Distribution Date occurring on or after the date a withdrawal is made from the Series 2023-1 Collection Account pursuant to Section 2.5(a) or amounts are deposited in the Series 2023-1 Distribution Account pursuant to Section 2.5(b), (c), (d) or (e)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D Noteholder from the Series 2023-1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2023-1 Controlled Amortization Period or to the extent necessary to pay the Class D Invested Amount during the Series 2023-1 Rapid Amortization Period.</w:t>
      </w:r>
    </w:p>
    <w:p>
      <w:pPr>
        <w:spacing w:after="0" w:line="181" w:lineRule="exact"/>
        <w:rPr>
          <w:rFonts w:ascii="Times New Roman" w:cs="Times New Roman" w:eastAsia="Times New Roman" w:hAnsi="Times New Roman"/>
          <w:sz w:val="22"/>
          <w:szCs w:val="22"/>
          <w:color w:val="auto"/>
        </w:rPr>
      </w:pPr>
    </w:p>
    <w:p>
      <w:pPr>
        <w:ind w:left="580" w:firstLine="1292"/>
        <w:spacing w:after="0" w:line="271" w:lineRule="auto"/>
        <w:tabs>
          <w:tab w:leader="none" w:pos="238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R Notes</w:t>
      </w:r>
      <w:r>
        <w:rPr>
          <w:rFonts w:ascii="Times New Roman" w:cs="Times New Roman" w:eastAsia="Times New Roman" w:hAnsi="Times New Roman"/>
          <w:sz w:val="22"/>
          <w:szCs w:val="22"/>
          <w:color w:val="auto"/>
        </w:rPr>
        <w:t>. On each Distribution Date occurring on or after the date a withdrawal is made from the Series 2023-1 Collection Account pursuant to Section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ectPr>
          <w:pgSz w:w="11900" w:h="16838" w:orient="portrait"/>
          <w:cols w:equalWidth="0" w:num="1">
            <w:col w:w="11160"/>
          </w:cols>
          <w:pgMar w:left="400" w:top="1030" w:right="339" w:bottom="1440" w:gutter="0" w:footer="0" w:header="0"/>
        </w:sectPr>
      </w:pPr>
    </w:p>
    <w:bookmarkStart w:id="107" w:name="page108"/>
    <w:bookmarkEnd w:id="107"/>
    <w:p>
      <w:pPr>
        <w:jc w:val="both"/>
        <w:ind w:left="660"/>
        <w:spacing w:after="0" w:line="267" w:lineRule="auto"/>
        <w:rPr>
          <w:sz w:val="20"/>
          <w:szCs w:val="20"/>
          <w:color w:val="auto"/>
        </w:rPr>
      </w:pPr>
      <w:r>
        <w:rPr>
          <w:rFonts w:ascii="Times New Roman" w:cs="Times New Roman" w:eastAsia="Times New Roman" w:hAnsi="Times New Roman"/>
          <w:sz w:val="21"/>
          <w:szCs w:val="21"/>
          <w:color w:val="auto"/>
        </w:rPr>
        <w:t xml:space="preserve">2.5(a) the Paying Agent shall, in accordance with Section 6.1 of the Base Indenture, pay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to each Class R Noteholder from the Series 2023-1 Distribution Account the amount deposited therein pursuant to Section 2.5(a) less the aggregate amount applied to make the payments required pursuant to Section 2.5(f)(i), Section 2.5(f)(ii), Section 2.5(f)</w:t>
      </w:r>
    </w:p>
    <w:p>
      <w:pPr>
        <w:spacing w:after="0" w:line="1" w:lineRule="exact"/>
        <w:rPr>
          <w:sz w:val="20"/>
          <w:szCs w:val="20"/>
          <w:color w:val="auto"/>
        </w:rPr>
      </w:pPr>
    </w:p>
    <w:p>
      <w:pPr>
        <w:ind w:left="1040" w:hanging="384"/>
        <w:spacing w:after="0"/>
        <w:tabs>
          <w:tab w:leader="none" w:pos="104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Section 2.5(f)(iv), to the extent necessary to pay the Class R Controlled Amortization Amount during the Series</w:t>
      </w:r>
    </w:p>
    <w:p>
      <w:pPr>
        <w:spacing w:after="0" w:line="15" w:lineRule="exact"/>
        <w:rPr>
          <w:rFonts w:ascii="Times New Roman" w:cs="Times New Roman" w:eastAsia="Times New Roman" w:hAnsi="Times New Roman"/>
          <w:sz w:val="21"/>
          <w:szCs w:val="21"/>
          <w:color w:val="auto"/>
        </w:rPr>
      </w:pPr>
    </w:p>
    <w:p>
      <w:pPr>
        <w:ind w:left="66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2023-1 Controlled Amortization Period or to the extent necessary to pay the Class R Invested Amount during the Series 2023-1 Rapid Amortization Period.</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Administrator’s Failure to Instruct the Trustee to Make a Deposit, Draw or Payment</w:t>
      </w:r>
      <w:r>
        <w:rPr>
          <w:rFonts w:ascii="Times New Roman" w:cs="Times New Roman" w:eastAsia="Times New Roman" w:hAnsi="Times New Roman"/>
          <w:sz w:val="21"/>
          <w:szCs w:val="21"/>
          <w:color w:val="auto"/>
        </w:rPr>
        <w:t xml:space="preserve">. If the Administrator fails to give notice or instructions to make (i) any payment from or deposit into the Collection Account, (ii) any draw on the Series 2023-1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2023-1 Demand Notes or the Multi-Series Letters of Credit, or such withdrawal from such Account, in each case without such notice or instruction from the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7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Series 2023-1 Reserve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Establishment of Class A/B/C Reserve Account</w:t>
      </w:r>
      <w:r>
        <w:rPr>
          <w:rFonts w:ascii="Times New Roman" w:cs="Times New Roman" w:eastAsia="Times New Roman" w:hAnsi="Times New Roman"/>
          <w:sz w:val="21"/>
          <w:szCs w:val="21"/>
          <w:color w:val="auto"/>
        </w:rPr>
        <w:t>. ABRCF has established and shall maintain in the name of the Series 2023-1 Agent for the benefit of the Class A Noteholders, the Class B Noteholders, the Class C Noteholders and the Class D Noteholders, or cause to be established and maintained, an account (the “</w:t>
      </w:r>
      <w:r>
        <w:rPr>
          <w:rFonts w:ascii="Times New Roman" w:cs="Times New Roman" w:eastAsia="Times New Roman" w:hAnsi="Times New Roman"/>
          <w:sz w:val="21"/>
          <w:szCs w:val="21"/>
          <w:u w:val="single" w:color="auto"/>
          <w:color w:val="auto"/>
        </w:rPr>
        <w:t>Class A/B/C Reserve Account</w:t>
      </w:r>
      <w:r>
        <w:rPr>
          <w:rFonts w:ascii="Times New Roman" w:cs="Times New Roman" w:eastAsia="Times New Roman" w:hAnsi="Times New Roman"/>
          <w:sz w:val="21"/>
          <w:szCs w:val="21"/>
          <w:color w:val="auto"/>
        </w:rPr>
        <w:t xml:space="preserve">”), bearing a designation clearly indicating that the funds deposited therein are held for the benefit of the Series 2023-1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w:t>
      </w:r>
    </w:p>
    <w:p>
      <w:pPr>
        <w:spacing w:after="0" w:line="5" w:lineRule="exact"/>
        <w:rPr>
          <w:sz w:val="20"/>
          <w:szCs w:val="20"/>
          <w:color w:val="auto"/>
        </w:rPr>
      </w:pPr>
    </w:p>
    <w:p>
      <w:pPr>
        <w:jc w:val="both"/>
        <w:ind w:firstLine="8"/>
        <w:spacing w:after="0" w:line="246" w:lineRule="auto"/>
        <w:tabs>
          <w:tab w:leader="none" w:pos="42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2023-1 Agent in writing to transfer all cash and investments from the non-qualifying Class A/B/C Reserve Account into the new Class A/B/C Reserve Account. The Class A/B/C Reserve Account has initially been established with The Bank of New York Mellon Trust Company, N.A.</w:t>
      </w:r>
    </w:p>
    <w:p>
      <w:pPr>
        <w:spacing w:after="0" w:line="188"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96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A/B/C Reserve Account</w:t>
      </w:r>
      <w:r>
        <w:rPr>
          <w:rFonts w:ascii="Times New Roman" w:cs="Times New Roman" w:eastAsia="Times New Roman" w:hAnsi="Times New Roman"/>
          <w:sz w:val="22"/>
          <w:szCs w:val="22"/>
          <w:color w:val="auto"/>
        </w:rPr>
        <w:t xml:space="preserve">. The Administrator may instruct the institution maintaining the Class A/B/C Reserve Account to invest funds on deposit in the Class A/B/C Reserve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bl>
    <w:p>
      <w:pPr>
        <w:sectPr>
          <w:pgSz w:w="11900" w:h="16838" w:orient="portrait"/>
          <w:cols w:equalWidth="0" w:num="1">
            <w:col w:w="11240"/>
          </w:cols>
          <w:pgMar w:left="320" w:top="1030" w:right="339" w:bottom="1440" w:gutter="0" w:footer="0" w:header="0"/>
        </w:sectPr>
      </w:pPr>
    </w:p>
    <w:bookmarkStart w:id="108" w:name="page109"/>
    <w:bookmarkEnd w:id="108"/>
    <w:p>
      <w:pPr>
        <w:jc w:val="both"/>
        <w:spacing w:after="0" w:line="259" w:lineRule="auto"/>
        <w:rPr>
          <w:sz w:val="20"/>
          <w:szCs w:val="20"/>
          <w:color w:val="auto"/>
        </w:rPr>
      </w:pP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 on or prior to such Distribution Date;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the case of Permitted Investments held in the Series 2023-1 Reserve Account and so long as any Series 2023-1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w:t>
      </w:r>
    </w:p>
    <w:p>
      <w:pPr>
        <w:spacing w:after="0" w:line="10" w:lineRule="exact"/>
        <w:rPr>
          <w:sz w:val="20"/>
          <w:szCs w:val="20"/>
          <w:color w:val="auto"/>
        </w:rPr>
      </w:pPr>
    </w:p>
    <w:p>
      <w:pPr>
        <w:jc w:val="both"/>
        <w:ind w:firstLine="8"/>
        <w:spacing w:after="0" w:line="245" w:lineRule="auto"/>
        <w:tabs>
          <w:tab w:leader="none" w:pos="32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spacing w:after="0" w:line="20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1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Class A/B/C Reserve Account</w:t>
      </w:r>
      <w:r>
        <w:rPr>
          <w:rFonts w:ascii="Times New Roman" w:cs="Times New Roman" w:eastAsia="Times New Roman" w:hAnsi="Times New Roman"/>
          <w:sz w:val="22"/>
          <w:szCs w:val="22"/>
          <w:color w:val="auto"/>
        </w:rPr>
        <w:t>. All interest and earnings (net of losses and investment expenses) paid on funds on deposit in the Class A/B/C Reserve Account shall be deemed to be on deposit therein and available for distribution.</w:t>
      </w:r>
    </w:p>
    <w:p>
      <w:pPr>
        <w:spacing w:after="0" w:line="17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04"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Constitutes Additional Collateral for Series 2023-1 Senior Notes</w:t>
      </w:r>
      <w:r>
        <w:rPr>
          <w:rFonts w:ascii="Times New Roman" w:cs="Times New Roman" w:eastAsia="Times New Roman" w:hAnsi="Times New Roman"/>
          <w:sz w:val="22"/>
          <w:szCs w:val="22"/>
          <w:color w:val="auto"/>
        </w:rPr>
        <w:t>. In order to secure and provide for the repayment and payment of the ABRCF Obligations with respect to the Series 2023-1 Senior Notes, ABRCF hereby grants a security interest in and assigns, pledges, grants, transfers and sets over to the Trustee, for the benefit of the Series 2023-1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A/B/C Reserve Account Collateral</w:t>
      </w:r>
      <w:r>
        <w:rPr>
          <w:rFonts w:ascii="Times New Roman" w:cs="Times New Roman" w:eastAsia="Times New Roman" w:hAnsi="Times New Roman"/>
          <w:sz w:val="22"/>
          <w:szCs w:val="22"/>
          <w:color w:val="auto"/>
        </w:rPr>
        <w:t>”). The Trustee shall possess all right, title and interest in and to all funds on deposit from time to time in the Class A/B/C Reserve Account and in all proceeds thereof, and shall be</w:t>
      </w:r>
    </w:p>
    <w:p>
      <w:pPr>
        <w:spacing w:after="0" w:line="200" w:lineRule="exact"/>
        <w:rPr>
          <w:sz w:val="20"/>
          <w:szCs w:val="20"/>
          <w:color w:val="auto"/>
        </w:rPr>
      </w:pP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ectPr>
          <w:pgSz w:w="11900" w:h="16838" w:orient="portrait"/>
          <w:cols w:equalWidth="0" w:num="1">
            <w:col w:w="11240"/>
          </w:cols>
          <w:pgMar w:left="320" w:top="1030" w:right="339" w:bottom="1440" w:gutter="0" w:footer="0" w:header="0"/>
        </w:sectPr>
      </w:pPr>
    </w:p>
    <w:bookmarkStart w:id="109" w:name="page110"/>
    <w:bookmarkEnd w:id="109"/>
    <w:p>
      <w:pPr>
        <w:jc w:val="both"/>
        <w:spacing w:after="0" w:line="263" w:lineRule="auto"/>
        <w:rPr>
          <w:sz w:val="20"/>
          <w:szCs w:val="20"/>
          <w:color w:val="auto"/>
        </w:rPr>
      </w:pPr>
      <w:r>
        <w:rPr>
          <w:rFonts w:ascii="Times New Roman" w:cs="Times New Roman" w:eastAsia="Times New Roman" w:hAnsi="Times New Roman"/>
          <w:sz w:val="21"/>
          <w:szCs w:val="21"/>
          <w:color w:val="auto"/>
        </w:rPr>
        <w:t>the only person authorized to originate entitlement orders in respect of the Class A/B/C Reserve Account. The Class A/B/C Reserve Account Collateral shall be under the sole dominion and control of the Trustee for the benefit of the Series 2023-1 Noteholders. The Series 2023-1 Agent 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spacing w:after="0" w:line="186" w:lineRule="exact"/>
        <w:rPr>
          <w:sz w:val="20"/>
          <w:szCs w:val="20"/>
          <w:color w:val="auto"/>
        </w:rPr>
      </w:pPr>
    </w:p>
    <w:p>
      <w:pPr>
        <w:jc w:val="both"/>
        <w:ind w:firstLine="1304"/>
        <w:spacing w:after="0" w:line="249" w:lineRule="auto"/>
        <w:tabs>
          <w:tab w:leader="none" w:pos="180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In the event that the Class A/B/C Reserve Account Surplus on any Distribution Date, after giving effect to all withdrawals from the Class A/B/C Reserve Account, is greater than zero, if no Series 2023-1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2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Class A/B/C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Reserve Account</w:t>
      </w:r>
      <w:r>
        <w:rPr>
          <w:rFonts w:ascii="Times New Roman" w:cs="Times New Roman" w:eastAsia="Times New Roman" w:hAnsi="Times New Roman"/>
          <w:sz w:val="22"/>
          <w:szCs w:val="22"/>
          <w:color w:val="auto"/>
        </w:rPr>
        <w:t>. ABRCF shall establish and maintain in the name of the Series 2023-1 Agent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2023-1 Agent in writing to transfer all cash and investments from the non-qualifying Class D Reserve Account into the new Class D Reserve Account. Initially, the Class D Reserve Account will be established with The Bank of New York Mellon Trust Company, N.A.</w:t>
      </w:r>
    </w:p>
    <w:p>
      <w:pPr>
        <w:spacing w:after="0" w:line="200" w:lineRule="exact"/>
        <w:rPr>
          <w:sz w:val="20"/>
          <w:szCs w:val="20"/>
          <w:color w:val="auto"/>
        </w:rPr>
      </w:pPr>
    </w:p>
    <w:p>
      <w:pPr>
        <w:spacing w:after="0" w:line="29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bl>
    <w:p>
      <w:pPr>
        <w:sectPr>
          <w:pgSz w:w="11900" w:h="16838" w:orient="portrait"/>
          <w:cols w:equalWidth="0" w:num="1">
            <w:col w:w="11240"/>
          </w:cols>
          <w:pgMar w:left="320" w:top="1030" w:right="339" w:bottom="1440" w:gutter="0" w:footer="0" w:header="0"/>
        </w:sectPr>
      </w:pPr>
    </w:p>
    <w:bookmarkStart w:id="110" w:name="page111"/>
    <w:bookmarkEnd w:id="110"/>
    <w:p>
      <w:pPr>
        <w:jc w:val="both"/>
        <w:ind w:left="-8" w:firstLine="1304"/>
        <w:spacing w:after="0" w:line="260" w:lineRule="auto"/>
        <w:tabs>
          <w:tab w:leader="none" w:pos="1783"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D Reserve Account</w:t>
      </w:r>
      <w:r>
        <w:rPr>
          <w:rFonts w:ascii="Times New Roman" w:cs="Times New Roman" w:eastAsia="Times New Roman" w:hAnsi="Times New Roman"/>
          <w:sz w:val="21"/>
          <w:szCs w:val="21"/>
          <w:color w:val="auto"/>
        </w:rPr>
        <w:t xml:space="preserve">. The Administrator may instruct the institution maintaining the Class D Reserve Account to invest funds on deposit in the Class D Reserve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spacing w:after="0" w:line="179" w:lineRule="exact"/>
        <w:rPr>
          <w:rFonts w:ascii="Times New Roman" w:cs="Times New Roman" w:eastAsia="Times New Roman" w:hAnsi="Times New Roman"/>
          <w:sz w:val="21"/>
          <w:szCs w:val="21"/>
          <w:color w:val="auto"/>
        </w:rPr>
      </w:pPr>
    </w:p>
    <w:p>
      <w:pPr>
        <w:ind w:left="-8" w:firstLine="1304"/>
        <w:spacing w:after="0" w:line="295" w:lineRule="auto"/>
        <w:tabs>
          <w:tab w:leader="none" w:pos="1762"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Earnings from Class D Reserve Account</w:t>
      </w:r>
      <w:r>
        <w:rPr>
          <w:rFonts w:ascii="Times New Roman" w:cs="Times New Roman" w:eastAsia="Times New Roman" w:hAnsi="Times New Roman"/>
          <w:sz w:val="21"/>
          <w:szCs w:val="21"/>
          <w:color w:val="auto"/>
        </w:rPr>
        <w:t>. All interest and earnings (net of losses and investment expenses) paid on funds on deposit in the Class D Reserve Account shall be deemed to be on deposit therein and available for distribution.</w:t>
      </w:r>
    </w:p>
    <w:p>
      <w:pPr>
        <w:spacing w:after="0" w:line="135" w:lineRule="exact"/>
        <w:rPr>
          <w:rFonts w:ascii="Times New Roman" w:cs="Times New Roman" w:eastAsia="Times New Roman" w:hAnsi="Times New Roman"/>
          <w:sz w:val="21"/>
          <w:szCs w:val="21"/>
          <w:color w:val="auto"/>
        </w:rPr>
      </w:pPr>
    </w:p>
    <w:p>
      <w:pPr>
        <w:jc w:val="both"/>
        <w:ind w:left="-8" w:firstLine="1304"/>
        <w:spacing w:after="0" w:line="259" w:lineRule="auto"/>
        <w:tabs>
          <w:tab w:leader="none" w:pos="1721"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Reserve Account Constitutes Additional Collateral for Class D Notes</w:t>
      </w:r>
      <w:r>
        <w:rPr>
          <w:rFonts w:ascii="Times New Roman" w:cs="Times New Roman" w:eastAsia="Times New Roman" w:hAnsi="Times New Roman"/>
          <w:sz w:val="21"/>
          <w:szCs w:val="21"/>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w:t>
      </w:r>
    </w:p>
    <w:p>
      <w:pPr>
        <w:spacing w:after="0" w:line="5" w:lineRule="exact"/>
        <w:rPr>
          <w:rFonts w:ascii="Times New Roman" w:cs="Times New Roman" w:eastAsia="Times New Roman" w:hAnsi="Times New Roman"/>
          <w:sz w:val="21"/>
          <w:szCs w:val="21"/>
          <w:color w:val="auto"/>
        </w:rPr>
      </w:pPr>
    </w:p>
    <w:p>
      <w:pPr>
        <w:jc w:val="both"/>
        <w:ind w:left="-8" w:firstLine="8"/>
        <w:spacing w:after="0" w:line="246" w:lineRule="auto"/>
        <w:tabs>
          <w:tab w:leader="none" w:pos="25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(vi) are referred to, collectively, as the “</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2023-1 Agent hereby agrees (i) to act as the securities intermediary (as defined in Section 8-102(a)(14) of the New York UCC) with respect to the Class D Reserve Account; (ii) that its</w:t>
      </w:r>
    </w:p>
    <w:p>
      <w:pPr>
        <w:spacing w:after="0" w:line="200" w:lineRule="exact"/>
        <w:rPr>
          <w:sz w:val="20"/>
          <w:szCs w:val="20"/>
          <w:color w:val="auto"/>
        </w:rPr>
      </w:pPr>
    </w:p>
    <w:p>
      <w:pPr>
        <w:spacing w:after="0" w:line="286" w:lineRule="exact"/>
        <w:rPr>
          <w:sz w:val="20"/>
          <w:szCs w:val="20"/>
          <w:color w:val="auto"/>
        </w:rPr>
      </w:pPr>
    </w:p>
    <w:tbl>
      <w:tblPr>
        <w:tblLayout w:type="fixed"/>
        <w:tblInd w:w="72"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bl>
    <w:p>
      <w:pPr>
        <w:sectPr>
          <w:pgSz w:w="11900" w:h="16838" w:orient="portrait"/>
          <w:cols w:equalWidth="0" w:num="1">
            <w:col w:w="11232"/>
          </w:cols>
          <w:pgMar w:left="328" w:top="1030" w:right="339" w:bottom="1440" w:gutter="0" w:footer="0" w:header="0"/>
        </w:sectPr>
      </w:pPr>
    </w:p>
    <w:bookmarkStart w:id="111" w:name="page112"/>
    <w:bookmarkEnd w:id="111"/>
    <w:p>
      <w:pPr>
        <w:jc w:val="both"/>
        <w:spacing w:after="0" w:line="256" w:lineRule="auto"/>
        <w:rPr>
          <w:sz w:val="20"/>
          <w:szCs w:val="20"/>
          <w:color w:val="auto"/>
        </w:rPr>
      </w:pPr>
      <w:r>
        <w:rPr>
          <w:rFonts w:ascii="Times New Roman" w:cs="Times New Roman" w:eastAsia="Times New Roman" w:hAnsi="Times New Roman"/>
          <w:sz w:val="22"/>
          <w:szCs w:val="22"/>
          <w:color w:val="auto"/>
        </w:rPr>
        <w:t>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spacing w:after="0" w:line="176" w:lineRule="exact"/>
        <w:rPr>
          <w:sz w:val="20"/>
          <w:szCs w:val="20"/>
          <w:color w:val="auto"/>
        </w:rPr>
      </w:pPr>
    </w:p>
    <w:p>
      <w:pPr>
        <w:jc w:val="both"/>
        <w:ind w:firstLine="1304"/>
        <w:spacing w:after="0" w:line="262" w:lineRule="auto"/>
        <w:tabs>
          <w:tab w:leader="none" w:pos="176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Reserve Account Surplus</w:t>
      </w:r>
      <w:r>
        <w:rPr>
          <w:rFonts w:ascii="Times New Roman" w:cs="Times New Roman" w:eastAsia="Times New Roman" w:hAnsi="Times New Roman"/>
          <w:sz w:val="21"/>
          <w:szCs w:val="21"/>
          <w:color w:val="auto"/>
        </w:rPr>
        <w:t>. In the event that the Class D Reserve Account Surplus on any Distribution Date, after giving effect to all withdrawals from the Class D Reserve Account, is greater than zero, if no Series 2023-1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ABRCF.</w:t>
      </w:r>
    </w:p>
    <w:p>
      <w:pPr>
        <w:spacing w:after="0" w:line="195"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4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Class D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u w:val="single" w:color="auto"/>
          <w:color w:val="auto"/>
        </w:rPr>
        <w:t>Multi-Series Letters of Credit and Series 2023-1 Cash Collateral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Multi-Series Letters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Credit and Series 2023-1 Cash Collateral Account Constitute Additional Collateral for Series 2023-1 Senior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2023-1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w:t>
      </w:r>
    </w:p>
    <w:p>
      <w:pPr>
        <w:spacing w:after="0" w:line="5" w:lineRule="exact"/>
        <w:rPr>
          <w:sz w:val="20"/>
          <w:szCs w:val="20"/>
          <w:color w:val="auto"/>
        </w:rPr>
      </w:pPr>
    </w:p>
    <w:p>
      <w:pPr>
        <w:jc w:val="both"/>
        <w:ind w:firstLine="8"/>
        <w:spacing w:after="0" w:line="246" w:lineRule="auto"/>
        <w:tabs>
          <w:tab w:leader="none" w:pos="39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2"/>
          <w:szCs w:val="22"/>
          <w:u w:val="single" w:color="auto"/>
          <w:color w:val="auto"/>
        </w:rPr>
        <w:t>Class A/B/C Cash Collateral Account Collateral</w:t>
      </w:r>
      <w:r>
        <w:rPr>
          <w:rFonts w:ascii="Times New Roman" w:cs="Times New Roman" w:eastAsia="Times New Roman" w:hAnsi="Times New Roman"/>
          <w:sz w:val="22"/>
          <w:szCs w:val="22"/>
          <w:color w:val="auto"/>
        </w:rPr>
        <w:t>”).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w:t>
      </w:r>
    </w:p>
    <w:p>
      <w:pPr>
        <w:spacing w:after="0" w:line="200" w:lineRule="exact"/>
        <w:rPr>
          <w:sz w:val="20"/>
          <w:szCs w:val="20"/>
          <w:color w:val="auto"/>
        </w:rPr>
      </w:pP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bl>
    <w:p>
      <w:pPr>
        <w:sectPr>
          <w:pgSz w:w="11900" w:h="16838" w:orient="portrait"/>
          <w:cols w:equalWidth="0" w:num="1">
            <w:col w:w="11240"/>
          </w:cols>
          <w:pgMar w:left="320" w:top="1030" w:right="339" w:bottom="1440" w:gutter="0" w:footer="0" w:header="0"/>
        </w:sectPr>
      </w:pPr>
    </w:p>
    <w:bookmarkStart w:id="112" w:name="page113"/>
    <w:bookmarkEnd w:id="112"/>
    <w:p>
      <w:pPr>
        <w:jc w:val="both"/>
        <w:spacing w:after="0" w:line="267" w:lineRule="auto"/>
        <w:rPr>
          <w:sz w:val="20"/>
          <w:szCs w:val="20"/>
          <w:color w:val="auto"/>
        </w:rPr>
      </w:pPr>
      <w:r>
        <w:rPr>
          <w:rFonts w:ascii="Times New Roman" w:cs="Times New Roman" w:eastAsia="Times New Roman" w:hAnsi="Times New Roman"/>
          <w:sz w:val="21"/>
          <w:szCs w:val="21"/>
          <w:color w:val="auto"/>
        </w:rPr>
        <w:t>and control of the Trustee for the benefit of the Class A Noteholders, the Class B Noteholders and the Class C Noteholders. The Series 2023-1 Agent hereby agrees (i) to act as the securities intermediary (as defined in Section 8-102(a)(14) of the New York UCC) with respect to the Class A/B/C Cash Collateral Account; (ii) that its jurisdiction as a securities intermediary is New York,</w:t>
      </w:r>
    </w:p>
    <w:p>
      <w:pPr>
        <w:spacing w:after="0" w:line="1" w:lineRule="exact"/>
        <w:rPr>
          <w:sz w:val="20"/>
          <w:szCs w:val="20"/>
          <w:color w:val="auto"/>
        </w:rPr>
      </w:pPr>
    </w:p>
    <w:p>
      <w:pPr>
        <w:jc w:val="both"/>
        <w:ind w:firstLine="8"/>
        <w:spacing w:after="0" w:line="254" w:lineRule="auto"/>
        <w:tabs>
          <w:tab w:leader="none" w:pos="396"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each item of property (whether investment property, financial asset, security, instrument or cash) credited to the Class A/B/C Cash Collateral Account shall be treated as a financial asset (as defined in Section 8-102(a)(9) of the New York UCC) and</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any entitlement order (as defined in Section 8-102(a)(8) of the New York UCC) issued by the Trustee.</w:t>
      </w:r>
    </w:p>
    <w:p>
      <w:pPr>
        <w:spacing w:after="0" w:line="195" w:lineRule="exact"/>
        <w:rPr>
          <w:rFonts w:ascii="Times New Roman" w:cs="Times New Roman" w:eastAsia="Times New Roman" w:hAnsi="Times New Roman"/>
          <w:sz w:val="22"/>
          <w:szCs w:val="22"/>
          <w:color w:val="auto"/>
        </w:rPr>
      </w:pPr>
    </w:p>
    <w:p>
      <w:pPr>
        <w:jc w:val="both"/>
        <w:ind w:firstLine="1304"/>
        <w:spacing w:after="0" w:line="259" w:lineRule="auto"/>
        <w:tabs>
          <w:tab w:leader="none" w:pos="1791"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Letters of Credit and Class D Cash Collateral Account Constitute Additional Collateral for Class D Notes</w:t>
      </w:r>
      <w:r>
        <w:rPr>
          <w:rFonts w:ascii="Times New Roman" w:cs="Times New Roman" w:eastAsia="Times New Roman" w:hAnsi="Times New Roman"/>
          <w:sz w:val="21"/>
          <w:szCs w:val="21"/>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of Credit related to supporting another Series of Notes);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Class D Cash Collateral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 Collateral</w:t>
      </w:r>
      <w:r>
        <w:rPr>
          <w:rFonts w:ascii="Times New Roman" w:cs="Times New Roman" w:eastAsia="Times New Roman" w:hAnsi="Times New Roman"/>
          <w:sz w:val="21"/>
          <w:szCs w:val="21"/>
          <w:color w:val="auto"/>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2023-1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spacing w:after="0" w:line="189" w:lineRule="exact"/>
        <w:rPr>
          <w:rFonts w:ascii="Times New Roman" w:cs="Times New Roman" w:eastAsia="Times New Roman" w:hAnsi="Times New Roman"/>
          <w:sz w:val="21"/>
          <w:szCs w:val="21"/>
          <w:color w:val="auto"/>
        </w:rPr>
      </w:pPr>
    </w:p>
    <w:p>
      <w:pPr>
        <w:jc w:val="both"/>
        <w:ind w:firstLine="1304"/>
        <w:spacing w:after="0" w:line="250" w:lineRule="auto"/>
        <w:tabs>
          <w:tab w:leader="none" w:pos="1819"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Expiration Date</w:t>
      </w:r>
      <w:r>
        <w:rPr>
          <w:rFonts w:ascii="Times New Roman" w:cs="Times New Roman" w:eastAsia="Times New Roman" w:hAnsi="Times New Roman"/>
          <w:sz w:val="22"/>
          <w:szCs w:val="22"/>
          <w:color w:val="auto"/>
        </w:rPr>
        <w:t>.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2023-1 Eligible Letter of Credit Provider and is in full force and effect</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bl>
    <w:p>
      <w:pPr>
        <w:sectPr>
          <w:pgSz w:w="11900" w:h="16838" w:orient="portrait"/>
          <w:cols w:equalWidth="0" w:num="1">
            <w:col w:w="11240"/>
          </w:cols>
          <w:pgMar w:left="320" w:top="1030" w:right="339" w:bottom="1440" w:gutter="0" w:footer="0" w:header="0"/>
        </w:sectPr>
      </w:pPr>
    </w:p>
    <w:bookmarkStart w:id="113" w:name="page114"/>
    <w:bookmarkEnd w:id="113"/>
    <w:p>
      <w:pPr>
        <w:jc w:val="both"/>
        <w:spacing w:after="0" w:line="259" w:lineRule="auto"/>
        <w:rPr>
          <w:sz w:val="20"/>
          <w:szCs w:val="20"/>
          <w:color w:val="auto"/>
        </w:rPr>
      </w:pPr>
      <w:r>
        <w:rPr>
          <w:rFonts w:ascii="Times New Roman" w:cs="Times New Roman" w:eastAsia="Times New Roman" w:hAnsi="Times New Roman"/>
          <w:sz w:val="21"/>
          <w:szCs w:val="21"/>
          <w:color w:val="auto"/>
        </w:rPr>
        <w:t>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2023-1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Enhancement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2023-1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2023-1 Eligible Letter of Credit Provider and is in full force and effect, on such date, and (y) 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spacing w:after="0" w:line="200" w:lineRule="exact"/>
        <w:rPr>
          <w:sz w:val="20"/>
          <w:szCs w:val="20"/>
          <w:color w:val="auto"/>
        </w:rPr>
      </w:pPr>
    </w:p>
    <w:p>
      <w:pPr>
        <w:spacing w:after="0" w:line="24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spacing w:after="0" w:line="179" w:lineRule="exact"/>
        <w:rPr>
          <w:sz w:val="20"/>
          <w:szCs w:val="20"/>
          <w:color w:val="auto"/>
        </w:rPr>
      </w:pPr>
    </w:p>
    <w:p>
      <w:pPr>
        <w:jc w:val="both"/>
        <w:ind w:firstLine="1304"/>
        <w:spacing w:after="0" w:line="252" w:lineRule="auto"/>
        <w:tabs>
          <w:tab w:leader="none" w:pos="1899"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Letter of Credit Expiration Date</w:t>
      </w:r>
      <w:r>
        <w:rPr>
          <w:rFonts w:ascii="Times New Roman" w:cs="Times New Roman" w:eastAsia="Times New Roman" w:hAnsi="Times New Roman"/>
          <w:sz w:val="22"/>
          <w:szCs w:val="22"/>
          <w:color w:val="auto"/>
        </w:rPr>
        <w:t>.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bl>
    <w:p>
      <w:pPr>
        <w:sectPr>
          <w:pgSz w:w="11900" w:h="16838" w:orient="portrait"/>
          <w:cols w:equalWidth="0" w:num="1">
            <w:col w:w="11240"/>
          </w:cols>
          <w:pgMar w:left="320" w:top="1030" w:right="339" w:bottom="1440" w:gutter="0" w:footer="0" w:header="0"/>
        </w:sectPr>
      </w:pPr>
    </w:p>
    <w:bookmarkStart w:id="114" w:name="page115"/>
    <w:bookmarkEnd w:id="114"/>
    <w:p>
      <w:pPr>
        <w:jc w:val="both"/>
        <w:spacing w:after="0" w:line="247" w:lineRule="auto"/>
        <w:rPr>
          <w:sz w:val="20"/>
          <w:szCs w:val="20"/>
          <w:color w:val="auto"/>
        </w:rPr>
      </w:pPr>
      <w:r>
        <w:rPr>
          <w:rFonts w:ascii="Times New Roman" w:cs="Times New Roman" w:eastAsia="Times New Roman" w:hAnsi="Times New Roman"/>
          <w:sz w:val="22"/>
          <w:szCs w:val="22"/>
          <w:color w:val="auto"/>
        </w:rPr>
        <w:t>obtained from a Series 2023-1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2023-1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 (2) Business Days prior to such Multi-Series Letter of Credit Expiration Date of (x) the greater of (A) the excess, if any, of the Class D Required Enhancement Amount over the Class D Enhancement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2023-1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2023-1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spacing w:after="0" w:line="179" w:lineRule="exact"/>
        <w:rPr>
          <w:sz w:val="20"/>
          <w:szCs w:val="20"/>
          <w:color w:val="auto"/>
        </w:rPr>
      </w:pPr>
    </w:p>
    <w:p>
      <w:pPr>
        <w:jc w:val="both"/>
        <w:ind w:firstLine="1304"/>
        <w:spacing w:after="0" w:line="252" w:lineRule="auto"/>
        <w:tabs>
          <w:tab w:leader="none" w:pos="177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Multi-Series Letter of Credit Providers</w:t>
      </w:r>
      <w:r>
        <w:rPr>
          <w:rFonts w:ascii="Times New Roman" w:cs="Times New Roman" w:eastAsia="Times New Roman" w:hAnsi="Times New Roman"/>
          <w:sz w:val="22"/>
          <w:szCs w:val="22"/>
          <w:color w:val="auto"/>
        </w:rPr>
        <w:t>.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ectPr>
          <w:pgSz w:w="11900" w:h="16838" w:orient="portrait"/>
          <w:cols w:equalWidth="0" w:num="1">
            <w:col w:w="11240"/>
          </w:cols>
          <w:pgMar w:left="320" w:top="1030" w:right="339" w:bottom="1440" w:gutter="0" w:footer="0" w:header="0"/>
        </w:sectPr>
      </w:pPr>
    </w:p>
    <w:bookmarkStart w:id="115" w:name="page116"/>
    <w:bookmarkEnd w:id="115"/>
    <w:p>
      <w:pPr>
        <w:jc w:val="both"/>
        <w:spacing w:after="0" w:line="259" w:lineRule="auto"/>
        <w:rPr>
          <w:sz w:val="20"/>
          <w:szCs w:val="20"/>
          <w:color w:val="auto"/>
        </w:rPr>
      </w:pPr>
      <w:r>
        <w:rPr>
          <w:rFonts w:ascii="Times New Roman" w:cs="Times New Roman" w:eastAsia="Times New Roman" w:hAnsi="Times New Roman"/>
          <w:sz w:val="21"/>
          <w:szCs w:val="21"/>
          <w:color w:val="auto"/>
        </w:rPr>
        <w:t>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 Class A/B/C Required Enhancement Amount over the Class A/B/C Enhancement Amount, excluding the available amount allocated to the Class A/B/C Notes under the Multi-Series Letter of Credit issued by such Multi-Series Letter of Credit Provider, on such date, and (B) the excess, if any, of the Class A/B/C Required Liquidity Amount over the Class A/B/C Liquidity Amount, excluding the available amount allocated to the Class A/B/C Notes under such Multi-Series Letter of Credit, on such date, and (ii) 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Amount, excluding the available amount allocated to the Class D Notes under such Multi-Series Letter of Credit, on such date, and (ii) the amount allocated to the Class D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spacing w:after="0" w:line="189" w:lineRule="exact"/>
        <w:rPr>
          <w:sz w:val="20"/>
          <w:szCs w:val="20"/>
          <w:color w:val="auto"/>
        </w:rPr>
      </w:pPr>
    </w:p>
    <w:p>
      <w:pPr>
        <w:jc w:val="both"/>
        <w:ind w:firstLine="1304"/>
        <w:spacing w:after="0" w:line="248" w:lineRule="auto"/>
        <w:tabs>
          <w:tab w:leader="none" w:pos="176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 Demands on the Multi-Series Letters of Credit</w:t>
      </w:r>
      <w:r>
        <w:rPr>
          <w:rFonts w:ascii="Times New Roman" w:cs="Times New Roman" w:eastAsia="Times New Roman" w:hAnsi="Times New Roman"/>
          <w:sz w:val="22"/>
          <w:szCs w:val="22"/>
          <w:color w:val="auto"/>
        </w:rPr>
        <w:t xml:space="preserve">. Prior to 10:00 a.m. (New York City time) on the Business Day immediately succeeding the Multi-Series Letter of Credit Termination Date, the Administrator shall determine the Series 2023-1 Demand Note Payment Amount, if any, as of the Multi-Series Letter of Credit Termination Date and, if the Series 2023-1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2023-1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w:t>
      </w:r>
    </w:p>
    <w:p>
      <w:pPr>
        <w:spacing w:after="0" w:line="200" w:lineRule="exact"/>
        <w:rPr>
          <w:sz w:val="20"/>
          <w:szCs w:val="20"/>
          <w:color w:val="auto"/>
        </w:rPr>
      </w:pP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bl>
    <w:p>
      <w:pPr>
        <w:sectPr>
          <w:pgSz w:w="11900" w:h="16838" w:orient="portrait"/>
          <w:cols w:equalWidth="0" w:num="1">
            <w:col w:w="11240"/>
          </w:cols>
          <w:pgMar w:left="320" w:top="1030" w:right="339" w:bottom="1440" w:gutter="0" w:footer="0" w:header="0"/>
        </w:sectPr>
      </w:pPr>
    </w:p>
    <w:bookmarkStart w:id="116" w:name="page117"/>
    <w:bookmarkEnd w:id="116"/>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established and funded, the Trustee shall draw an amount equal to the product of (a) 100%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Class A/B/C Cash Collateral Percentage and (b) the lesser of the amounts referred to in clause (i) and (ii) on such Business Day on the Multi-Series Letters of Credit, as calculated by the Administrator and provided in writing to the Trustee and (II) on each such Multi-Series Letter of Credit allocable to the Class D Notes equal to the lesser of (i) the excess of (x) the Series 2023-1 Demand Note Payment Amount over (y) the amounts drawn on the Multi-Series Letter of Credit pursuant to this Section 2.8(f) that are allocable to the Class D Notes and (ii) the Class D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Class D Cash Collateral Account has been established and funded, the Trustee shall draw an amount equal to the product of (a) 100%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Class D Cash Collateral Percentage and (b) the lesser of the amounts referred to in clause (i) and (ii) on such Business Day on the Multi-Series Letters of Credit, as calculated by the Administrator and provided in writing to the Trustee.</w:t>
      </w:r>
    </w:p>
    <w:p>
      <w:pPr>
        <w:spacing w:after="0" w:line="170" w:lineRule="exact"/>
        <w:rPr>
          <w:sz w:val="20"/>
          <w:szCs w:val="20"/>
          <w:color w:val="auto"/>
        </w:rPr>
      </w:pPr>
    </w:p>
    <w:p>
      <w:pPr>
        <w:jc w:val="both"/>
        <w:ind w:firstLine="1304"/>
        <w:spacing w:after="0" w:line="249" w:lineRule="auto"/>
        <w:tabs>
          <w:tab w:leader="none" w:pos="1858"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the Multi-Series Letters of Credit</w:t>
      </w:r>
      <w:r>
        <w:rPr>
          <w:rFonts w:ascii="Times New Roman" w:cs="Times New Roman" w:eastAsia="Times New Roman" w:hAnsi="Times New Roman"/>
          <w:sz w:val="22"/>
          <w:szCs w:val="22"/>
          <w:color w:val="auto"/>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spacing w:after="0" w:line="18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7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A/B/C Cash Collateral Account</w:t>
      </w:r>
      <w:r>
        <w:rPr>
          <w:rFonts w:ascii="Times New Roman" w:cs="Times New Roman" w:eastAsia="Times New Roman" w:hAnsi="Times New Roman"/>
          <w:sz w:val="22"/>
          <w:szCs w:val="22"/>
          <w:color w:val="auto"/>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 w:cs="Times New Roman" w:eastAsia="Times New Roman" w:hAnsi="Times New Roman"/>
          <w:sz w:val="22"/>
          <w:szCs w:val="22"/>
          <w:u w:val="single" w:color="auto"/>
          <w:color w:val="auto"/>
        </w:rPr>
        <w:t>Class A/B/C Cash Collateral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bl>
    <w:p>
      <w:pPr>
        <w:sectPr>
          <w:pgSz w:w="11900" w:h="16838" w:orient="portrait"/>
          <w:cols w:equalWidth="0" w:num="1">
            <w:col w:w="11240"/>
          </w:cols>
          <w:pgMar w:left="320" w:top="1030" w:right="339" w:bottom="1440" w:gutter="0" w:footer="0" w:header="0"/>
        </w:sectPr>
      </w:pPr>
    </w:p>
    <w:bookmarkStart w:id="117" w:name="page118"/>
    <w:bookmarkEnd w:id="117"/>
    <w:p>
      <w:pPr>
        <w:jc w:val="both"/>
        <w:spacing w:after="0" w:line="263" w:lineRule="auto"/>
        <w:rPr>
          <w:sz w:val="20"/>
          <w:szCs w:val="20"/>
          <w:color w:val="auto"/>
        </w:rPr>
      </w:pPr>
      <w:r>
        <w:rPr>
          <w:rFonts w:ascii="Times New Roman" w:cs="Times New Roman" w:eastAsia="Times New Roman" w:hAnsi="Times New Roman"/>
          <w:sz w:val="22"/>
          <w:szCs w:val="22"/>
          <w:color w:val="auto"/>
        </w:rPr>
        <w:t>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spacing w:after="0" w:line="167" w:lineRule="exact"/>
        <w:rPr>
          <w:sz w:val="20"/>
          <w:szCs w:val="20"/>
          <w:color w:val="auto"/>
        </w:rPr>
      </w:pPr>
    </w:p>
    <w:p>
      <w:pPr>
        <w:jc w:val="both"/>
        <w:ind w:firstLine="1304"/>
        <w:spacing w:after="0" w:line="259" w:lineRule="auto"/>
        <w:tabs>
          <w:tab w:leader="none" w:pos="1756"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A/B/C Cash Collateral Account</w:t>
      </w:r>
      <w:r>
        <w:rPr>
          <w:rFonts w:ascii="Times New Roman" w:cs="Times New Roman" w:eastAsia="Times New Roman" w:hAnsi="Times New Roman"/>
          <w:sz w:val="21"/>
          <w:szCs w:val="21"/>
          <w:color w:val="auto"/>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the case of Permitted Investments held in the Class A/B/C Cash Collateral Account and so long as any Class A Note, Class B Note or Class C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288"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spacing w:after="0" w:line="18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97"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Cash Collateral Account</w:t>
      </w:r>
      <w:r>
        <w:rPr>
          <w:rFonts w:ascii="Times New Roman" w:cs="Times New Roman" w:eastAsia="Times New Roman" w:hAnsi="Times New Roman"/>
          <w:sz w:val="22"/>
          <w:szCs w:val="22"/>
          <w:color w:val="auto"/>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w:t>
      </w:r>
    </w:p>
    <w:p>
      <w:pPr>
        <w:spacing w:after="0" w:line="200" w:lineRule="exact"/>
        <w:rPr>
          <w:sz w:val="20"/>
          <w:szCs w:val="20"/>
          <w:color w:val="auto"/>
        </w:rPr>
      </w:pP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bl>
    <w:p>
      <w:pPr>
        <w:sectPr>
          <w:pgSz w:w="11900" w:h="16838" w:orient="portrait"/>
          <w:cols w:equalWidth="0" w:num="1">
            <w:col w:w="11240"/>
          </w:cols>
          <w:pgMar w:left="320" w:top="1030" w:right="339" w:bottom="1440" w:gutter="0" w:footer="0" w:header="0"/>
        </w:sectPr>
      </w:pPr>
    </w:p>
    <w:bookmarkStart w:id="118" w:name="page119"/>
    <w:bookmarkEnd w:id="118"/>
    <w:p>
      <w:pPr>
        <w:jc w:val="both"/>
        <w:spacing w:after="0" w:line="256" w:lineRule="auto"/>
        <w:rPr>
          <w:sz w:val="20"/>
          <w:szCs w:val="20"/>
          <w:color w:val="auto"/>
        </w:rPr>
      </w:pPr>
      <w:r>
        <w:rPr>
          <w:rFonts w:ascii="Times New Roman" w:cs="Times New Roman" w:eastAsia="Times New Roman" w:hAnsi="Times New Roman"/>
          <w:sz w:val="22"/>
          <w:szCs w:val="22"/>
          <w:color w:val="auto"/>
        </w:rPr>
        <w:t>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instruct the Trustee in writing to transfer all cash and investments from the non-qualifying Class D Cash Collateral Account into the new Class D Cash Collateral Account.</w:t>
      </w:r>
    </w:p>
    <w:p>
      <w:pPr>
        <w:spacing w:after="0" w:line="176" w:lineRule="exact"/>
        <w:rPr>
          <w:sz w:val="20"/>
          <w:szCs w:val="20"/>
          <w:color w:val="auto"/>
        </w:rPr>
      </w:pPr>
    </w:p>
    <w:p>
      <w:pPr>
        <w:jc w:val="both"/>
        <w:ind w:firstLine="1304"/>
        <w:spacing w:after="0" w:line="259" w:lineRule="auto"/>
        <w:tabs>
          <w:tab w:leader="none" w:pos="1831"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D Cash Collateral Account</w:t>
      </w:r>
      <w:r>
        <w:rPr>
          <w:rFonts w:ascii="Times New Roman" w:cs="Times New Roman" w:eastAsia="Times New Roman" w:hAnsi="Times New Roman"/>
          <w:sz w:val="21"/>
          <w:szCs w:val="21"/>
          <w:color w:val="auto"/>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w:t>
      </w:r>
    </w:p>
    <w:p>
      <w:pPr>
        <w:spacing w:after="0" w:line="10" w:lineRule="exact"/>
        <w:rPr>
          <w:rFonts w:ascii="Times New Roman" w:cs="Times New Roman" w:eastAsia="Times New Roman" w:hAnsi="Times New Roman"/>
          <w:sz w:val="21"/>
          <w:szCs w:val="21"/>
          <w:color w:val="auto"/>
        </w:rPr>
      </w:pPr>
    </w:p>
    <w:p>
      <w:pPr>
        <w:jc w:val="both"/>
        <w:ind w:firstLine="8"/>
        <w:spacing w:after="0" w:line="260" w:lineRule="auto"/>
        <w:tabs>
          <w:tab w:leader="none" w:pos="382"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spacing w:after="0" w:line="174"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3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2023-1 Cash Collateral Accounts</w:t>
      </w:r>
      <w:r>
        <w:rPr>
          <w:rFonts w:ascii="Times New Roman" w:cs="Times New Roman" w:eastAsia="Times New Roman" w:hAnsi="Times New Roman"/>
          <w:sz w:val="22"/>
          <w:szCs w:val="22"/>
          <w:color w:val="auto"/>
        </w:rPr>
        <w:t>. All interest and earnings (net of losses and investment expenses) paid on funds on deposit in the Series 2023-1 Cash Collateral Accounts shall be deemed to be on deposit therein and available for distribution.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51"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2023-1 Cash Collateral Account Surplus</w:t>
      </w:r>
      <w:r>
        <w:rPr>
          <w:rFonts w:ascii="Times New Roman" w:cs="Times New Roman" w:eastAsia="Times New Roman" w:hAnsi="Times New Roman"/>
          <w:sz w:val="22"/>
          <w:szCs w:val="22"/>
          <w:color w:val="auto"/>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2023-1 Reimbursement Agreement, for application in accordance with the provisions of the related Series 2023-1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Multi-Series Letter of Credit Providers to the extent of any unreimbursed drawings allocable to the Class D Notes with respect to any Multi-Series Letters of</w:t>
      </w:r>
    </w:p>
    <w:p>
      <w:pPr>
        <w:spacing w:after="0" w:line="200" w:lineRule="exact"/>
        <w:rPr>
          <w:sz w:val="20"/>
          <w:szCs w:val="20"/>
          <w:color w:val="auto"/>
        </w:rPr>
      </w:pP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bl>
    <w:p>
      <w:pPr>
        <w:sectPr>
          <w:pgSz w:w="11900" w:h="16838" w:orient="portrait"/>
          <w:cols w:equalWidth="0" w:num="1">
            <w:col w:w="11240"/>
          </w:cols>
          <w:pgMar w:left="320" w:top="1030" w:right="339" w:bottom="1440" w:gutter="0" w:footer="0" w:header="0"/>
        </w:sectPr>
      </w:pPr>
    </w:p>
    <w:bookmarkStart w:id="119" w:name="page120"/>
    <w:bookmarkEnd w:id="119"/>
    <w:p>
      <w:pPr>
        <w:spacing w:after="0" w:line="271" w:lineRule="auto"/>
        <w:rPr>
          <w:sz w:val="20"/>
          <w:szCs w:val="20"/>
          <w:color w:val="auto"/>
        </w:rPr>
      </w:pPr>
      <w:r>
        <w:rPr>
          <w:rFonts w:ascii="Times New Roman" w:cs="Times New Roman" w:eastAsia="Times New Roman" w:hAnsi="Times New Roman"/>
          <w:sz w:val="22"/>
          <w:szCs w:val="22"/>
          <w:color w:val="auto"/>
        </w:rPr>
        <w:t xml:space="preserve">Credit under the related Series 2023-1 Reimbursement Agreement, for application in accordance with the provisions of the related Series 2023-1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171" w:lineRule="exact"/>
        <w:rPr>
          <w:sz w:val="20"/>
          <w:szCs w:val="20"/>
          <w:color w:val="auto"/>
        </w:rPr>
      </w:pPr>
    </w:p>
    <w:p>
      <w:pPr>
        <w:jc w:val="both"/>
        <w:ind w:firstLine="1304"/>
        <w:spacing w:after="0" w:line="247" w:lineRule="auto"/>
        <w:tabs>
          <w:tab w:leader="none" w:pos="196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Series 2023-1 Cash Collateral Account</w:t>
      </w:r>
      <w:r>
        <w:rPr>
          <w:rFonts w:ascii="Times New Roman" w:cs="Times New Roman" w:eastAsia="Times New Roman" w:hAnsi="Times New Roman"/>
          <w:sz w:val="22"/>
          <w:szCs w:val="22"/>
          <w:color w:val="auto"/>
        </w:rPr>
        <w:t xml:space="preserve">. Upon the termination of this Supplement in accordance with its terms, the Trustee, acting in accordance with the written instructions of the Administrator, after the prior payment of all amounts owing to the Series 2023-1 Noteholders and payable from any Series 2023-1 Cash Collateral Account as provided herein, shall (i) withdraw from the Class A/B/C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2023-1 Reimbursement Agreement, for application in accordance with the provisions of the related Series 2023-1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and (ii) withdraw from the Class D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allocable to the Class D Notes with respect to any Multi-Series Letters of Credit under the related Series 2023-1 Reimbursement Agreement, for application in accordance with the provisions of the related Series 2023-1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19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Series 2023-1 Distribution Account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Establishment of Series 2023-1 Distribution Account</w:t>
      </w:r>
      <w:r>
        <w:rPr>
          <w:rFonts w:ascii="Times New Roman" w:cs="Times New Roman" w:eastAsia="Times New Roman" w:hAnsi="Times New Roman"/>
          <w:sz w:val="22"/>
          <w:szCs w:val="22"/>
          <w:color w:val="auto"/>
        </w:rPr>
        <w:t>. ABRCF has established and shall maintain in the name of the Trustee for the benefit of the Series 2023-1 Noteholders, or cause to be established and maintained, an account (the “</w:t>
      </w:r>
      <w:r>
        <w:rPr>
          <w:rFonts w:ascii="Times New Roman" w:cs="Times New Roman" w:eastAsia="Times New Roman" w:hAnsi="Times New Roman"/>
          <w:sz w:val="22"/>
          <w:szCs w:val="22"/>
          <w:u w:val="single" w:color="auto"/>
          <w:color w:val="auto"/>
        </w:rPr>
        <w:t>Series 2023-1 Distribution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Series 2023-1 Noteholders. The Series 2023-1 Distribution Account shall be maintained (i) with a Qualified Institution, or (ii) as a segregated trust account with the corporate trust department of a depository institution or trust company having corporate trust powers and acting as trustee for funds deposited in the Series 2023-1 Distribution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2023-1 Distribution Account with a new Qualified Institution. If the Series 2023-1 Distribution Account is not maintained in accordance with the previous sentence, ABRCF shall establish a new Series 2023-1 Distribution Account, within ten (10) Business Days after obtaining knowledge of such fact, which complies with such sentence, and shall instruct the Series 2023-1 Agent in writing to transfer all cash and investments from the non-qualifying Series 2023-1 Distribution Account into the new Series 2023-1 Distribution Account. The Series 2023-1 Distribution Account has initially been established with The Bank of New York Mellon Trust Company, N.A.</w:t>
      </w:r>
    </w:p>
    <w:p>
      <w:pPr>
        <w:spacing w:after="0" w:line="183" w:lineRule="exact"/>
        <w:rPr>
          <w:sz w:val="20"/>
          <w:szCs w:val="20"/>
          <w:color w:val="auto"/>
        </w:rPr>
      </w:pPr>
    </w:p>
    <w:p>
      <w:pPr>
        <w:jc w:val="both"/>
        <w:ind w:firstLine="1304"/>
        <w:spacing w:after="0" w:line="253" w:lineRule="auto"/>
        <w:tabs>
          <w:tab w:leader="none" w:pos="185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Series 2023-1 Distribution Account</w:t>
      </w:r>
      <w:r>
        <w:rPr>
          <w:rFonts w:ascii="Times New Roman" w:cs="Times New Roman" w:eastAsia="Times New Roman" w:hAnsi="Times New Roman"/>
          <w:sz w:val="22"/>
          <w:szCs w:val="22"/>
          <w:color w:val="auto"/>
        </w:rPr>
        <w:t xml:space="preserve">. The Administrator may instruct the institution maintaining the Series 2023-1 Distribution Account to invest funds on deposit in the Series 2023-1 Distribution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 following the date on which such funds were received, unless any Permitted Investment held in the Series 2023-1 Distribution Account is held with the Paying</w:t>
      </w: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bl>
    <w:p>
      <w:pPr>
        <w:sectPr>
          <w:pgSz w:w="11900" w:h="16838" w:orient="portrait"/>
          <w:cols w:equalWidth="0" w:num="1">
            <w:col w:w="11240"/>
          </w:cols>
          <w:pgMar w:left="320" w:top="1030" w:right="339" w:bottom="1440" w:gutter="0" w:footer="0" w:header="0"/>
        </w:sectPr>
      </w:pPr>
    </w:p>
    <w:bookmarkStart w:id="120" w:name="page121"/>
    <w:bookmarkEnd w:id="120"/>
    <w:p>
      <w:pPr>
        <w:jc w:val="both"/>
        <w:spacing w:after="0" w:line="262" w:lineRule="auto"/>
        <w:rPr>
          <w:sz w:val="20"/>
          <w:szCs w:val="20"/>
          <w:color w:val="auto"/>
        </w:rPr>
      </w:pPr>
      <w:r>
        <w:rPr>
          <w:rFonts w:ascii="Times New Roman" w:cs="Times New Roman" w:eastAsia="Times New Roman" w:hAnsi="Times New Roman"/>
          <w:sz w:val="21"/>
          <w:szCs w:val="21"/>
          <w:color w:val="auto"/>
        </w:rPr>
        <w:t>Agent, then such investment may mature on such Distribution Date and such funds shall be available for withdrawal on or prior to such Distribution Date. All such Permitted Investments will be credited to the Series 2023-1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w:t>
      </w:r>
    </w:p>
    <w:p>
      <w:pPr>
        <w:spacing w:after="0" w:line="2" w:lineRule="exact"/>
        <w:rPr>
          <w:sz w:val="20"/>
          <w:szCs w:val="20"/>
          <w:color w:val="auto"/>
        </w:rPr>
      </w:pPr>
    </w:p>
    <w:p>
      <w:pPr>
        <w:jc w:val="both"/>
        <w:ind w:firstLine="8"/>
        <w:spacing w:after="0" w:line="260" w:lineRule="auto"/>
        <w:tabs>
          <w:tab w:leader="none" w:pos="38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2023-1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2023-1 Distribution Account shall remain uninvested.</w:t>
      </w:r>
    </w:p>
    <w:p>
      <w:pPr>
        <w:spacing w:after="0" w:line="174"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19"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2023-1 Distribution Account</w:t>
      </w:r>
      <w:r>
        <w:rPr>
          <w:rFonts w:ascii="Times New Roman" w:cs="Times New Roman" w:eastAsia="Times New Roman" w:hAnsi="Times New Roman"/>
          <w:sz w:val="22"/>
          <w:szCs w:val="22"/>
          <w:color w:val="auto"/>
        </w:rPr>
        <w:t>. All interest and earnings (net of losses and investment expenses) paid on funds on deposit in the Series 2023-1 Distribution Account shall be deemed to be on deposit and available for distribution.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46" w:lineRule="auto"/>
        <w:tabs>
          <w:tab w:leader="none" w:pos="1845"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2023-1 Distribution Account Constitutes Additional Collateral for Series 2023-1 Notes</w:t>
      </w:r>
      <w:r>
        <w:rPr>
          <w:rFonts w:ascii="Times New Roman" w:cs="Times New Roman" w:eastAsia="Times New Roman" w:hAnsi="Times New Roman"/>
          <w:sz w:val="22"/>
          <w:szCs w:val="22"/>
          <w:color w:val="auto"/>
        </w:rPr>
        <w:t>. In order to secure and provide for the repayment and payment of the ABRCF Obligations with respect to the Series 2023-1 Notes, ABRCF hereby grants a security interest in and assigns, pledges, grants, transfers and sets over to the Trustee, for the benefit of the Series 2023-1 Noteholders, all of ABRCF’s right, title and interest in and to the following (whether now or hereafter existing or acquired): (i) the Series 2023-1 Distribution Account, including any security entitlement thereto; (ii) all funds on deposit therein from time to time; (iii) all certificates and instruments, if any, representing or evidencing any or all of the Series 2023-1 Distribution Account or the funds on deposit therein from time to time; (iv) all investments made at any time and from time to time with monies in the Series 2023-1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2023-1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2"/>
          <w:szCs w:val="22"/>
          <w:u w:val="single" w:color="auto"/>
          <w:color w:val="auto"/>
        </w:rPr>
        <w:t>Series 2023-1 Distribution Account Collateral</w:t>
      </w:r>
      <w:r>
        <w:rPr>
          <w:rFonts w:ascii="Times New Roman" w:cs="Times New Roman" w:eastAsia="Times New Roman" w:hAnsi="Times New Roman"/>
          <w:sz w:val="22"/>
          <w:szCs w:val="22"/>
          <w:color w:val="auto"/>
        </w:rPr>
        <w:t>”). The Trustee shall possess all right, title and interest in all funds on deposit from time to time in the Series 2023-1 Distribution Account and in and to all proceeds thereof, and shall be the only person authorized to originate entitlement orders in respect of the Series 2023-1 Distribution Account. The Series 2023-1 Distribution Account Collateral shall be under the sole dominion and control of the Trustee for the benefit of the Series 2023-1 Noteholders. The Series 2023-1 Agent hereby agrees (i) to act as the securities intermediary (as defined in Section 8-102(a)(14) of the New York UCC) with respect to the Series 2023-1 Distribution Account; (ii) that its jurisdiction as securities intermediary is New York, (iii) that each item of property (whether investment property, financial asset, security, instrument or cash) credited to the Series 2023-1 Distribution Account shall be treated as a financial asset (as defined in Section</w:t>
      </w:r>
    </w:p>
    <w:p>
      <w:pPr>
        <w:spacing w:after="0" w:line="200" w:lineRule="exact"/>
        <w:rPr>
          <w:sz w:val="20"/>
          <w:szCs w:val="20"/>
          <w:color w:val="auto"/>
        </w:rPr>
      </w:pP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bl>
    <w:p>
      <w:pPr>
        <w:sectPr>
          <w:pgSz w:w="11900" w:h="16838" w:orient="portrait"/>
          <w:cols w:equalWidth="0" w:num="1">
            <w:col w:w="11240"/>
          </w:cols>
          <w:pgMar w:left="320" w:top="1030" w:right="339" w:bottom="1440" w:gutter="0" w:footer="0" w:header="0"/>
        </w:sectPr>
      </w:pPr>
    </w:p>
    <w:bookmarkStart w:id="121" w:name="page122"/>
    <w:bookmarkEnd w:id="121"/>
    <w:p>
      <w:pPr>
        <w:spacing w:after="0" w:line="271" w:lineRule="auto"/>
        <w:rPr>
          <w:sz w:val="20"/>
          <w:szCs w:val="20"/>
          <w:color w:val="auto"/>
        </w:rPr>
      </w:pPr>
      <w:r>
        <w:rPr>
          <w:rFonts w:ascii="Times New Roman" w:cs="Times New Roman" w:eastAsia="Times New Roman" w:hAnsi="Times New Roman"/>
          <w:sz w:val="22"/>
          <w:szCs w:val="22"/>
          <w:color w:val="auto"/>
        </w:rPr>
        <w:t>8-102(a)(9) of the New York UCC) and (iv) to comply with any entitlement order (as defined in Section 8-102(a)(8) of the New York UCC) issued by the Trustee.</w:t>
      </w:r>
    </w:p>
    <w:p>
      <w:pPr>
        <w:spacing w:after="0" w:line="17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Series 2023-1 Accounts Permitted Investments</w:t>
      </w:r>
      <w:r>
        <w:rPr>
          <w:rFonts w:ascii="Times New Roman" w:cs="Times New Roman" w:eastAsia="Times New Roman" w:hAnsi="Times New Roman"/>
          <w:sz w:val="22"/>
          <w:szCs w:val="22"/>
          <w:color w:val="auto"/>
        </w:rPr>
        <w:t>. ABRCF shall not, and shall not permit, funds on deposit in the Series 2023-1 Accounts to be invested in:</w:t>
      </w:r>
    </w:p>
    <w:p>
      <w:pPr>
        <w:spacing w:after="0" w:line="158" w:lineRule="exact"/>
        <w:rPr>
          <w:sz w:val="20"/>
          <w:szCs w:val="20"/>
          <w:color w:val="auto"/>
        </w:rPr>
      </w:pPr>
    </w:p>
    <w:p>
      <w:pPr>
        <w:ind w:left="2440" w:hanging="488"/>
        <w:spacing w:after="0"/>
        <w:tabs>
          <w:tab w:leader="none" w:pos="244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that do not mature at least one (1) Business Day before the next Distribution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w:t>
      </w:r>
    </w:p>
    <w:p>
      <w:pPr>
        <w:spacing w:after="0" w:line="196" w:lineRule="exact"/>
        <w:rPr>
          <w:sz w:val="20"/>
          <w:szCs w:val="20"/>
          <w:color w:val="auto"/>
        </w:rPr>
      </w:pPr>
    </w:p>
    <w:p>
      <w:pPr>
        <w:ind w:left="2440" w:hanging="488"/>
        <w:spacing w:after="0"/>
        <w:tabs>
          <w:tab w:leader="none" w:pos="24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with a maturity in excess of 360 days;</w:t>
      </w:r>
    </w:p>
    <w:p>
      <w:pPr>
        <w:spacing w:after="0" w:line="233"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which is not rated “P-1” by Moody’s;</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or eurodollar time deposits which are not rated at least “P-1” by Moody’s;</w:t>
      </w:r>
    </w:p>
    <w:p>
      <w:pPr>
        <w:spacing w:after="0" w:line="219" w:lineRule="exact"/>
        <w:rPr>
          <w:rFonts w:ascii="Times New Roman" w:cs="Times New Roman" w:eastAsia="Times New Roman" w:hAnsi="Times New Roman"/>
          <w:sz w:val="22"/>
          <w:szCs w:val="22"/>
          <w:color w:val="auto"/>
        </w:rPr>
      </w:pPr>
    </w:p>
    <w:p>
      <w:pPr>
        <w:ind w:left="660" w:firstLine="1292"/>
        <w:spacing w:after="0" w:line="271" w:lineRule="auto"/>
        <w:tabs>
          <w:tab w:leader="none" w:pos="252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eurodollar deposits that are not rated “P-1” by Moody’s or that are with financial institutions not organized under the laws of a G-7 nation; or</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50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instrument or security not otherwise listed in clause (i) through (vi) of the definition of “Permitted Investments” in the Base Indenture.</w:t>
      </w:r>
    </w:p>
    <w:p>
      <w:pPr>
        <w:spacing w:after="0" w:line="17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Series 2023-1 Demand Notes Constitute Additional Collateral for Series 2023-1 Senior Notes</w:t>
      </w:r>
      <w:r>
        <w:rPr>
          <w:rFonts w:ascii="Times New Roman" w:cs="Times New Roman" w:eastAsia="Times New Roman" w:hAnsi="Times New Roman"/>
          <w:sz w:val="22"/>
          <w:szCs w:val="22"/>
          <w:color w:val="auto"/>
        </w:rPr>
        <w:t>. In order to secure and provide for the repayment and payment of the ABRCF Obligations with respect to the Series 2023-1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2023-1 Demand Notes; (ii) all certificates and instruments, if any, representing or evidencing the Series 2023-1 Demand Notes; and</w:t>
      </w:r>
    </w:p>
    <w:p>
      <w:pPr>
        <w:spacing w:after="0" w:line="2" w:lineRule="exact"/>
        <w:rPr>
          <w:sz w:val="20"/>
          <w:szCs w:val="20"/>
          <w:color w:val="auto"/>
        </w:rPr>
      </w:pPr>
    </w:p>
    <w:p>
      <w:pPr>
        <w:jc w:val="both"/>
        <w:ind w:firstLine="8"/>
        <w:spacing w:after="0" w:line="247" w:lineRule="auto"/>
        <w:tabs>
          <w:tab w:leader="none" w:pos="387"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any and all of the foregoing, including, without limitation, cash. On the date hereof, ABRCF shall deliver to the Trustee, for the benefit of the Class A Noteholders, the Class B Noteholders, the Class C Noteholders and the Class D Noteholders, each Series 2023-1 Demand Note, endorsed in blank. The Trustee, for the benefit of the Class A Noteholders, the Class B Noteholders, the Class C Noteholders and the Class D Noteholders, shall be the only Person authorized to make a demand for payments on the Series 2023-1 Demand Notes.</w:t>
      </w:r>
    </w:p>
    <w:p>
      <w:pPr>
        <w:spacing w:after="0" w:line="1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Subordination of the Class B Notes, Class C Notes, Class D Notes and the Class R Notes</w:t>
      </w:r>
      <w:r>
        <w:rPr>
          <w:rFonts w:ascii="Times New Roman" w:cs="Times New Roman" w:eastAsia="Times New Roman" w:hAnsi="Times New Roman"/>
          <w:sz w:val="22"/>
          <w:szCs w:val="22"/>
          <w:color w:val="auto"/>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2023-1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2023-1 Rapid Amortization Period or on the Series 2023-1 Final Distribution Date until the Class A Notes have been paid in full. No payments on account of</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bl>
    <w:p>
      <w:pPr>
        <w:sectPr>
          <w:pgSz w:w="11900" w:h="16838" w:orient="portrait"/>
          <w:cols w:equalWidth="0" w:num="1">
            <w:col w:w="11240"/>
          </w:cols>
          <w:pgMar w:left="320" w:top="1030" w:right="339" w:bottom="1440" w:gutter="0" w:footer="0" w:header="0"/>
        </w:sectPr>
      </w:pPr>
    </w:p>
    <w:bookmarkStart w:id="122" w:name="page123"/>
    <w:bookmarkEnd w:id="122"/>
    <w:p>
      <w:pPr>
        <w:jc w:val="both"/>
        <w:spacing w:after="0" w:line="263" w:lineRule="auto"/>
        <w:rPr>
          <w:sz w:val="20"/>
          <w:szCs w:val="20"/>
          <w:color w:val="auto"/>
        </w:rPr>
      </w:pPr>
      <w:r>
        <w:rPr>
          <w:rFonts w:ascii="Times New Roman" w:cs="Times New Roman" w:eastAsia="Times New Roman" w:hAnsi="Times New Roman"/>
          <w:sz w:val="22"/>
          <w:szCs w:val="22"/>
          <w:color w:val="auto"/>
        </w:rPr>
        <w:t>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spacing w:after="0" w:line="167" w:lineRule="exact"/>
        <w:rPr>
          <w:sz w:val="20"/>
          <w:szCs w:val="20"/>
          <w:color w:val="auto"/>
        </w:rPr>
      </w:pPr>
    </w:p>
    <w:p>
      <w:pPr>
        <w:jc w:val="both"/>
        <w:ind w:firstLine="1304"/>
        <w:spacing w:after="0" w:line="248" w:lineRule="auto"/>
        <w:tabs>
          <w:tab w:leader="none" w:pos="182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2023-1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2023-1 Rapid Amortization Period or on the Series 2023-1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spacing w:after="0" w:line="18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2023-1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2023-1 Rapid Amortization Period or on the Series 2023-1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spacing w:after="0" w:line="202" w:lineRule="exact"/>
        <w:rPr>
          <w:rFonts w:ascii="Times New Roman" w:cs="Times New Roman" w:eastAsia="Times New Roman" w:hAnsi="Times New Roman"/>
          <w:sz w:val="22"/>
          <w:szCs w:val="22"/>
          <w:color w:val="auto"/>
        </w:rPr>
      </w:pPr>
    </w:p>
    <w:p>
      <w:pPr>
        <w:jc w:val="both"/>
        <w:ind w:firstLine="1304"/>
        <w:spacing w:after="0" w:line="251" w:lineRule="auto"/>
        <w:tabs>
          <w:tab w:leader="none" w:pos="163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2023-1 Controlled Amortization Period or the Series 2023-1 Rapid Amortization Period or on the Series 2023-1 Final Distribution Date until the Class A Notes, the Class B Notes, the Class C Notes and the Class D Notes have been paid in full.</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bl>
    <w:p>
      <w:pPr>
        <w:sectPr>
          <w:pgSz w:w="11900" w:h="16838" w:orient="portrait"/>
          <w:cols w:equalWidth="0" w:num="1">
            <w:col w:w="11240"/>
          </w:cols>
          <w:pgMar w:left="320" w:top="1030" w:right="339" w:bottom="1440" w:gutter="0" w:footer="0" w:header="0"/>
        </w:sectPr>
      </w:pPr>
    </w:p>
    <w:bookmarkStart w:id="123" w:name="page124"/>
    <w:bookmarkEnd w:id="123"/>
    <w:p>
      <w:pPr>
        <w:jc w:val="both"/>
        <w:spacing w:after="0" w:line="251" w:lineRule="auto"/>
        <w:rPr>
          <w:sz w:val="20"/>
          <w:szCs w:val="20"/>
          <w:color w:val="auto"/>
        </w:rPr>
      </w:pPr>
      <w:r>
        <w:rPr>
          <w:rFonts w:ascii="Times New Roman" w:cs="Times New Roman" w:eastAsia="Times New Roman" w:hAnsi="Times New Roman"/>
          <w:sz w:val="22"/>
          <w:szCs w:val="22"/>
          <w:color w:val="auto"/>
        </w:rPr>
        <w:t>No payments on account of interest shall be made with respect to the Class R Notes on any Distribution Date until all payments of interest and principal due and payable on such Distribution 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AMORTIZATION EVENTS</w:t>
      </w:r>
    </w:p>
    <w:p>
      <w:pPr>
        <w:spacing w:after="0" w:line="22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In addition to the Amortization Events set forth in Section 9.1 of the Base Indenture, any of the following shall be an Amortization Event with respect to the Series 2023-1 Notes and collectively shall constitute the Amortization Events set forth in Section 9.1(n) of the Base Indenture with respect to the Series 2023-1 Notes (without notice or other action on the part of the Trustee or any holders of the Series 2023-1 Notes):</w:t>
      </w:r>
    </w:p>
    <w:p>
      <w:pPr>
        <w:spacing w:after="0" w:line="179" w:lineRule="exact"/>
        <w:rPr>
          <w:sz w:val="20"/>
          <w:szCs w:val="20"/>
          <w:color w:val="auto"/>
        </w:rPr>
      </w:pPr>
    </w:p>
    <w:p>
      <w:pPr>
        <w:jc w:val="both"/>
        <w:ind w:firstLine="1304"/>
        <w:spacing w:after="0" w:line="256" w:lineRule="auto"/>
        <w:tabs>
          <w:tab w:leader="none" w:pos="1902"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Series 2023-1 Enhancement Deficiency shall occur and continue for at least two (2)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event or condition shall not be an Amortization Event if during such two (2) Business Day period such Series 2023-1 Enhancement Deficiency shall have been cured in accordance with the terms and conditions of the Indenture and the Related Documents;</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2"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either case, such event or condition shall not be an Amortization Event if during such two Business Day period such insufficiency shall have been cured in accordance with the terms and conditions of the Indenture and the Related Documents;</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61"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Collection Account, the Series 2023-1 Collection Account, the Series 2023-1 Excess Collection Account, the Class A/B/C Reserve Account or the Class D Reserve Account shall be subject to an injunction, estoppel or other stay or a lien (other than liens permitted under the Related Documents);</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776"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principal of and interest on any Class of the Series 2023-1 Notes is not paid in full on or before the Series 2023-1 Expected Final Distribution Date;</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Multi-Series Letter of Credit shall not be in full force and effect for at least two Business Days and either</w:t>
      </w:r>
    </w:p>
    <w:p>
      <w:pPr>
        <w:spacing w:after="0" w:line="39" w:lineRule="exact"/>
        <w:rPr>
          <w:rFonts w:ascii="Times New Roman" w:cs="Times New Roman" w:eastAsia="Times New Roman" w:hAnsi="Times New Roman"/>
          <w:sz w:val="21"/>
          <w:szCs w:val="21"/>
          <w:color w:val="auto"/>
        </w:rPr>
      </w:pPr>
    </w:p>
    <w:p>
      <w:pPr>
        <w:jc w:val="both"/>
        <w:ind w:firstLine="8"/>
        <w:spacing w:after="0" w:line="249" w:lineRule="auto"/>
        <w:tabs>
          <w:tab w:leader="none" w:pos="33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Series 2023-1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bl>
    <w:p>
      <w:pPr>
        <w:sectPr>
          <w:pgSz w:w="11900" w:h="16838" w:orient="portrait"/>
          <w:cols w:equalWidth="0" w:num="1">
            <w:col w:w="11240"/>
          </w:cols>
          <w:pgMar w:left="320" w:top="1030" w:right="339" w:bottom="1440" w:gutter="0" w:footer="0" w:header="0"/>
        </w:sectPr>
      </w:pPr>
    </w:p>
    <w:bookmarkStart w:id="124" w:name="page125"/>
    <w:bookmarkEnd w:id="124"/>
    <w:p>
      <w:pPr>
        <w:jc w:val="both"/>
        <w:ind w:firstLine="1304"/>
        <w:spacing w:after="0" w:line="250" w:lineRule="auto"/>
        <w:tabs>
          <w:tab w:leader="none" w:pos="173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funding of any Series 2023-1 Cash Collateral Account, such Series 2023-1 Cash Collateral Account shall be subject to an injunction, estoppel or other stay or a lien (other than Liens permitted under the Related Documents) for at least two Business Days and either (x) a Series 2023-1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Bankruptcy shall have occurred with respect to any Multi-Series Letter of Credit Provider or any Multi-Series Letter of Credit Provider repudiates its Multi-Series Letter of Credit or refuses to honor a proper draw thereon and either (x) a Series 2023-1 Enhancement Deficiency would result from excluding the Class A/B/C Applicable Multi-Series L/C Amount attributable to such Multi-Series Letter of Credit from the Class A/B/C Enhancement Amount or the Class D Applicable Multi-Series L/C Amount attributable to such Multi-Series Letter of Credit from the Class D Enhancement Amount or (y) 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SERIES 2023-1 NOTES</w:t>
      </w:r>
    </w:p>
    <w:p>
      <w:pPr>
        <w:spacing w:after="0" w:line="22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Restricted Global Series 2023-1 Notes</w:t>
      </w:r>
      <w:r>
        <w:rPr>
          <w:rFonts w:ascii="Times New Roman" w:cs="Times New Roman" w:eastAsia="Times New Roman" w:hAnsi="Times New Roman"/>
          <w:sz w:val="21"/>
          <w:szCs w:val="21"/>
          <w:color w:val="auto"/>
        </w:rPr>
        <w:t>. Each Class of the Series 2023-1 Notes to be issued in the United States will be issued in book-entry form and represented by one or more permanent global Notes in fully registered form without interest coupons (each, a “</w:t>
      </w:r>
      <w:r>
        <w:rPr>
          <w:rFonts w:ascii="Times New Roman" w:cs="Times New Roman" w:eastAsia="Times New Roman" w:hAnsi="Times New Roman"/>
          <w:sz w:val="21"/>
          <w:szCs w:val="21"/>
          <w:u w:val="single" w:color="auto"/>
          <w:color w:val="auto"/>
        </w:rPr>
        <w:t>Restricted Global Class A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B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C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D Note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Restricted Global Class R Note</w:t>
      </w:r>
      <w:r>
        <w:rPr>
          <w:rFonts w:ascii="Times New Roman" w:cs="Times New Roman" w:eastAsia="Times New Roman" w:hAnsi="Times New Roman"/>
          <w:sz w:val="21"/>
          <w:szCs w:val="21"/>
          <w:color w:val="auto"/>
        </w:rPr>
        <w:t>”, as the case may be and collectively with the Restricted Global Class D Notes (as defined below), the “</w:t>
      </w:r>
      <w:r>
        <w:rPr>
          <w:rFonts w:ascii="Times New Roman" w:cs="Times New Roman" w:eastAsia="Times New Roman" w:hAnsi="Times New Roman"/>
          <w:sz w:val="21"/>
          <w:szCs w:val="21"/>
          <w:u w:val="single" w:color="auto"/>
          <w:color w:val="auto"/>
        </w:rPr>
        <w:t>Restricted Global Series 2023-1 Notes</w:t>
      </w:r>
      <w:r>
        <w:rPr>
          <w:rFonts w:ascii="Times New Roman" w:cs="Times New Roman" w:eastAsia="Times New Roman" w:hAnsi="Times New Roman"/>
          <w:sz w:val="21"/>
          <w:szCs w:val="21"/>
          <w:color w:val="auto"/>
        </w:rPr>
        <w:t xml:space="preserve">”), substantially in the form set forth in </w:t>
      </w:r>
      <w:r>
        <w:rPr>
          <w:rFonts w:ascii="Times New Roman" w:cs="Times New Roman" w:eastAsia="Times New Roman" w:hAnsi="Times New Roman"/>
          <w:sz w:val="21"/>
          <w:szCs w:val="21"/>
          <w:u w:val="single" w:color="auto"/>
          <w:color w:val="auto"/>
        </w:rPr>
        <w:t>Exhibits A-1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E-1</w:t>
      </w:r>
      <w:r>
        <w:rPr>
          <w:rFonts w:ascii="Times New Roman" w:cs="Times New Roman" w:eastAsia="Times New Roman" w:hAnsi="Times New Roman"/>
          <w:sz w:val="21"/>
          <w:szCs w:val="21"/>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w:t>
      </w:r>
    </w:p>
    <w:p>
      <w:pPr>
        <w:spacing w:after="0" w:line="5" w:lineRule="exact"/>
        <w:rPr>
          <w:sz w:val="20"/>
          <w:szCs w:val="20"/>
          <w:color w:val="auto"/>
        </w:rPr>
      </w:pPr>
    </w:p>
    <w:p>
      <w:pPr>
        <w:jc w:val="both"/>
        <w:ind w:firstLine="8"/>
        <w:spacing w:after="0" w:line="249" w:lineRule="auto"/>
        <w:tabs>
          <w:tab w:leader="none" w:pos="315"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to qualified institutional buyers within the meaning of, and in reliance on, Rule 144A under the Securities Act and shall be deposited on behalf of the purchasers of such Class of the Series 2023-1 Notes represented thereby, with the Trustee as custodian for DTC, and registered in the name of Cede as DTC’s nominee, duly executed by ABRCF and authenticated by the Trustee in the manner set forth in Section 2.4 of the Base Indenture.</w:t>
      </w:r>
    </w:p>
    <w:p>
      <w:pPr>
        <w:spacing w:after="0" w:line="182"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Temporary Global Series 2023-1 Notes; Permanent Global Series 2023-1 Notes</w:t>
      </w:r>
      <w:r>
        <w:rPr>
          <w:rFonts w:ascii="Times New Roman" w:cs="Times New Roman" w:eastAsia="Times New Roman" w:hAnsi="Times New Roman"/>
          <w:sz w:val="22"/>
          <w:szCs w:val="22"/>
          <w:color w:val="auto"/>
        </w:rPr>
        <w:t>. Each Class of the Series 2023-1 Notes to be issued outside the United States will</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ectPr>
          <w:pgSz w:w="11900" w:h="16838" w:orient="portrait"/>
          <w:cols w:equalWidth="0" w:num="1">
            <w:col w:w="11240"/>
          </w:cols>
          <w:pgMar w:left="320" w:top="1030" w:right="339" w:bottom="1440" w:gutter="0" w:footer="0" w:header="0"/>
        </w:sectPr>
      </w:pPr>
    </w:p>
    <w:bookmarkStart w:id="125" w:name="page126"/>
    <w:bookmarkEnd w:id="125"/>
    <w:p>
      <w:pPr>
        <w:jc w:val="both"/>
        <w:spacing w:after="0" w:line="259" w:lineRule="auto"/>
        <w:rPr>
          <w:sz w:val="20"/>
          <w:szCs w:val="20"/>
          <w:color w:val="auto"/>
        </w:rPr>
      </w:pPr>
      <w:r>
        <w:rPr>
          <w:rFonts w:ascii="Times New Roman" w:cs="Times New Roman" w:eastAsia="Times New Roman" w:hAnsi="Times New Roman"/>
          <w:sz w:val="21"/>
          <w:szCs w:val="21"/>
          <w:color w:val="auto"/>
        </w:rPr>
        <w:t>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Times New Roman" w:cs="Times New Roman" w:eastAsia="Times New Roman" w:hAnsi="Times New Roman"/>
          <w:sz w:val="21"/>
          <w:szCs w:val="21"/>
          <w:u w:val="single" w:color="auto"/>
          <w:color w:val="auto"/>
        </w:rPr>
        <w:t>Temporary Global Class A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Temporary Global Class B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Temporary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Global Class C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Temporary Global Class D Note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Temporary Global Class R Note</w:t>
      </w:r>
      <w:r>
        <w:rPr>
          <w:rFonts w:ascii="Times New Roman" w:cs="Times New Roman" w:eastAsia="Times New Roman" w:hAnsi="Times New Roman"/>
          <w:sz w:val="21"/>
          <w:szCs w:val="21"/>
          <w:color w:val="auto"/>
        </w:rPr>
        <w:t>”, as the case may be, and collectively with the Temporary Global Class D Notes (as defined below), the “</w:t>
      </w:r>
      <w:r>
        <w:rPr>
          <w:rFonts w:ascii="Times New Roman" w:cs="Times New Roman" w:eastAsia="Times New Roman" w:hAnsi="Times New Roman"/>
          <w:sz w:val="21"/>
          <w:szCs w:val="21"/>
          <w:u w:val="single" w:color="auto"/>
          <w:color w:val="auto"/>
        </w:rPr>
        <w:t>Temporary Global Series 2023-1 Notes</w:t>
      </w:r>
      <w:r>
        <w:rPr>
          <w:rFonts w:ascii="Times New Roman" w:cs="Times New Roman" w:eastAsia="Times New Roman" w:hAnsi="Times New Roman"/>
          <w:sz w:val="21"/>
          <w:szCs w:val="21"/>
          <w:color w:val="auto"/>
        </w:rPr>
        <w:t xml:space="preserve"> ”), substantially in the form set forth in </w:t>
      </w:r>
      <w:r>
        <w:rPr>
          <w:rFonts w:ascii="Times New Roman" w:cs="Times New Roman" w:eastAsia="Times New Roman" w:hAnsi="Times New Roman"/>
          <w:sz w:val="21"/>
          <w:szCs w:val="21"/>
          <w:u w:val="single" w:color="auto"/>
          <w:color w:val="auto"/>
        </w:rPr>
        <w:t>Exhibits A-2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E-2</w:t>
      </w:r>
      <w:r>
        <w:rPr>
          <w:rFonts w:ascii="Times New Roman" w:cs="Times New Roman" w:eastAsia="Times New Roman" w:hAnsi="Times New Roman"/>
          <w:sz w:val="21"/>
          <w:szCs w:val="21"/>
          <w:color w:val="auto"/>
        </w:rPr>
        <w:t xml:space="preserve"> which shall be deposited on behalf of the purchasers of such Class of the Series 2023-1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2023-1 Note will be exchangeable, in whole or in part, for interests in one or more permanent global notes in registered form without interest coupons (each, a “</w:t>
      </w:r>
      <w:r>
        <w:rPr>
          <w:rFonts w:ascii="Times New Roman" w:cs="Times New Roman" w:eastAsia="Times New Roman" w:hAnsi="Times New Roman"/>
          <w:sz w:val="21"/>
          <w:szCs w:val="21"/>
          <w:u w:val="single" w:color="auto"/>
          <w:color w:val="auto"/>
        </w:rPr>
        <w:t>Permanent Global Class A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Permanent Global Class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Permanent Global Class C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Permanent Global Class D Note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Permanent Global Class R Note</w:t>
      </w:r>
      <w:r>
        <w:rPr>
          <w:rFonts w:ascii="Times New Roman" w:cs="Times New Roman" w:eastAsia="Times New Roman" w:hAnsi="Times New Roman"/>
          <w:sz w:val="21"/>
          <w:szCs w:val="21"/>
          <w:color w:val="auto"/>
        </w:rPr>
        <w:t>”, as the case may be, and collectively with the Permanent Global Class D Notes (as defined below), the “</w:t>
      </w:r>
      <w:r>
        <w:rPr>
          <w:rFonts w:ascii="Times New Roman" w:cs="Times New Roman" w:eastAsia="Times New Roman" w:hAnsi="Times New Roman"/>
          <w:sz w:val="21"/>
          <w:szCs w:val="21"/>
          <w:u w:val="single" w:color="auto"/>
          <w:color w:val="auto"/>
        </w:rPr>
        <w:t>Permanent Global Series 2023-1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xml:space="preserve">”), substantially in the form of </w:t>
      </w:r>
      <w:r>
        <w:rPr>
          <w:rFonts w:ascii="Times New Roman" w:cs="Times New Roman" w:eastAsia="Times New Roman" w:hAnsi="Times New Roman"/>
          <w:sz w:val="21"/>
          <w:szCs w:val="21"/>
          <w:u w:val="single" w:color="auto"/>
          <w:color w:val="auto"/>
        </w:rPr>
        <w:t>Exhibits A-3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E-3</w:t>
      </w:r>
      <w:r>
        <w:rPr>
          <w:rFonts w:ascii="Times New Roman" w:cs="Times New Roman" w:eastAsia="Times New Roman" w:hAnsi="Times New Roman"/>
          <w:sz w:val="21"/>
          <w:szCs w:val="21"/>
          <w:color w:val="auto"/>
        </w:rPr>
        <w:t xml:space="preserve"> in accordance with the provisions of such Temporary Global Series 2023-1 Note and the Base Indenture (as modified by this Supplement). Interests in a Permanent Global Series 2023-1 Note will be exchangeable for a definitive Series 2023-1 Note in accordance with the provisions of such Permanent Global Series 2023-1 Note and the Base Indenture (as modified by this Supplement). The Restricted Global Class A Notes, the Temporary Global Class A Notes and the Permanent Global Class A Notes are collectively referred to as the “</w:t>
      </w:r>
      <w:r>
        <w:rPr>
          <w:rFonts w:ascii="Times New Roman" w:cs="Times New Roman" w:eastAsia="Times New Roman" w:hAnsi="Times New Roman"/>
          <w:sz w:val="21"/>
          <w:szCs w:val="21"/>
          <w:u w:val="single" w:color="auto"/>
          <w:color w:val="auto"/>
        </w:rPr>
        <w:t>Global Class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the Restricted Global Class B Notes, the Temporary Global Class B Notes and the Permanent Global Class B Notes are collectively referred to as the “</w:t>
      </w:r>
      <w:r>
        <w:rPr>
          <w:rFonts w:ascii="Times New Roman" w:cs="Times New Roman" w:eastAsia="Times New Roman" w:hAnsi="Times New Roman"/>
          <w:sz w:val="21"/>
          <w:szCs w:val="21"/>
          <w:u w:val="single" w:color="auto"/>
          <w:color w:val="auto"/>
        </w:rPr>
        <w:t>Global Class B Notes</w:t>
      </w:r>
      <w:r>
        <w:rPr>
          <w:rFonts w:ascii="Times New Roman" w:cs="Times New Roman" w:eastAsia="Times New Roman" w:hAnsi="Times New Roman"/>
          <w:sz w:val="21"/>
          <w:szCs w:val="21"/>
          <w:color w:val="auto"/>
        </w:rPr>
        <w:t>”, the Restricted Global Class C Notes, the Temporary Global Class C Notes and the Permanent Global Class C Notes are collectively referred to as the “</w:t>
      </w:r>
      <w:r>
        <w:rPr>
          <w:rFonts w:ascii="Times New Roman" w:cs="Times New Roman" w:eastAsia="Times New Roman" w:hAnsi="Times New Roman"/>
          <w:sz w:val="21"/>
          <w:szCs w:val="21"/>
          <w:u w:val="single" w:color="auto"/>
          <w:color w:val="auto"/>
        </w:rPr>
        <w:t>Global Class C Notes</w:t>
      </w:r>
      <w:r>
        <w:rPr>
          <w:rFonts w:ascii="Times New Roman" w:cs="Times New Roman" w:eastAsia="Times New Roman" w:hAnsi="Times New Roman"/>
          <w:sz w:val="21"/>
          <w:szCs w:val="21"/>
          <w:color w:val="auto"/>
        </w:rPr>
        <w:t>”, the Restricted Global Class D Notes, the Temporary Global Class D Notes and the Permanent Global Class D Notes are collectively referred to as the “</w:t>
      </w:r>
      <w:r>
        <w:rPr>
          <w:rFonts w:ascii="Times New Roman" w:cs="Times New Roman" w:eastAsia="Times New Roman" w:hAnsi="Times New Roman"/>
          <w:sz w:val="21"/>
          <w:szCs w:val="21"/>
          <w:u w:val="single" w:color="auto"/>
          <w:color w:val="auto"/>
        </w:rPr>
        <w:t>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D Notes</w:t>
      </w:r>
      <w:r>
        <w:rPr>
          <w:rFonts w:ascii="Times New Roman" w:cs="Times New Roman" w:eastAsia="Times New Roman" w:hAnsi="Times New Roman"/>
          <w:sz w:val="21"/>
          <w:szCs w:val="21"/>
          <w:color w:val="auto"/>
        </w:rPr>
        <w:t>” and the Restricted Global Class R Notes, the Temporary Global Class R Notes and the Permanent Global Class R Notes are collectively referred to as the “</w:t>
      </w:r>
      <w:r>
        <w:rPr>
          <w:rFonts w:ascii="Times New Roman" w:cs="Times New Roman" w:eastAsia="Times New Roman" w:hAnsi="Times New Roman"/>
          <w:sz w:val="21"/>
          <w:szCs w:val="21"/>
          <w:u w:val="single" w:color="auto"/>
          <w:color w:val="auto"/>
        </w:rPr>
        <w:t>Global Class R Notes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(a) The Series 2023-1 Notes shall be subject to repurchase by ABRCF at its option in accordance with Section 6.3 of the Base Indenture on any Distribution Date (any such Distribution Date, a “</w:t>
      </w:r>
      <w:r>
        <w:rPr>
          <w:rFonts w:ascii="Times New Roman" w:cs="Times New Roman" w:eastAsia="Times New Roman" w:hAnsi="Times New Roman"/>
          <w:sz w:val="22"/>
          <w:szCs w:val="22"/>
          <w:u w:val="single" w:color="auto"/>
          <w:color w:val="auto"/>
        </w:rPr>
        <w:t>Clean-up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Repurchase Distribution Date</w:t>
      </w:r>
      <w:r>
        <w:rPr>
          <w:rFonts w:ascii="Times New Roman" w:cs="Times New Roman" w:eastAsia="Times New Roman" w:hAnsi="Times New Roman"/>
          <w:sz w:val="22"/>
          <w:szCs w:val="22"/>
          <w:color w:val="auto"/>
        </w:rPr>
        <w:t>”) after the Series 2023-1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 w:cs="Times New Roman" w:eastAsia="Times New Roman" w:hAnsi="Times New Roman"/>
          <w:sz w:val="22"/>
          <w:szCs w:val="22"/>
          <w:u w:val="single" w:color="auto"/>
          <w:color w:val="auto"/>
        </w:rPr>
        <w:t>Series 2023-1 Repurchase Amount</w:t>
      </w:r>
      <w:r>
        <w:rPr>
          <w:rFonts w:ascii="Times New Roman" w:cs="Times New Roman" w:eastAsia="Times New Roman" w:hAnsi="Times New Roman"/>
          <w:sz w:val="22"/>
          <w:szCs w:val="22"/>
          <w:color w:val="auto"/>
        </w:rPr>
        <w:t>”). The repurchase price for any Series 2023-1 Note subject to a Clean-up Repurchase shall equal the aggregate outstanding principal balance of such Series 2023-1 Note</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bl>
    <w:p>
      <w:pPr>
        <w:sectPr>
          <w:pgSz w:w="11900" w:h="16838" w:orient="portrait"/>
          <w:cols w:equalWidth="0" w:num="1">
            <w:col w:w="11240"/>
          </w:cols>
          <w:pgMar w:left="320" w:top="1030" w:right="339" w:bottom="1440" w:gutter="0" w:footer="0" w:header="0"/>
        </w:sectPr>
      </w:pPr>
    </w:p>
    <w:bookmarkStart w:id="126" w:name="page127"/>
    <w:bookmarkEnd w:id="126"/>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(determined after giving effect to any payments of principal and interest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interest on such outstanding principal balance.</w:t>
      </w:r>
    </w:p>
    <w:p>
      <w:pPr>
        <w:spacing w:after="0" w:line="171" w:lineRule="exact"/>
        <w:rPr>
          <w:sz w:val="20"/>
          <w:szCs w:val="20"/>
          <w:color w:val="auto"/>
        </w:rPr>
      </w:pPr>
    </w:p>
    <w:p>
      <w:pPr>
        <w:jc w:val="both"/>
        <w:ind w:firstLine="1304"/>
        <w:spacing w:after="0" w:line="247" w:lineRule="auto"/>
        <w:tabs>
          <w:tab w:leader="none" w:pos="177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2023-1 Notes shall also be subject to repurchase at the election of the ABRCF in accordance with Section 6.3 of the Base Indenture, in whole but not in part, on any Distribution Date (any such Distribution Date, an “</w:t>
      </w: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Repurchase Distribution Date</w:t>
      </w:r>
      <w:r>
        <w:rPr>
          <w:rFonts w:ascii="Times New Roman" w:cs="Times New Roman" w:eastAsia="Times New Roman" w:hAnsi="Times New Roman"/>
          <w:sz w:val="22"/>
          <w:szCs w:val="22"/>
          <w:color w:val="auto"/>
        </w:rPr>
        <w:t>”) that occurs prior to the earlier to occur of (x) the commencement of the Series 2023-1 Rapid Amortization Period and (y) the Clean-up Repurchase Distribution Date (any such repurchase, an “</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Class D Notes shall only be subject to such Optional Repurchase in accordance with this clause (b) on and after the earlier of (x) following the Class D Notes Closing Date, the offering and sale of the Class D Notes to one or more third-party investors and (y) the September 2025 Distribution Date. The repurchase price for any Series 2023-1 Note subject to an Optional Repurchase shall equal (1) the aggregate outstanding principal balance of such Series 2023-1 Note (determined after giving effect to any payments made pursuant to Section 2.5(a)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accrued and unpaid interest on such outstanding principal balance (determined after giving effect to any payments made pursuant to Section 2.4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(3) the Make Whole Payment with respect to such Series 2023-1 Note.</w:t>
      </w:r>
    </w:p>
    <w:p>
      <w:pPr>
        <w:spacing w:after="0" w:line="20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Trustee shall provide to the Series 2023-1 Noteholders, or their designated agent, copies of all information furnished to the Trustee or ABRCF pursuant to the Related Documents, as such information relates to the Series 2023-1 Notes or the Series 2023-1 Collateral.</w:t>
      </w:r>
    </w:p>
    <w:p>
      <w:pPr>
        <w:sectPr>
          <w:pgSz w:w="11900" w:h="16838" w:orient="portrait"/>
          <w:cols w:equalWidth="0" w:num="1">
            <w:col w:w="11240"/>
          </w:cols>
          <w:pgMar w:left="320" w:top="1030" w:right="339" w:bottom="1440" w:gutter="0" w:footer="0" w:header="0"/>
        </w:sectPr>
      </w:pP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5.3.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The following exhibits attached hereto supplement the exhibits included in the Base</w:t>
      </w:r>
    </w:p>
    <w:p>
      <w:pPr>
        <w:spacing w:after="0" w:line="200" w:lineRule="exact"/>
        <w:rPr>
          <w:sz w:val="20"/>
          <w:szCs w:val="20"/>
          <w:color w:val="auto"/>
        </w:rPr>
      </w:pPr>
    </w:p>
    <w:p>
      <w:pPr>
        <w:spacing w:after="0" w:line="317" w:lineRule="exact"/>
        <w:rPr>
          <w:sz w:val="20"/>
          <w:szCs w:val="20"/>
          <w:color w:val="auto"/>
        </w:rPr>
      </w:pPr>
    </w:p>
    <w:p>
      <w:pPr>
        <w:ind w:left="480" w:right="3200"/>
        <w:spacing w:after="0" w:line="311" w:lineRule="auto"/>
        <w:rPr>
          <w:sz w:val="20"/>
          <w:szCs w:val="20"/>
          <w:color w:val="auto"/>
        </w:rPr>
      </w:pPr>
      <w:r>
        <w:rPr>
          <w:rFonts w:ascii="Times New Roman" w:cs="Times New Roman" w:eastAsia="Times New Roman" w:hAnsi="Times New Roman"/>
          <w:sz w:val="21"/>
          <w:szCs w:val="21"/>
          <w:color w:val="auto"/>
        </w:rPr>
        <w:t>Form of Restricted Global Series 2023-1 Note, Class A Form of Temporary Global Series 2023-1 Note, Class A Form of Permanent Global Series 2023-1 Note, Class A Form of Restricted Global Series 2023-1 Note, Class B Form of Temporary Global Series 2023-1 Note, Class B Form of Permanent Global Series 2023-1 Note, Class B Form of Restricted Global Series 2023-1 Note, Class C Form of Temporary Global Series 2023-1 Note, Class C Form of Permanent Global Series 2023-1 Note, Class C Form of Restricted Global Series 2023-1 Note, Class D Form of Temporary Global Series 2023-1 Note, Class D Form of Permanent Global Series 2023-1 Note, Class D Form of Restricted Global Series 2023-1 Note, Class R Form of Temporary Global Series 2023-1 Note, Class R Form of Permanent Global Series 2023-1 Note, Class R Form of Series 2023-1 Demand Note Form of Multi-Series Letter of Credit Form of Lease Payment Deficit Notice Form of Demand Notice</w:t>
      </w:r>
    </w:p>
    <w:p>
      <w:pPr>
        <w:spacing w:after="0" w:line="436" w:lineRule="exact"/>
        <w:rPr>
          <w:sz w:val="20"/>
          <w:szCs w:val="20"/>
          <w:color w:val="auto"/>
        </w:rPr>
      </w:pPr>
    </w:p>
    <w:p>
      <w:pPr>
        <w:sectPr>
          <w:pgSz w:w="11900" w:h="16838" w:orient="portrait"/>
          <w:cols w:equalWidth="0" w:num="2">
            <w:col w:w="2560" w:space="160"/>
            <w:col w:w="8520"/>
          </w:cols>
          <w:pgMar w:left="320" w:top="1030" w:right="339" w:bottom="1440" w:gutter="0" w:footer="0" w:header="0"/>
          <w:type w:val="continuous"/>
        </w:sectPr>
      </w:pP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bl>
    <w:p>
      <w:pPr>
        <w:sectPr>
          <w:pgSz w:w="11900" w:h="16838" w:orient="portrait"/>
          <w:cols w:equalWidth="0" w:num="1">
            <w:col w:w="11240"/>
          </w:cols>
          <w:pgMar w:left="320" w:top="1030" w:right="339" w:bottom="1440" w:gutter="0" w:footer="0" w:header="0"/>
          <w:type w:val="continuous"/>
        </w:sectPr>
      </w:pPr>
    </w:p>
    <w:bookmarkStart w:id="127" w:name="page128"/>
    <w:bookmarkEnd w:id="127"/>
    <w:p>
      <w:pPr>
        <w:spacing w:after="0" w:line="2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L-1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L-2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u w:val="single" w:color="auto"/>
          <w:color w:val="auto"/>
        </w:rPr>
        <w:t>Exhibit M-1</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1"/>
          <w:szCs w:val="21"/>
          <w:u w:val="single" w:color="auto"/>
          <w:color w:val="auto"/>
        </w:rPr>
        <w:t>Exhibit M-2</w:t>
      </w:r>
      <w:r>
        <w:rPr>
          <w:rFonts w:ascii="Times New Roman" w:cs="Times New Roman" w:eastAsia="Times New Roman" w:hAnsi="Times New Roman"/>
          <w:sz w:val="21"/>
          <w:szCs w:val="21"/>
          <w:color w:val="auto"/>
        </w:rPr>
        <w:t>:</w:t>
      </w:r>
    </w:p>
    <w:p>
      <w:pPr>
        <w:spacing w:after="0" w:line="24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N-1</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N-2</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O-1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O-2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R-1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R-2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U</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V</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Form of Supplemental Indenture No. 6 to the Base Indenture</w:t>
      </w:r>
    </w:p>
    <w:p>
      <w:pPr>
        <w:spacing w:after="0" w:line="58" w:lineRule="exact"/>
        <w:rPr>
          <w:sz w:val="20"/>
          <w:szCs w:val="20"/>
          <w:color w:val="auto"/>
        </w:rPr>
      </w:pPr>
    </w:p>
    <w:p>
      <w:pPr>
        <w:ind w:right="2200"/>
        <w:spacing w:after="0" w:line="294" w:lineRule="auto"/>
        <w:rPr>
          <w:sz w:val="20"/>
          <w:szCs w:val="20"/>
          <w:color w:val="auto"/>
        </w:rPr>
      </w:pPr>
      <w:r>
        <w:rPr>
          <w:rFonts w:ascii="Times New Roman" w:cs="Times New Roman" w:eastAsia="Times New Roman" w:hAnsi="Times New Roman"/>
          <w:sz w:val="22"/>
          <w:szCs w:val="22"/>
          <w:color w:val="auto"/>
        </w:rPr>
        <w:t>Class A/B/C Form of Amendment to the AESOP I Operating Lease Class D Form of Amendment to the AESOP I Operating Lease Class A/B/C Form of Amendment to the Finance Lease Class D Form of Amendment to the Finance Lease</w:t>
      </w:r>
    </w:p>
    <w:p>
      <w:pPr>
        <w:spacing w:after="0" w:line="2" w:lineRule="exact"/>
        <w:rPr>
          <w:sz w:val="20"/>
          <w:szCs w:val="20"/>
          <w:color w:val="auto"/>
        </w:rPr>
      </w:pPr>
    </w:p>
    <w:p>
      <w:pPr>
        <w:ind w:right="1700"/>
        <w:spacing w:after="0" w:line="236" w:lineRule="auto"/>
        <w:rPr>
          <w:sz w:val="20"/>
          <w:szCs w:val="20"/>
          <w:color w:val="auto"/>
        </w:rPr>
      </w:pPr>
      <w:r>
        <w:rPr>
          <w:rFonts w:ascii="Times New Roman" w:cs="Times New Roman" w:eastAsia="Times New Roman" w:hAnsi="Times New Roman"/>
          <w:sz w:val="22"/>
          <w:szCs w:val="22"/>
          <w:color w:val="auto"/>
        </w:rPr>
        <w:t>Class A/B/C Form of Amendment to the AESOP I Operating Lease Loan Agreement</w:t>
      </w:r>
    </w:p>
    <w:p>
      <w:pPr>
        <w:spacing w:after="0" w:line="1" w:lineRule="exact"/>
        <w:rPr>
          <w:sz w:val="20"/>
          <w:szCs w:val="20"/>
          <w:color w:val="auto"/>
        </w:rPr>
      </w:pPr>
    </w:p>
    <w:p>
      <w:pPr>
        <w:ind w:right="2100"/>
        <w:spacing w:after="0" w:line="230" w:lineRule="auto"/>
        <w:rPr>
          <w:sz w:val="20"/>
          <w:szCs w:val="20"/>
          <w:color w:val="auto"/>
        </w:rPr>
      </w:pPr>
      <w:r>
        <w:rPr>
          <w:rFonts w:ascii="Times New Roman" w:cs="Times New Roman" w:eastAsia="Times New Roman" w:hAnsi="Times New Roman"/>
          <w:sz w:val="22"/>
          <w:szCs w:val="22"/>
          <w:color w:val="auto"/>
        </w:rPr>
        <w:t>Class D Form of Amendment to the AESOP I Operating Lease Loan Agreement</w:t>
      </w:r>
    </w:p>
    <w:p>
      <w:pPr>
        <w:spacing w:after="0" w:line="1" w:lineRule="exact"/>
        <w:rPr>
          <w:sz w:val="20"/>
          <w:szCs w:val="20"/>
          <w:color w:val="auto"/>
        </w:rPr>
      </w:pPr>
    </w:p>
    <w:p>
      <w:pPr>
        <w:ind w:right="1880"/>
        <w:spacing w:after="0" w:line="230" w:lineRule="auto"/>
        <w:rPr>
          <w:sz w:val="20"/>
          <w:szCs w:val="20"/>
          <w:color w:val="auto"/>
        </w:rPr>
      </w:pPr>
      <w:r>
        <w:rPr>
          <w:rFonts w:ascii="Times New Roman" w:cs="Times New Roman" w:eastAsia="Times New Roman" w:hAnsi="Times New Roman"/>
          <w:sz w:val="22"/>
          <w:szCs w:val="22"/>
          <w:color w:val="auto"/>
        </w:rPr>
        <w:t>Class A/B/C Form of Amendment to the AESOP I Finance Lease Loan Agreement</w:t>
      </w:r>
    </w:p>
    <w:p>
      <w:pPr>
        <w:spacing w:after="0" w:line="1" w:lineRule="exact"/>
        <w:rPr>
          <w:sz w:val="20"/>
          <w:szCs w:val="20"/>
          <w:color w:val="auto"/>
        </w:rPr>
      </w:pPr>
    </w:p>
    <w:p>
      <w:pPr>
        <w:ind w:right="2280"/>
        <w:spacing w:after="0" w:line="230" w:lineRule="auto"/>
        <w:rPr>
          <w:sz w:val="20"/>
          <w:szCs w:val="20"/>
          <w:color w:val="auto"/>
        </w:rPr>
      </w:pPr>
      <w:r>
        <w:rPr>
          <w:rFonts w:ascii="Times New Roman" w:cs="Times New Roman" w:eastAsia="Times New Roman" w:hAnsi="Times New Roman"/>
          <w:sz w:val="22"/>
          <w:szCs w:val="22"/>
          <w:color w:val="auto"/>
        </w:rPr>
        <w:t>Class D Form of Amendment to the AESOP I Finance Lease Loan Agreement</w:t>
      </w:r>
    </w:p>
    <w:p>
      <w:pPr>
        <w:spacing w:after="0" w:line="1" w:lineRule="exact"/>
        <w:rPr>
          <w:sz w:val="20"/>
          <w:szCs w:val="20"/>
          <w:color w:val="auto"/>
        </w:rPr>
      </w:pPr>
    </w:p>
    <w:p>
      <w:pPr>
        <w:ind w:right="2120"/>
        <w:spacing w:after="0" w:line="291" w:lineRule="auto"/>
        <w:rPr>
          <w:sz w:val="20"/>
          <w:szCs w:val="20"/>
          <w:color w:val="auto"/>
        </w:rPr>
      </w:pPr>
      <w:r>
        <w:rPr>
          <w:rFonts w:ascii="Times New Roman" w:cs="Times New Roman" w:eastAsia="Times New Roman" w:hAnsi="Times New Roman"/>
          <w:sz w:val="22"/>
          <w:szCs w:val="22"/>
          <w:color w:val="auto"/>
        </w:rPr>
        <w:t>Class A/B/C Form of Amendment to the AESOP II Operating Lease Class D Form of Amendment to the AESOP II Operating Lease Form of Amendment to the Master Exchange Agreement Form of Amendment to the Escrow Agreement</w:t>
      </w:r>
    </w:p>
    <w:p>
      <w:pPr>
        <w:spacing w:after="0" w:line="3" w:lineRule="exact"/>
        <w:rPr>
          <w:sz w:val="20"/>
          <w:szCs w:val="20"/>
          <w:color w:val="auto"/>
        </w:rPr>
      </w:pPr>
    </w:p>
    <w:p>
      <w:pPr>
        <w:ind w:right="2160"/>
        <w:spacing w:after="0" w:line="308" w:lineRule="auto"/>
        <w:rPr>
          <w:sz w:val="20"/>
          <w:szCs w:val="20"/>
          <w:color w:val="auto"/>
        </w:rPr>
      </w:pPr>
      <w:r>
        <w:rPr>
          <w:rFonts w:ascii="Times New Roman" w:cs="Times New Roman" w:eastAsia="Times New Roman" w:hAnsi="Times New Roman"/>
          <w:sz w:val="21"/>
          <w:szCs w:val="21"/>
          <w:color w:val="auto"/>
        </w:rPr>
        <w:t>Class A/B/C Form of Amendment to the Administration Agreement Class D Form of Amendment to the Administration Agreement</w:t>
      </w:r>
    </w:p>
    <w:p>
      <w:pPr>
        <w:spacing w:after="0" w:line="1" w:lineRule="exact"/>
        <w:rPr>
          <w:sz w:val="20"/>
          <w:szCs w:val="20"/>
          <w:color w:val="auto"/>
        </w:rPr>
      </w:pPr>
    </w:p>
    <w:p>
      <w:pPr>
        <w:ind w:right="1760"/>
        <w:spacing w:after="0" w:line="303" w:lineRule="auto"/>
        <w:rPr>
          <w:sz w:val="20"/>
          <w:szCs w:val="20"/>
          <w:color w:val="auto"/>
        </w:rPr>
      </w:pPr>
      <w:r>
        <w:rPr>
          <w:rFonts w:ascii="Times New Roman" w:cs="Times New Roman" w:eastAsia="Times New Roman" w:hAnsi="Times New Roman"/>
          <w:sz w:val="22"/>
          <w:szCs w:val="22"/>
          <w:color w:val="auto"/>
        </w:rPr>
        <w:t>Form of Amendment to the AESOP II Operating Lease Loan Agreement Form of Amendment to the Original AESOP Nominee Agreement Form of Amendment to the Disposition Agent Agreement Form of Amendment to the Back-up Administration Agreement</w:t>
      </w:r>
    </w:p>
    <w:p>
      <w:pPr>
        <w:spacing w:after="0" w:line="200" w:lineRule="exact"/>
        <w:rPr>
          <w:sz w:val="20"/>
          <w:szCs w:val="20"/>
          <w:color w:val="auto"/>
        </w:rPr>
      </w:pPr>
    </w:p>
    <w:p>
      <w:pPr>
        <w:sectPr>
          <w:pgSz w:w="11900" w:h="16838" w:orient="portrait"/>
          <w:cols w:equalWidth="0" w:num="2">
            <w:col w:w="2600" w:space="600"/>
            <w:col w:w="8040"/>
          </w:cols>
          <w:pgMar w:left="320" w:top="1057" w:right="339" w:bottom="1440" w:gutter="0" w:footer="0" w:header="0"/>
        </w:sectPr>
      </w:pPr>
    </w:p>
    <w:p>
      <w:pPr>
        <w:spacing w:after="0" w:line="7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Ratification of Base Indenture</w:t>
      </w:r>
      <w:r>
        <w:rPr>
          <w:rFonts w:ascii="Times New Roman" w:cs="Times New Roman" w:eastAsia="Times New Roman" w:hAnsi="Times New Roman"/>
          <w:sz w:val="22"/>
          <w:szCs w:val="22"/>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73" w:lineRule="exact"/>
        <w:rPr>
          <w:sz w:val="20"/>
          <w:szCs w:val="20"/>
          <w:color w:val="auto"/>
        </w:rPr>
      </w:pPr>
    </w:p>
    <w:p>
      <w:pPr>
        <w:jc w:val="both"/>
        <w:ind w:firstLine="1296"/>
        <w:spacing w:after="0" w:line="309"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Supplement may be executed in any number of counterparts, each of which so executed shall be deemed to be an original, but all of such counterparts shall together constitute but one and the same instrument.</w:t>
      </w:r>
    </w:p>
    <w:p>
      <w:pPr>
        <w:spacing w:after="0" w:line="12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 shall be construed in accordance with the law of the State of New York, and the obligations, rights and remedies of the parties hereto shall be determined in accordance with such law.</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This Supplement may be modified or amended from time to time in accordance with the terms of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pursuant to the terms of the Base Indenture or this Supplement, the consent of the Required</w:t>
      </w: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bl>
    <w:p>
      <w:pPr>
        <w:sectPr>
          <w:pgSz w:w="11900" w:h="16838" w:orient="portrait"/>
          <w:cols w:equalWidth="0" w:num="1">
            <w:col w:w="11240"/>
          </w:cols>
          <w:pgMar w:left="320" w:top="1057" w:right="339" w:bottom="1440" w:gutter="0" w:footer="0" w:header="0"/>
          <w:type w:val="continuous"/>
        </w:sectPr>
      </w:pPr>
    </w:p>
    <w:bookmarkStart w:id="128" w:name="page129"/>
    <w:bookmarkEnd w:id="128"/>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Noteholders is required for an amendment or modification of this Supplement or any other Related Document, such requirement shall be satisfied if such amendment or modification is consented to by the Requisite Series 2023-1 Noteholders;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(A) so long as (i) no Amortization Event has occurred and is continuing and (ii) the Rating Agency Consent Condition is met with respect to the outstanding Series 2023-1 Notes (other than the Class R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(B) ABRCF shall be able to modify or amend any Series 2023-1 Maximum Amount at any time with the consent of a Requisite Series 2023-1 Noteholders and (C) ABRCF may amend or modify the terms of this Supplement without the consent of any Series 2023-1 Noteholders to clarify that no interest has accrued with respect to the Class C Notes and no Class C Monthly Interest is due with respect to the Class C Notes for so long as ABRCF retains 100% of the Class C Notes.</w:t>
      </w:r>
    </w:p>
    <w:p>
      <w:pPr>
        <w:spacing w:after="0" w:line="18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Discharge of Base Indenture</w:t>
      </w:r>
      <w:r>
        <w:rPr>
          <w:rFonts w:ascii="Times New Roman" w:cs="Times New Roman" w:eastAsia="Times New Roman" w:hAnsi="Times New Roman"/>
          <w:sz w:val="22"/>
          <w:szCs w:val="22"/>
          <w:color w:val="auto"/>
        </w:rPr>
        <w:t>. Notwithstanding anything to the contrary contained in the Base Indenture, no discharge of the Indenture pursuant to Section 11.1(b) of the Base Indenture will be effective as to the Series 2023-1 Notes without the consent of the Requisite Series 2023-1 Noteholders.</w:t>
      </w:r>
    </w:p>
    <w:p>
      <w:pPr>
        <w:spacing w:after="0" w:line="16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Notice to Rating Agencies</w:t>
      </w:r>
      <w:r>
        <w:rPr>
          <w:rFonts w:ascii="Times New Roman" w:cs="Times New Roman" w:eastAsia="Times New Roman" w:hAnsi="Times New Roman"/>
          <w:sz w:val="22"/>
          <w:szCs w:val="22"/>
          <w:color w:val="auto"/>
        </w:rPr>
        <w:t>.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Capitalization of ABRCF</w:t>
      </w:r>
      <w:r>
        <w:rPr>
          <w:rFonts w:ascii="Times New Roman" w:cs="Times New Roman" w:eastAsia="Times New Roman" w:hAnsi="Times New Roman"/>
          <w:sz w:val="22"/>
          <w:szCs w:val="22"/>
          <w:color w:val="auto"/>
        </w:rPr>
        <w:t>. ABRCF agrees that on the Class D Notes Closing Date it will have capitalization in an amount equal to or greater than 3% of the sum of (x) the Series 2023-1 Invested Amount and (y) the invested amount of the Series 2010-6 Notes, the Series 2011-4 Notes, the Series 2015-3 Notes, the Series 2020-1 Notes, the Series 2020-2 Notes, the Series 2021-1 Notes, the Series 2021-2 Notes, the Series 2022-1 Notes, the Series 2022-3 Notes, the Series 2022-4 Notes, the Series 2022-5 Notes, the Series 2023-2 Notes, the Series 2023-3 Notes, the Series 2023-4 Notes, the Series 2023-5 Notes, the Series 2023-6 Notes, the Series 2023-7 Notes, the Series 2023-8 Notes, the Series 2024-1 Notes, the Series 2024-2 Notes and the Series 2024-3 Notes.</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Required Noteholders</w:t>
      </w:r>
      <w:r>
        <w:rPr>
          <w:rFonts w:ascii="Times New Roman" w:cs="Times New Roman" w:eastAsia="Times New Roman" w:hAnsi="Times New Roman"/>
          <w:sz w:val="22"/>
          <w:szCs w:val="22"/>
          <w:color w:val="auto"/>
        </w:rPr>
        <w:t>. Subject to Section 5.7 above, any action pursuant to Section 5.6, Section 8.13 or Article 9 of the Base Indenture that requires the consent of, or is permissible at the direction of, the Required Noteholders with respect to the Series 2023-</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bl>
    <w:p>
      <w:pPr>
        <w:sectPr>
          <w:pgSz w:w="11900" w:h="16838" w:orient="portrait"/>
          <w:cols w:equalWidth="0" w:num="1">
            <w:col w:w="11240"/>
          </w:cols>
          <w:pgMar w:left="320" w:top="1030" w:right="339" w:bottom="1440" w:gutter="0" w:footer="0" w:header="0"/>
        </w:sectPr>
      </w:pPr>
    </w:p>
    <w:bookmarkStart w:id="129" w:name="page130"/>
    <w:bookmarkEnd w:id="129"/>
    <w:p>
      <w:pPr>
        <w:jc w:val="both"/>
        <w:spacing w:after="0" w:line="256" w:lineRule="auto"/>
        <w:rPr>
          <w:sz w:val="20"/>
          <w:szCs w:val="20"/>
          <w:color w:val="auto"/>
        </w:rPr>
      </w:pPr>
      <w:r>
        <w:rPr>
          <w:rFonts w:ascii="Times New Roman" w:cs="Times New Roman" w:eastAsia="Times New Roman" w:hAnsi="Times New Roman"/>
          <w:sz w:val="22"/>
          <w:szCs w:val="22"/>
          <w:color w:val="auto"/>
        </w:rPr>
        <w:t>1 Notes pursuant to the Base Indenture shall only be allowed with the consent of, or at the direction of, the Required Controlling Class Series 2023-1 Noteholders. Any other action pursuant to any Related Document which requires the consent or approval of, or the waiver by, the Required Noteholders with respect to the Series 2023-1 Notes shall require the consent or approval of, or waiver by, the Requisite Series 2023-1 Noteholders.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Series 2023-1 Demand Notes</w:t>
      </w:r>
      <w:r>
        <w:rPr>
          <w:rFonts w:ascii="Times New Roman" w:cs="Times New Roman" w:eastAsia="Times New Roman" w:hAnsi="Times New Roman"/>
          <w:sz w:val="22"/>
          <w:szCs w:val="22"/>
          <w:color w:val="auto"/>
        </w:rPr>
        <w:t>. Other than pursuant to a demand thereon pursuant to Section 2.5, ABRCF shall not reduce the amount of the Series 2023-1 Demand Notes or forgive amounts payable thereunder so that the outstanding principal amount of the Series 2023-1 Demand Notes after such reduction or forgiveness is less than the sum of (x) the Class A/B/C Letter of Credit Liquidity Amount plus (y) the Class D Letter of Credit Liquidity Amount. ABRCF shall not agree to any amendment of the Series 2023-1 Demand Notes without first satisfying the Rating Agency Confirmation Condition and the Rating Agency Consent Condition.</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Termination of Supplement</w:t>
      </w:r>
      <w:r>
        <w:rPr>
          <w:rFonts w:ascii="Times New Roman" w:cs="Times New Roman" w:eastAsia="Times New Roman" w:hAnsi="Times New Roman"/>
          <w:sz w:val="22"/>
          <w:szCs w:val="22"/>
          <w:color w:val="auto"/>
        </w:rPr>
        <w:t>. This Supplement shall cease to be of further effect when all outstanding Series 2023-1 Notes theretofore authenticated and issued have been delivered (other than destroyed, lost, or stolen Series 2023-1 Notes which have been replaced or paid) to the Trustee for cancellation, ABRCF has paid all sums payable hereunder, and, if the Series 2023-1 Demand Note Payment Amount on the Multi-Series Letter of Credit Termination Date was greater than zero, all amounts have been withdrawn from the Series 2023-1 Cash Collateral Accounts in accordance with Section 2.8(m).</w:t>
      </w:r>
    </w:p>
    <w:p>
      <w:pPr>
        <w:spacing w:after="0" w:line="18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Noteholder Consent to Certain Amendments</w:t>
      </w:r>
      <w:r>
        <w:rPr>
          <w:rFonts w:ascii="Times New Roman" w:cs="Times New Roman" w:eastAsia="Times New Roman" w:hAnsi="Times New Roman"/>
          <w:sz w:val="22"/>
          <w:szCs w:val="22"/>
          <w:color w:val="auto"/>
        </w:rPr>
        <w:t xml:space="preserve">. (a) Each Series 2023-1 Noteholder, upon any acquisition of a Series 2023-1 Note, will be deemed to agree and consent to (i) the execution by ABRCF of a Supplemental Indenture to the Base Indenture substantially in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hereto, (ii) the execution of an amendment to the AESOP I Operating Lease substantially in the form of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 xml:space="preserve"> hereto, (iii) the execution of an amendment to the Finance Lease substantially in the form of </w:t>
      </w:r>
      <w:r>
        <w:rPr>
          <w:rFonts w:ascii="Times New Roman" w:cs="Times New Roman" w:eastAsia="Times New Roman" w:hAnsi="Times New Roman"/>
          <w:sz w:val="22"/>
          <w:szCs w:val="22"/>
          <w:u w:val="single" w:color="auto"/>
          <w:color w:val="auto"/>
        </w:rPr>
        <w:t>Exhibit L-1</w:t>
      </w:r>
      <w:r>
        <w:rPr>
          <w:rFonts w:ascii="Times New Roman" w:cs="Times New Roman" w:eastAsia="Times New Roman" w:hAnsi="Times New Roman"/>
          <w:sz w:val="22"/>
          <w:szCs w:val="22"/>
          <w:color w:val="auto"/>
        </w:rPr>
        <w:t xml:space="preserve"> hereto, (iv) the execution of an amendment to the AESOP I Operating Lease Loan Agreement substantially in the form of </w:t>
      </w:r>
      <w:r>
        <w:rPr>
          <w:rFonts w:ascii="Times New Roman" w:cs="Times New Roman" w:eastAsia="Times New Roman" w:hAnsi="Times New Roman"/>
          <w:sz w:val="22"/>
          <w:szCs w:val="22"/>
          <w:u w:val="single" w:color="auto"/>
          <w:color w:val="auto"/>
        </w:rPr>
        <w:t>Exhibit M-1</w:t>
      </w:r>
      <w:r>
        <w:rPr>
          <w:rFonts w:ascii="Times New Roman" w:cs="Times New Roman" w:eastAsia="Times New Roman" w:hAnsi="Times New Roman"/>
          <w:sz w:val="22"/>
          <w:szCs w:val="22"/>
          <w:color w:val="auto"/>
        </w:rPr>
        <w:t xml:space="preserve"> hereto, (v) the execution of an amendment to the AESOP I Finance Lease Loan Agreement substantially in the form of </w:t>
      </w:r>
      <w:r>
        <w:rPr>
          <w:rFonts w:ascii="Times New Roman" w:cs="Times New Roman" w:eastAsia="Times New Roman" w:hAnsi="Times New Roman"/>
          <w:sz w:val="22"/>
          <w:szCs w:val="22"/>
          <w:u w:val="single" w:color="auto"/>
          <w:color w:val="auto"/>
        </w:rPr>
        <w:t>Exhibit N-1</w:t>
      </w:r>
      <w:r>
        <w:rPr>
          <w:rFonts w:ascii="Times New Roman" w:cs="Times New Roman" w:eastAsia="Times New Roman" w:hAnsi="Times New Roman"/>
          <w:sz w:val="22"/>
          <w:szCs w:val="22"/>
          <w:color w:val="auto"/>
        </w:rPr>
        <w:t xml:space="preserve"> hereto, (vi) the execution of an amendment to the AESOP II Operating Lease substantially in the form of </w:t>
      </w:r>
      <w:r>
        <w:rPr>
          <w:rFonts w:ascii="Times New Roman" w:cs="Times New Roman" w:eastAsia="Times New Roman" w:hAnsi="Times New Roman"/>
          <w:sz w:val="22"/>
          <w:szCs w:val="22"/>
          <w:u w:val="single" w:color="auto"/>
          <w:color w:val="auto"/>
        </w:rPr>
        <w:t>Exhibit O-1</w:t>
      </w:r>
      <w:r>
        <w:rPr>
          <w:rFonts w:ascii="Times New Roman" w:cs="Times New Roman" w:eastAsia="Times New Roman" w:hAnsi="Times New Roman"/>
          <w:sz w:val="22"/>
          <w:szCs w:val="22"/>
          <w:color w:val="auto"/>
        </w:rPr>
        <w:t xml:space="preserve"> hereto, (vii) the execution of an amendment to the Master Exchange Agreement substantially in the form of </w:t>
      </w: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 xml:space="preserve"> hereto, (viii) the execution of an amendment to the Escrow Agreement substantially in the form of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hereto, (ix) the execution of an amendment to the Administration Agreement substantially in the form of </w:t>
      </w:r>
      <w:r>
        <w:rPr>
          <w:rFonts w:ascii="Times New Roman" w:cs="Times New Roman" w:eastAsia="Times New Roman" w:hAnsi="Times New Roman"/>
          <w:sz w:val="22"/>
          <w:szCs w:val="22"/>
          <w:u w:val="single" w:color="auto"/>
          <w:color w:val="auto"/>
        </w:rPr>
        <w:t>Exhibit R-1</w:t>
      </w:r>
      <w:r>
        <w:rPr>
          <w:rFonts w:ascii="Times New Roman" w:cs="Times New Roman" w:eastAsia="Times New Roman" w:hAnsi="Times New Roman"/>
          <w:sz w:val="22"/>
          <w:szCs w:val="22"/>
          <w:color w:val="auto"/>
        </w:rPr>
        <w:t xml:space="preserve"> hereto, (x) the execution of an amendment to the AESOP II Operating Lease Loan Agreement substantially in the form of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xml:space="preserve"> hereto, (xi) the execution of an amendment to the Original AESOP Nominee Agreement substantially in the form of </w:t>
      </w:r>
      <w:r>
        <w:rPr>
          <w:rFonts w:ascii="Times New Roman" w:cs="Times New Roman" w:eastAsia="Times New Roman" w:hAnsi="Times New Roman"/>
          <w:sz w:val="22"/>
          <w:szCs w:val="22"/>
          <w:u w:val="single" w:color="auto"/>
          <w:color w:val="auto"/>
        </w:rPr>
        <w:t>Exhibit T</w:t>
      </w:r>
      <w:r>
        <w:rPr>
          <w:rFonts w:ascii="Times New Roman" w:cs="Times New Roman" w:eastAsia="Times New Roman" w:hAnsi="Times New Roman"/>
          <w:sz w:val="22"/>
          <w:szCs w:val="22"/>
          <w:color w:val="auto"/>
        </w:rPr>
        <w:t xml:space="preserve"> hereto, (xii) the execution of an amendment to the Disposition Agent Agreement substantially in the form of </w:t>
      </w:r>
      <w:r>
        <w:rPr>
          <w:rFonts w:ascii="Times New Roman" w:cs="Times New Roman" w:eastAsia="Times New Roman" w:hAnsi="Times New Roman"/>
          <w:sz w:val="22"/>
          <w:szCs w:val="22"/>
          <w:u w:val="single" w:color="auto"/>
          <w:color w:val="auto"/>
        </w:rPr>
        <w:t>Exhibit U</w:t>
      </w:r>
      <w:r>
        <w:rPr>
          <w:rFonts w:ascii="Times New Roman" w:cs="Times New Roman" w:eastAsia="Times New Roman" w:hAnsi="Times New Roman"/>
          <w:sz w:val="22"/>
          <w:szCs w:val="22"/>
          <w:color w:val="auto"/>
        </w:rPr>
        <w:t xml:space="preserve"> hereto and (xiii) the execution of an amendment to the Back-up Administration Agreement substantially in the form of </w:t>
      </w:r>
      <w:r>
        <w:rPr>
          <w:rFonts w:ascii="Times New Roman" w:cs="Times New Roman" w:eastAsia="Times New Roman" w:hAnsi="Times New Roman"/>
          <w:sz w:val="22"/>
          <w:szCs w:val="22"/>
          <w:u w:val="single" w:color="auto"/>
          <w:color w:val="auto"/>
        </w:rPr>
        <w:t>Exhibit V</w:t>
      </w:r>
      <w:r>
        <w:rPr>
          <w:rFonts w:ascii="Times New Roman" w:cs="Times New Roman" w:eastAsia="Times New Roman" w:hAnsi="Times New Roman"/>
          <w:sz w:val="22"/>
          <w:szCs w:val="22"/>
          <w:color w:val="auto"/>
        </w:rPr>
        <w:t xml:space="preserve"> hereto. Such deemed consent will apply to each proposed amendment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individually, and the failure to adopt any of the amendments set forth therein will not revoke the consent with respect to any other amendment.</w:t>
      </w:r>
    </w:p>
    <w:p>
      <w:pPr>
        <w:spacing w:after="0" w:line="191" w:lineRule="exact"/>
        <w:rPr>
          <w:sz w:val="20"/>
          <w:szCs w:val="20"/>
          <w:color w:val="auto"/>
        </w:rPr>
      </w:pPr>
    </w:p>
    <w:p>
      <w:pPr>
        <w:ind w:firstLine="1304"/>
        <w:spacing w:after="0" w:line="284" w:lineRule="auto"/>
        <w:tabs>
          <w:tab w:leader="none" w:pos="181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Class D Noteholder, upon any acquisition of a Class D Note, will be deemed to agree and consent to (i) the execution by ABRCF of a Supplemental Indenture to the</w:t>
      </w: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bl>
    <w:p>
      <w:pPr>
        <w:sectPr>
          <w:pgSz w:w="11900" w:h="16838" w:orient="portrait"/>
          <w:cols w:equalWidth="0" w:num="1">
            <w:col w:w="11240"/>
          </w:cols>
          <w:pgMar w:left="320" w:top="1030" w:right="339" w:bottom="1440" w:gutter="0" w:footer="0" w:header="0"/>
        </w:sectPr>
      </w:pPr>
    </w:p>
    <w:bookmarkStart w:id="130" w:name="page131"/>
    <w:bookmarkEnd w:id="130"/>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Base Indenture substantially in the form of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xml:space="preserve"> hereto, (ii) the execution of an amendment to the AESOP I Operating Lease substantially in the form of </w:t>
      </w:r>
      <w:r>
        <w:rPr>
          <w:rFonts w:ascii="Times New Roman" w:cs="Times New Roman" w:eastAsia="Times New Roman" w:hAnsi="Times New Roman"/>
          <w:sz w:val="21"/>
          <w:szCs w:val="21"/>
          <w:u w:val="single" w:color="auto"/>
          <w:color w:val="auto"/>
        </w:rPr>
        <w:t>Exhibit K-2</w:t>
      </w:r>
      <w:r>
        <w:rPr>
          <w:rFonts w:ascii="Times New Roman" w:cs="Times New Roman" w:eastAsia="Times New Roman" w:hAnsi="Times New Roman"/>
          <w:sz w:val="21"/>
          <w:szCs w:val="21"/>
          <w:color w:val="auto"/>
        </w:rPr>
        <w:t xml:space="preserve"> hereto, (iii) the execution of an amendment to the Finance Lease substantially in the form of </w:t>
      </w:r>
      <w:r>
        <w:rPr>
          <w:rFonts w:ascii="Times New Roman" w:cs="Times New Roman" w:eastAsia="Times New Roman" w:hAnsi="Times New Roman"/>
          <w:sz w:val="21"/>
          <w:szCs w:val="21"/>
          <w:u w:val="single" w:color="auto"/>
          <w:color w:val="auto"/>
        </w:rPr>
        <w:t>Exhibit L-2</w:t>
      </w:r>
      <w:r>
        <w:rPr>
          <w:rFonts w:ascii="Times New Roman" w:cs="Times New Roman" w:eastAsia="Times New Roman" w:hAnsi="Times New Roman"/>
          <w:sz w:val="21"/>
          <w:szCs w:val="21"/>
          <w:color w:val="auto"/>
        </w:rPr>
        <w:t xml:space="preserve"> hereto, (iv) the execution of an amendment to the AESOP I Operating Lease Loan Agreement substantially in the form of </w:t>
      </w:r>
      <w:r>
        <w:rPr>
          <w:rFonts w:ascii="Times New Roman" w:cs="Times New Roman" w:eastAsia="Times New Roman" w:hAnsi="Times New Roman"/>
          <w:sz w:val="21"/>
          <w:szCs w:val="21"/>
          <w:u w:val="single" w:color="auto"/>
          <w:color w:val="auto"/>
        </w:rPr>
        <w:t>Exhibit M-2</w:t>
      </w:r>
      <w:r>
        <w:rPr>
          <w:rFonts w:ascii="Times New Roman" w:cs="Times New Roman" w:eastAsia="Times New Roman" w:hAnsi="Times New Roman"/>
          <w:sz w:val="21"/>
          <w:szCs w:val="21"/>
          <w:color w:val="auto"/>
        </w:rPr>
        <w:t xml:space="preserve"> hereto, (v) the execution of an amendment to the AESOP I Finance Lease Loan Agreement substantially in the form of </w:t>
      </w:r>
      <w:r>
        <w:rPr>
          <w:rFonts w:ascii="Times New Roman" w:cs="Times New Roman" w:eastAsia="Times New Roman" w:hAnsi="Times New Roman"/>
          <w:sz w:val="21"/>
          <w:szCs w:val="21"/>
          <w:u w:val="single" w:color="auto"/>
          <w:color w:val="auto"/>
        </w:rPr>
        <w:t>Exhibit N-2</w:t>
      </w:r>
      <w:r>
        <w:rPr>
          <w:rFonts w:ascii="Times New Roman" w:cs="Times New Roman" w:eastAsia="Times New Roman" w:hAnsi="Times New Roman"/>
          <w:sz w:val="21"/>
          <w:szCs w:val="21"/>
          <w:color w:val="auto"/>
        </w:rPr>
        <w:t xml:space="preserve"> hereto, (vi) the execution of an amendment to the AESOP II Operating Lease substantially in the form of </w:t>
      </w:r>
      <w:r>
        <w:rPr>
          <w:rFonts w:ascii="Times New Roman" w:cs="Times New Roman" w:eastAsia="Times New Roman" w:hAnsi="Times New Roman"/>
          <w:sz w:val="21"/>
          <w:szCs w:val="21"/>
          <w:u w:val="single" w:color="auto"/>
          <w:color w:val="auto"/>
        </w:rPr>
        <w:t>Exhibit O-2</w:t>
      </w:r>
      <w:r>
        <w:rPr>
          <w:rFonts w:ascii="Times New Roman" w:cs="Times New Roman" w:eastAsia="Times New Roman" w:hAnsi="Times New Roman"/>
          <w:sz w:val="21"/>
          <w:szCs w:val="21"/>
          <w:color w:val="auto"/>
        </w:rPr>
        <w:t xml:space="preserve"> hereto, (vii) the execution of an amendment to the Master Exchange Agreement substantially in the form of </w:t>
      </w:r>
      <w:r>
        <w:rPr>
          <w:rFonts w:ascii="Times New Roman" w:cs="Times New Roman" w:eastAsia="Times New Roman" w:hAnsi="Times New Roman"/>
          <w:sz w:val="21"/>
          <w:szCs w:val="21"/>
          <w:u w:val="single" w:color="auto"/>
          <w:color w:val="auto"/>
        </w:rPr>
        <w:t>Exhibit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 xml:space="preserve"> hereto, (viii) the execution of an amendment to the Escrow Agreement substantially in the form of </w:t>
      </w:r>
      <w:r>
        <w:rPr>
          <w:rFonts w:ascii="Times New Roman" w:cs="Times New Roman" w:eastAsia="Times New Roman" w:hAnsi="Times New Roman"/>
          <w:sz w:val="21"/>
          <w:szCs w:val="21"/>
          <w:u w:val="single" w:color="auto"/>
          <w:color w:val="auto"/>
        </w:rPr>
        <w:t>Exhibit Q</w:t>
      </w:r>
      <w:r>
        <w:rPr>
          <w:rFonts w:ascii="Times New Roman" w:cs="Times New Roman" w:eastAsia="Times New Roman" w:hAnsi="Times New Roman"/>
          <w:sz w:val="21"/>
          <w:szCs w:val="21"/>
          <w:color w:val="auto"/>
        </w:rPr>
        <w:t xml:space="preserve"> hereto, (ix) the execution of an amendment to the Administration Agreement substantially in the form of </w:t>
      </w:r>
      <w:r>
        <w:rPr>
          <w:rFonts w:ascii="Times New Roman" w:cs="Times New Roman" w:eastAsia="Times New Roman" w:hAnsi="Times New Roman"/>
          <w:sz w:val="21"/>
          <w:szCs w:val="21"/>
          <w:u w:val="single" w:color="auto"/>
          <w:color w:val="auto"/>
        </w:rPr>
        <w:t>Exhibit R-2</w:t>
      </w:r>
      <w:r>
        <w:rPr>
          <w:rFonts w:ascii="Times New Roman" w:cs="Times New Roman" w:eastAsia="Times New Roman" w:hAnsi="Times New Roman"/>
          <w:sz w:val="21"/>
          <w:szCs w:val="21"/>
          <w:color w:val="auto"/>
        </w:rPr>
        <w:t xml:space="preserve"> hereto, (x) the execution of an amendment to the AESOP II Operating Lease Loan Agreement substantially in the form of </w:t>
      </w:r>
      <w:r>
        <w:rPr>
          <w:rFonts w:ascii="Times New Roman" w:cs="Times New Roman" w:eastAsia="Times New Roman" w:hAnsi="Times New Roman"/>
          <w:sz w:val="21"/>
          <w:szCs w:val="21"/>
          <w:u w:val="single" w:color="auto"/>
          <w:color w:val="auto"/>
        </w:rPr>
        <w:t>Exhibit S</w:t>
      </w:r>
      <w:r>
        <w:rPr>
          <w:rFonts w:ascii="Times New Roman" w:cs="Times New Roman" w:eastAsia="Times New Roman" w:hAnsi="Times New Roman"/>
          <w:sz w:val="21"/>
          <w:szCs w:val="21"/>
          <w:color w:val="auto"/>
        </w:rPr>
        <w:t xml:space="preserve"> hereto, (xi) the execution of an amendment to the Original AESOP Nominee Agreement substantially in the form of </w:t>
      </w:r>
      <w:r>
        <w:rPr>
          <w:rFonts w:ascii="Times New Roman" w:cs="Times New Roman" w:eastAsia="Times New Roman" w:hAnsi="Times New Roman"/>
          <w:sz w:val="21"/>
          <w:szCs w:val="21"/>
          <w:u w:val="single" w:color="auto"/>
          <w:color w:val="auto"/>
        </w:rPr>
        <w:t>Exhibit T</w:t>
      </w:r>
      <w:r>
        <w:rPr>
          <w:rFonts w:ascii="Times New Roman" w:cs="Times New Roman" w:eastAsia="Times New Roman" w:hAnsi="Times New Roman"/>
          <w:sz w:val="21"/>
          <w:szCs w:val="21"/>
          <w:color w:val="auto"/>
        </w:rPr>
        <w:t xml:space="preserve"> hereto, (xii) the execution of an amendment to the Disposition Agent Agreement substantially in the form of </w:t>
      </w:r>
      <w:r>
        <w:rPr>
          <w:rFonts w:ascii="Times New Roman" w:cs="Times New Roman" w:eastAsia="Times New Roman" w:hAnsi="Times New Roman"/>
          <w:sz w:val="21"/>
          <w:szCs w:val="21"/>
          <w:u w:val="single" w:color="auto"/>
          <w:color w:val="auto"/>
        </w:rPr>
        <w:t>Exhibit U</w:t>
      </w:r>
      <w:r>
        <w:rPr>
          <w:rFonts w:ascii="Times New Roman" w:cs="Times New Roman" w:eastAsia="Times New Roman" w:hAnsi="Times New Roman"/>
          <w:sz w:val="21"/>
          <w:szCs w:val="21"/>
          <w:color w:val="auto"/>
        </w:rPr>
        <w:t xml:space="preserve"> hereto and (xiii) the execution of an amendment to the Back-up Administration Agreement substantially in the form of </w:t>
      </w:r>
      <w:r>
        <w:rPr>
          <w:rFonts w:ascii="Times New Roman" w:cs="Times New Roman" w:eastAsia="Times New Roman" w:hAnsi="Times New Roman"/>
          <w:sz w:val="21"/>
          <w:szCs w:val="21"/>
          <w:u w:val="single" w:color="auto"/>
          <w:color w:val="auto"/>
        </w:rPr>
        <w:t>Exhibit V</w:t>
      </w:r>
      <w:r>
        <w:rPr>
          <w:rFonts w:ascii="Times New Roman" w:cs="Times New Roman" w:eastAsia="Times New Roman" w:hAnsi="Times New Roman"/>
          <w:sz w:val="21"/>
          <w:szCs w:val="21"/>
          <w:color w:val="auto"/>
        </w:rPr>
        <w:t xml:space="preserve"> hereto. Such deemed consent will apply to each proposed amendment set forth in </w:t>
      </w:r>
      <w:r>
        <w:rPr>
          <w:rFonts w:ascii="Times New Roman" w:cs="Times New Roman" w:eastAsia="Times New Roman" w:hAnsi="Times New Roman"/>
          <w:sz w:val="21"/>
          <w:szCs w:val="21"/>
          <w:u w:val="single" w:color="auto"/>
          <w:color w:val="auto"/>
        </w:rPr>
        <w:t>Exhibits 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K-2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Q</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individually, and the failure to adopt any of the amendments set forth therein will not revoke the consent with respect to any other amendment.</w:t>
      </w:r>
    </w:p>
    <w:p>
      <w:pPr>
        <w:spacing w:after="0" w:line="171"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Section 5.15. [Reserved]</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(a) The Trustee and each Series 2023-1 Note Owner agrees, by its acceptance and holding of a beneficial interest in a Series 2023-1 Note, to maintain the confidentiality of all Confidential Information in accordance with procedures adopted by the Trustee or such Series 2023-1 Note Owner in good faith to protect confidential information of third parties delivered to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2023-1 Note Owner; (iv) any Person of the type that would be, to such Person’s knowledge, permitted to acquire an interest in the Series 2023-1 Notes in accordance with the requirements of the Indenture to which such Person sells or offers to sell any such Series 2023-1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w:t>
      </w:r>
    </w:p>
    <w:p>
      <w:pPr>
        <w:spacing w:after="0" w:line="200" w:lineRule="exact"/>
        <w:rPr>
          <w:sz w:val="20"/>
          <w:szCs w:val="20"/>
          <w:color w:val="auto"/>
        </w:rPr>
      </w:pP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bl>
    <w:p>
      <w:pPr>
        <w:sectPr>
          <w:pgSz w:w="11900" w:h="16838" w:orient="portrait"/>
          <w:cols w:equalWidth="0" w:num="1">
            <w:col w:w="11240"/>
          </w:cols>
          <w:pgMar w:left="320" w:top="1030" w:right="339" w:bottom="1440" w:gutter="0" w:footer="0" w:header="0"/>
        </w:sectPr>
      </w:pPr>
    </w:p>
    <w:bookmarkStart w:id="131" w:name="page132"/>
    <w:bookmarkEnd w:id="131"/>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the force of law), (C) in connection with any litigation to which such Person is a party upon prior notice to ABRCF (unless prohibited by applicable law, rule, order or decree or other requirement having the force of law) or (D) if an Amortization Event with respect to the Series 2023-1 Notes has occurred and is continuing, to the extent such Person may reasonably determine such delivery and disclosure to be necessary or appropriate in the enforcement or for the protection of the rights and remedies under the Series 2023-1 Notes, the Indenture or any other Related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delivery to any Series 2023-1 Note Owner of any report or information required by the terms of the Indenture to be provided to such Series 2023-1 Note Owner shall not be a violation of this Section 5.16. Each Series 2023-1 Note Owner agrees, by acceptance of a beneficial interest in a Series 2023-1 Note, except as set forth in clauses (v), (vi) and (ix) above, that it shall use the Confidential Information for the sole purpose of making an investment in the Series 2023-1 Notes or administering its investment in the Series 2023-1 Notes. In the event of any required disclosure of the Confidential Information by such Series 2023-1 Note Owner, such Series 2023-1 Note Owner agrees to use reasonable efforts to protect the confidentiality of the Confidential Information.</w:t>
      </w:r>
    </w:p>
    <w:p>
      <w:pPr>
        <w:spacing w:after="0" w:line="176" w:lineRule="exact"/>
        <w:rPr>
          <w:sz w:val="20"/>
          <w:szCs w:val="20"/>
          <w:color w:val="auto"/>
        </w:rPr>
      </w:pPr>
    </w:p>
    <w:p>
      <w:pPr>
        <w:jc w:val="both"/>
        <w:ind w:firstLine="1304"/>
        <w:spacing w:after="0" w:line="250" w:lineRule="auto"/>
        <w:tabs>
          <w:tab w:leader="none" w:pos="1774"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Section 5.16,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information delivered to the Trustee or any Series 2023-1 Note Owner by or on behalf of ABRCF in connection with and relating to the transactions contemplated by or otherwise pursuant to the Indenture and the Related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term does not include information that: (i) was publicly known or otherwise known to the Trustee or such Series 2023-1 Note Owner prior to the time of such disclosure; (ii) subsequently becomes publicly known through no act or omission by the Trustee, any Series 2023-1 Note Owner or any person acting on behalf of the Trustee or any Series 2023-1 Note Owner; (iii) otherwise is known or becomes known to the Trustee or any Series 2023-1 Note Owner other than (x) through disclosure by ABRCF or (y) as a result of the breach of a fiduciary duty to ABRCF or a contractual duty to ABRCF; or (iv) is allowed to be treated as non-confidential by consent of ABRCF.</w:t>
      </w:r>
    </w:p>
    <w:p>
      <w:pPr>
        <w:spacing w:after="0" w:line="180"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Further Limitation of Liability</w:t>
      </w:r>
      <w:r>
        <w:rPr>
          <w:rFonts w:ascii="Times New Roman" w:cs="Times New Roman" w:eastAsia="Times New Roman" w:hAnsi="Times New Roman"/>
          <w:sz w:val="22"/>
          <w:szCs w:val="22"/>
          <w:color w:val="auto"/>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Series 2023-1 Agent</w:t>
      </w:r>
      <w:r>
        <w:rPr>
          <w:rFonts w:ascii="Times New Roman" w:cs="Times New Roman" w:eastAsia="Times New Roman" w:hAnsi="Times New Roman"/>
          <w:sz w:val="22"/>
          <w:szCs w:val="22"/>
          <w:color w:val="auto"/>
        </w:rPr>
        <w:t>. The Series 2023-1 Agent shall be entitled to the same rights, benefits, protections, indemnities and immunities hereunder as are granted to the Trustee under the Base Indenture as if set forth fully herein.</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bl>
    <w:p>
      <w:pPr>
        <w:sectPr>
          <w:pgSz w:w="11900" w:h="16838" w:orient="portrait"/>
          <w:cols w:equalWidth="0" w:num="1">
            <w:col w:w="11240"/>
          </w:cols>
          <w:pgMar w:left="320" w:top="1030" w:right="339" w:bottom="1440" w:gutter="0" w:footer="0" w:header="0"/>
        </w:sectPr>
      </w:pPr>
    </w:p>
    <w:bookmarkStart w:id="132" w:name="page133"/>
    <w:bookmarkEnd w:id="132"/>
    <w:p>
      <w:pPr>
        <w:jc w:val="both"/>
        <w:spacing w:after="0" w:line="251" w:lineRule="auto"/>
        <w:rPr>
          <w:sz w:val="20"/>
          <w:szCs w:val="20"/>
          <w:color w:val="auto"/>
        </w:rPr>
      </w:pPr>
      <w:r>
        <w:rPr>
          <w:rFonts w:ascii="Times New Roman" w:cs="Times New Roman" w:eastAsia="Times New Roman" w:hAnsi="Times New Roman"/>
          <w:sz w:val="22"/>
          <w:szCs w:val="22"/>
          <w:color w:val="auto"/>
        </w:rPr>
        <w:t>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1"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 xml:space="preserve">Section 5.21. </w:t>
      </w:r>
      <w:r>
        <w:rPr>
          <w:rFonts w:ascii="Times New Roman" w:cs="Times New Roman" w:eastAsia="Times New Roman" w:hAnsi="Times New Roman"/>
          <w:sz w:val="21"/>
          <w:szCs w:val="21"/>
          <w:u w:val="single" w:color="auto"/>
          <w:color w:val="auto"/>
        </w:rPr>
        <w:t>Waiver of Jury Trial, etc</w:t>
      </w:r>
      <w:r>
        <w:rPr>
          <w:rFonts w:ascii="Times New Roman" w:cs="Times New Roman" w:eastAsia="Times New Roman" w:hAnsi="Times New Roman"/>
          <w:sz w:val="21"/>
          <w:szCs w:val="21"/>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2023-1 NOTES, THE SERIES 2023-1</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DEMAND NOTES, THE MULTI-SERIES LETTER OF CREDIT AND ANY OTHER RELATED DOCUMENTS EXECUTED IN CONNECTION WITH THE ISSUANCE OF THE SERIES 2023-1 NOTES, OR ANY COURSE OF CONDUCT, COURSE OF DEALING, STATEMENTS (WHETHER ORAL OR WRITTEN), OR ACTIONS OF THE PARTIES HERETO. THIS PROVISION IS A MATERIAL INDUCEMENT FOR THE PARTIES HERETO TO ENTER INTO THIS SUPPLEMENT.</w:t>
      </w:r>
    </w:p>
    <w:p>
      <w:pPr>
        <w:spacing w:after="0" w:line="16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5.22. </w:t>
      </w: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2023-1 NOTES, THE SERIES 2023-1 DEMAND NOTES, THE MULTI-SERIES LETTER OF CREDIT AND ANY OTHER RELATED DOCUMENTS EXECUTED IN CONNECTION WITH THE ISSUANCE OF THE SERIES 2023-1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 w:cs="Times New Roman" w:eastAsia="Times New Roman" w:hAnsi="Times New Roman"/>
          <w:sz w:val="21"/>
          <w:szCs w:val="21"/>
          <w:u w:val="single" w:color="auto"/>
          <w:color w:val="auto"/>
        </w:rPr>
        <w:t>FORUM NON CONVENIENS</w:t>
      </w:r>
      <w:r>
        <w:rPr>
          <w:rFonts w:ascii="Times New Roman" w:cs="Times New Roman" w:eastAsia="Times New Roman" w:hAnsi="Times New Roman"/>
          <w:sz w:val="21"/>
          <w:szCs w:val="21"/>
          <w:color w:val="auto"/>
        </w:rPr>
        <w:t xml:space="preserve"> OR OTHERWISE. NOTHING CONTAINED HEREIN SHALL PRECLUDE ANY PARTY HERETO FROM BRINGING AN ACTION OR PROCEEDING ARISING OUT OF OR RELATING TO THIS SUPPLEMENT, THE SERIES 2023-1 NOTES, THE SERIES 2023-1 DEMAND NOTES, THE MULTI-SERIES LETTER OF CREDIT AND ANY OTHER RELATED DOCUMENTS EXECUTED IN CONNECTION WITH THE ISSUANCE OF THE SERIES 2023-1 NOTES IN ANY OTHER COUNTRY, STATE OR PLACE HAVING JURISDICTION OVER SUCH ACTION OR PROCEEDING.</w:t>
      </w:r>
    </w:p>
    <w:p>
      <w:pPr>
        <w:spacing w:after="0" w:line="183"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5.23.</w:t>
      </w:r>
      <w:r>
        <w:rPr>
          <w:sz w:val="20"/>
          <w:szCs w:val="20"/>
          <w:color w:val="auto"/>
        </w:rPr>
        <w:tab/>
      </w:r>
      <w:r>
        <w:rPr>
          <w:rFonts w:ascii="Times New Roman" w:cs="Times New Roman" w:eastAsia="Times New Roman" w:hAnsi="Times New Roman"/>
          <w:sz w:val="21"/>
          <w:szCs w:val="21"/>
          <w:u w:val="single" w:color="auto"/>
          <w:color w:val="auto"/>
        </w:rPr>
        <w:t>Additional Terms of the Series 2023-1 Notes</w:t>
      </w:r>
      <w:r>
        <w:rPr>
          <w:rFonts w:ascii="Times New Roman" w:cs="Times New Roman" w:eastAsia="Times New Roman" w:hAnsi="Times New Roman"/>
          <w:sz w:val="21"/>
          <w:szCs w:val="21"/>
          <w:color w:val="auto"/>
        </w:rPr>
        <w:t>.</w:t>
      </w:r>
    </w:p>
    <w:p>
      <w:pPr>
        <w:spacing w:after="0" w:line="30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ectPr>
          <w:pgSz w:w="11900" w:h="16838" w:orient="portrait"/>
          <w:cols w:equalWidth="0" w:num="1">
            <w:col w:w="11240"/>
          </w:cols>
          <w:pgMar w:left="320" w:top="1030" w:right="339" w:bottom="1440" w:gutter="0" w:footer="0" w:header="0"/>
        </w:sectPr>
      </w:pPr>
    </w:p>
    <w:bookmarkStart w:id="133" w:name="page134"/>
    <w:bookmarkEnd w:id="133"/>
    <w:p>
      <w:pPr>
        <w:ind w:left="1680" w:hanging="456"/>
        <w:spacing w:after="0"/>
        <w:tabs>
          <w:tab w:leader="none" w:pos="16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this Supplement and the Series 2023-1 Notes:</w:t>
      </w:r>
    </w:p>
    <w:p>
      <w:pPr>
        <w:spacing w:after="0" w:line="219" w:lineRule="exact"/>
        <w:rPr>
          <w:rFonts w:ascii="Times New Roman" w:cs="Times New Roman" w:eastAsia="Times New Roman" w:hAnsi="Times New Roman"/>
          <w:sz w:val="22"/>
          <w:szCs w:val="22"/>
          <w:color w:val="auto"/>
        </w:rPr>
      </w:pPr>
    </w:p>
    <w:p>
      <w:pPr>
        <w:jc w:val="both"/>
        <w:ind w:left="580" w:firstLine="1292"/>
        <w:spacing w:after="0" w:line="256" w:lineRule="auto"/>
        <w:tabs>
          <w:tab w:leader="none" w:pos="2361"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Opinion of Counsel set forth in </w:t>
      </w:r>
      <w:r>
        <w:rPr>
          <w:rFonts w:ascii="Times New Roman" w:cs="Times New Roman" w:eastAsia="Times New Roman" w:hAnsi="Times New Roman"/>
          <w:sz w:val="22"/>
          <w:szCs w:val="22"/>
          <w:u w:val="single" w:color="auto"/>
          <w:color w:val="auto"/>
        </w:rPr>
        <w:t>Section 2.2(f)(i)(x)</w:t>
      </w:r>
      <w:r>
        <w:rPr>
          <w:rFonts w:ascii="Times New Roman" w:cs="Times New Roman" w:eastAsia="Times New Roman" w:hAnsi="Times New Roman"/>
          <w:sz w:val="22"/>
          <w:szCs w:val="22"/>
          <w:color w:val="auto"/>
        </w:rPr>
        <w:t xml:space="preserve"> of the Base Indenture shall not be required with respect to the Class C Notes and the Class R Notes. The Opinion of Counsel set forth in </w:t>
      </w:r>
      <w:r>
        <w:rPr>
          <w:rFonts w:ascii="Times New Roman" w:cs="Times New Roman" w:eastAsia="Times New Roman" w:hAnsi="Times New Roman"/>
          <w:sz w:val="22"/>
          <w:szCs w:val="22"/>
          <w:u w:val="single" w:color="auto"/>
          <w:color w:val="auto"/>
        </w:rPr>
        <w:t>Section 2.2(f)(i)(y)</w:t>
      </w:r>
      <w:r>
        <w:rPr>
          <w:rFonts w:ascii="Times New Roman" w:cs="Times New Roman" w:eastAsia="Times New Roman" w:hAnsi="Times New Roman"/>
          <w:sz w:val="22"/>
          <w:szCs w:val="22"/>
          <w:color w:val="auto"/>
        </w:rPr>
        <w:t xml:space="preserve"> of the Base Indenture shall not be required with respect to the Class C Notes and the Class R Notes for any Series issued after the date hereof.</w:t>
      </w:r>
    </w:p>
    <w:p>
      <w:pPr>
        <w:spacing w:after="0" w:line="176" w:lineRule="exact"/>
        <w:rPr>
          <w:rFonts w:ascii="Times New Roman" w:cs="Times New Roman" w:eastAsia="Times New Roman" w:hAnsi="Times New Roman"/>
          <w:sz w:val="22"/>
          <w:szCs w:val="22"/>
          <w:color w:val="auto"/>
        </w:rPr>
      </w:pPr>
    </w:p>
    <w:p>
      <w:pPr>
        <w:jc w:val="both"/>
        <w:ind w:left="580" w:firstLine="1292"/>
        <w:spacing w:after="0" w:line="268" w:lineRule="auto"/>
        <w:tabs>
          <w:tab w:leader="none" w:pos="2433"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bl>
    <w:p>
      <w:pPr>
        <w:sectPr>
          <w:pgSz w:w="11900" w:h="16838" w:orient="portrait"/>
          <w:cols w:equalWidth="0" w:num="1">
            <w:col w:w="11160"/>
          </w:cols>
          <w:pgMar w:left="400" w:top="1273" w:right="339" w:bottom="1440" w:gutter="0" w:footer="0" w:header="0"/>
        </w:sectPr>
      </w:pPr>
    </w:p>
    <w:bookmarkStart w:id="134" w:name="page135"/>
    <w:bookmarkEnd w:id="134"/>
    <w:p>
      <w:pPr>
        <w:spacing w:after="0" w:line="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ABRCF and the Trustee have caused this Supplement to be duly executed by their respective officers thereunto duly authorized as of the day and year first above written.</w:t>
      </w:r>
    </w:p>
    <w:p>
      <w:pPr>
        <w:spacing w:after="0" w:line="18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(AESOP) LLC</w:t>
      </w:r>
    </w:p>
    <w:p>
      <w:pPr>
        <w:spacing w:after="0" w:line="200" w:lineRule="exact"/>
        <w:rPr>
          <w:sz w:val="20"/>
          <w:szCs w:val="20"/>
          <w:color w:val="auto"/>
        </w:rPr>
      </w:pPr>
    </w:p>
    <w:p>
      <w:pPr>
        <w:spacing w:after="0" w:line="34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-160020</wp:posOffset>
            </wp:positionV>
            <wp:extent cx="23399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A&amp;R Series 2023-1 Indenture Supplement</w:t>
      </w: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129834060</w:t>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25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spacing w:after="0" w:line="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COMPANY, N.A., as Trustee</w:t>
      </w:r>
    </w:p>
    <w:p>
      <w:pPr>
        <w:spacing w:after="0" w:line="27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34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ind w:left="7420"/>
        <w:spacing w:after="0" w:line="221" w:lineRule="auto"/>
        <w:rPr>
          <w:sz w:val="20"/>
          <w:szCs w:val="20"/>
          <w:color w:val="auto"/>
        </w:rPr>
      </w:pPr>
      <w:r>
        <w:rPr>
          <w:rFonts w:ascii="Times New Roman" w:cs="Times New Roman" w:eastAsia="Times New Roman" w:hAnsi="Times New Roman"/>
          <w:sz w:val="22"/>
          <w:szCs w:val="22"/>
          <w:color w:val="auto"/>
        </w:rPr>
        <w:t>COMPANY, N.A., as Series 2023-1</w:t>
      </w:r>
    </w:p>
    <w:p>
      <w:pPr>
        <w:ind w:left="7420"/>
        <w:spacing w:after="0"/>
        <w:rPr>
          <w:sz w:val="20"/>
          <w:szCs w:val="20"/>
          <w:color w:val="auto"/>
        </w:rPr>
      </w:pPr>
      <w:r>
        <w:rPr>
          <w:rFonts w:ascii="Times New Roman" w:cs="Times New Roman" w:eastAsia="Times New Roman" w:hAnsi="Times New Roman"/>
          <w:sz w:val="22"/>
          <w:szCs w:val="22"/>
          <w:color w:val="auto"/>
        </w:rPr>
        <w:t>Agent</w:t>
      </w:r>
    </w:p>
    <w:p>
      <w:pPr>
        <w:spacing w:after="0" w:line="2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i w:val="1"/>
          <w:iCs w:val="1"/>
          <w:color w:val="auto"/>
        </w:rPr>
        <w:t>Signature Page to A&amp;R Series 2023-1 Indenture Supplement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129834060</w:t>
      </w:r>
    </w:p>
    <w:p>
      <w:pPr>
        <w:sectPr>
          <w:pgSz w:w="11900" w:h="16838" w:orient="portrait"/>
          <w:cols w:equalWidth="0" w:num="1">
            <w:col w:w="10640"/>
          </w:cols>
          <w:pgMar w:left="400" w:top="1440" w:right="859" w:bottom="1440" w:gutter="0" w:footer="0" w:header="0"/>
        </w:sectPr>
      </w:pPr>
    </w:p>
    <w:bookmarkStart w:id="136" w:name="page137"/>
    <w:bookmarkEnd w:id="136"/>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SERIES 2023-1 ALLOCATIONS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99"/>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Establishment of Series 2023-1 Collection Account, Series 2023-1 Excess Collection Account and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2023-1 Accrued Interest Account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Allocations with Respect to the Series 2023-1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Payments to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Interest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Principal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2.6.</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Administrator’s Failure to Instruct the Trustee to Make a Deposit, Draw or</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2023-1 Reserve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Multi-Series Letters of Credit and Series 2023-1 Cash Collateral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2023-1 Distribution Account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2023-1 Accounts Permitted Investments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2.11.</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Series 2023-1 Demand Notes Constitute Additional Collateral for Series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2023-1 Senior Notes</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Subordination of the Class B Notes, Class C Notes, Class D Notes and the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Class R 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AMORTIZATION EVENTS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365"/>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FORM OF SERIES 2023-1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Restricted Global Series 2023-1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4.2.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Temporary Global Series 2023-1 Notes; Permanent Global Series 2023-1</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GENERAL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Optional Repurchase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Ratification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Counterparts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Discharge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 to Rating Agencies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Capitalization of ABRCF</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Required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2023-1 Demand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of Supplement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Noteholder Consent to Certain 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Confidential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8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AMERICAS 129834060</w:t>
      </w:r>
    </w:p>
    <w:p>
      <w:pPr>
        <w:sectPr>
          <w:pgSz w:w="11900" w:h="16838" w:orient="portrait"/>
          <w:cols w:equalWidth="0" w:num="1">
            <w:col w:w="11220"/>
          </w:cols>
          <w:pgMar w:left="340" w:top="125" w:right="339" w:bottom="1440" w:gutter="0" w:footer="0" w:header="0"/>
          <w:type w:val="continuous"/>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5.18.</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Further Limitation of Liability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5.19.</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2023-1 Agent</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5.20.</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Force Majeure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5.21.</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Waiver of Jury Trial, etc</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5.22.</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Submission to Jurisdiction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w:t>
            </w: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5.23.</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Terms of the Series 2023-1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129834060</w:t>
      </w:r>
    </w:p>
    <w:p>
      <w:pPr>
        <w:sectPr>
          <w:pgSz w:w="11900" w:h="16838" w:orient="portrait"/>
          <w:cols w:equalWidth="0" w:num="1">
            <w:col w:w="11160"/>
          </w:cols>
          <w:pgMar w:left="400" w:top="36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BANK OF NEW YORK MELLON TRUST COMPANY, N.A.,</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Trustee and Series 2023-7 Agent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SERIES 2023-7 SUPPLEMENT</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April 9, 2025</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to</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2023-7 5.90% Rental Car Asset Backed Notes, Class A</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2023-7 6.44% Rental Car Asset Backed Notes, Class B</w:t>
      </w:r>
    </w:p>
    <w:p>
      <w:pPr>
        <w:spacing w:after="0" w:line="1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2023-7 7.41% Rental Car Asset Backed Notes, Class C</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2023-7 7.31% Rental Car Asset Backed Notes, Class D</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Series 2023-7 9.321% Rental Car Asset Backed Notes, Class 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129834063</w:t>
      </w:r>
    </w:p>
    <w:p>
      <w:pPr>
        <w:sectPr>
          <w:pgSz w:w="11900" w:h="16838" w:orient="portrait"/>
          <w:cols w:equalWidth="0" w:num="1">
            <w:col w:w="11160"/>
          </w:cols>
          <w:pgMar w:left="400" w:top="121" w:right="339" w:bottom="1440" w:gutter="0" w:footer="0" w:header="0"/>
        </w:sectPr>
      </w:pPr>
    </w:p>
    <w:bookmarkStart w:id="139" w:name="page140"/>
    <w:bookmarkEnd w:id="139"/>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SECOND AMENDED AND RESTATED SERIES 2023-7 SUPPLEMENT, dated as of April 9, 2025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THE BANK OF NEW YORK MELLON TRUST COMPANY, N.A. (formerly known as The Bank of New York), as agent (in such capacity, the “</w:t>
      </w:r>
      <w:r>
        <w:rPr>
          <w:rFonts w:ascii="Times New Roman" w:cs="Times New Roman" w:eastAsia="Times New Roman" w:hAnsi="Times New Roman"/>
          <w:sz w:val="22"/>
          <w:szCs w:val="22"/>
          <w:u w:val="single" w:color="auto"/>
          <w:color w:val="auto"/>
        </w:rPr>
        <w:t>Series 2023-7 Agent</w:t>
      </w:r>
      <w:r>
        <w:rPr>
          <w:rFonts w:ascii="Times New Roman" w:cs="Times New Roman" w:eastAsia="Times New Roman" w:hAnsi="Times New Roman"/>
          <w:sz w:val="22"/>
          <w:szCs w:val="22"/>
          <w:color w:val="auto"/>
        </w:rPr>
        <w:t>”) for the benefit of the Series 2023-7 Noteholders,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8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WHEREAS, ABRCF and the Trustee entered into the Series 2023-7 Supplement, dated September 18, 2023 (the “</w:t>
      </w:r>
      <w:r>
        <w:rPr>
          <w:rFonts w:ascii="Times New Roman" w:cs="Times New Roman" w:eastAsia="Times New Roman" w:hAnsi="Times New Roman"/>
          <w:sz w:val="22"/>
          <w:szCs w:val="22"/>
          <w:u w:val="single" w:color="auto"/>
          <w:color w:val="auto"/>
        </w:rPr>
        <w:t>Prior Supplement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on September 18, 2023, ABRCF issued its Series 2023-7 5.90% Rental Car Asset Backed Notes, Class A, its Series 2023-7 6.44% Rental Car Asset Backed Notes, Class B, its Series 2023-7 7.41% Rental Car Asset Backed Notes, Class C, and its Series 2023-7 9.321% Rental Car Asset Backed Notes, Class R under the Prior Supplement;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and the Trustee entered into the Amended and Restated Series 2023-7 Supplement, dated January 31, 2025 (the “</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in accordance with Section 5.15 of the Prior Supplement, on January 31, 2025, ABRCF issued its Series 2023-7 7.98% Rental Car Asset Backed Notes, Class D and additional Class R Notes (the “</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on the Class D Notes Closing Date and amended and restated the Prior Supplement in its entirety as set forth in the Prior A&amp;R Supplement;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 5.7 of the Prior A&amp;R Supplement permits ABRCF to make certain amendments to the Prior A&amp;R Supplement in connection with the re-marketing and/or offering and sale of the Class D Notes, subject, in each case, to certain conditions set forth therein;</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desires to re-market and/or sell the Class D Notes on the date hereof (the “</w:t>
      </w: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Sale Date</w:t>
      </w:r>
      <w:r>
        <w:rPr>
          <w:rFonts w:ascii="Times New Roman" w:cs="Times New Roman" w:eastAsia="Times New Roman" w:hAnsi="Times New Roman"/>
          <w:sz w:val="22"/>
          <w:szCs w:val="22"/>
          <w:color w:val="auto"/>
        </w:rPr>
        <w:t>”); and</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in connection with the re-marketing and/or offering and sale of the Class D Notes and in accordance with Section 5.7 of the Prior A&amp;R Supplement, the Prior A&amp;R Supplement is amended and restated on the Class D Notes Sale Date in its entirety as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1030" w:right="339" w:bottom="1440" w:gutter="0" w:footer="0" w:header="0"/>
        </w:sectPr>
      </w:pPr>
    </w:p>
    <w:bookmarkStart w:id="140" w:name="page141"/>
    <w:bookmarkEnd w:id="140"/>
    <w:p>
      <w:pPr>
        <w:ind w:left="130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3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There was created a Series of Notes issued pursuant to the Base Indenture and the Prior Supplement, and such Series of Notes was designated generally as the “Series 2023-7 Rental Car Asset Backed Notes”. The Series 2023-7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w:t>
      </w:r>
    </w:p>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On the Class A/B/C Notes Closing Date, ABRCF issued (i) one tranche of Class A Notes designated as the “Series 2023-7 5.90% Rental Car Asset Backed Notes, Class A”, (ii) one tranche of Class B Notes designated as the “Series 2023-7 6.44% Rental Car Asset Backed Notes, Class B”, (iii) one tranche of Class C Notes designated as the “Series 2023-7 7.41% Rental Car Asset Backed Notes, Class C” and (iv) one tranche of Class R Notes designated the “Series 2023-7 9.321% Rental Car Asset Backed Notes, Class R”.</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On the Class D Notes Closing Date, ABRCF issued (i) one tranche of Class D Notes designated as the “Series 2023-7 7.98% Rental Car Asset Backed Notes, Class D” and (ii) the Additional Class R Notes.</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On the Class D Notes Sale Date, ABRCF shall re-market the Class D Notes and such Class D Notes will be designated as the “Series 2023-7 7.31% Rental Car Asset Backed Notes, Class D”.</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The Class A Notes, Class B Notes, Class C Notes, Class D Notes and Class R Notes collectively, constitute the Series 2023-7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w:t>
      </w:r>
    </w:p>
    <w:p>
      <w:pPr>
        <w:spacing w:after="0" w:line="181"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The proceeds from the sale of the Class A Notes, Class B Notes, Class C Notes and Class R Notes were deposited in the Collection Account and were deemed to be Principal Collections, and the proceeds from the sale of the Class D Notes and the Additional Class R Notes were deposited in the Collection Account and were deemed to be Principal Collections.</w:t>
      </w:r>
    </w:p>
    <w:p>
      <w:pPr>
        <w:spacing w:after="0" w:line="15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Series 2023-7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1138"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jc w:val="both"/>
        <w:ind w:firstLine="1304"/>
        <w:spacing w:after="0" w:line="251" w:lineRule="auto"/>
        <w:tabs>
          <w:tab w:leader="none" w:pos="182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2023-7 Notes and not to any other Series of Notes issued by ABRCF. In the event that a term used herein shall be defined both herein and in the Base Indenture, the definition of such term herein shall govern.</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4"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words and phrases shall have the following meanings with respect to the Series 2023-7 Notes and the definitions of such terms are applicable to the singular as well as the plural form of such terms and to the masculine as well as the feminine and neuter genders of such terms: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means Avis Budget Car Rental, LLC.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is defined in the preamble hereto.</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Net Book Value</w:t>
      </w:r>
      <w:r>
        <w:rPr>
          <w:rFonts w:ascii="Times New Roman" w:cs="Times New Roman" w:eastAsia="Times New Roman" w:hAnsi="Times New Roman"/>
          <w:sz w:val="22"/>
          <w:szCs w:val="22"/>
          <w:color w:val="auto"/>
        </w:rPr>
        <w:t>” means, as of any date of determination, with respect to each Adjusted Program Vehicle as of such date, the product of 0.965 and the Net Book Value of such Adjusted Program Vehicle as of such date.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Distribution Date</w:t>
      </w:r>
      <w:r>
        <w:rPr>
          <w:rFonts w:ascii="Times New Roman" w:cs="Times New Roman" w:eastAsia="Times New Roman" w:hAnsi="Times New Roman"/>
          <w:sz w:val="22"/>
          <w:szCs w:val="22"/>
          <w:color w:val="auto"/>
        </w:rPr>
        <w:t>” means each Distribution Date occurring after the later of (i) the Optional Repurchase Distribution Date and (ii) the first Distribution Date occurring during the Series 2023-7 Controlled Amortization Period.</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a Sunday or (b) a day on which banking institutions in New York City or in the city in which the corporate trust office of the Trustee is located are authorized or obligated by law or executive order to close.</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Lease Deficit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Date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Unpaid Demand Note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means a class of the Series 2023-7 Notes, which may be the Class A Notes, the Class B Notes, the Class C Notes, the Class D Notes or the Class R Notes.</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1350" w:right="339" w:bottom="1440" w:gutter="0" w:footer="0" w:header="0"/>
        </w:sectPr>
      </w:pPr>
    </w:p>
    <w:bookmarkStart w:id="142" w:name="page143"/>
    <w:bookmarkEnd w:id="142"/>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Carryover Controlled Amortization Amount</w:t>
      </w:r>
      <w:r>
        <w:rPr>
          <w:rFonts w:ascii="Times New Roman" w:cs="Times New Roman" w:eastAsia="Times New Roman" w:hAnsi="Times New Roman"/>
          <w:sz w:val="22"/>
          <w:szCs w:val="22"/>
          <w:color w:val="auto"/>
        </w:rPr>
        <w:t xml:space="preserve">” means, with respect to any Related Month during the Series 2023-7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2023-7 Controlled Amortization Period, the Class A Carryover Controlled Amortization Amount shall be zero.</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Amortization Amount</w:t>
      </w:r>
      <w:r>
        <w:rPr>
          <w:rFonts w:ascii="Times New Roman" w:cs="Times New Roman" w:eastAsia="Times New Roman" w:hAnsi="Times New Roman"/>
          <w:sz w:val="22"/>
          <w:szCs w:val="22"/>
          <w:color w:val="auto"/>
        </w:rPr>
        <w:t>” means, with respect to any Related Month during the Series 2023-7 Controlled Amortization Period, $39,600,000.00.</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Distribution Amount</w:t>
      </w:r>
      <w:r>
        <w:rPr>
          <w:rFonts w:ascii="Times New Roman" w:cs="Times New Roman" w:eastAsia="Times New Roman" w:hAnsi="Times New Roman"/>
          <w:sz w:val="22"/>
          <w:szCs w:val="22"/>
          <w:color w:val="auto"/>
        </w:rPr>
        <w:t>” means, with respect to any Related Month during the Series 2023-7 Controlled Amortization Period, an amount equal to the sum of the Class A Controlled Amortization Amount and any Class A Carryover Controlled Amortization Amount for such Related Month.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Initial Invested Amount</w:t>
      </w:r>
      <w:r>
        <w:rPr>
          <w:rFonts w:ascii="Times New Roman" w:cs="Times New Roman" w:eastAsia="Times New Roman" w:hAnsi="Times New Roman"/>
          <w:sz w:val="22"/>
          <w:szCs w:val="22"/>
          <w:color w:val="auto"/>
        </w:rPr>
        <w:t>” means the aggregate initial principal amount of the Class A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$237,600,000.</w:t>
      </w:r>
    </w:p>
    <w:p>
      <w:pPr>
        <w:spacing w:after="0" w:line="19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Invested Amount</w:t>
      </w:r>
      <w:r>
        <w:rPr>
          <w:rFonts w:ascii="Times New Roman" w:cs="Times New Roman" w:eastAsia="Times New Roman" w:hAnsi="Times New Roman"/>
          <w:sz w:val="22"/>
          <w:szCs w:val="22"/>
          <w:color w:val="auto"/>
        </w:rPr>
        <w:t xml:space="preserve">” means, when used with respect to any date, an amount equal to (a) the Class A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A Noteholders on or prior to such date.</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means, with respect to (i) the initial Series 2023-7 Interest Period, an amount equal to $1,246,080.00 and (ii) any other Series 2023-7 Interest Period, an amount equal to the product of (A) one-twelfth of the Class A Note Rate and (B) the Class A Invested Amount on the first day of such Series 2023-7 Interest Period, after giving effect to any principal payments made on such date.</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w:t>
      </w:r>
      <w:r>
        <w:rPr>
          <w:rFonts w:ascii="Times New Roman" w:cs="Times New Roman" w:eastAsia="Times New Roman" w:hAnsi="Times New Roman"/>
          <w:sz w:val="22"/>
          <w:szCs w:val="22"/>
          <w:color w:val="auto"/>
        </w:rPr>
        <w:t xml:space="preserve">” means any one of the Series 2023-7 5.90% Rental Car Asset Backed Notes, Class A,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 Definitive Class A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 Rate</w:t>
      </w:r>
      <w:r>
        <w:rPr>
          <w:rFonts w:ascii="Times New Roman" w:cs="Times New Roman" w:eastAsia="Times New Roman" w:hAnsi="Times New Roman"/>
          <w:sz w:val="22"/>
          <w:szCs w:val="22"/>
          <w:color w:val="auto"/>
        </w:rPr>
        <w:t>” means 5.90% per annum.</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Noteholder</w:t>
      </w:r>
      <w:r>
        <w:rPr>
          <w:rFonts w:ascii="Times New Roman" w:cs="Times New Roman" w:eastAsia="Times New Roman" w:hAnsi="Times New Roman"/>
          <w:sz w:val="22"/>
          <w:szCs w:val="22"/>
          <w:color w:val="auto"/>
        </w:rPr>
        <w:t>” means the Person in whose name a Class A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Shortfall</w:t>
      </w:r>
      <w:r>
        <w:rPr>
          <w:rFonts w:ascii="Times New Roman" w:cs="Times New Roman" w:eastAsia="Times New Roman" w:hAnsi="Times New Roman"/>
          <w:sz w:val="22"/>
          <w:szCs w:val="22"/>
          <w:color w:val="auto"/>
        </w:rPr>
        <w:t>” has the meaning set forth in Section 2.3(g)(i).</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Applicable Multi-Series L/C Amount</w:t>
      </w:r>
      <w:r>
        <w:rPr>
          <w:rFonts w:ascii="Times New Roman" w:cs="Times New Roman" w:eastAsia="Times New Roman" w:hAnsi="Times New Roman"/>
          <w:sz w:val="22"/>
          <w:szCs w:val="22"/>
          <w:color w:val="auto"/>
        </w:rPr>
        <w:t xml:space="preserve">” means, as of any date of determination, an amount equal to the sum, for each Multi-Series Letter of Credit, of (1) the aggregate amount allocable to the Class A/B/C Notes and available to be drawn on such date under 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A/B/C Required Liquidity Amount divided by “Required Liquidity Amount” for each applicable Series for which such Multi-Series Letter of Credit is providing credit enhancement.</w:t>
      </w: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ectPr>
          <w:pgSz w:w="11900" w:h="16838" w:orient="portrait"/>
          <w:cols w:equalWidth="0" w:num="1">
            <w:col w:w="11240"/>
          </w:cols>
          <w:pgMar w:left="320" w:top="1030" w:right="339" w:bottom="1440" w:gutter="0" w:footer="0" w:header="0"/>
        </w:sectPr>
      </w:pPr>
    </w:p>
    <w:bookmarkStart w:id="143" w:name="page144"/>
    <w:bookmarkEnd w:id="143"/>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Cash Collateral Account Amount</w:t>
      </w:r>
      <w:r>
        <w:rPr>
          <w:rFonts w:ascii="Times New Roman" w:cs="Times New Roman" w:eastAsia="Times New Roman" w:hAnsi="Times New Roman"/>
          <w:sz w:val="22"/>
          <w:szCs w:val="22"/>
          <w:color w:val="auto"/>
        </w:rPr>
        <w:t>” means, as of any date of determination, the amount on deposit in the Class A/B/C Cash Collateral Account (after giving effect to any deposits thereto and withdrawals and releases therefrom on such date).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Reserve Account Amount</w:t>
      </w:r>
      <w:r>
        <w:rPr>
          <w:rFonts w:ascii="Times New Roman" w:cs="Times New Roman" w:eastAsia="Times New Roman" w:hAnsi="Times New Roman"/>
          <w:sz w:val="22"/>
          <w:szCs w:val="22"/>
          <w:color w:val="auto"/>
        </w:rPr>
        <w:t>” means, as of any date of determination, the amount on deposit in the Class A/B/C Reserve Account (after giving effect to any deposits thereto and withdrawals and releases therefrom on such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w:t>
      </w:r>
      <w:r>
        <w:rPr>
          <w:rFonts w:ascii="Times New Roman" w:cs="Times New Roman" w:eastAsia="Times New Roman" w:hAnsi="Times New Roman"/>
          <w:sz w:val="22"/>
          <w:szCs w:val="22"/>
          <w:color w:val="auto"/>
        </w:rPr>
        <w:t>” is defined in Section 2.8(h).</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Collateral</w:t>
      </w:r>
      <w:r>
        <w:rPr>
          <w:rFonts w:ascii="Times New Roman" w:cs="Times New Roman" w:eastAsia="Times New Roman" w:hAnsi="Times New Roman"/>
          <w:sz w:val="22"/>
          <w:szCs w:val="22"/>
          <w:color w:val="auto"/>
        </w:rPr>
        <w:t>” is defined in Section 2.8(a).</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Surplus</w:t>
      </w:r>
      <w:r>
        <w:rPr>
          <w:rFonts w:ascii="Times New Roman" w:cs="Times New Roman" w:eastAsia="Times New Roman" w:hAnsi="Times New Roman"/>
          <w:sz w:val="22"/>
          <w:szCs w:val="22"/>
          <w:color w:val="auto"/>
        </w:rPr>
        <w:t xml:space="preserve">” 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2023-7 Reserve Accounts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A/B/C Cash Collateral Account Surplus shall mean the excess, if any, of (x) the Class A/B/C Available Cash Collateral Account Amount over (y) the Series 2023-7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w:t>
      </w:r>
    </w:p>
    <w:p>
      <w:pPr>
        <w:spacing w:after="0" w:line="18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Amount</w:t>
      </w:r>
      <w:r>
        <w:rPr>
          <w:rFonts w:ascii="Times New Roman" w:cs="Times New Roman" w:eastAsia="Times New Roman" w:hAnsi="Times New Roman"/>
          <w:sz w:val="22"/>
          <w:szCs w:val="22"/>
          <w:color w:val="auto"/>
        </w:rPr>
        <w:t>” 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2023-7 Collection Account (not including amounts allocable to the Series 2023-7 Accrued Interest Account) and the Series 2023-7 Excess Collection Account as of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Deficiency</w:t>
      </w:r>
      <w:r>
        <w:rPr>
          <w:rFonts w:ascii="Times New Roman" w:cs="Times New Roman" w:eastAsia="Times New Roman" w:hAnsi="Times New Roman"/>
          <w:sz w:val="22"/>
          <w:szCs w:val="22"/>
          <w:color w:val="auto"/>
        </w:rPr>
        <w:t>” means, on any date of determination, the amount by which the Class A/B/C Enhancement Amount is less than the Class A/B/C Required Enhancement Amount as of such date.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and the Class C Invested Amount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240"/>
          </w:cols>
          <w:pgMar w:left="320" w:top="1030" w:right="339" w:bottom="1440" w:gutter="0" w:footer="0" w:header="0"/>
        </w:sectPr>
      </w:pPr>
    </w:p>
    <w:bookmarkStart w:id="144" w:name="page145"/>
    <w:bookmarkEnd w:id="144"/>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Amount</w:t>
      </w:r>
      <w:r>
        <w:rPr>
          <w:rFonts w:ascii="Times New Roman" w:cs="Times New Roman" w:eastAsia="Times New Roman" w:hAnsi="Times New Roman"/>
          <w:sz w:val="22"/>
          <w:szCs w:val="22"/>
          <w:color w:val="auto"/>
        </w:rPr>
        <w:t>” 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2023-7 Demand Notes on such date.</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Liquidity Amount</w:t>
      </w:r>
      <w:r>
        <w:rPr>
          <w:rFonts w:ascii="Times New Roman" w:cs="Times New Roman" w:eastAsia="Times New Roman" w:hAnsi="Times New Roman"/>
          <w:sz w:val="22"/>
          <w:szCs w:val="22"/>
          <w:color w:val="auto"/>
        </w:rPr>
        <w:t>” 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Liquidity Amount</w:t>
      </w:r>
      <w:r>
        <w:rPr>
          <w:rFonts w:ascii="Times New Roman" w:cs="Times New Roman" w:eastAsia="Times New Roman" w:hAnsi="Times New Roman"/>
          <w:sz w:val="22"/>
          <w:szCs w:val="22"/>
          <w:color w:val="auto"/>
        </w:rPr>
        <w:t>” means, as of any date of determination, the sum of (a) the Class A/B/C Letter of Credit Liquidity Amount on such date and (b) the Class A/B/C Available Reserve Account Amount on such date.</w:t>
      </w:r>
    </w:p>
    <w:p>
      <w:pPr>
        <w:spacing w:after="0" w:line="17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Maximum Amounts</w:t>
      </w:r>
      <w:r>
        <w:rPr>
          <w:rFonts w:ascii="Times New Roman" w:cs="Times New Roman" w:eastAsia="Times New Roman" w:hAnsi="Times New Roman"/>
          <w:sz w:val="21"/>
          <w:szCs w:val="21"/>
          <w:color w:val="auto"/>
        </w:rPr>
        <w:t>” means, collectively, the Series 2023-7 Maximum Jaguar Amount, Series 2023-7 Maximum Tesla Amount, the Series 2023-7 Maximum Land Rover Amount, the Series 2023-7 Maximum Mitsubishi Amount, the Series 2023-7 Maximum Isuzu Amount, the Series 2023-7 Maximum Subaru Amount, the Series 2023-7 Maximum Hyundai Amount, the Series 2023-7 Maximum Kia Amount, the Series 2023-7 Maximum Suzuki Amount, the Series 2023-7 Maximum Specified States Amount (if applicable), the Series 2023-7 Maximum Non-Perfected Vehicle Amount, the Series 2023-7 Maximum Non-Eligible Manufacturer Amount and the Series 2023-7 Maximum Medium/Heavy Duty Truck Amount.</w:t>
      </w:r>
    </w:p>
    <w:p>
      <w:pPr>
        <w:spacing w:after="0" w:line="16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40"/>
          </w:cols>
          <w:pgMar w:left="320" w:top="1030" w:right="339" w:bottom="1440" w:gutter="0" w:footer="0" w:header="0"/>
        </w:sectPr>
      </w:pPr>
    </w:p>
    <w:bookmarkStart w:id="145" w:name="page146"/>
    <w:bookmarkEnd w:id="145"/>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Notes Closing Date</w:t>
      </w:r>
      <w:r>
        <w:rPr>
          <w:rFonts w:ascii="Times New Roman" w:cs="Times New Roman" w:eastAsia="Times New Roman" w:hAnsi="Times New Roman"/>
          <w:sz w:val="22"/>
          <w:szCs w:val="22"/>
          <w:color w:val="auto"/>
        </w:rPr>
        <w:t>” means September 18, 2023.</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Overcollateralization Amount</w:t>
      </w:r>
      <w:r>
        <w:rPr>
          <w:rFonts w:ascii="Times New Roman" w:cs="Times New Roman" w:eastAsia="Times New Roman" w:hAnsi="Times New Roman"/>
          <w:sz w:val="22"/>
          <w:szCs w:val="22"/>
          <w:color w:val="auto"/>
        </w:rPr>
        <w:t>” means, the excess, if any of (x) the Series 2023-7 AESOP I Operating Lease Loan Agreement Borrowing Base as of such date over (y) the sum of the Class A Invested Amount, the Class B Invested Amount and the Class C Invested Amount, in each case, as of such date.</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Percentage</w:t>
      </w:r>
      <w:r>
        <w:rPr>
          <w:rFonts w:ascii="Times New Roman" w:cs="Times New Roman" w:eastAsia="Times New Roman" w:hAnsi="Times New Roman"/>
          <w:sz w:val="22"/>
          <w:szCs w:val="22"/>
          <w:color w:val="auto"/>
        </w:rPr>
        <w:t>” 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2023-7 Invested Amount and the Class D Required Overcollateralization Amount and (ii) as of any other date of determination, 0%.</w:t>
      </w:r>
    </w:p>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xml:space="preserve">” 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2023-7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bl>
    <w:p>
      <w:pPr>
        <w:sectPr>
          <w:pgSz w:w="11900" w:h="16838" w:orient="portrait"/>
          <w:cols w:equalWidth="0" w:num="1">
            <w:col w:w="11240"/>
          </w:cols>
          <w:pgMar w:left="320" w:top="1030" w:right="339" w:bottom="1440" w:gutter="0" w:footer="0" w:header="0"/>
        </w:sectPr>
      </w:pPr>
    </w:p>
    <w:bookmarkStart w:id="146" w:name="page147"/>
    <w:bookmarkEnd w:id="146"/>
    <w:p>
      <w:pPr>
        <w:jc w:val="both"/>
        <w:spacing w:after="0" w:line="253" w:lineRule="auto"/>
        <w:rPr>
          <w:sz w:val="20"/>
          <w:szCs w:val="20"/>
          <w:color w:val="auto"/>
        </w:rPr>
      </w:pPr>
      <w:r>
        <w:rPr>
          <w:rFonts w:ascii="Times New Roman" w:cs="Times New Roman" w:eastAsia="Times New Roman" w:hAnsi="Times New Roman"/>
          <w:sz w:val="22"/>
          <w:szCs w:val="22"/>
          <w:color w:val="auto"/>
        </w:rPr>
        <w:t>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2023-7 AESOP I Operating Lease Loan Agreement Borrowing Base on such date and (2) the lesser of (a) the Class A/B/C Liquidity Amount on such date and (b) the Class A/B/C Required Liquidity Amount on such date.</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Pro Rata Share</w:t>
      </w:r>
      <w:r>
        <w:rPr>
          <w:rFonts w:ascii="Times New Roman" w:cs="Times New Roman" w:eastAsia="Times New Roman" w:hAnsi="Times New Roman"/>
          <w:sz w:val="21"/>
          <w:szCs w:val="21"/>
          <w:color w:val="auto"/>
        </w:rPr>
        <w:t xml:space="preserve">” 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available amount allocated to the Class A/B/C Notes under all Multi-Series Letters of Credit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calculation shall not in any manner reduce the undersigned’s actual liability in respect of any failure to pay any demand under the Multi-Series Letter of Credit).</w:t>
      </w:r>
    </w:p>
    <w:p>
      <w:pPr>
        <w:spacing w:after="0" w:line="17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Enhancement Amount</w:t>
      </w:r>
      <w:r>
        <w:rPr>
          <w:rFonts w:ascii="Times New Roman" w:cs="Times New Roman" w:eastAsia="Times New Roman" w:hAnsi="Times New Roman"/>
          <w:sz w:val="22"/>
          <w:szCs w:val="22"/>
          <w:color w:val="auto"/>
        </w:rPr>
        <w:t>” means, as of any date of determination, the sum, without duplication, of (i) the Series 2023-7 Moody’s Required Enhancement Amount as of such date, (ii) the Series 2023-7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2023-7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2023-7 AESOP I Operating Lease Vehicle Percentage as of the immediately preceding Business Day of the excess, if any, of the aggregate Net Book Value of all Vehicles manufactured by Subaru and leased under the Leases as of such date over the Series 2023-7 Maximum Subaru Amount as of such date, (v) the Series 2023-7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2023-7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2023-7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2023-7 AESOP I Operating Lease</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bl>
    <w:p>
      <w:pPr>
        <w:sectPr>
          <w:pgSz w:w="11900" w:h="16838" w:orient="portrait"/>
          <w:cols w:equalWidth="0" w:num="1">
            <w:col w:w="11240"/>
          </w:cols>
          <w:pgMar w:left="320" w:top="1030" w:right="339" w:bottom="1440" w:gutter="0" w:footer="0" w:header="0"/>
        </w:sectPr>
      </w:pPr>
    </w:p>
    <w:bookmarkStart w:id="147" w:name="page148"/>
    <w:bookmarkEnd w:id="147"/>
    <w:p>
      <w:pPr>
        <w:jc w:val="both"/>
        <w:spacing w:after="0" w:line="247" w:lineRule="auto"/>
        <w:rPr>
          <w:sz w:val="20"/>
          <w:szCs w:val="20"/>
          <w:color w:val="auto"/>
        </w:rPr>
      </w:pPr>
      <w:r>
        <w:rPr>
          <w:rFonts w:ascii="Times New Roman" w:cs="Times New Roman" w:eastAsia="Times New Roman" w:hAnsi="Times New Roman"/>
          <w:sz w:val="22"/>
          <w:szCs w:val="22"/>
          <w:color w:val="auto"/>
        </w:rPr>
        <w:t>Vehicle Percentage as of the immediately preceding Business Day of the excess, if any, of the aggregate Net Book Value of all Vehicles manufactured by Tesla and leased under the Leases as of such date over the Class A/B/C Maximum Tesla Amount as of such date, (ix) the Series 2023-7 AESOP I Operating Lease Vehicle Percentage as of the immediately preceding Business Day of the excess, if any, of the aggregate Net Book Value of all Vehicles manufactured by Land Rover and leased under the Leases as of such date over the Class A/B/C Maximum Land Rover Amount as of such date, (x) the Series 2023-7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2023-7 AESOP I Operating Lease 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2023-7 Maximum Non-Perfected Vehicle Amount (as applicable) as of such date, (xii) the Series 2023-7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2023-7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spacing w:after="0" w:line="19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Liquidity Amount</w:t>
      </w:r>
      <w:r>
        <w:rPr>
          <w:rFonts w:ascii="Times New Roman" w:cs="Times New Roman" w:eastAsia="Times New Roman" w:hAnsi="Times New Roman"/>
          <w:sz w:val="22"/>
          <w:szCs w:val="22"/>
          <w:color w:val="auto"/>
        </w:rPr>
        <w:t>” means, as of any date of determination, an amount equal to the product of 3.75% and the Class A/B/C Senior Invested Amount as of such date.</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Required Overcollateralization Amount</w:t>
      </w:r>
      <w:r>
        <w:rPr>
          <w:rFonts w:ascii="Times New Roman" w:cs="Times New Roman" w:eastAsia="Times New Roman" w:hAnsi="Times New Roman"/>
          <w:sz w:val="21"/>
          <w:szCs w:val="21"/>
          <w:color w:val="auto"/>
        </w:rPr>
        <w:t>” means, as of any date of determination, the excess, if any, of the Class A/B/C Required Enhancement Amount over the sum of (i) the Class A/B/C Letter of Credit Amount as of such date,</w:t>
      </w:r>
    </w:p>
    <w:p>
      <w:pPr>
        <w:spacing w:after="0" w:line="2" w:lineRule="exact"/>
        <w:rPr>
          <w:sz w:val="20"/>
          <w:szCs w:val="20"/>
          <w:color w:val="auto"/>
        </w:rPr>
      </w:pPr>
    </w:p>
    <w:p>
      <w:pPr>
        <w:jc w:val="both"/>
        <w:ind w:firstLine="8"/>
        <w:spacing w:after="0" w:line="251" w:lineRule="auto"/>
        <w:tabs>
          <w:tab w:leader="none" w:pos="32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A/B/C Available Reserve Account Amount on such date and (iii) the amount of cash and Permitted Investments on deposit in the Series 2023-7 Collection Account (not including amounts allocable to the Series 2023-7 Accrued Interest Account) and the Series 2023-7 Excess Collection Account on such date.</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Reserve Account Amount</w:t>
      </w:r>
      <w:r>
        <w:rPr>
          <w:rFonts w:ascii="Times New Roman" w:cs="Times New Roman" w:eastAsia="Times New Roman" w:hAnsi="Times New Roman"/>
          <w:sz w:val="22"/>
          <w:szCs w:val="22"/>
          <w:color w:val="auto"/>
        </w:rPr>
        <w:t>” 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2023-7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2023-7 Notes) as of such date.</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bl>
    <w:p>
      <w:pPr>
        <w:sectPr>
          <w:pgSz w:w="11900" w:h="16838" w:orient="portrait"/>
          <w:cols w:equalWidth="0" w:num="1">
            <w:col w:w="11240"/>
          </w:cols>
          <w:pgMar w:left="320" w:top="1030" w:right="339" w:bottom="1440" w:gutter="0" w:footer="0" w:header="0"/>
        </w:sectPr>
      </w:pPr>
    </w:p>
    <w:bookmarkStart w:id="148" w:name="page149"/>
    <w:bookmarkEnd w:id="14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w:t>
      </w:r>
      <w:r>
        <w:rPr>
          <w:rFonts w:ascii="Times New Roman" w:cs="Times New Roman" w:eastAsia="Times New Roman" w:hAnsi="Times New Roman"/>
          <w:sz w:val="22"/>
          <w:szCs w:val="22"/>
          <w:color w:val="auto"/>
        </w:rPr>
        <w:t>” is defined in Section 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Collateral</w:t>
      </w:r>
      <w:r>
        <w:rPr>
          <w:rFonts w:ascii="Times New Roman" w:cs="Times New Roman" w:eastAsia="Times New Roman" w:hAnsi="Times New Roman"/>
          <w:sz w:val="22"/>
          <w:szCs w:val="22"/>
          <w:color w:val="auto"/>
        </w:rPr>
        <w:t>” is defined in Section 2.7(d).</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means, with respect to any Distribution Date, the excess, if any, of the Class A/B/C Available Reserve Account Amount over the Class A/B/C Required Reserve Account Amount on such Distribution Date.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Carryover Controlled Amortization Amount</w:t>
      </w:r>
      <w:r>
        <w:rPr>
          <w:rFonts w:ascii="Times New Roman" w:cs="Times New Roman" w:eastAsia="Times New Roman" w:hAnsi="Times New Roman"/>
          <w:sz w:val="22"/>
          <w:szCs w:val="22"/>
          <w:color w:val="auto"/>
        </w:rPr>
        <w:t xml:space="preserve">” means, with respect to any Related Month during the Series 2023-7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2023-7 Controlled Amortization Period, the Class B Carryover Controlled Amortization Amount shall be zero.</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Amortization Amount</w:t>
      </w:r>
      <w:r>
        <w:rPr>
          <w:rFonts w:ascii="Times New Roman" w:cs="Times New Roman" w:eastAsia="Times New Roman" w:hAnsi="Times New Roman"/>
          <w:sz w:val="22"/>
          <w:szCs w:val="22"/>
          <w:color w:val="auto"/>
        </w:rPr>
        <w:t>” means, with respect to any Related Month during the Series 2023-7 Controlled Amortization Period, $6,325,000.00.</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Distribution Amount</w:t>
      </w:r>
      <w:r>
        <w:rPr>
          <w:rFonts w:ascii="Times New Roman" w:cs="Times New Roman" w:eastAsia="Times New Roman" w:hAnsi="Times New Roman"/>
          <w:sz w:val="22"/>
          <w:szCs w:val="22"/>
          <w:color w:val="auto"/>
        </w:rPr>
        <w:t>” means, with respect to any Related Month during the Series 2023-7 Controlled Amortization Period, an amount equal to the sum of the Class B Controlled Amortization Amount and any Class B Carryover Controlled Amortization Amount for such Related Month.</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Initial Invested Amount</w:t>
      </w:r>
      <w:r>
        <w:rPr>
          <w:rFonts w:ascii="Times New Roman" w:cs="Times New Roman" w:eastAsia="Times New Roman" w:hAnsi="Times New Roman"/>
          <w:sz w:val="22"/>
          <w:szCs w:val="22"/>
          <w:color w:val="auto"/>
        </w:rPr>
        <w:t>” means the aggregate initial principal amount of the Class B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$37,950,000.</w:t>
      </w:r>
    </w:p>
    <w:p>
      <w:pPr>
        <w:spacing w:after="0" w:line="196"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Invested Amount</w:t>
      </w:r>
      <w:r>
        <w:rPr>
          <w:rFonts w:ascii="Times New Roman" w:cs="Times New Roman" w:eastAsia="Times New Roman" w:hAnsi="Times New Roman"/>
          <w:sz w:val="22"/>
          <w:szCs w:val="22"/>
          <w:color w:val="auto"/>
        </w:rPr>
        <w:t xml:space="preserve">” means, when used with respect to any date, an amount equal to (a) the Class B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B Noteholders on or prior to such date.</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Monthly Interest</w:t>
      </w:r>
      <w:r>
        <w:rPr>
          <w:rFonts w:ascii="Times New Roman" w:cs="Times New Roman" w:eastAsia="Times New Roman" w:hAnsi="Times New Roman"/>
          <w:sz w:val="22"/>
          <w:szCs w:val="22"/>
          <w:color w:val="auto"/>
        </w:rPr>
        <w:t>” means, with respect to (i) the initial Series 2023-7 Interest Period, an amount equal to $217,242.67 and (ii) any other Series 2023-7 Interest Period, an amount equal to the product of (A) one-twelfth of the Class B Note Rate and (B) the Class B Invested Amount on the first day of such Series 2023-7 Interest Period, after giving effect to any principal payments made on such date.</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w:t>
      </w:r>
      <w:r>
        <w:rPr>
          <w:rFonts w:ascii="Times New Roman" w:cs="Times New Roman" w:eastAsia="Times New Roman" w:hAnsi="Times New Roman"/>
          <w:sz w:val="22"/>
          <w:szCs w:val="22"/>
          <w:color w:val="auto"/>
        </w:rPr>
        <w:t xml:space="preserve">” means any one of the Series 2023-7 6.44% Rental Car Asset Backed Notes, Class B,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Definitive Class B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Rate</w:t>
      </w:r>
      <w:r>
        <w:rPr>
          <w:rFonts w:ascii="Times New Roman" w:cs="Times New Roman" w:eastAsia="Times New Roman" w:hAnsi="Times New Roman"/>
          <w:sz w:val="22"/>
          <w:szCs w:val="22"/>
          <w:color w:val="auto"/>
        </w:rPr>
        <w:t>” means 6.44%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w:t>
      </w:r>
      <w:r>
        <w:rPr>
          <w:rFonts w:ascii="Times New Roman" w:cs="Times New Roman" w:eastAsia="Times New Roman" w:hAnsi="Times New Roman"/>
          <w:sz w:val="22"/>
          <w:szCs w:val="22"/>
          <w:color w:val="auto"/>
        </w:rPr>
        <w:t>” means the Person in whose name a Class B Note is registered in the Note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bl>
    <w:p>
      <w:pPr>
        <w:sectPr>
          <w:pgSz w:w="11900" w:h="16838" w:orient="portrait"/>
          <w:cols w:equalWidth="0" w:num="1">
            <w:col w:w="11240"/>
          </w:cols>
          <w:pgMar w:left="320" w:top="1030" w:right="339" w:bottom="1440" w:gutter="0" w:footer="0" w:header="0"/>
        </w:sectPr>
      </w:pPr>
    </w:p>
    <w:bookmarkStart w:id="149" w:name="page150"/>
    <w:bookmarkEnd w:id="14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has the meaning set forth in Section 2.3(g)(ii).</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Carryover Controlled Amortization Amount</w:t>
      </w:r>
      <w:r>
        <w:rPr>
          <w:rFonts w:ascii="Times New Roman" w:cs="Times New Roman" w:eastAsia="Times New Roman" w:hAnsi="Times New Roman"/>
          <w:sz w:val="22"/>
          <w:szCs w:val="22"/>
          <w:color w:val="auto"/>
        </w:rPr>
        <w:t xml:space="preserve">” means, with respect to any Related Month during the Series 2023-7 Controlled Amortization Period, the amount, if any, by which the portion of the Monthly Total Principal Allocation paid to the Class C Noteholders pursuant to Section 2.5(f)(iii) for the previous Related Month was less than the Class C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2023-7 Controlled Amortization Period, the Class C Carryover Controlled Amortization Amount shall be zero.</w:t>
      </w:r>
    </w:p>
    <w:p>
      <w:pPr>
        <w:spacing w:after="0" w:line="179"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Amortization Amount</w:t>
      </w:r>
      <w:r>
        <w:rPr>
          <w:rFonts w:ascii="Times New Roman" w:cs="Times New Roman" w:eastAsia="Times New Roman" w:hAnsi="Times New Roman"/>
          <w:sz w:val="22"/>
          <w:szCs w:val="22"/>
          <w:color w:val="auto"/>
        </w:rPr>
        <w:t>” means, with respect to any Related Month during the Series 2023-7 Controlled Amortization Period, $4,075,000.00.</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Distribution Amount</w:t>
      </w:r>
      <w:r>
        <w:rPr>
          <w:rFonts w:ascii="Times New Roman" w:cs="Times New Roman" w:eastAsia="Times New Roman" w:hAnsi="Times New Roman"/>
          <w:sz w:val="22"/>
          <w:szCs w:val="22"/>
          <w:color w:val="auto"/>
        </w:rPr>
        <w:t>” means, with respect to any Related Month during the Series 2023-7 Controlled Amortization Period, an amount equal to the sum of the Class C Controlled Amortization Amount and any Class C Carryover Controlled Amortization Amount for such Related Month.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Initial Invested Amount</w:t>
      </w:r>
      <w:r>
        <w:rPr>
          <w:rFonts w:ascii="Times New Roman" w:cs="Times New Roman" w:eastAsia="Times New Roman" w:hAnsi="Times New Roman"/>
          <w:sz w:val="22"/>
          <w:szCs w:val="22"/>
          <w:color w:val="auto"/>
        </w:rPr>
        <w:t>” means the aggregate initial principal amount of the Class C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$24,450,000.</w:t>
      </w:r>
    </w:p>
    <w:p>
      <w:pPr>
        <w:spacing w:after="0" w:line="20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Invested Amount</w:t>
      </w:r>
      <w:r>
        <w:rPr>
          <w:rFonts w:ascii="Times New Roman" w:cs="Times New Roman" w:eastAsia="Times New Roman" w:hAnsi="Times New Roman"/>
          <w:sz w:val="22"/>
          <w:szCs w:val="22"/>
          <w:color w:val="auto"/>
        </w:rPr>
        <w:t xml:space="preserve">” means, when used with respect to any date, an amount equal to (a) the Class C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C Noteholders on or prior to such date.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w:t>
      </w:r>
      <w:r>
        <w:rPr>
          <w:rFonts w:ascii="Times New Roman" w:cs="Times New Roman" w:eastAsia="Times New Roman" w:hAnsi="Times New Roman"/>
          <w:sz w:val="22"/>
          <w:szCs w:val="22"/>
          <w:color w:val="auto"/>
        </w:rPr>
        <w:t>” means, (A) for so long as ABRCF owns 100% of the Class C Notes, $0 and (B) if ABRCF owns less than 100% of the Class C Notes, with respect to (i) the initial Series 2023-7 Interest Period, an amount equal to $161,044.00 and (ii) any other Series 2023-7 Interest Period, an amount equal to the product of (A) one-twelfth of the Class C Note Rate and (B) the Class C Invested Amount on the first day of such Series 2023-7 Interest Period, after giving effect to any principal payments made on such date.</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w:t>
      </w:r>
      <w:r>
        <w:rPr>
          <w:rFonts w:ascii="Times New Roman" w:cs="Times New Roman" w:eastAsia="Times New Roman" w:hAnsi="Times New Roman"/>
          <w:sz w:val="22"/>
          <w:szCs w:val="22"/>
          <w:color w:val="auto"/>
        </w:rPr>
        <w:t xml:space="preserve">” means any one of the Series 2023-7 7.41% Rental Car Asset Backed Notes, Class C,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Definitive Class C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means 7.41%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the Person in whose name a Class C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has the meaning set forth in Section 2.3(g)(iii).</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Applicable Multi-Series L/C Amount</w:t>
      </w:r>
      <w:r>
        <w:rPr>
          <w:rFonts w:ascii="Times New Roman" w:cs="Times New Roman" w:eastAsia="Times New Roman" w:hAnsi="Times New Roman"/>
          <w:sz w:val="22"/>
          <w:szCs w:val="22"/>
          <w:color w:val="auto"/>
        </w:rPr>
        <w:t>” means, as of any date of determination, an amount equal to the sum, for each Multi-Series Letter of Credit, of (1) the aggregate amount allocable to the Class D Notes and available to be drawn on such date under</w:t>
      </w: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ectPr>
          <w:pgSz w:w="11900" w:h="16838" w:orient="portrait"/>
          <w:cols w:equalWidth="0" w:num="1">
            <w:col w:w="11240"/>
          </w:cols>
          <w:pgMar w:left="320" w:top="1030" w:right="339" w:bottom="1440" w:gutter="0" w:footer="0" w:header="0"/>
        </w:sectPr>
      </w:pPr>
    </w:p>
    <w:bookmarkStart w:id="150" w:name="page151"/>
    <w:bookmarkEnd w:id="150"/>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D Required Liquidity Amount divided by “Required Liquidity Amount” for each applicable Series for which such Multi-Series Letter of Credit is providing credit enhancement.</w:t>
      </w:r>
    </w:p>
    <w:p>
      <w:pPr>
        <w:spacing w:after="0" w:line="16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Cash Collateral Account Amount</w:t>
      </w:r>
      <w:r>
        <w:rPr>
          <w:rFonts w:ascii="Times New Roman" w:cs="Times New Roman" w:eastAsia="Times New Roman" w:hAnsi="Times New Roman"/>
          <w:sz w:val="22"/>
          <w:szCs w:val="22"/>
          <w:color w:val="auto"/>
        </w:rPr>
        <w:t>” means, as of any date of determination, the amount on deposit in the Class D Cash Collateral Account (after giving effect to any deposits thereto and withdrawals and releases therefrom on such date).</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Reserve Account Amount</w:t>
      </w:r>
      <w:r>
        <w:rPr>
          <w:rFonts w:ascii="Times New Roman" w:cs="Times New Roman" w:eastAsia="Times New Roman" w:hAnsi="Times New Roman"/>
          <w:sz w:val="22"/>
          <w:szCs w:val="22"/>
          <w:color w:val="auto"/>
        </w:rPr>
        <w:t>” means, as of any date of determination, the amount on deposit in the Class D Reserve Account (after giving effect to any deposits thereto and withdrawals and releases therefrom on such date).</w:t>
      </w:r>
    </w:p>
    <w:p>
      <w:pPr>
        <w:spacing w:after="0" w:line="14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Carryover Controlled Amortization Amount</w:t>
      </w:r>
      <w:r>
        <w:rPr>
          <w:rFonts w:ascii="Times New Roman" w:cs="Times New Roman" w:eastAsia="Times New Roman" w:hAnsi="Times New Roman"/>
          <w:sz w:val="22"/>
          <w:szCs w:val="22"/>
          <w:color w:val="auto"/>
        </w:rPr>
        <w:t xml:space="preserve">” means, with respect to any Related Month during the Series 2023-7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2023-7 Controlled Amortization Period, the Class D Carryover Controlled Amortization Amount shall be zero.</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is defined in Section 2.8(j).</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 Surplus</w:t>
      </w:r>
      <w:r>
        <w:rPr>
          <w:rFonts w:ascii="Times New Roman" w:cs="Times New Roman" w:eastAsia="Times New Roman" w:hAnsi="Times New Roman"/>
          <w:sz w:val="22"/>
          <w:szCs w:val="22"/>
          <w:color w:val="auto"/>
        </w:rPr>
        <w:t xml:space="preserve">” 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D Cash Collateral Account Surplus shall mean the excess, if any, of (x) the Class D Available Cash Collateral Account Amount over (y) the Series 2023-7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A/B/C Cash Collateral Account Amount.</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D Available Cash Collateral Account Amount as of such date and the denominator of which is the Class D Letter of Credit Liquidity Amount as of such date.</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Amortization Amount</w:t>
      </w:r>
      <w:r>
        <w:rPr>
          <w:rFonts w:ascii="Times New Roman" w:cs="Times New Roman" w:eastAsia="Times New Roman" w:hAnsi="Times New Roman"/>
          <w:sz w:val="22"/>
          <w:szCs w:val="22"/>
          <w:color w:val="auto"/>
        </w:rPr>
        <w:t>” means, with respect to any Related Month during the Series 2023-7 Controlled Amortization Period, $6,820,000.00.</w:t>
      </w:r>
    </w:p>
    <w:p>
      <w:pPr>
        <w:spacing w:after="0" w:line="17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Distribution Amount</w:t>
      </w:r>
      <w:r>
        <w:rPr>
          <w:rFonts w:ascii="Times New Roman" w:cs="Times New Roman" w:eastAsia="Times New Roman" w:hAnsi="Times New Roman"/>
          <w:sz w:val="22"/>
          <w:szCs w:val="22"/>
          <w:color w:val="auto"/>
        </w:rPr>
        <w:t>” means, with respect to any Related Month during the Series 2023-7 Controlled Amortization Period, an amount equal to the sum of</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bl>
    <w:p>
      <w:pPr>
        <w:sectPr>
          <w:pgSz w:w="11900" w:h="16838" w:orient="portrait"/>
          <w:cols w:equalWidth="0" w:num="1">
            <w:col w:w="11240"/>
          </w:cols>
          <w:pgMar w:left="320" w:top="1026" w:right="339" w:bottom="1440" w:gutter="0" w:footer="0" w:header="0"/>
        </w:sectPr>
      </w:pPr>
    </w:p>
    <w:bookmarkStart w:id="151" w:name="page152"/>
    <w:bookmarkEnd w:id="151"/>
    <w:p>
      <w:pPr>
        <w:jc w:val="both"/>
        <w:spacing w:after="0" w:line="271" w:lineRule="auto"/>
        <w:rPr>
          <w:sz w:val="20"/>
          <w:szCs w:val="20"/>
          <w:color w:val="auto"/>
        </w:rPr>
      </w:pPr>
      <w:r>
        <w:rPr>
          <w:rFonts w:ascii="Times New Roman" w:cs="Times New Roman" w:eastAsia="Times New Roman" w:hAnsi="Times New Roman"/>
          <w:sz w:val="22"/>
          <w:szCs w:val="22"/>
          <w:color w:val="auto"/>
        </w:rPr>
        <w:t>the Class D Controlled Amortization Amount and any Class D Carryover Controlled Amortization Amount for such Related Month.</w:t>
      </w:r>
    </w:p>
    <w:p>
      <w:pPr>
        <w:spacing w:after="0" w:line="17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Amount</w:t>
      </w:r>
      <w:r>
        <w:rPr>
          <w:rFonts w:ascii="Times New Roman" w:cs="Times New Roman" w:eastAsia="Times New Roman" w:hAnsi="Times New Roman"/>
          <w:sz w:val="22"/>
          <w:szCs w:val="22"/>
          <w:color w:val="auto"/>
        </w:rPr>
        <w:t>” 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2023-7 Collection Account (not including amounts allocable to the Series 2023-7 Accrued Interest Account) and the Series 2023-7 Excess Collection Account as of such date.</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Deficiency</w:t>
      </w:r>
      <w:r>
        <w:rPr>
          <w:rFonts w:ascii="Times New Roman" w:cs="Times New Roman" w:eastAsia="Times New Roman" w:hAnsi="Times New Roman"/>
          <w:sz w:val="22"/>
          <w:szCs w:val="22"/>
          <w:color w:val="auto"/>
        </w:rPr>
        <w:t>” means, on any date of determination, the amount by which the Class D Enhancement Amount is less than the Class D Required Enhancement Amount as of such date.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Initial Invested Amount</w:t>
      </w:r>
      <w:r>
        <w:rPr>
          <w:rFonts w:ascii="Times New Roman" w:cs="Times New Roman" w:eastAsia="Times New Roman" w:hAnsi="Times New Roman"/>
          <w:sz w:val="22"/>
          <w:szCs w:val="22"/>
          <w:color w:val="auto"/>
        </w:rPr>
        <w:t>” means the aggregate initial principal amount of the Class D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$40,920,000.</w:t>
      </w:r>
    </w:p>
    <w:p>
      <w:pPr>
        <w:spacing w:after="0" w:line="19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Invested Amount</w:t>
      </w:r>
      <w:r>
        <w:rPr>
          <w:rFonts w:ascii="Times New Roman" w:cs="Times New Roman" w:eastAsia="Times New Roman" w:hAnsi="Times New Roman"/>
          <w:sz w:val="22"/>
          <w:szCs w:val="22"/>
          <w:color w:val="auto"/>
        </w:rPr>
        <w:t xml:space="preserve">” means, when used with respect to any date, an amount equal to (a) the Class D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D Noteholders on or prior to such date.</w:t>
      </w:r>
    </w:p>
    <w:p>
      <w:pPr>
        <w:spacing w:after="0" w:line="14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Letter of Credit Amount</w:t>
      </w:r>
      <w:r>
        <w:rPr>
          <w:rFonts w:ascii="Times New Roman" w:cs="Times New Roman" w:eastAsia="Times New Roman" w:hAnsi="Times New Roman"/>
          <w:sz w:val="21"/>
          <w:szCs w:val="21"/>
          <w:color w:val="auto"/>
        </w:rPr>
        <w:t>” 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2023-7 Demand Notes on such date.</w:t>
      </w:r>
    </w:p>
    <w:p>
      <w:pPr>
        <w:spacing w:after="0" w:line="16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Letter of Credit Liquidity Amount</w:t>
      </w:r>
      <w:r>
        <w:rPr>
          <w:rFonts w:ascii="Times New Roman" w:cs="Times New Roman" w:eastAsia="Times New Roman" w:hAnsi="Times New Roman"/>
          <w:sz w:val="22"/>
          <w:szCs w:val="22"/>
          <w:color w:val="auto"/>
        </w:rPr>
        <w:t>” 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 Collateral Account has been established and funded pursuant to Section 2.8, the Class D Available Cash Collateral Account Amount on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Liquidity Amount</w:t>
      </w:r>
      <w:r>
        <w:rPr>
          <w:rFonts w:ascii="Times New Roman" w:cs="Times New Roman" w:eastAsia="Times New Roman" w:hAnsi="Times New Roman"/>
          <w:sz w:val="22"/>
          <w:szCs w:val="22"/>
          <w:color w:val="auto"/>
        </w:rPr>
        <w:t>” means, as of any date of determination, the sum of (a) the Class D Letter of Credit Liquidity Amount on such date and (b) the Class D Available Reserve Account Amount on such date.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Amounts</w:t>
      </w:r>
      <w:r>
        <w:rPr>
          <w:rFonts w:ascii="Times New Roman" w:cs="Times New Roman" w:eastAsia="Times New Roman" w:hAnsi="Times New Roman"/>
          <w:sz w:val="22"/>
          <w:szCs w:val="22"/>
          <w:color w:val="auto"/>
        </w:rPr>
        <w:t>” means, collectively,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w:t>
      </w:r>
    </w:p>
    <w:p>
      <w:pPr>
        <w:spacing w:after="0" w:line="200" w:lineRule="exact"/>
        <w:rPr>
          <w:sz w:val="20"/>
          <w:szCs w:val="20"/>
          <w:color w:val="auto"/>
        </w:rPr>
      </w:pP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bl>
    <w:p>
      <w:pPr>
        <w:sectPr>
          <w:pgSz w:w="11900" w:h="16838" w:orient="portrait"/>
          <w:cols w:equalWidth="0" w:num="1">
            <w:col w:w="11240"/>
          </w:cols>
          <w:pgMar w:left="320" w:top="1030" w:right="339" w:bottom="1440" w:gutter="0" w:footer="0" w:header="0"/>
        </w:sectPr>
      </w:pPr>
    </w:p>
    <w:bookmarkStart w:id="152" w:name="page153"/>
    <w:bookmarkEnd w:id="152"/>
    <w:p>
      <w:pPr>
        <w:spacing w:after="0" w:line="271" w:lineRule="auto"/>
        <w:rPr>
          <w:sz w:val="20"/>
          <w:szCs w:val="20"/>
          <w:color w:val="auto"/>
        </w:rPr>
      </w:pPr>
      <w:r>
        <w:rPr>
          <w:rFonts w:ascii="Times New Roman" w:cs="Times New Roman" w:eastAsia="Times New Roman" w:hAnsi="Times New Roman"/>
          <w:sz w:val="22"/>
          <w:szCs w:val="22"/>
          <w:color w:val="auto"/>
        </w:rPr>
        <w:t>applicable), the Class D Maximum Non-Perfected Vehicle Amount, the Class D Maximum Non-Eligible Manufacturer Amount and the Class D Maximum Medium/Heavy Duty Truck Amount.</w:t>
      </w:r>
    </w:p>
    <w:p>
      <w:pPr>
        <w:spacing w:after="0" w:line="17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44"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14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7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44"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58"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Monthly Interest</w:t>
      </w:r>
      <w:r>
        <w:rPr>
          <w:rFonts w:ascii="Times New Roman" w:cs="Times New Roman" w:eastAsia="Times New Roman" w:hAnsi="Times New Roman"/>
          <w:sz w:val="22"/>
          <w:szCs w:val="22"/>
          <w:color w:val="auto"/>
        </w:rPr>
        <w:t>” means, with respect to (i) the initial Series 2023-7 Interest Period for the Class D Notes following the Class D Notes Closing Date, an amount equal</w:t>
      </w: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ectPr>
          <w:pgSz w:w="11900" w:h="16838" w:orient="portrait"/>
          <w:cols w:equalWidth="0" w:num="1">
            <w:col w:w="11240"/>
          </w:cols>
          <w:pgMar w:left="320" w:top="1030" w:right="339" w:bottom="1440" w:gutter="0" w:footer="0" w:header="0"/>
        </w:sectPr>
      </w:pPr>
    </w:p>
    <w:bookmarkStart w:id="153" w:name="page154"/>
    <w:bookmarkEnd w:id="153"/>
    <w:p>
      <w:pPr>
        <w:jc w:val="both"/>
        <w:spacing w:after="0" w:line="256" w:lineRule="auto"/>
        <w:rPr>
          <w:sz w:val="20"/>
          <w:szCs w:val="20"/>
          <w:color w:val="auto"/>
        </w:rPr>
      </w:pPr>
      <w:r>
        <w:rPr>
          <w:rFonts w:ascii="Times New Roman" w:cs="Times New Roman" w:eastAsia="Times New Roman" w:hAnsi="Times New Roman"/>
          <w:sz w:val="22"/>
          <w:szCs w:val="22"/>
          <w:color w:val="auto"/>
        </w:rPr>
        <w:t>to $453,530, (ii) the initial Series 2023-7 Interest Period for the Class D Notes from the Class D Notes Sale Date to and including May 19, 2025, an amount equal to $340,670.37 and (iii) any other Series 2023-7 Interest Period, an amount equal to the product of (A) one-twelfth of the Class D Note Rate and (B) the Class D Invested Amount on the first day of such Series 2023-7 Interest Period, after giving effect to any principal payments made on such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w:t>
      </w:r>
      <w:r>
        <w:rPr>
          <w:rFonts w:ascii="Times New Roman" w:cs="Times New Roman" w:eastAsia="Times New Roman" w:hAnsi="Times New Roman"/>
          <w:sz w:val="22"/>
          <w:szCs w:val="22"/>
          <w:color w:val="auto"/>
        </w:rPr>
        <w:t xml:space="preserve">” means any one of the Series 2023-7 7.31% Rental Car Asset Backed Notes, Class D,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Definitive Class D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Owner</w:t>
      </w:r>
      <w:r>
        <w:rPr>
          <w:rFonts w:ascii="Times New Roman" w:cs="Times New Roman" w:eastAsia="Times New Roman" w:hAnsi="Times New Roman"/>
          <w:sz w:val="22"/>
          <w:szCs w:val="22"/>
          <w:color w:val="auto"/>
        </w:rPr>
        <w:t>” means each beneficial owner of a Class D Note.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Rate</w:t>
      </w:r>
      <w:r>
        <w:rPr>
          <w:rFonts w:ascii="Times New Roman" w:cs="Times New Roman" w:eastAsia="Times New Roman" w:hAnsi="Times New Roman"/>
          <w:sz w:val="22"/>
          <w:szCs w:val="22"/>
          <w:color w:val="auto"/>
        </w:rPr>
        <w:t>” means 7.31%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Noteholder</w:t>
      </w:r>
      <w:r>
        <w:rPr>
          <w:rFonts w:ascii="Times New Roman" w:cs="Times New Roman" w:eastAsia="Times New Roman" w:hAnsi="Times New Roman"/>
          <w:sz w:val="22"/>
          <w:szCs w:val="22"/>
          <w:color w:val="auto"/>
        </w:rPr>
        <w:t>” means the Person in whose name a Class D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Closing Date</w:t>
      </w:r>
      <w:r>
        <w:rPr>
          <w:rFonts w:ascii="Times New Roman" w:cs="Times New Roman" w:eastAsia="Times New Roman" w:hAnsi="Times New Roman"/>
          <w:sz w:val="22"/>
          <w:szCs w:val="22"/>
          <w:color w:val="auto"/>
        </w:rPr>
        <w:t>” means January 31, 2025.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Sale Date</w:t>
      </w:r>
      <w:r>
        <w:rPr>
          <w:rFonts w:ascii="Times New Roman" w:cs="Times New Roman" w:eastAsia="Times New Roman" w:hAnsi="Times New Roman"/>
          <w:sz w:val="22"/>
          <w:szCs w:val="22"/>
          <w:color w:val="auto"/>
        </w:rPr>
        <w:t>” is defined in the preamble hereto.</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Overcollateralization Amount</w:t>
      </w:r>
      <w:r>
        <w:rPr>
          <w:rFonts w:ascii="Times New Roman" w:cs="Times New Roman" w:eastAsia="Times New Roman" w:hAnsi="Times New Roman"/>
          <w:sz w:val="22"/>
          <w:szCs w:val="22"/>
          <w:color w:val="auto"/>
        </w:rPr>
        <w:t>” means, the excess, if any of (x) the Series 2023-7 AESOP I Operating Lease Loan Agreement Borrowing Base as of such date over (y) the Series 2023-7 Invested Amount as of such date.</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Percentage</w:t>
      </w:r>
      <w:r>
        <w:rPr>
          <w:rFonts w:ascii="Times New Roman" w:cs="Times New Roman" w:eastAsia="Times New Roman" w:hAnsi="Times New Roman"/>
          <w:sz w:val="22"/>
          <w:szCs w:val="22"/>
          <w:color w:val="auto"/>
        </w:rPr>
        <w:t>” means, as of any date of determination, a percentage equal to the excess, if any, of (x) 100% over (y) the Class A/B/C Percentage as of such date.</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Principal Deficit Amount</w:t>
      </w:r>
      <w:r>
        <w:rPr>
          <w:rFonts w:ascii="Times New Roman" w:cs="Times New Roman" w:eastAsia="Times New Roman" w:hAnsi="Times New Roman"/>
          <w:sz w:val="22"/>
          <w:szCs w:val="22"/>
          <w:color w:val="auto"/>
        </w:rPr>
        <w:t xml:space="preserve">” means, as of any date of determination, the excess, if any, of (i) the Class D Invested Amount on such date (after giving effect to the distribution of the Monthly Total Principal Allocation for the Related Month if such date is a Distribution Date) over (ii) the Series 2023-7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2023-7 AESOP I Operating Lease Loan Agreement Borrowing Base on such date and (2) the lesser of (a) the Class D Liquidity Amount on such date and (b) the Class D Required Liquidity Amount on such date.</w:t>
      </w:r>
    </w:p>
    <w:p>
      <w:pPr>
        <w:spacing w:after="0" w:line="189"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Pro Rata Share</w:t>
      </w:r>
      <w:r>
        <w:rPr>
          <w:rFonts w:ascii="Times New Roman" w:cs="Times New Roman" w:eastAsia="Times New Roman" w:hAnsi="Times New Roman"/>
          <w:sz w:val="22"/>
          <w:szCs w:val="22"/>
          <w:color w:val="auto"/>
        </w:rPr>
        <w:t>” means, with respect to any Multi-Series Letter of Credit Provider as of any date, the fraction (expressed as a percentage) obtained by dividing (A) the available amount allocated to the Class D Notes under such Multi-Series Letter of Credit</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ectPr>
          <w:pgSz w:w="11900" w:h="16838" w:orient="portrait"/>
          <w:cols w:equalWidth="0" w:num="1">
            <w:col w:w="11240"/>
          </w:cols>
          <w:pgMar w:left="320" w:top="1030" w:right="339" w:bottom="1440" w:gutter="0" w:footer="0" w:header="0"/>
        </w:sectPr>
      </w:pPr>
    </w:p>
    <w:bookmarkStart w:id="154" w:name="page155"/>
    <w:bookmarkEnd w:id="154"/>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Provider’s Multi-Series Letter of Credit as of such date by (B) an amount equal to the aggregate available amount allocated to the Class D Notes under all Multi-Series Letters of Credit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calculation shall not in any manner reduce the undersigned’s actual liability in respect of any failure to pay any demand under the Multi-Series Letter of Credit).</w:t>
      </w:r>
    </w:p>
    <w:p>
      <w:pPr>
        <w:spacing w:after="0" w:line="18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Enhancement Amount</w:t>
      </w:r>
      <w:r>
        <w:rPr>
          <w:rFonts w:ascii="Times New Roman" w:cs="Times New Roman" w:eastAsia="Times New Roman" w:hAnsi="Times New Roman"/>
          <w:sz w:val="22"/>
          <w:szCs w:val="22"/>
          <w:color w:val="auto"/>
        </w:rPr>
        <w:t>” means an amount equal to, as of any date of determination, the sum (without duplication) of (i) the applicable Series 2023-7 Moody’s Required Enhancement Amount as of such date, (ii) the Series 2023-7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2023-7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2023-7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2023-7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2023-7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2023-7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2023-7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2023-7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2023-7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w:t>
      </w:r>
    </w:p>
    <w:p>
      <w:pPr>
        <w:spacing w:after="0" w:line="200" w:lineRule="exact"/>
        <w:rPr>
          <w:sz w:val="20"/>
          <w:szCs w:val="20"/>
          <w:color w:val="auto"/>
        </w:rPr>
      </w:pP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bl>
    <w:p>
      <w:pPr>
        <w:sectPr>
          <w:pgSz w:w="11900" w:h="16838" w:orient="portrait"/>
          <w:cols w:equalWidth="0" w:num="1">
            <w:col w:w="11240"/>
          </w:cols>
          <w:pgMar w:left="320" w:top="1030" w:right="339" w:bottom="1440" w:gutter="0" w:footer="0" w:header="0"/>
        </w:sectPr>
      </w:pPr>
    </w:p>
    <w:bookmarkStart w:id="155" w:name="page156"/>
    <w:bookmarkEnd w:id="155"/>
    <w:p>
      <w:pPr>
        <w:jc w:val="both"/>
        <w:spacing w:after="0" w:line="248" w:lineRule="auto"/>
        <w:rPr>
          <w:sz w:val="20"/>
          <w:szCs w:val="20"/>
          <w:color w:val="auto"/>
        </w:rPr>
      </w:pPr>
      <w:r>
        <w:rPr>
          <w:rFonts w:ascii="Times New Roman" w:cs="Times New Roman" w:eastAsia="Times New Roman" w:hAnsi="Times New Roman"/>
          <w:sz w:val="22"/>
          <w:szCs w:val="22"/>
          <w:color w:val="auto"/>
        </w:rPr>
        <w:t>Series 2023-7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2023-7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2023-7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spacing w:after="0" w:line="184"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Liquidity Amount</w:t>
      </w:r>
      <w:r>
        <w:rPr>
          <w:rFonts w:ascii="Times New Roman" w:cs="Times New Roman" w:eastAsia="Times New Roman" w:hAnsi="Times New Roman"/>
          <w:sz w:val="22"/>
          <w:szCs w:val="22"/>
          <w:color w:val="auto"/>
        </w:rPr>
        <w:t>” means an amount equal to the product of 4.75% and the Class D Invested Amount as of such date.</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Overcollateralization Amount</w:t>
      </w:r>
      <w:r>
        <w:rPr>
          <w:rFonts w:ascii="Times New Roman" w:cs="Times New Roman" w:eastAsia="Times New Roman" w:hAnsi="Times New Roman"/>
          <w:sz w:val="22"/>
          <w:szCs w:val="22"/>
          <w:color w:val="auto"/>
        </w:rPr>
        <w:t>” 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 Permitted Investments on deposit in the Series 2023-7 Collection Account (not including amounts allocable to the Series 2023-7 Accrued Interest Account) and the Series 2023-7 Excess Collection Account on such date.</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Reserve Account Amount</w:t>
      </w:r>
      <w:r>
        <w:rPr>
          <w:rFonts w:ascii="Times New Roman" w:cs="Times New Roman" w:eastAsia="Times New Roman" w:hAnsi="Times New Roman"/>
          <w:sz w:val="22"/>
          <w:szCs w:val="22"/>
          <w:color w:val="auto"/>
        </w:rPr>
        <w:t>” 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2023-7 Notes)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w:t>
      </w:r>
      <w:r>
        <w:rPr>
          <w:rFonts w:ascii="Times New Roman" w:cs="Times New Roman" w:eastAsia="Times New Roman" w:hAnsi="Times New Roman"/>
          <w:sz w:val="22"/>
          <w:szCs w:val="22"/>
          <w:color w:val="auto"/>
        </w:rPr>
        <w:t>” is defined in Section 2.7(g).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is defined in Section 2.7(j).</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Surplus</w:t>
      </w:r>
      <w:r>
        <w:rPr>
          <w:rFonts w:ascii="Times New Roman" w:cs="Times New Roman" w:eastAsia="Times New Roman" w:hAnsi="Times New Roman"/>
          <w:sz w:val="22"/>
          <w:szCs w:val="22"/>
          <w:color w:val="auto"/>
        </w:rPr>
        <w:t>” means, with respect to any Distribution Date, the excess, if any, of the Class D Available Reserve Account Amount over the Class D Required Reserve Account Amount on such Distribution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has the meaning set forth in Section 2.3(g)(iv).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ectPr>
          <w:pgSz w:w="11900" w:h="16838" w:orient="portrait"/>
          <w:cols w:equalWidth="0" w:num="1">
            <w:col w:w="11240"/>
          </w:cols>
          <w:pgMar w:left="320" w:top="1030" w:right="339" w:bottom="1440" w:gutter="0" w:footer="0" w:header="0"/>
        </w:sectPr>
      </w:pPr>
    </w:p>
    <w:bookmarkStart w:id="156" w:name="page157"/>
    <w:bookmarkEnd w:id="156"/>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Controlled Amortization Amount</w:t>
      </w:r>
      <w:r>
        <w:rPr>
          <w:rFonts w:ascii="Times New Roman" w:cs="Times New Roman" w:eastAsia="Times New Roman" w:hAnsi="Times New Roman"/>
          <w:sz w:val="22"/>
          <w:szCs w:val="22"/>
          <w:color w:val="auto"/>
        </w:rPr>
        <w:t>” means, (i) with respect to any Related Month during the Series 2023-7 Controlled Amortization Period other than the Related Month immediately preceding the Series 2023-7 Expected Final Distribution Date, $0 and (ii) with respect to the Related Month immediately preceding the Series 2023-7 Expected Final Distribution Date, $18,800,000.00.</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Initial Invested Amount</w:t>
      </w:r>
      <w:r>
        <w:rPr>
          <w:rFonts w:ascii="Times New Roman" w:cs="Times New Roman" w:eastAsia="Times New Roman" w:hAnsi="Times New Roman"/>
          <w:sz w:val="22"/>
          <w:szCs w:val="22"/>
          <w:color w:val="auto"/>
        </w:rPr>
        <w:t>” means the aggregate initial principal amount of the Class R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$18,800,000.</w:t>
      </w:r>
    </w:p>
    <w:p>
      <w:pPr>
        <w:spacing w:after="0" w:line="196" w:lineRule="exact"/>
        <w:rPr>
          <w:sz w:val="20"/>
          <w:szCs w:val="20"/>
          <w:color w:val="auto"/>
        </w:rPr>
      </w:pPr>
    </w:p>
    <w:p>
      <w:pPr>
        <w:jc w:val="both"/>
        <w:ind w:right="20" w:firstLine="1296"/>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Invested Amount</w:t>
      </w:r>
      <w:r>
        <w:rPr>
          <w:rFonts w:ascii="Times New Roman" w:cs="Times New Roman" w:eastAsia="Times New Roman" w:hAnsi="Times New Roman"/>
          <w:sz w:val="21"/>
          <w:szCs w:val="21"/>
          <w:color w:val="auto"/>
        </w:rPr>
        <w:t xml:space="preserve">” means, when used with respect to any date, an amount equal to (a) the Class R Initial Invested Amount plus (b) the aggregate principal amount of any Additional Class R Notes issued on or prior to such date </w:t>
      </w:r>
      <w:r>
        <w:rPr>
          <w:rFonts w:ascii="Times New Roman" w:cs="Times New Roman" w:eastAsia="Times New Roman" w:hAnsi="Times New Roman"/>
          <w:sz w:val="21"/>
          <w:szCs w:val="21"/>
          <w:u w:val="single" w:color="auto"/>
          <w:color w:val="auto"/>
        </w:rPr>
        <w:t>minus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the amount of principal payments made to Class R Noteholders on or prior to such date.</w:t>
      </w:r>
    </w:p>
    <w:p>
      <w:pPr>
        <w:spacing w:after="0" w:line="19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Monthly Interest</w:t>
      </w:r>
      <w:r>
        <w:rPr>
          <w:rFonts w:ascii="Times New Roman" w:cs="Times New Roman" w:eastAsia="Times New Roman" w:hAnsi="Times New Roman"/>
          <w:sz w:val="21"/>
          <w:szCs w:val="21"/>
          <w:color w:val="auto"/>
        </w:rPr>
        <w:t>” means, with respect to (i) the initial Series 2023-7 Interest Period, an amount equal to $136,708.00, (ii) the initial Series 2023-7 Interest Period following the Class D Notes Closing Date, an amount equal to $29,775 and (iii) any other Series 2023-7 Interest Period, an amount equal to the product of (A) one-twelfth of the Class R Note Rate and</w:t>
      </w:r>
    </w:p>
    <w:p>
      <w:pPr>
        <w:spacing w:after="0" w:line="3" w:lineRule="exact"/>
        <w:rPr>
          <w:sz w:val="20"/>
          <w:szCs w:val="20"/>
          <w:color w:val="auto"/>
        </w:rPr>
      </w:pPr>
    </w:p>
    <w:p>
      <w:pPr>
        <w:ind w:firstLine="8"/>
        <w:spacing w:after="0" w:line="261" w:lineRule="auto"/>
        <w:tabs>
          <w:tab w:leader="none" w:pos="37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R Invested Amount on the first day of such Series 2023-7 Interest Period, after giving effect to any principal payments made on such date.</w:t>
      </w:r>
    </w:p>
    <w:p>
      <w:pPr>
        <w:spacing w:after="0" w:line="16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w:t>
      </w:r>
      <w:r>
        <w:rPr>
          <w:rFonts w:ascii="Times New Roman" w:cs="Times New Roman" w:eastAsia="Times New Roman" w:hAnsi="Times New Roman"/>
          <w:sz w:val="22"/>
          <w:szCs w:val="22"/>
          <w:color w:val="auto"/>
        </w:rPr>
        <w:t xml:space="preserve">” means any one of the Series 2023-7 9.321% Rental Car Asset Backed Notes, Class R,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Definitive Class R Notes shall have such insertions and deletions as are necessary to give effect to the provisions of Section 2.18 of the Base Indenture.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 Rate</w:t>
      </w:r>
      <w:r>
        <w:rPr>
          <w:rFonts w:ascii="Times New Roman" w:cs="Times New Roman" w:eastAsia="Times New Roman" w:hAnsi="Times New Roman"/>
          <w:sz w:val="22"/>
          <w:szCs w:val="22"/>
          <w:color w:val="auto"/>
        </w:rPr>
        <w:t>” means 9.321%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Noteholder</w:t>
      </w:r>
      <w:r>
        <w:rPr>
          <w:rFonts w:ascii="Times New Roman" w:cs="Times New Roman" w:eastAsia="Times New Roman" w:hAnsi="Times New Roman"/>
          <w:sz w:val="22"/>
          <w:szCs w:val="22"/>
          <w:color w:val="auto"/>
        </w:rPr>
        <w:t>” means the Person in whose name a Class R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has the meaning set forth in Section 2.3(g)(v).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w:t>
      </w:r>
      <w:r>
        <w:rPr>
          <w:rFonts w:ascii="Times New Roman" w:cs="Times New Roman" w:eastAsia="Times New Roman" w:hAnsi="Times New Roman"/>
          <w:sz w:val="22"/>
          <w:szCs w:val="22"/>
          <w:color w:val="auto"/>
        </w:rPr>
        <w:t>” means any optional repurchase pursuant to Section 5.1(a).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 Distribution Date</w:t>
      </w:r>
      <w:r>
        <w:rPr>
          <w:rFonts w:ascii="Times New Roman" w:cs="Times New Roman" w:eastAsia="Times New Roman" w:hAnsi="Times New Roman"/>
          <w:sz w:val="22"/>
          <w:szCs w:val="22"/>
          <w:color w:val="auto"/>
        </w:rPr>
        <w:t>” has the meaning set forth in Section 5.1(a).</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Confirmation Condition</w:t>
      </w:r>
      <w:r>
        <w:rPr>
          <w:rFonts w:ascii="Times New Roman" w:cs="Times New Roman" w:eastAsia="Times New Roman" w:hAnsi="Times New Roman"/>
          <w:sz w:val="22"/>
          <w:szCs w:val="22"/>
          <w:color w:val="auto"/>
        </w:rPr>
        <w:t>”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ectPr>
          <w:pgSz w:w="11900" w:h="16838" w:orient="portrait"/>
          <w:cols w:equalWidth="0" w:num="1">
            <w:col w:w="11240"/>
          </w:cols>
          <w:pgMar w:left="320" w:top="1030" w:right="339" w:bottom="1440" w:gutter="0" w:footer="0" w:header="0"/>
        </w:sectPr>
      </w:pPr>
    </w:p>
    <w:bookmarkStart w:id="157" w:name="page158"/>
    <w:bookmarkEnd w:id="157"/>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the foregoing, the Confirmation Condition shall be deemed satisfied until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initial filing in respect of such Chapter 11 Proceedings.</w:t>
      </w:r>
    </w:p>
    <w:p>
      <w:pPr>
        <w:spacing w:after="0" w:line="9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Note Issuer</w:t>
      </w:r>
      <w:r>
        <w:rPr>
          <w:rFonts w:ascii="Times New Roman" w:cs="Times New Roman" w:eastAsia="Times New Roman" w:hAnsi="Times New Roman"/>
          <w:sz w:val="22"/>
          <w:szCs w:val="22"/>
          <w:color w:val="auto"/>
        </w:rPr>
        <w:t>” means each issuer of a Series 2023-7 Demand Note.</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Disbursement</w:t>
      </w:r>
      <w:r>
        <w:rPr>
          <w:rFonts w:ascii="Times New Roman" w:cs="Times New Roman" w:eastAsia="Times New Roman" w:hAnsi="Times New Roman"/>
          <w:sz w:val="22"/>
          <w:szCs w:val="22"/>
          <w:color w:val="auto"/>
        </w:rPr>
        <w:t>” means any Lease Deficit Disbursement, any Unpaid Demand Note Disbursement, any Termination Date Disbursement or any Termination Disbursement under a Multi-Series Letter of Credit, or any combination thereof, as the context may require.</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Value</w:t>
      </w:r>
      <w:r>
        <w:rPr>
          <w:rFonts w:ascii="Times New Roman" w:cs="Times New Roman" w:eastAsia="Times New Roman" w:hAnsi="Times New Roman"/>
          <w:sz w:val="22"/>
          <w:szCs w:val="22"/>
          <w:color w:val="auto"/>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Guide</w:t>
      </w:r>
      <w:r>
        <w:rPr>
          <w:rFonts w:ascii="Times New Roman" w:cs="Times New Roman" w:eastAsia="Times New Roman" w:hAnsi="Times New Roman"/>
          <w:sz w:val="22"/>
          <w:szCs w:val="22"/>
          <w:color w:val="auto"/>
        </w:rPr>
        <w:t>” means the Black Book Official Finance/Lease Guide.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A Notes</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B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C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D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R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Deficit Disbursement</w:t>
      </w:r>
      <w:r>
        <w:rPr>
          <w:rFonts w:ascii="Times New Roman" w:cs="Times New Roman" w:eastAsia="Times New Roman" w:hAnsi="Times New Roman"/>
          <w:sz w:val="22"/>
          <w:szCs w:val="22"/>
          <w:color w:val="auto"/>
        </w:rPr>
        <w:t>” means an amount drawn under a Multi-Series Letter of Credit pursuant to a Certificate of Lease Deficit Demand.</w:t>
      </w:r>
    </w:p>
    <w:p>
      <w:pPr>
        <w:spacing w:after="0" w:line="17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 Whole Payment</w:t>
      </w:r>
      <w:r>
        <w:rPr>
          <w:rFonts w:ascii="Times New Roman" w:cs="Times New Roman" w:eastAsia="Times New Roman" w:hAnsi="Times New Roman"/>
          <w:sz w:val="22"/>
          <w:szCs w:val="22"/>
          <w:color w:val="auto"/>
        </w:rPr>
        <w:t xml:space="preserve">” means, with respect to any Series 2023-7 Note on any Optional Repurchase Distribution Date,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with respect to such Series 2023-7 Note</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ectPr>
          <w:pgSz w:w="11900" w:h="16838" w:orient="portrait"/>
          <w:cols w:equalWidth="0" w:num="1">
            <w:col w:w="11240"/>
          </w:cols>
          <w:pgMar w:left="320" w:top="1030" w:right="339" w:bottom="1440" w:gutter="0" w:footer="0" w:header="0"/>
        </w:sectPr>
      </w:pPr>
    </w:p>
    <w:bookmarkStart w:id="158" w:name="page159"/>
    <w:bookmarkEnd w:id="158"/>
    <w:p>
      <w:pPr>
        <w:jc w:val="both"/>
        <w:spacing w:after="0" w:line="263" w:lineRule="auto"/>
        <w:rPr>
          <w:sz w:val="20"/>
          <w:szCs w:val="20"/>
          <w:color w:val="auto"/>
        </w:rPr>
      </w:pPr>
      <w:r>
        <w:rPr>
          <w:rFonts w:ascii="Times New Roman" w:cs="Times New Roman" w:eastAsia="Times New Roman" w:hAnsi="Times New Roman"/>
          <w:sz w:val="22"/>
          <w:szCs w:val="22"/>
          <w:color w:val="auto"/>
        </w:rPr>
        <w:t>of the excess, if any, of (x) the sum of the Discounted Values for each Remaining Distribution Amount with respect to each Applicable Distribution Date over (y) the Series 2023-7 Invested Amount as of such Optional Repurchase Distribution Date (determined after giving effect to any payments made pursuant to Section 2.5(a) on such Distribution Date).</w:t>
      </w:r>
    </w:p>
    <w:p>
      <w:pPr>
        <w:spacing w:after="0" w:line="16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Market Value Average</w:t>
      </w:r>
      <w:r>
        <w:rPr>
          <w:rFonts w:ascii="Times New Roman" w:cs="Times New Roman" w:eastAsia="Times New Roman" w:hAnsi="Times New Roman"/>
          <w:sz w:val="21"/>
          <w:szCs w:val="21"/>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Total Principal Allocation</w:t>
      </w:r>
      <w:r>
        <w:rPr>
          <w:rFonts w:ascii="Times New Roman" w:cs="Times New Roman" w:eastAsia="Times New Roman" w:hAnsi="Times New Roman"/>
          <w:sz w:val="22"/>
          <w:szCs w:val="22"/>
          <w:color w:val="auto"/>
        </w:rPr>
        <w:t>” means for any Related Month the sum of all Series 2023-7 Principal Allocations with respect to such Related Month.</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 Excluded Manufacturer Amount</w:t>
      </w:r>
      <w:r>
        <w:rPr>
          <w:rFonts w:ascii="Times New Roman" w:cs="Times New Roman" w:eastAsia="Times New Roman" w:hAnsi="Times New Roman"/>
          <w:sz w:val="21"/>
          <w:szCs w:val="21"/>
          <w:color w:val="auto"/>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w:t>
      </w:r>
    </w:p>
    <w:p>
      <w:pPr>
        <w:spacing w:after="0" w:line="5" w:lineRule="exact"/>
        <w:rPr>
          <w:sz w:val="20"/>
          <w:szCs w:val="20"/>
          <w:color w:val="auto"/>
        </w:rPr>
      </w:pPr>
    </w:p>
    <w:p>
      <w:pPr>
        <w:jc w:val="both"/>
        <w:ind w:firstLine="8"/>
        <w:spacing w:after="0" w:line="252" w:lineRule="auto"/>
        <w:tabs>
          <w:tab w:leader="none" w:pos="36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spacing w:after="0" w:line="17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Excluded Manufacturer Receivable Specified Percentage</w:t>
      </w:r>
      <w:r>
        <w:rPr>
          <w:rFonts w:ascii="Times New Roman" w:cs="Times New Roman" w:eastAsia="Times New Roman" w:hAnsi="Times New Roman"/>
          <w:sz w:val="22"/>
          <w:szCs w:val="22"/>
          <w:color w:val="auto"/>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2023-7 Noteholders with respect to such Moody’s Non-Investment Grade Manufacturer;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as of the Class A/B/C Notes Closing Date the Moody’s Excluded Manufacturer Receivable Specified Percentage for each Moody’s Non-Investment Grade Manufacturer shall be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initial Moody’s Excluded Manufacturer Receivable Specified Percentage with respect to any Manufacturer that becomes a Moody’s Non-Investment Grade Manufacturer after the Class A/B/C Notes Closing Date shall be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bl>
    <w:p>
      <w:pPr>
        <w:sectPr>
          <w:pgSz w:w="11900" w:h="16838" w:orient="portrait"/>
          <w:cols w:equalWidth="0" w:num="1">
            <w:col w:w="11240"/>
          </w:cols>
          <w:pgMar w:left="320" w:top="1030" w:right="339" w:bottom="1440" w:gutter="0" w:footer="0" w:header="0"/>
        </w:sectPr>
      </w:pPr>
    </w:p>
    <w:bookmarkStart w:id="159" w:name="page160"/>
    <w:bookmarkEnd w:id="159"/>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Non-Investment Grade Manufacturer</w:t>
      </w:r>
      <w:r>
        <w:rPr>
          <w:rFonts w:ascii="Times New Roman" w:cs="Times New Roman" w:eastAsia="Times New Roman" w:hAnsi="Times New Roman"/>
          <w:sz w:val="22"/>
          <w:szCs w:val="22"/>
          <w:color w:val="auto"/>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spacing w:after="0" w:line="18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Turnback Vehicle Specified Percentage</w:t>
      </w:r>
      <w:r>
        <w:rPr>
          <w:rFonts w:ascii="Times New Roman" w:cs="Times New Roman" w:eastAsia="Times New Roman" w:hAnsi="Times New Roman"/>
          <w:sz w:val="22"/>
          <w:szCs w:val="22"/>
          <w:color w:val="auto"/>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following such downgrade.</w:t>
      </w:r>
    </w:p>
    <w:p>
      <w:pPr>
        <w:spacing w:after="0" w:line="1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w:t>
      </w:r>
      <w:r>
        <w:rPr>
          <w:rFonts w:ascii="Times New Roman" w:cs="Times New Roman" w:eastAsia="Times New Roman" w:hAnsi="Times New Roman"/>
          <w:sz w:val="22"/>
          <w:szCs w:val="22"/>
          <w:color w:val="auto"/>
        </w:rPr>
        <w:t xml:space="preserve">” means an irrevocable letter of credit, if any,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issued by a Series 2023-7 Eligible Letter of Credit Provider in favor of the Trustee for the benefit, in whole or in part, of the Series 2023-7 Noteholders (provided that a Multi-Series Letter of Credit may also benefit Noteholders of certain other Series).</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Expiration Date</w:t>
      </w:r>
      <w:r>
        <w:rPr>
          <w:rFonts w:ascii="Times New Roman" w:cs="Times New Roman" w:eastAsia="Times New Roman" w:hAnsi="Times New Roman"/>
          <w:sz w:val="22"/>
          <w:szCs w:val="22"/>
          <w:color w:val="auto"/>
        </w:rPr>
        <w:t>” means, with respect to any Multi-Series Letter of Credit, the expiration date set forth in such Multi-Series Letter of Credit, as such date may be extended in accordance with the terms of such Multi-Series Letter of Credit.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Provider</w:t>
      </w:r>
      <w:r>
        <w:rPr>
          <w:rFonts w:ascii="Times New Roman" w:cs="Times New Roman" w:eastAsia="Times New Roman" w:hAnsi="Times New Roman"/>
          <w:sz w:val="22"/>
          <w:szCs w:val="22"/>
          <w:color w:val="auto"/>
        </w:rPr>
        <w:t>” means any issuer of any Multi-Series Letter of Credit.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Termination Date</w:t>
      </w:r>
      <w:r>
        <w:rPr>
          <w:rFonts w:ascii="Times New Roman" w:cs="Times New Roman" w:eastAsia="Times New Roman" w:hAnsi="Times New Roman"/>
          <w:sz w:val="22"/>
          <w:szCs w:val="22"/>
          <w:color w:val="auto"/>
        </w:rPr>
        <w:t>” means the first to occur of (a) the date on which the Series 2023-7 Notes are fully paid and (b) the Series 2023-7 Termination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ectPr>
          <w:pgSz w:w="11900" w:h="16838" w:orient="portrait"/>
          <w:cols w:equalWidth="0" w:num="1">
            <w:col w:w="11240"/>
          </w:cols>
          <w:pgMar w:left="320" w:top="1030" w:right="339" w:bottom="1440" w:gutter="0" w:footer="0" w:header="0"/>
        </w:sectPr>
      </w:pPr>
    </w:p>
    <w:bookmarkStart w:id="160" w:name="page161"/>
    <w:bookmarkEnd w:id="160"/>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Delivery Condition</w:t>
      </w:r>
      <w:r>
        <w:rPr>
          <w:rFonts w:ascii="Times New Roman" w:cs="Times New Roman" w:eastAsia="Times New Roman" w:hAnsi="Times New Roman"/>
          <w:sz w:val="22"/>
          <w:szCs w:val="22"/>
          <w:color w:val="auto"/>
        </w:rPr>
        <w:t>” means a condition that shall be satisfied if, on or prior to the Offering Memorandum Related Date, ABRCF delivers to BofA Securities, Inc. an agreed-upon undated preliminary offering memorandum in customary form consistent with ABRCF’s past Notes offerings for the offering of Notes by ABRCF that provides for the offering and sale of the Class D Notes and contains information, including the applicable financial and statistical information, as of a date reasonably recent to the Offering Memorandum Related Date.</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Related Date</w:t>
      </w:r>
      <w:r>
        <w:rPr>
          <w:rFonts w:ascii="Times New Roman" w:cs="Times New Roman" w:eastAsia="Times New Roman" w:hAnsi="Times New Roman"/>
          <w:sz w:val="22"/>
          <w:szCs w:val="22"/>
          <w:color w:val="auto"/>
        </w:rPr>
        <w:t>” means, solely if the Offering Memorandum Delivery Condition is not satisfied, the date which is six weeks following the Class D Notes Closing Date (or such longer period as mutually agreed upon among ABRCF, ABCR and BofA Securities, Inc.).</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 Distribution Date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is defined in Section 2.2(g).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B Note</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C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D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R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Series 2023-7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Pre-Preference Period Demand Note Payments</w:t>
      </w:r>
      <w:r>
        <w:rPr>
          <w:rFonts w:ascii="Times New Roman" w:cs="Times New Roman" w:eastAsia="Times New Roman" w:hAnsi="Times New Roman"/>
          <w:sz w:val="21"/>
          <w:szCs w:val="21"/>
          <w:color w:val="auto"/>
        </w:rPr>
        <w:t xml:space="preserve">” means, as of any date of determination, the aggregate amount of all proceeds of demands made on the Series 2023-7 Demand Notes included in the Series 2023-7 Demand Note Payment Amount as of the Multi-Series Letter of Credit Termination Date that were paid by the Demand Note Issuers more than one year before such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 Event of Bankruptcy (or the occurrence of an event described in clause</w:t>
      </w:r>
    </w:p>
    <w:p>
      <w:pPr>
        <w:spacing w:after="0" w:line="1" w:lineRule="exact"/>
        <w:rPr>
          <w:sz w:val="20"/>
          <w:szCs w:val="20"/>
          <w:color w:val="auto"/>
        </w:rPr>
      </w:pPr>
    </w:p>
    <w:p>
      <w:pPr>
        <w:jc w:val="both"/>
        <w:ind w:firstLine="8"/>
        <w:spacing w:after="0" w:line="246" w:lineRule="auto"/>
        <w:tabs>
          <w:tab w:leader="none" w:pos="30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2023-7 Demand Note Payment Amount as of the date of the conclusion or dismissal of such proceedings.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 is defined in the preamble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ectPr>
          <w:pgSz w:w="11900" w:h="16838" w:orient="portrait"/>
          <w:cols w:equalWidth="0" w:num="1">
            <w:col w:w="11240"/>
          </w:cols>
          <w:pgMar w:left="320" w:top="1030" w:right="339" w:bottom="1440" w:gutter="0" w:footer="0" w:header="0"/>
        </w:sectPr>
      </w:pPr>
    </w:p>
    <w:bookmarkStart w:id="161" w:name="page162"/>
    <w:bookmarkEnd w:id="16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Yield</w:t>
      </w:r>
      <w:r>
        <w:rPr>
          <w:rFonts w:ascii="Times New Roman" w:cs="Times New Roman" w:eastAsia="Times New Roman" w:hAnsi="Times New Roman"/>
          <w:sz w:val="22"/>
          <w:szCs w:val="22"/>
          <w:color w:val="auto"/>
        </w:rPr>
        <w:t>” means, with respect to any Remaining Distribution Amount, the sum of (i) 0.25% and (ii) the greater of (x) 0% and (y) the U.S. Treasury Rate with respect to such Remaining Distribution Amount.</w:t>
      </w:r>
    </w:p>
    <w:p>
      <w:pPr>
        <w:spacing w:after="0" w:line="144"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Distribution Amount</w:t>
      </w:r>
      <w:r>
        <w:rPr>
          <w:rFonts w:ascii="Times New Roman" w:cs="Times New Roman" w:eastAsia="Times New Roman" w:hAnsi="Times New Roman"/>
          <w:sz w:val="22"/>
          <w:szCs w:val="22"/>
          <w:color w:val="auto"/>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March 2027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March 2027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March 2027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March 2027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spacing w:after="0" w:line="21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Controlling Class Series 2023-7 Noteholders</w:t>
      </w:r>
      <w:r>
        <w:rPr>
          <w:rFonts w:ascii="Times New Roman" w:cs="Times New Roman" w:eastAsia="Times New Roman" w:hAnsi="Times New Roman"/>
          <w:sz w:val="22"/>
          <w:szCs w:val="22"/>
          <w:color w:val="auto"/>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2023-7 Notes held by ABCR or any Affiliate of ABCR unless ABCR or such Affiliate is the sole Series 2023-7 Noteholder) and (v) if no Class A Notes, Class B Notes, Class C Notes or Class D Notes are outstanding, Class R Noteholders holding more than 50% Class R Invested Amount (excluding, for the purpose of making any of the foregoing calculations, any Series 2023-7 Notes held by ABCR or any Affiliate of ABCR unless ABCR or such Affiliate is the sole Series 2023-7 Noteholder).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ectPr>
          <w:pgSz w:w="11900" w:h="16838" w:orient="portrait"/>
          <w:cols w:equalWidth="0" w:num="1">
            <w:col w:w="11240"/>
          </w:cols>
          <w:pgMar w:left="320" w:top="1030" w:right="339" w:bottom="1440" w:gutter="0" w:footer="0" w:header="0"/>
        </w:sectPr>
      </w:pPr>
    </w:p>
    <w:bookmarkStart w:id="162" w:name="page163"/>
    <w:bookmarkEnd w:id="162"/>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Series 2023-7 Noteholders</w:t>
      </w:r>
      <w:r>
        <w:rPr>
          <w:rFonts w:ascii="Times New Roman" w:cs="Times New Roman" w:eastAsia="Times New Roman" w:hAnsi="Times New Roman"/>
          <w:sz w:val="22"/>
          <w:szCs w:val="22"/>
          <w:color w:val="auto"/>
        </w:rPr>
        <w:t>” means Series 2023-7 Noteholders holding, in the aggregate, more than 50% of the Series 2023-7 Invested Amount (excluding, for the purpose of making the foregoing calculation (x) for all purposes, any Series 2023-7 Notes held by ABCR or any Affiliate of ABCR unless ABCR is the sole Series 2023-7 Noteholder and (y) for so long as any Class A Notes, the Class B Notes, or the Class C Notes are outstanding, any Class D Notes).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A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B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C Note</w:t>
      </w:r>
      <w:r>
        <w:rPr>
          <w:rFonts w:ascii="Times New Roman" w:cs="Times New Roman" w:eastAsia="Times New Roman" w:hAnsi="Times New Roman"/>
          <w:sz w:val="22"/>
          <w:szCs w:val="22"/>
          <w:color w:val="auto"/>
        </w:rPr>
        <w:t>” is defined in Section 4.1.</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D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R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Series 2023-7 Notes</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Selected Fleet Market Value</w:t>
      </w:r>
      <w:r>
        <w:rPr>
          <w:rFonts w:ascii="Times New Roman" w:cs="Times New Roman" w:eastAsia="Times New Roman" w:hAnsi="Times New Roman"/>
          <w:sz w:val="21"/>
          <w:szCs w:val="21"/>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bl>
    <w:p>
      <w:pPr>
        <w:sectPr>
          <w:pgSz w:w="11900" w:h="16838" w:orient="portrait"/>
          <w:cols w:equalWidth="0" w:num="1">
            <w:col w:w="11240"/>
          </w:cols>
          <w:pgMar w:left="320" w:top="1030"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1"/>
          <w:szCs w:val="21"/>
          <w:color w:val="auto"/>
        </w:rPr>
        <w:t>by the Administrator, based on the Net Book Value of such Vehicle and any other factors deemed relevant by the Administrator.</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2010-6 Notes</w:t>
      </w:r>
      <w:r>
        <w:rPr>
          <w:rFonts w:ascii="Times New Roman" w:cs="Times New Roman" w:eastAsia="Times New Roman" w:hAnsi="Times New Roman"/>
          <w:sz w:val="22"/>
          <w:szCs w:val="22"/>
          <w:color w:val="auto"/>
        </w:rPr>
        <w:t>” means the Series of Notes designated as the Series 2010-6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2011-4 Notes</w:t>
      </w:r>
      <w:r>
        <w:rPr>
          <w:rFonts w:ascii="Times New Roman" w:cs="Times New Roman" w:eastAsia="Times New Roman" w:hAnsi="Times New Roman"/>
          <w:sz w:val="22"/>
          <w:szCs w:val="22"/>
          <w:color w:val="auto"/>
        </w:rPr>
        <w:t>” means the Series of Notes designated as the Series 2011-4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2015-3 Notes</w:t>
      </w:r>
      <w:r>
        <w:rPr>
          <w:rFonts w:ascii="Times New Roman" w:cs="Times New Roman" w:eastAsia="Times New Roman" w:hAnsi="Times New Roman"/>
          <w:sz w:val="22"/>
          <w:szCs w:val="22"/>
          <w:color w:val="auto"/>
        </w:rPr>
        <w:t>” means the Series of Notes designated as the Series 2015-3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2020-1 Notes</w:t>
      </w:r>
      <w:r>
        <w:rPr>
          <w:rFonts w:ascii="Times New Roman" w:cs="Times New Roman" w:eastAsia="Times New Roman" w:hAnsi="Times New Roman"/>
          <w:sz w:val="22"/>
          <w:szCs w:val="22"/>
          <w:color w:val="auto"/>
        </w:rPr>
        <w:t>” means the Series of Notes designated as the Series 2020-1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2020-2 Notes</w:t>
      </w:r>
      <w:r>
        <w:rPr>
          <w:rFonts w:ascii="Times New Roman" w:cs="Times New Roman" w:eastAsia="Times New Roman" w:hAnsi="Times New Roman"/>
          <w:sz w:val="22"/>
          <w:szCs w:val="22"/>
          <w:color w:val="auto"/>
        </w:rPr>
        <w:t>” means the Series of Notes designated as the Series 2020-2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2021-1 Notes</w:t>
      </w:r>
      <w:r>
        <w:rPr>
          <w:rFonts w:ascii="Times New Roman" w:cs="Times New Roman" w:eastAsia="Times New Roman" w:hAnsi="Times New Roman"/>
          <w:sz w:val="22"/>
          <w:szCs w:val="22"/>
          <w:color w:val="auto"/>
        </w:rPr>
        <w:t>” means the Series of Notes designated as the Series 2021-1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2021-2 Notes</w:t>
      </w:r>
      <w:r>
        <w:rPr>
          <w:rFonts w:ascii="Times New Roman" w:cs="Times New Roman" w:eastAsia="Times New Roman" w:hAnsi="Times New Roman"/>
          <w:sz w:val="22"/>
          <w:szCs w:val="22"/>
          <w:color w:val="auto"/>
        </w:rPr>
        <w:t>” means the Series of Notes designated as the Series 2021-2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2022-1 Notes</w:t>
      </w:r>
      <w:r>
        <w:rPr>
          <w:rFonts w:ascii="Times New Roman" w:cs="Times New Roman" w:eastAsia="Times New Roman" w:hAnsi="Times New Roman"/>
          <w:sz w:val="22"/>
          <w:szCs w:val="22"/>
          <w:color w:val="auto"/>
        </w:rPr>
        <w:t>” means the Series of Notes designated as the Series 2022-1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2022-3 Notes</w:t>
      </w:r>
      <w:r>
        <w:rPr>
          <w:rFonts w:ascii="Times New Roman" w:cs="Times New Roman" w:eastAsia="Times New Roman" w:hAnsi="Times New Roman"/>
          <w:sz w:val="22"/>
          <w:szCs w:val="22"/>
          <w:color w:val="auto"/>
        </w:rPr>
        <w:t>” means the Series of Notes designated as the Series 2022-3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2022-4 Notes</w:t>
      </w:r>
      <w:r>
        <w:rPr>
          <w:rFonts w:ascii="Times New Roman" w:cs="Times New Roman" w:eastAsia="Times New Roman" w:hAnsi="Times New Roman"/>
          <w:sz w:val="22"/>
          <w:szCs w:val="22"/>
          <w:color w:val="auto"/>
        </w:rPr>
        <w:t>” means the Series of Notes designated as the Series 2022-4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Notes</w:t>
      </w:r>
      <w:r>
        <w:rPr>
          <w:rFonts w:ascii="Times New Roman" w:cs="Times New Roman" w:eastAsia="Times New Roman" w:hAnsi="Times New Roman"/>
          <w:sz w:val="22"/>
          <w:szCs w:val="22"/>
          <w:color w:val="auto"/>
        </w:rPr>
        <w:t>” means the Series of Notes designated as the Series 2022-5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Notes</w:t>
      </w:r>
      <w:r>
        <w:rPr>
          <w:rFonts w:ascii="Times New Roman" w:cs="Times New Roman" w:eastAsia="Times New Roman" w:hAnsi="Times New Roman"/>
          <w:sz w:val="22"/>
          <w:szCs w:val="22"/>
          <w:color w:val="auto"/>
        </w:rPr>
        <w:t>” means the Series of Notes designated as the Series 2023-1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Notes</w:t>
      </w:r>
      <w:r>
        <w:rPr>
          <w:rFonts w:ascii="Times New Roman" w:cs="Times New Roman" w:eastAsia="Times New Roman" w:hAnsi="Times New Roman"/>
          <w:sz w:val="22"/>
          <w:szCs w:val="22"/>
          <w:color w:val="auto"/>
        </w:rPr>
        <w:t>” means the Series of Notes designated as the Series 2023-2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2023-3 Notes</w:t>
      </w:r>
      <w:r>
        <w:rPr>
          <w:rFonts w:ascii="Times New Roman" w:cs="Times New Roman" w:eastAsia="Times New Roman" w:hAnsi="Times New Roman"/>
          <w:sz w:val="22"/>
          <w:szCs w:val="22"/>
          <w:color w:val="auto"/>
        </w:rPr>
        <w:t>” means the Series of Notes designated as the Series 2023-3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Notes</w:t>
      </w:r>
      <w:r>
        <w:rPr>
          <w:rFonts w:ascii="Times New Roman" w:cs="Times New Roman" w:eastAsia="Times New Roman" w:hAnsi="Times New Roman"/>
          <w:sz w:val="22"/>
          <w:szCs w:val="22"/>
          <w:color w:val="auto"/>
        </w:rPr>
        <w:t>” means the Series of Notes designated as the Series 2023-4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ectPr>
          <w:pgSz w:w="11900" w:h="16838" w:orient="portrait"/>
          <w:cols w:equalWidth="0" w:num="1">
            <w:col w:w="11040"/>
          </w:cols>
          <w:pgMar w:left="320" w:top="1030" w:right="539" w:bottom="1440" w:gutter="0" w:footer="0" w:header="0"/>
        </w:sectPr>
      </w:pPr>
    </w:p>
    <w:bookmarkStart w:id="164" w:name="page165"/>
    <w:bookmarkEnd w:id="16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2023-5 Notes</w:t>
      </w:r>
      <w:r>
        <w:rPr>
          <w:rFonts w:ascii="Times New Roman" w:cs="Times New Roman" w:eastAsia="Times New Roman" w:hAnsi="Times New Roman"/>
          <w:sz w:val="22"/>
          <w:szCs w:val="22"/>
          <w:color w:val="auto"/>
        </w:rPr>
        <w:t>” means the Series of Notes designated as the Series 2023-5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Notes</w:t>
      </w:r>
      <w:r>
        <w:rPr>
          <w:rFonts w:ascii="Times New Roman" w:cs="Times New Roman" w:eastAsia="Times New Roman" w:hAnsi="Times New Roman"/>
          <w:sz w:val="22"/>
          <w:szCs w:val="22"/>
          <w:color w:val="auto"/>
        </w:rPr>
        <w:t>” means the Series of Notes designated as the Series 2023-6 Notes.</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Accounts</w:t>
      </w:r>
      <w:r>
        <w:rPr>
          <w:rFonts w:ascii="Times New Roman" w:cs="Times New Roman" w:eastAsia="Times New Roman" w:hAnsi="Times New Roman"/>
          <w:sz w:val="22"/>
          <w:szCs w:val="22"/>
          <w:color w:val="auto"/>
        </w:rPr>
        <w:t>” means each of the Series 2023-7 Distribution Account, the Class A/B/C Reserve Account, the Class D Reserve Account, the Series 2023-7 Collection Account, the Series 2023-7 Excess Collection Account and the Series 2023-7 Accrued Interest Account.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Accrued Interest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AESOP I Operating Lease Loan Agreement Borrowing Base</w:t>
      </w:r>
      <w:r>
        <w:rPr>
          <w:rFonts w:ascii="Times New Roman" w:cs="Times New Roman" w:eastAsia="Times New Roman" w:hAnsi="Times New Roman"/>
          <w:sz w:val="22"/>
          <w:szCs w:val="22"/>
          <w:color w:val="auto"/>
        </w:rPr>
        <w:t xml:space="preserve">” means, as of any date of determination, the product of (a) the Series 2023-7 AESOP I Operating Lease Vehicle Percentage as of such date and (b) the excess of (i) the AESOP I Operating Lease Loan Agreement Borrowing Base as of such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Moody’s Excluded Manufacturer Amount as of such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AESOP I Operating Lease Vehicle Percentage</w:t>
      </w:r>
      <w:r>
        <w:rPr>
          <w:rFonts w:ascii="Times New Roman" w:cs="Times New Roman" w:eastAsia="Times New Roman" w:hAnsi="Times New Roman"/>
          <w:sz w:val="22"/>
          <w:szCs w:val="22"/>
          <w:color w:val="auto"/>
        </w:rPr>
        <w:t>” means, as of any date of determination, a fraction, expressed as a percentage (which percentage shall never exceed 100%), the numerator of which is the Series 2023-7 Required AESOP I Operating Lease Vehicle Amount as of such date and the denominator of which is the sum of the Required AESOP I Operating Lease Vehicle Amounts for all Series of Notes as of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Agent</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Allocated Cash Amount</w:t>
      </w:r>
      <w:r>
        <w:rPr>
          <w:rFonts w:ascii="Times New Roman" w:cs="Times New Roman" w:eastAsia="Times New Roman" w:hAnsi="Times New Roman"/>
          <w:sz w:val="22"/>
          <w:szCs w:val="22"/>
          <w:color w:val="auto"/>
        </w:rPr>
        <w:t>” means, as of any date of determination, an amount equal to (x) all cash on deposit in the Collection Account as of such date times (y) the Series 2023-7 Invested Percentage (calculated with respect to Principal Collections) as of such date.</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Cash Collateral Accounts</w:t>
      </w:r>
      <w:r>
        <w:rPr>
          <w:rFonts w:ascii="Times New Roman" w:cs="Times New Roman" w:eastAsia="Times New Roman" w:hAnsi="Times New Roman"/>
          <w:sz w:val="22"/>
          <w:szCs w:val="22"/>
          <w:color w:val="auto"/>
        </w:rPr>
        <w:t>” means, together, the Class A/B/C Cash Collateral Account and the Class D Cash Collateral Account.</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Collateral</w:t>
      </w:r>
      <w:r>
        <w:rPr>
          <w:rFonts w:ascii="Times New Roman" w:cs="Times New Roman" w:eastAsia="Times New Roman" w:hAnsi="Times New Roman"/>
          <w:sz w:val="22"/>
          <w:szCs w:val="22"/>
          <w:color w:val="auto"/>
        </w:rPr>
        <w:t>” means the Collateral, the Multi-Series Letters of Credit, each Series 2023-7 Demand Note, the Series 2023-7 Distribution Account Collateral, the Class A/B/C Cash Collateral Account Collateral, the Class D Cash Collateral Account Collateral, the Class A/B/C Reserve Account Collateral and the Class D Reserve Account Collateral.</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Collection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right="2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Controlled Amortization Period</w:t>
      </w:r>
      <w:r>
        <w:rPr>
          <w:rFonts w:ascii="Times New Roman" w:cs="Times New Roman" w:eastAsia="Times New Roman" w:hAnsi="Times New Roman"/>
          <w:sz w:val="22"/>
          <w:szCs w:val="22"/>
          <w:color w:val="auto"/>
        </w:rPr>
        <w:t>” means the period commencing upon the close of business on January 31, 2027 (or, if such day is not a Business Day, the Business Day immediately preceding such day) and continuing to the earliest of (i) the commencement of the Series 2023-7 Rapid Amortization Period, (ii) the date on which the Series 2023-7 Notes are fully paid and (iii) the termination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ectPr>
          <w:pgSz w:w="11900" w:h="16838" w:orient="portrait"/>
          <w:cols w:equalWidth="0" w:num="1">
            <w:col w:w="11240"/>
          </w:cols>
          <w:pgMar w:left="320" w:top="1030" w:right="339" w:bottom="1440" w:gutter="0" w:footer="0" w:header="0"/>
        </w:sectPr>
      </w:pPr>
    </w:p>
    <w:bookmarkStart w:id="165" w:name="page166"/>
    <w:bookmarkEnd w:id="165"/>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Demand Note</w:t>
      </w:r>
      <w:r>
        <w:rPr>
          <w:rFonts w:ascii="Times New Roman" w:cs="Times New Roman" w:eastAsia="Times New Roman" w:hAnsi="Times New Roman"/>
          <w:sz w:val="22"/>
          <w:szCs w:val="22"/>
          <w:color w:val="auto"/>
        </w:rPr>
        <w:t xml:space="preserve">” means each demand note made by a Demand Note Issuer,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as amended, modified or restated from time to time.</w:t>
      </w:r>
    </w:p>
    <w:p>
      <w:pPr>
        <w:spacing w:after="0" w:line="17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Demand Note Payment Amount</w:t>
      </w:r>
      <w:r>
        <w:rPr>
          <w:rFonts w:ascii="Times New Roman" w:cs="Times New Roman" w:eastAsia="Times New Roman" w:hAnsi="Times New Roman"/>
          <w:sz w:val="22"/>
          <w:szCs w:val="22"/>
          <w:color w:val="auto"/>
        </w:rPr>
        <w:t xml:space="preserve">” means, as of the Multi-Series Letter of Credit Termination Date, the aggregate amount of all proceeds of demands made on the Series 2023-7 Demand Notes pursuant to Section 2.5(c)(i), (d)(i) or (e)(i) that were deposited into the Series 2023-7 Distribution Account and paid to the Series 2023-7 Noteholders during the one year period ending on the Multi-Series Letter of Credit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2023-7 Demand Note Payment Amount as of the Multi-Series Letter of Credit Termination Date shall equal the Series 2023-7 Demand Note Payment Amount as if it were calculated as of the date of such occurrence.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Deposit Date</w:t>
      </w:r>
      <w:r>
        <w:rPr>
          <w:rFonts w:ascii="Times New Roman" w:cs="Times New Roman" w:eastAsia="Times New Roman" w:hAnsi="Times New Roman"/>
          <w:sz w:val="22"/>
          <w:szCs w:val="22"/>
          <w:color w:val="auto"/>
        </w:rPr>
        <w:t>” is defined in Section 2.2.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Distribution Account</w:t>
      </w:r>
      <w:r>
        <w:rPr>
          <w:rFonts w:ascii="Times New Roman" w:cs="Times New Roman" w:eastAsia="Times New Roman" w:hAnsi="Times New Roman"/>
          <w:sz w:val="22"/>
          <w:szCs w:val="22"/>
          <w:color w:val="auto"/>
        </w:rPr>
        <w:t>” is defined in Section 2.9(a).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Distribution Account Collateral</w:t>
      </w:r>
      <w:r>
        <w:rPr>
          <w:rFonts w:ascii="Times New Roman" w:cs="Times New Roman" w:eastAsia="Times New Roman" w:hAnsi="Times New Roman"/>
          <w:sz w:val="22"/>
          <w:szCs w:val="22"/>
          <w:color w:val="auto"/>
        </w:rPr>
        <w:t>” is defined in Section 2.9(d).</w:t>
      </w:r>
    </w:p>
    <w:p>
      <w:pPr>
        <w:spacing w:after="0" w:line="2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2023-7 Eligible Letter of Credit Provider</w:t>
      </w:r>
      <w:r>
        <w:rPr>
          <w:rFonts w:ascii="Times New Roman" w:cs="Times New Roman" w:eastAsia="Times New Roman" w:hAnsi="Times New Roman"/>
          <w:sz w:val="21"/>
          <w:szCs w:val="21"/>
          <w:color w:val="auto"/>
        </w:rPr>
        <w:t xml:space="preserve">” 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Person is not a Multi-Series Letter of Credit Provider (or a letter of credit provider under the Series Supplement for any other Series of Notes), then such Person shall not be a Series 2023-7 Eligible Letter of Credit Provider until ABRCF has provided ten (10) days’ prior notice to the Rating Agencies that such Person has been proposed as a Multi-Series Letter of Credit Provider.</w:t>
      </w:r>
    </w:p>
    <w:p>
      <w:pPr>
        <w:spacing w:after="0" w:line="17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Enhancement</w:t>
      </w:r>
      <w:r>
        <w:rPr>
          <w:rFonts w:ascii="Times New Roman" w:cs="Times New Roman" w:eastAsia="Times New Roman" w:hAnsi="Times New Roman"/>
          <w:sz w:val="22"/>
          <w:szCs w:val="22"/>
          <w:color w:val="auto"/>
        </w:rPr>
        <w:t>” means the Class A/B/C Cash Collateral Account Collateral, the Class D Cash Collateral Account Collateral, the Multi-Series Letters of Credit, the Series 2023-7 Demand Notes, the Class D Overcollateralization Amount and the Class A/B/C Required Reserve Account Amount.</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Enhancement Deficiency</w:t>
      </w:r>
      <w:r>
        <w:rPr>
          <w:rFonts w:ascii="Times New Roman" w:cs="Times New Roman" w:eastAsia="Times New Roman" w:hAnsi="Times New Roman"/>
          <w:sz w:val="22"/>
          <w:szCs w:val="22"/>
          <w:color w:val="auto"/>
        </w:rPr>
        <w:t>” means a Class A/B/C Enhancement Deficiency or a Class D Enhancement Deficiency.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Excess Collection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Excess Tesla Percentage</w:t>
      </w:r>
      <w:r>
        <w:rPr>
          <w:rFonts w:ascii="Times New Roman" w:cs="Times New Roman" w:eastAsia="Times New Roman" w:hAnsi="Times New Roman"/>
          <w:sz w:val="22"/>
          <w:szCs w:val="22"/>
          <w:color w:val="auto"/>
        </w:rPr>
        <w:t>” means, as of any date of determination, the greater of (1) zero and (2) the percentage equal to (x) a fraction (expressed as a percentage) equal to the aggregate Net Book Value of all Vehicles manufactured by Tesla and leased under the Leases divided by the aggregate Net Book Value of all Vehicles leased under the Leases minus (y) 15 percentage points.</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ectPr>
          <w:pgSz w:w="11900" w:h="16838" w:orient="portrait"/>
          <w:cols w:equalWidth="0" w:num="1">
            <w:col w:w="11240"/>
          </w:cols>
          <w:pgMar w:left="320" w:top="1030" w:right="339" w:bottom="1440" w:gutter="0" w:footer="0" w:header="0"/>
        </w:sectPr>
      </w:pPr>
    </w:p>
    <w:bookmarkStart w:id="166" w:name="page167"/>
    <w:bookmarkEnd w:id="16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Expected Final Distribution Date</w:t>
      </w:r>
      <w:r>
        <w:rPr>
          <w:rFonts w:ascii="Times New Roman" w:cs="Times New Roman" w:eastAsia="Times New Roman" w:hAnsi="Times New Roman"/>
          <w:sz w:val="22"/>
          <w:szCs w:val="22"/>
          <w:color w:val="auto"/>
        </w:rPr>
        <w:t>” means the August 2027 Distribution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Final Distribution Date</w:t>
      </w:r>
      <w:r>
        <w:rPr>
          <w:rFonts w:ascii="Times New Roman" w:cs="Times New Roman" w:eastAsia="Times New Roman" w:hAnsi="Times New Roman"/>
          <w:sz w:val="22"/>
          <w:szCs w:val="22"/>
          <w:color w:val="auto"/>
        </w:rPr>
        <w:t>” means the August 2028 Distribution Date.</w:t>
      </w:r>
    </w:p>
    <w:p>
      <w:pPr>
        <w:spacing w:after="0" w:line="227"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Interest Period</w:t>
      </w:r>
      <w:r>
        <w:rPr>
          <w:rFonts w:ascii="Times New Roman" w:cs="Times New Roman" w:eastAsia="Times New Roman" w:hAnsi="Times New Roman"/>
          <w:sz w:val="22"/>
          <w:szCs w:val="22"/>
          <w:color w:val="auto"/>
        </w:rPr>
        <w:t>” means a period commencing on and including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and ending on and including the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in the following calendar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(x) the initial Series 2023-7 Interest Period with respect to the Class A Notes, the Class B Notes and the Class C Notes commenced on and included the Class A/B/C Notes Closing Date and ended on and included October 19, 2023, (y) the initial Series 2023-7 Interest Period with respect to the Class D Notes following the Class D Notes Closing Date commenced on and included the Class D Notes Closing Date and ended on and included March 19, 2025 and (z) the initial Series 2023-7 Interest Period with respect to the Class D Notes following the Class D Notes Sale Date shall commence on and include the Class D Notes Sale Date and shall end on and include May 19, 2025.</w:t>
      </w:r>
    </w:p>
    <w:p>
      <w:pPr>
        <w:spacing w:after="0" w:line="19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Invested Percentage</w:t>
      </w:r>
      <w:r>
        <w:rPr>
          <w:rFonts w:ascii="Times New Roman" w:cs="Times New Roman" w:eastAsia="Times New Roman" w:hAnsi="Times New Roman"/>
          <w:sz w:val="22"/>
          <w:szCs w:val="22"/>
          <w:color w:val="auto"/>
        </w:rPr>
        <w:t>” means, as of any date of determination:</w:t>
      </w:r>
    </w:p>
    <w:p>
      <w:pPr>
        <w:spacing w:after="0" w:line="220" w:lineRule="exact"/>
        <w:rPr>
          <w:sz w:val="20"/>
          <w:szCs w:val="20"/>
          <w:color w:val="auto"/>
        </w:rPr>
      </w:pPr>
    </w:p>
    <w:p>
      <w:pPr>
        <w:jc w:val="both"/>
        <w:ind w:firstLine="1304"/>
        <w:spacing w:after="0" w:line="249" w:lineRule="auto"/>
        <w:tabs>
          <w:tab w:leader="none" w:pos="163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2023-7 Invested Amount and the Class D Overcollateralization Amount, determined during the Series 2023-7 Revolving Period as of the end of the Related Month (or, until the end of the Related Month during which the Class D Notes Closing Date occurs, on the Class D Notes Closing Date), or, during the Series 2023-7 Controlled Amortization Period and the Series 2023-7 Rapid Amortization Period, as of the end of the Series 2023-7 Revolving Period, and the denominator of which shall be the greater of (I) the Aggregate Asset Amount as of the end of the Related Month or, until the end of the initial Related Month, as 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83" w:lineRule="exact"/>
        <w:rPr>
          <w:rFonts w:ascii="Times New Roman" w:cs="Times New Roman" w:eastAsia="Times New Roman" w:hAnsi="Times New Roman"/>
          <w:sz w:val="22"/>
          <w:szCs w:val="22"/>
          <w:color w:val="auto"/>
        </w:rPr>
      </w:pPr>
    </w:p>
    <w:p>
      <w:pPr>
        <w:jc w:val="both"/>
        <w:ind w:firstLine="1304"/>
        <w:spacing w:after="0" w:line="265" w:lineRule="auto"/>
        <w:tabs>
          <w:tab w:leader="none" w:pos="160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used with respect to Interest Collections, the percentage equivalent (which percentage shall never exceed 100%) of a fraction, the numerator of which shall be the Accrued Amounts with respect to the Series 2023-7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2023-7 Notes.</w:t>
      </w:r>
    </w:p>
    <w:p>
      <w:pPr>
        <w:spacing w:after="0" w:line="179"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Lease Interest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bl>
    <w:p>
      <w:pPr>
        <w:sectPr>
          <w:pgSz w:w="11900" w:h="16838" w:orient="portrait"/>
          <w:cols w:equalWidth="0" w:num="1">
            <w:col w:w="11240"/>
          </w:cols>
          <w:pgMar w:left="320" w:top="1030" w:right="339" w:bottom="1440" w:gutter="0" w:footer="0" w:header="0"/>
        </w:sectPr>
      </w:pPr>
    </w:p>
    <w:bookmarkStart w:id="167" w:name="page168"/>
    <w:bookmarkEnd w:id="167"/>
    <w:p>
      <w:pPr>
        <w:jc w:val="both"/>
        <w:spacing w:after="0" w:line="250" w:lineRule="auto"/>
        <w:rPr>
          <w:sz w:val="20"/>
          <w:szCs w:val="20"/>
          <w:color w:val="auto"/>
        </w:rPr>
      </w:pPr>
      <w:r>
        <w:rPr>
          <w:rFonts w:ascii="Times New Roman" w:cs="Times New Roman" w:eastAsia="Times New Roman" w:hAnsi="Times New Roman"/>
          <w:sz w:val="22"/>
          <w:szCs w:val="22"/>
          <w:color w:val="auto"/>
        </w:rPr>
        <w:t>Interest Collections which pursuant to Section 2.2(a), (b), (c) or (d) would have been allocated to the Series 2023-7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2023-7 Accrued Interest Account (excluding any amounts paid into the Series 2023-7 Accrued Interest Account pursuant to the proviso in Sections 2.2(c)(ii) and/or 2.2(d)(ii)) from and excluding the preceding Distribution Date to and including the Business Day immediately preceding such Distribution Date over (2) the Class R Monthly Interest with respect to the Series 2023-7 Interest Period ended on the day preceding such Distribution Date.</w:t>
      </w:r>
    </w:p>
    <w:p>
      <w:pPr>
        <w:spacing w:after="0" w:line="18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Lease Payment Deficit</w:t>
      </w:r>
      <w:r>
        <w:rPr>
          <w:rFonts w:ascii="Times New Roman" w:cs="Times New Roman" w:eastAsia="Times New Roman" w:hAnsi="Times New Roman"/>
          <w:sz w:val="22"/>
          <w:szCs w:val="22"/>
          <w:color w:val="auto"/>
        </w:rPr>
        <w:t>” means either a Series 2023-7 Lease Interest Payment Deficit or a Series 2023-7 Lease Principal Payment Deficit.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Lease Principal Payment Carryover Deficit</w:t>
      </w:r>
      <w:r>
        <w:rPr>
          <w:rFonts w:ascii="Times New Roman" w:cs="Times New Roman" w:eastAsia="Times New Roman" w:hAnsi="Times New Roman"/>
          <w:sz w:val="22"/>
          <w:szCs w:val="22"/>
          <w:color w:val="auto"/>
        </w:rPr>
        <w:t>” means (a) for the initial Distribution Date, zero and</w:t>
      </w:r>
    </w:p>
    <w:p>
      <w:pPr>
        <w:spacing w:after="0" w:line="28" w:lineRule="exact"/>
        <w:rPr>
          <w:sz w:val="20"/>
          <w:szCs w:val="20"/>
          <w:color w:val="auto"/>
        </w:rPr>
      </w:pPr>
    </w:p>
    <w:p>
      <w:pPr>
        <w:jc w:val="both"/>
        <w:ind w:firstLine="8"/>
        <w:spacing w:after="0" w:line="252" w:lineRule="auto"/>
        <w:tabs>
          <w:tab w:leader="none" w:pos="31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other Distribution Date, the excess of (x) the Series 2023-7 Lease Principal Payment Deficit, if any, on the preceding Distribution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the amount deposited in the Distribution Account on such preceding Distribution Date pursuant to Section 2.5(b) on account of such Series 2023-7 Lease Principal Payment Deficit.</w:t>
      </w:r>
    </w:p>
    <w:p>
      <w:pPr>
        <w:spacing w:after="0" w:line="17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Lease Principal Payment Deficit</w:t>
      </w:r>
      <w:r>
        <w:rPr>
          <w:rFonts w:ascii="Times New Roman" w:cs="Times New Roman" w:eastAsia="Times New Roman" w:hAnsi="Times New Roman"/>
          <w:sz w:val="22"/>
          <w:szCs w:val="22"/>
          <w:color w:val="auto"/>
        </w:rPr>
        <w:t>” means on any Distribution Date, the sum of (a) the Series 2023-7 Monthly Lease Principal Payment Deficit for such Distribution Date and (b) the Series 2023-7 Lease Principal Payment Carryover Deficit for such Distribution Date.</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Limited Liquidation Event of Default</w:t>
      </w:r>
      <w:r>
        <w:rPr>
          <w:rFonts w:ascii="Times New Roman" w:cs="Times New Roman" w:eastAsia="Times New Roman" w:hAnsi="Times New Roman"/>
          <w:sz w:val="22"/>
          <w:szCs w:val="22"/>
          <w:color w:val="auto"/>
        </w:rPr>
        <w:t xml:space="preserve">” means, so long as such event or condition continues, any event or condition of the type specified in clauses (a) through (g) of Article III;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event or condition of the type specified in clauses (a) through (g) of Article III shall not constitute a Series 2023-7 Limited Liquidation Event of Default if the Trustee shall have received the written consent of the Requisite Series 2023-7 Noteholders waiving the occurrence of such Series 2023-7 Limited Liquidation Event of Default. The Trustee shall promptly (but in any event within two (2) days) provide the Rating Agencies with written notice of such waiver.</w:t>
      </w:r>
    </w:p>
    <w:p>
      <w:pPr>
        <w:spacing w:after="0" w:line="19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Monthly Lease Principal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Principal Collections which pursuant to Section 2.2(a), (b), (c) or (d) would have been allocated to the Series 2023-7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2023-7 Collection Account (without giving effect to any amounts paid into the Series 2023-7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ectPr>
          <w:pgSz w:w="11900" w:h="16838" w:orient="portrait"/>
          <w:cols w:equalWidth="0" w:num="1">
            <w:col w:w="11240"/>
          </w:cols>
          <w:pgMar w:left="320" w:top="1030" w:right="339" w:bottom="1440" w:gutter="0" w:footer="0" w:header="0"/>
        </w:sectPr>
      </w:pPr>
    </w:p>
    <w:bookmarkStart w:id="168" w:name="page169"/>
    <w:bookmarkEnd w:id="168"/>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Moody’s Highest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Moody’s Highest Enhancement Rate</w:t>
      </w:r>
      <w:r>
        <w:rPr>
          <w:rFonts w:ascii="Times New Roman" w:cs="Times New Roman" w:eastAsia="Times New Roman" w:hAnsi="Times New Roman"/>
          <w:sz w:val="22"/>
          <w:szCs w:val="22"/>
          <w:color w:val="auto"/>
        </w:rPr>
        <w:t xml:space="preserve">” means, as of any date of determination, the sum of (a) 14.25% (with respect to calculating the Class D Required Enhancement Amount) or 27.55% (with respect to calculating the Class A/B/C Required Enhancement Amount), (b) the greater of (x) the highest, for any calendar month within the preceding 12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Measurement Month Average for the immediately preceding Measurement Month and (y) the highest, for any calendar month within the preceding 3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Market Value Average as of the Determination Date within such calendar month (excluding the Market Value Average for any Determination Date which has not yet occurred) and (c) a percentage equal to the product of (x) the Series 2023-7 Excess Tesla Percentage and (y) 10%.</w:t>
      </w:r>
    </w:p>
    <w:p>
      <w:pPr>
        <w:spacing w:after="0" w:line="19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Moody’s Intermediate Enhanced Vehicle Percentage</w:t>
      </w:r>
      <w:r>
        <w:rPr>
          <w:rFonts w:ascii="Times New Roman" w:cs="Times New Roman" w:eastAsia="Times New Roman" w:hAnsi="Times New Roman"/>
          <w:sz w:val="22"/>
          <w:szCs w:val="22"/>
          <w:color w:val="auto"/>
        </w:rPr>
        <w:t xml:space="preserve">” means, as of any date of determination,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sum of (a) the Series 2023-7 Moody’s Lowest Enhanced Vehicle Percentage, (b) the Series 2023-7 Moody’s Highest Enhanced Vehicle Percentage and (c) the Series 2023-7 Moody’s Trucks Percentage.</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Moody’s Intermediate Enhancement Rate</w:t>
      </w:r>
      <w:r>
        <w:rPr>
          <w:rFonts w:ascii="Times New Roman" w:cs="Times New Roman" w:eastAsia="Times New Roman" w:hAnsi="Times New Roman"/>
          <w:sz w:val="22"/>
          <w:szCs w:val="22"/>
          <w:color w:val="auto"/>
        </w:rPr>
        <w:t>” means, as of any date of determination, 8.50% (with respect to calculating the Class D Required Enhancement Amount) or 16.15% (with respect to calculating the Class A/B/C Required Enhancement Amount).</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Moody’s Lowest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bl>
    <w:p>
      <w:pPr>
        <w:sectPr>
          <w:pgSz w:w="11900" w:h="16838" w:orient="portrait"/>
          <w:cols w:equalWidth="0" w:num="1">
            <w:col w:w="11240"/>
          </w:cols>
          <w:pgMar w:left="320" w:top="1030" w:right="339" w:bottom="1440" w:gutter="0" w:footer="0" w:header="0"/>
        </w:sectPr>
      </w:pPr>
    </w:p>
    <w:bookmarkStart w:id="169" w:name="page170"/>
    <w:bookmarkEnd w:id="169"/>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Moody’s Lowest Enhancement Rate</w:t>
      </w:r>
      <w:r>
        <w:rPr>
          <w:rFonts w:ascii="Times New Roman" w:cs="Times New Roman" w:eastAsia="Times New Roman" w:hAnsi="Times New Roman"/>
          <w:sz w:val="22"/>
          <w:szCs w:val="22"/>
          <w:color w:val="auto"/>
        </w:rPr>
        <w:t>” means, as of any date of determination, 5.00% (with respect to calculating the Class D Required Enhancement Amount) or 12.65% (with respect to calculating the Class A/B/C Required Enhancement Amount).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2023-7 Moody’s Required Enhancement Amount</w:t>
      </w:r>
      <w:r>
        <w:rPr>
          <w:rFonts w:ascii="Times New Roman" w:cs="Times New Roman" w:eastAsia="Times New Roman" w:hAnsi="Times New Roman"/>
          <w:sz w:val="21"/>
          <w:szCs w:val="21"/>
          <w:color w:val="auto"/>
        </w:rPr>
        <w:t>” means, as of any date of determination, the product of</w:t>
      </w:r>
    </w:p>
    <w:p>
      <w:pPr>
        <w:spacing w:after="0" w:line="39" w:lineRule="exact"/>
        <w:rPr>
          <w:sz w:val="20"/>
          <w:szCs w:val="20"/>
          <w:color w:val="auto"/>
        </w:rPr>
      </w:pPr>
    </w:p>
    <w:p>
      <w:pPr>
        <w:jc w:val="both"/>
        <w:ind w:firstLine="8"/>
        <w:spacing w:after="0" w:line="247" w:lineRule="auto"/>
        <w:tabs>
          <w:tab w:leader="none" w:pos="26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Series 2023-7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2023-7 Senior Invested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Series 2023-7 Allocated Cash Amount.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Moody’s Required Enhancement Percentage</w:t>
      </w:r>
      <w:r>
        <w:rPr>
          <w:rFonts w:ascii="Times New Roman" w:cs="Times New Roman" w:eastAsia="Times New Roman" w:hAnsi="Times New Roman"/>
          <w:sz w:val="22"/>
          <w:szCs w:val="22"/>
          <w:color w:val="auto"/>
        </w:rPr>
        <w:t>” means, as of any date of determination, the sum of</w:t>
      </w:r>
    </w:p>
    <w:p>
      <w:pPr>
        <w:spacing w:after="0" w:line="28" w:lineRule="exact"/>
        <w:rPr>
          <w:sz w:val="20"/>
          <w:szCs w:val="20"/>
          <w:color w:val="auto"/>
        </w:rPr>
      </w:pPr>
    </w:p>
    <w:p>
      <w:pPr>
        <w:jc w:val="both"/>
        <w:ind w:firstLine="8"/>
        <w:spacing w:after="0" w:line="255" w:lineRule="auto"/>
        <w:tabs>
          <w:tab w:leader="none" w:pos="268"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(A) the Series 2023-7 Moody’s Lowest Enhancement Rate as of such date and (B) the Series 2023-7 Moody’s Lowest Enhanced Vehicle Percentage as of such date, (ii) the product of (A) the Series 2023-7 Moody’s Intermediate Enhancement Rate as of such date and (B) the Series 2023-7 Moody’s Intermediate Enhanced Vehicle Percentage as of such date,</w:t>
      </w:r>
    </w:p>
    <w:p>
      <w:pPr>
        <w:spacing w:after="0" w:line="1" w:lineRule="exact"/>
        <w:rPr>
          <w:rFonts w:ascii="Times New Roman" w:cs="Times New Roman" w:eastAsia="Times New Roman" w:hAnsi="Times New Roman"/>
          <w:sz w:val="21"/>
          <w:szCs w:val="21"/>
          <w:color w:val="auto"/>
        </w:rPr>
      </w:pPr>
    </w:p>
    <w:p>
      <w:pPr>
        <w:jc w:val="both"/>
        <w:ind w:firstLine="8"/>
        <w:spacing w:after="0" w:line="251" w:lineRule="auto"/>
        <w:tabs>
          <w:tab w:leader="none" w:pos="38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Series 2023-7 Moody’s Highest Enhancement Rate as of such date and (B) the Series 2023-7 Moody’s Highest Enhanced Vehicle Percentage as of such date and (iv) the product of (A) the Series 2023-7 Moody’s Trucks Enhancement Rate as of such date and (B) the Series 2023-7 Moody’s Trucks Percentage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Moody’s Trucks Enhancement Rate</w:t>
      </w:r>
      <w:r>
        <w:rPr>
          <w:rFonts w:ascii="Times New Roman" w:cs="Times New Roman" w:eastAsia="Times New Roman" w:hAnsi="Times New Roman"/>
          <w:sz w:val="22"/>
          <w:szCs w:val="22"/>
          <w:color w:val="auto"/>
        </w:rPr>
        <w:t>” means, as of any date of determination, 35.70%.</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Moody’s Trucks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Note Owner</w:t>
      </w:r>
      <w:r>
        <w:rPr>
          <w:rFonts w:ascii="Times New Roman" w:cs="Times New Roman" w:eastAsia="Times New Roman" w:hAnsi="Times New Roman"/>
          <w:sz w:val="22"/>
          <w:szCs w:val="22"/>
          <w:color w:val="auto"/>
        </w:rPr>
        <w:t>” means each beneficial owner of a Series 2023-7 Note.</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Noteholder</w:t>
      </w:r>
      <w:r>
        <w:rPr>
          <w:rFonts w:ascii="Times New Roman" w:cs="Times New Roman" w:eastAsia="Times New Roman" w:hAnsi="Times New Roman"/>
          <w:sz w:val="22"/>
          <w:szCs w:val="22"/>
          <w:color w:val="auto"/>
        </w:rPr>
        <w:t>” means any Class A Noteholder, any Class B Noteholder, any Class C Noteholder, any Class D Noteholder or any Class R Noteholder.</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Notes</w:t>
      </w:r>
      <w:r>
        <w:rPr>
          <w:rFonts w:ascii="Times New Roman" w:cs="Times New Roman" w:eastAsia="Times New Roman" w:hAnsi="Times New Roman"/>
          <w:sz w:val="22"/>
          <w:szCs w:val="22"/>
          <w:color w:val="auto"/>
        </w:rPr>
        <w:t>” means, collectively, the Class A Notes, the Class B Notes, the Class C Notes, the Class D Notes, and the Class R Notes.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Past Due Rent Payment</w:t>
      </w:r>
      <w:r>
        <w:rPr>
          <w:rFonts w:ascii="Times New Roman" w:cs="Times New Roman" w:eastAsia="Times New Roman" w:hAnsi="Times New Roman"/>
          <w:sz w:val="22"/>
          <w:szCs w:val="22"/>
          <w:color w:val="auto"/>
        </w:rPr>
        <w:t>” is defined in Section 2.2(g).</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Percentage</w:t>
      </w:r>
      <w:r>
        <w:rPr>
          <w:rFonts w:ascii="Times New Roman" w:cs="Times New Roman" w:eastAsia="Times New Roman" w:hAnsi="Times New Roman"/>
          <w:sz w:val="22"/>
          <w:szCs w:val="22"/>
          <w:color w:val="auto"/>
        </w:rPr>
        <w:t>” means, as of any date of determination, a fraction, expressed as a percentage, the numerator of which is the Series 2023-7 Invested Amount as of such date and the denominator of which is the Aggregate Invested Amount as of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Principal Allocation</w:t>
      </w:r>
      <w:r>
        <w:rPr>
          <w:rFonts w:ascii="Times New Roman" w:cs="Times New Roman" w:eastAsia="Times New Roman" w:hAnsi="Times New Roman"/>
          <w:sz w:val="22"/>
          <w:szCs w:val="22"/>
          <w:color w:val="auto"/>
        </w:rPr>
        <w:t>” is defined in Section 2.2(a)(ii).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ectPr>
          <w:pgSz w:w="11900" w:h="16838" w:orient="portrait"/>
          <w:cols w:equalWidth="0" w:num="1">
            <w:col w:w="11240"/>
          </w:cols>
          <w:pgMar w:left="320" w:top="1030" w:right="339" w:bottom="1440" w:gutter="0" w:footer="0" w:header="0"/>
        </w:sectPr>
      </w:pPr>
    </w:p>
    <w:bookmarkStart w:id="170" w:name="page171"/>
    <w:bookmarkEnd w:id="170"/>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Rapid Amortization Period</w:t>
      </w:r>
      <w:r>
        <w:rPr>
          <w:rFonts w:ascii="Times New Roman" w:cs="Times New Roman" w:eastAsia="Times New Roman" w:hAnsi="Times New Roman"/>
          <w:sz w:val="22"/>
          <w:szCs w:val="22"/>
          <w:color w:val="auto"/>
        </w:rPr>
        <w:t>” means the period beginning at the close of business on the Business Day immediately preceding the day on which an Amortization Event is deemed to have occurred with respect to the Series 2023-7 Notes and ending upon the earliest to occur of (i) the date on which the Series 2023-7 Notes are fully paid, (ii) the Series 2023-7 Final Distribution Date and (iii) the termination of the Indenture.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Reimbursement Agreement</w:t>
      </w:r>
      <w:r>
        <w:rPr>
          <w:rFonts w:ascii="Times New Roman" w:cs="Times New Roman" w:eastAsia="Times New Roman" w:hAnsi="Times New Roman"/>
          <w:sz w:val="22"/>
          <w:szCs w:val="22"/>
          <w:color w:val="auto"/>
        </w:rPr>
        <w:t>” means any and each agreement providing for the reimbursement of a Multi-Series Letter of Credit Provider for draws under its Multi-Series Letter of Credit as the same may be amended, supplemented, restated or otherwise modified from time to time.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Repurchase Amount</w:t>
      </w:r>
      <w:r>
        <w:rPr>
          <w:rFonts w:ascii="Times New Roman" w:cs="Times New Roman" w:eastAsia="Times New Roman" w:hAnsi="Times New Roman"/>
          <w:sz w:val="22"/>
          <w:szCs w:val="22"/>
          <w:color w:val="auto"/>
        </w:rPr>
        <w:t>” is defined in Section 5.1(a).</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Required AESOP I Operating Lease Vehicle Amount</w:t>
      </w:r>
      <w:r>
        <w:rPr>
          <w:rFonts w:ascii="Times New Roman" w:cs="Times New Roman" w:eastAsia="Times New Roman" w:hAnsi="Times New Roman"/>
          <w:sz w:val="22"/>
          <w:szCs w:val="22"/>
          <w:color w:val="auto"/>
        </w:rPr>
        <w:t>” 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Reserve Accounts</w:t>
      </w:r>
      <w:r>
        <w:rPr>
          <w:rFonts w:ascii="Times New Roman" w:cs="Times New Roman" w:eastAsia="Times New Roman" w:hAnsi="Times New Roman"/>
          <w:sz w:val="22"/>
          <w:szCs w:val="22"/>
          <w:color w:val="auto"/>
        </w:rPr>
        <w:t>” means, together, the Class A/B/C Reserve Account and the Class D Reserve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w:t>
      </w:r>
    </w:p>
    <w:p>
      <w:pPr>
        <w:spacing w:after="0" w:line="2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Revolving Period</w:t>
      </w:r>
      <w:r>
        <w:rPr>
          <w:rFonts w:ascii="Times New Roman" w:cs="Times New Roman" w:eastAsia="Times New Roman" w:hAnsi="Times New Roman"/>
          <w:sz w:val="22"/>
          <w:szCs w:val="22"/>
          <w:color w:val="auto"/>
        </w:rPr>
        <w:t>” means the period from and including the Class A/B/C Notes Closing Date to the earlier of (i) the commencement of the Series 2023-7 Controlled Amortization Period and (ii) the commencement of the Series 2023-7 Rapid Amortization Period.</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Senior Invested Amount</w:t>
      </w:r>
      <w:r>
        <w:rPr>
          <w:rFonts w:ascii="Times New Roman" w:cs="Times New Roman" w:eastAsia="Times New Roman" w:hAnsi="Times New Roman"/>
          <w:sz w:val="22"/>
          <w:szCs w:val="22"/>
          <w:color w:val="auto"/>
        </w:rPr>
        <w:t>” means, on any date, the sum of the Class A Invested Amount on such date, the Class B Invested Amount on such date, the Class C Invested Amount on such date and the Class D Invested Amount on such date.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Senior Monthly Interest</w:t>
      </w:r>
      <w:r>
        <w:rPr>
          <w:rFonts w:ascii="Times New Roman" w:cs="Times New Roman" w:eastAsia="Times New Roman" w:hAnsi="Times New Roman"/>
          <w:sz w:val="22"/>
          <w:szCs w:val="22"/>
          <w:color w:val="auto"/>
        </w:rPr>
        <w:t>” means, with respect to any Distribution Date, the sum of the Class A Monthly Interest, the Class B Monthly Interest, the Class C Monthly Interest and the Class D Monthly Interest, in each case with respect to the Series 2023-7 Interest Period ended on the day preceding such Distribution Date.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2023-7 Senior Notes</w:t>
      </w:r>
      <w:r>
        <w:rPr>
          <w:rFonts w:ascii="Times New Roman" w:cs="Times New Roman" w:eastAsia="Times New Roman" w:hAnsi="Times New Roman"/>
          <w:sz w:val="21"/>
          <w:szCs w:val="21"/>
          <w:color w:val="auto"/>
        </w:rPr>
        <w:t>” means, collectively, the Class A Notes, the Class B Notes, the Class C Notes and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D Notes.</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Shortfall</w:t>
      </w:r>
      <w:r>
        <w:rPr>
          <w:rFonts w:ascii="Times New Roman" w:cs="Times New Roman" w:eastAsia="Times New Roman" w:hAnsi="Times New Roman"/>
          <w:sz w:val="22"/>
          <w:szCs w:val="22"/>
          <w:color w:val="auto"/>
        </w:rPr>
        <w:t>” means, on any Distribution Date, the sum of the Class A Shortfall, the Class B Shortfall, the Class C Shortfall and the Class D Shortfall on such Distribution Date.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Termination Date</w:t>
      </w:r>
      <w:r>
        <w:rPr>
          <w:rFonts w:ascii="Times New Roman" w:cs="Times New Roman" w:eastAsia="Times New Roman" w:hAnsi="Times New Roman"/>
          <w:sz w:val="22"/>
          <w:szCs w:val="22"/>
          <w:color w:val="auto"/>
        </w:rPr>
        <w:t>” means the August 2028 Distribution Date.</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Trustee’s Fees</w:t>
      </w:r>
      <w:r>
        <w:rPr>
          <w:rFonts w:ascii="Times New Roman" w:cs="Times New Roman" w:eastAsia="Times New Roman" w:hAnsi="Times New Roman"/>
          <w:sz w:val="22"/>
          <w:szCs w:val="22"/>
          <w:color w:val="auto"/>
        </w:rPr>
        <w:t>” means, for any Distribution Date during the Series 2023-7 Rapid Amortization Period on which there exists a Series 2023-7 Lease Interest Payment Deficit, a portion of the fees payable to the Trustee in an amount equal to the product of (i) the Series 2023-7 Percentage as of the beginning of the Series 2023-7 Interest Period ending on the</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ectPr>
          <w:pgSz w:w="11900" w:h="16838" w:orient="portrait"/>
          <w:cols w:equalWidth="0" w:num="1">
            <w:col w:w="11240"/>
          </w:cols>
          <w:pgMar w:left="320" w:top="1030" w:right="339" w:bottom="1440" w:gutter="0" w:footer="0" w:header="0"/>
        </w:sectPr>
      </w:pPr>
    </w:p>
    <w:bookmarkStart w:id="171" w:name="page172"/>
    <w:bookmarkEnd w:id="171"/>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day preceding such Distribution Date and (ii) the fees owing to the Trustee under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Series 2023-7 Trustee’s Fees in the aggregate for all Distribution Dates shall not exceed 1.1% of the Series 2023-7 Required AESOP I Operating Lease Vehicle Amount as of the last day of the Series 2023-7 Revolving Period.</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Notes</w:t>
      </w:r>
      <w:r>
        <w:rPr>
          <w:rFonts w:ascii="Times New Roman" w:cs="Times New Roman" w:eastAsia="Times New Roman" w:hAnsi="Times New Roman"/>
          <w:sz w:val="22"/>
          <w:szCs w:val="22"/>
          <w:color w:val="auto"/>
        </w:rPr>
        <w:t>” means the Series of Notes designated as the Series 2023-8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2024-1 Notes</w:t>
      </w:r>
      <w:r>
        <w:rPr>
          <w:rFonts w:ascii="Times New Roman" w:cs="Times New Roman" w:eastAsia="Times New Roman" w:hAnsi="Times New Roman"/>
          <w:sz w:val="22"/>
          <w:szCs w:val="22"/>
          <w:color w:val="auto"/>
        </w:rPr>
        <w:t>” means the Series of Notes designated as the Series 2024-1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2024-2 Notes</w:t>
      </w:r>
      <w:r>
        <w:rPr>
          <w:rFonts w:ascii="Times New Roman" w:cs="Times New Roman" w:eastAsia="Times New Roman" w:hAnsi="Times New Roman"/>
          <w:sz w:val="22"/>
          <w:szCs w:val="22"/>
          <w:color w:val="auto"/>
        </w:rPr>
        <w:t>” means the Series of Notes designated as the Series 2024-2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2024-3 Notes</w:t>
      </w:r>
      <w:r>
        <w:rPr>
          <w:rFonts w:ascii="Times New Roman" w:cs="Times New Roman" w:eastAsia="Times New Roman" w:hAnsi="Times New Roman"/>
          <w:sz w:val="22"/>
          <w:szCs w:val="22"/>
          <w:color w:val="auto"/>
        </w:rPr>
        <w:t>” means the Series of Notes designated as the Series 2024-3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per annum equal to the secured overnight financing rate as administered by the SOFR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or any successor source for the secured overnight financing rate identified as such by the SOFR Administrator from time to time.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(Non-Perfected Lien)</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(Trucks)</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that ABRCF has determined are required to allow for “medium duty” and “heavy duty” trucks to be considered an “Eligible Vehicle” under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is defined in the preamble hereto.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B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C Note</w:t>
      </w:r>
      <w:r>
        <w:rPr>
          <w:rFonts w:ascii="Times New Roman" w:cs="Times New Roman" w:eastAsia="Times New Roman" w:hAnsi="Times New Roman"/>
          <w:sz w:val="22"/>
          <w:szCs w:val="22"/>
          <w:color w:val="auto"/>
        </w:rPr>
        <w:t>” is defined in Section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ectPr>
          <w:pgSz w:w="11900" w:h="16838" w:orient="portrait"/>
          <w:cols w:equalWidth="0" w:num="1">
            <w:col w:w="11240"/>
          </w:cols>
          <w:pgMar w:left="320" w:top="1030" w:right="339" w:bottom="1440" w:gutter="0" w:footer="0" w:header="0"/>
        </w:sectPr>
      </w:pPr>
    </w:p>
    <w:bookmarkStart w:id="172" w:name="page173"/>
    <w:bookmarkEnd w:id="17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D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R Note</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Series 2023-7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 Disbursement</w:t>
      </w:r>
      <w:r>
        <w:rPr>
          <w:rFonts w:ascii="Times New Roman" w:cs="Times New Roman" w:eastAsia="Times New Roman" w:hAnsi="Times New Roman"/>
          <w:sz w:val="22"/>
          <w:szCs w:val="22"/>
          <w:color w:val="auto"/>
        </w:rPr>
        <w:t>” means an amount drawn under a Multi-Series Letter of Credit pursuant to a Certificate of Termination Date Demand.</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Disbursement</w:t>
      </w:r>
      <w:r>
        <w:rPr>
          <w:rFonts w:ascii="Times New Roman" w:cs="Times New Roman" w:eastAsia="Times New Roman" w:hAnsi="Times New Roman"/>
          <w:sz w:val="22"/>
          <w:szCs w:val="22"/>
          <w:color w:val="auto"/>
        </w:rPr>
        <w:t>” means an amount drawn under a Multi-Series Letter of Credit pursuant to a Certificate of Termination Demand.</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Unpaid Demand Note Disbursement</w:t>
      </w:r>
      <w:r>
        <w:rPr>
          <w:rFonts w:ascii="Times New Roman" w:cs="Times New Roman" w:eastAsia="Times New Roman" w:hAnsi="Times New Roman"/>
          <w:sz w:val="22"/>
          <w:szCs w:val="22"/>
          <w:color w:val="auto"/>
        </w:rPr>
        <w:t>” means an amount drawn under a Multi-Series Letter of Credit pursuant to a Certificate of Unpaid Demand Note Demand.</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Risk Retention Rules</w:t>
      </w:r>
      <w:r>
        <w:rPr>
          <w:rFonts w:ascii="Times New Roman" w:cs="Times New Roman" w:eastAsia="Times New Roman" w:hAnsi="Times New Roman"/>
          <w:sz w:val="22"/>
          <w:szCs w:val="22"/>
          <w:color w:val="auto"/>
        </w:rPr>
        <w:t>” means the federal interagency credit risk retention rules, codified at 17 C.F.R. Part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w:t>
      </w:r>
    </w:p>
    <w:p>
      <w:pPr>
        <w:spacing w:after="0" w:line="19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Treasury Rate</w:t>
      </w:r>
      <w:r>
        <w:rPr>
          <w:rFonts w:ascii="Times New Roman" w:cs="Times New Roman" w:eastAsia="Times New Roman" w:hAnsi="Times New Roman"/>
          <w:sz w:val="22"/>
          <w:szCs w:val="22"/>
          <w:color w:val="auto"/>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spacing w:after="0" w:line="181" w:lineRule="exact"/>
        <w:rPr>
          <w:sz w:val="20"/>
          <w:szCs w:val="20"/>
          <w:color w:val="auto"/>
        </w:rPr>
      </w:pPr>
    </w:p>
    <w:p>
      <w:pPr>
        <w:jc w:val="both"/>
        <w:ind w:firstLine="1304"/>
        <w:spacing w:after="0" w:line="263" w:lineRule="auto"/>
        <w:tabs>
          <w:tab w:leader="none" w:pos="179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calculated by reference to the Series 2023-7 Invested Amount (or any component thereof) on any date shall, unless otherwise stated, be calculated after giving effect to any payment of principal made to the applicable Series 2023-7 Noteholders on such date.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SERIES 2023-7 ALLOCATIONS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respect to the Series 2023-7 Notes, the following shall apply:</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Establishment of Series 2023-7 Collection Account, Series 2023-7 Excess Collection Account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Series 2023-7 Accrued Interest Account</w:t>
      </w:r>
      <w:r>
        <w:rPr>
          <w:rFonts w:ascii="Times New Roman" w:cs="Times New Roman" w:eastAsia="Times New Roman" w:hAnsi="Times New Roman"/>
          <w:sz w:val="22"/>
          <w:szCs w:val="22"/>
          <w:color w:val="auto"/>
        </w:rPr>
        <w:t>. (a) All Collections allocable to the Series 2023-7 Notes shall be allocated to the Collection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ectPr>
          <w:pgSz w:w="11900" w:h="16838" w:orient="portrait"/>
          <w:cols w:equalWidth="0" w:num="1">
            <w:col w:w="11240"/>
          </w:cols>
          <w:pgMar w:left="320" w:top="1030" w:right="339" w:bottom="1440" w:gutter="0" w:footer="0" w:header="0"/>
        </w:sectPr>
      </w:pPr>
    </w:p>
    <w:bookmarkStart w:id="173" w:name="page174"/>
    <w:bookmarkEnd w:id="173"/>
    <w:p>
      <w:pPr>
        <w:jc w:val="both"/>
        <w:ind w:firstLine="1304"/>
        <w:spacing w:after="0" w:line="256" w:lineRule="auto"/>
        <w:tabs>
          <w:tab w:leader="none" w:pos="176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created three administrative subaccounts within the Collection Account for the benefit of the Series 2023-7 Noteholders: the Series 2023-7 Collection Account (such sub-account, the “</w:t>
      </w:r>
      <w:r>
        <w:rPr>
          <w:rFonts w:ascii="Times New Roman" w:cs="Times New Roman" w:eastAsia="Times New Roman" w:hAnsi="Times New Roman"/>
          <w:sz w:val="22"/>
          <w:szCs w:val="22"/>
          <w:u w:val="single" w:color="auto"/>
          <w:color w:val="auto"/>
        </w:rPr>
        <w:t>Series 2023-7 Collection Account</w:t>
      </w:r>
      <w:r>
        <w:rPr>
          <w:rFonts w:ascii="Times New Roman" w:cs="Times New Roman" w:eastAsia="Times New Roman" w:hAnsi="Times New Roman"/>
          <w:sz w:val="22"/>
          <w:szCs w:val="22"/>
          <w:color w:val="auto"/>
        </w:rPr>
        <w:t>”), the Series 2023-7 Excess Collection Account (such sub-account, the “</w:t>
      </w:r>
      <w:r>
        <w:rPr>
          <w:rFonts w:ascii="Times New Roman" w:cs="Times New Roman" w:eastAsia="Times New Roman" w:hAnsi="Times New Roman"/>
          <w:sz w:val="22"/>
          <w:szCs w:val="22"/>
          <w:u w:val="single" w:color="auto"/>
          <w:color w:val="auto"/>
        </w:rPr>
        <w:t>Series 2023-7 Excess Collection Account</w:t>
      </w:r>
      <w:r>
        <w:rPr>
          <w:rFonts w:ascii="Times New Roman" w:cs="Times New Roman" w:eastAsia="Times New Roman" w:hAnsi="Times New Roman"/>
          <w:sz w:val="22"/>
          <w:szCs w:val="22"/>
          <w:color w:val="auto"/>
        </w:rPr>
        <w:t>”) and the Series 2023-7 Accrued Interest Account (such sub-account, the “</w:t>
      </w:r>
      <w:r>
        <w:rPr>
          <w:rFonts w:ascii="Times New Roman" w:cs="Times New Roman" w:eastAsia="Times New Roman" w:hAnsi="Times New Roman"/>
          <w:sz w:val="22"/>
          <w:szCs w:val="22"/>
          <w:u w:val="single" w:color="auto"/>
          <w:color w:val="auto"/>
        </w:rPr>
        <w:t>Series 2023-7 Accrued Interest Account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Allocations with Respect to the Series 2023-7 Notes</w:t>
      </w:r>
      <w:r>
        <w:rPr>
          <w:rFonts w:ascii="Times New Roman" w:cs="Times New Roman" w:eastAsia="Times New Roman" w:hAnsi="Times New Roman"/>
          <w:sz w:val="22"/>
          <w:szCs w:val="22"/>
          <w:color w:val="auto"/>
        </w:rPr>
        <w:t>. The net proceeds from the initial sale of the Class A Notes, Class B Notes, Class C Notes and Class R Notes were deposited into the Collection Account on the Class A/B/C Notes Closing Date and the net proceeds from the issuance of Class D Notes and Additional Class R Notes were deposited into the Collection Account on the Class D Notes Closing Date. On each Business Day on which Collections are deposited into the Collection Account (each such date, a “</w:t>
      </w:r>
      <w:r>
        <w:rPr>
          <w:rFonts w:ascii="Times New Roman" w:cs="Times New Roman" w:eastAsia="Times New Roman" w:hAnsi="Times New Roman"/>
          <w:sz w:val="22"/>
          <w:szCs w:val="22"/>
          <w:u w:val="single" w:color="auto"/>
          <w:color w:val="auto"/>
        </w:rPr>
        <w:t>Series 2023-7 Deposit Date</w:t>
      </w:r>
      <w:r>
        <w:rPr>
          <w:rFonts w:ascii="Times New Roman" w:cs="Times New Roman" w:eastAsia="Times New Roman" w:hAnsi="Times New Roman"/>
          <w:sz w:val="22"/>
          <w:szCs w:val="22"/>
          <w:color w:val="auto"/>
        </w:rPr>
        <w:t>”), the Administrator will direct the Trustee in writing pursuant to the Administration Agreement to allocate all amounts deposited into the Collection Account in accordance with the provisions of this Section 2.2.</w:t>
      </w:r>
    </w:p>
    <w:p>
      <w:pPr>
        <w:spacing w:after="0" w:line="180" w:lineRule="exact"/>
        <w:rPr>
          <w:sz w:val="20"/>
          <w:szCs w:val="20"/>
          <w:color w:val="auto"/>
        </w:rPr>
      </w:pPr>
    </w:p>
    <w:p>
      <w:pPr>
        <w:jc w:val="both"/>
        <w:ind w:firstLine="1304"/>
        <w:spacing w:after="0" w:line="256" w:lineRule="auto"/>
        <w:tabs>
          <w:tab w:leader="none" w:pos="1779"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2023-7 Revolving Period</w:t>
      </w:r>
      <w:r>
        <w:rPr>
          <w:rFonts w:ascii="Times New Roman" w:cs="Times New Roman" w:eastAsia="Times New Roman" w:hAnsi="Times New Roman"/>
          <w:sz w:val="22"/>
          <w:szCs w:val="22"/>
          <w:color w:val="auto"/>
        </w:rPr>
        <w:t>. During the Series 2023-7 Revolving Period, the Administrator will direct the Trustee in writing pursuant to the Administration Agreement to allocate, prior to 11:00 a.m. (New York City time) on each Series 2023-7 Deposit Date, all amounts deposited into the Collection Account as set forth below:</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11"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2023-7 Collection Account an amount equal to the Series 2023-7 Invested Percentage (as of such day) of the aggregate amount of Interest Collections on such day. All such amounts allocated to the Series 2023-7 Collection Account shall be further allocated to the Series 2023-7 Accrued Interest Account; and</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86" w:val="left"/>
        </w:tabs>
        <w:numPr>
          <w:ilvl w:val="2"/>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2023-7 Excess Collection Account an amount equal to the Series 2023-7 Invested Percentage (as of such day) of the aggregate amount of Principal Collections on such day (for any such day, the “</w:t>
      </w:r>
      <w:r>
        <w:rPr>
          <w:rFonts w:ascii="Times New Roman" w:cs="Times New Roman" w:eastAsia="Times New Roman" w:hAnsi="Times New Roman"/>
          <w:sz w:val="22"/>
          <w:szCs w:val="22"/>
          <w:u w:val="single" w:color="auto"/>
          <w:color w:val="auto"/>
        </w:rPr>
        <w:t>Series 2023-7 Principal Allocation</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8"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2023-7 Controlled Amortization Period</w:t>
      </w:r>
      <w:r>
        <w:rPr>
          <w:rFonts w:ascii="Times New Roman" w:cs="Times New Roman" w:eastAsia="Times New Roman" w:hAnsi="Times New Roman"/>
          <w:sz w:val="22"/>
          <w:szCs w:val="22"/>
          <w:color w:val="auto"/>
        </w:rPr>
        <w:t>. With respect to the Series 2023-7 Controlled Amortization Period, the Administrator will direct the Trustee in writing pursuant to the Administration Agreement to allocate, prior to 11:00 a.m. (New York City time) on any Series 2023-7 Deposit Date, all amounts deposited into the Collection Account as set forth below:</w:t>
      </w:r>
    </w:p>
    <w:p>
      <w:pPr>
        <w:spacing w:after="0" w:line="17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2"/>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2023-7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920" w:hanging="264"/>
        <w:spacing w:after="0"/>
        <w:tabs>
          <w:tab w:leader="none" w:pos="92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2023-7 Accrued Interest Account; and</w:t>
      </w:r>
    </w:p>
    <w:p>
      <w:pPr>
        <w:spacing w:after="0" w:line="195"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47" w:val="left"/>
        </w:tabs>
        <w:numPr>
          <w:ilvl w:val="2"/>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2023-7 Collection Account an amount equal to the Series 2023-7 Principal Allocation for such day, which amount shall be used to make principal payments in respect of the Series 2023-7 Notes in accordance with Section 2.5, (A) first, in respect of the Class A Notes in an amount equal to the Class A Controlled</w:t>
      </w: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ectPr>
          <w:pgSz w:w="11900" w:h="16838" w:orient="portrait"/>
          <w:cols w:equalWidth="0" w:num="1">
            <w:col w:w="11240"/>
          </w:cols>
          <w:pgMar w:left="320" w:top="1030" w:right="339" w:bottom="1440" w:gutter="0" w:footer="0" w:header="0"/>
        </w:sectPr>
      </w:pPr>
    </w:p>
    <w:bookmarkStart w:id="174" w:name="page175"/>
    <w:bookmarkEnd w:id="174"/>
    <w:p>
      <w:pPr>
        <w:jc w:val="both"/>
        <w:ind w:left="580"/>
        <w:spacing w:after="0" w:line="250" w:lineRule="auto"/>
        <w:rPr>
          <w:sz w:val="20"/>
          <w:szCs w:val="20"/>
          <w:color w:val="auto"/>
        </w:rPr>
      </w:pPr>
      <w:r>
        <w:rPr>
          <w:rFonts w:ascii="Times New Roman" w:cs="Times New Roman" w:eastAsia="Times New Roman" w:hAnsi="Times New Roman"/>
          <w:sz w:val="22"/>
          <w:szCs w:val="22"/>
          <w:color w:val="auto"/>
        </w:rPr>
        <w:t xml:space="preserve">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2023-7 Excess Collection Account.</w:t>
      </w:r>
    </w:p>
    <w:p>
      <w:pPr>
        <w:spacing w:after="0" w:line="180" w:lineRule="exact"/>
        <w:rPr>
          <w:sz w:val="20"/>
          <w:szCs w:val="20"/>
          <w:color w:val="auto"/>
        </w:rPr>
      </w:pPr>
    </w:p>
    <w:p>
      <w:pPr>
        <w:jc w:val="both"/>
        <w:ind w:left="-80" w:firstLine="1304"/>
        <w:spacing w:after="0" w:line="253" w:lineRule="auto"/>
        <w:tabs>
          <w:tab w:leader="none" w:pos="1726"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2023-7 Rapid Amortization Period</w:t>
      </w:r>
      <w:r>
        <w:rPr>
          <w:rFonts w:ascii="Times New Roman" w:cs="Times New Roman" w:eastAsia="Times New Roman" w:hAnsi="Times New Roman"/>
          <w:sz w:val="22"/>
          <w:szCs w:val="22"/>
          <w:color w:val="auto"/>
        </w:rPr>
        <w:t>. With respect to the Series 2023-7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2023-7 Deposit Date, all amounts deposited into the Collection Account as set forth below:</w:t>
      </w:r>
    </w:p>
    <w:p>
      <w:pPr>
        <w:spacing w:after="0" w:line="178" w:lineRule="exact"/>
        <w:rPr>
          <w:rFonts w:ascii="Times New Roman" w:cs="Times New Roman" w:eastAsia="Times New Roman" w:hAnsi="Times New Roman"/>
          <w:sz w:val="22"/>
          <w:szCs w:val="22"/>
          <w:color w:val="auto"/>
        </w:rPr>
      </w:pPr>
    </w:p>
    <w:p>
      <w:pPr>
        <w:ind w:left="2340" w:hanging="468"/>
        <w:spacing w:after="0"/>
        <w:tabs>
          <w:tab w:leader="none" w:pos="2340" w:val="left"/>
        </w:tabs>
        <w:numPr>
          <w:ilvl w:val="2"/>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2023-7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840" w:hanging="264"/>
        <w:spacing w:after="0"/>
        <w:tabs>
          <w:tab w:leader="none" w:pos="8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2023-7 Accrued Interest Account; and</w:t>
      </w:r>
    </w:p>
    <w:p>
      <w:pPr>
        <w:spacing w:after="0" w:line="195" w:lineRule="exact"/>
        <w:rPr>
          <w:rFonts w:ascii="Times New Roman" w:cs="Times New Roman" w:eastAsia="Times New Roman" w:hAnsi="Times New Roman"/>
          <w:sz w:val="22"/>
          <w:szCs w:val="22"/>
          <w:color w:val="auto"/>
        </w:rPr>
      </w:pPr>
    </w:p>
    <w:p>
      <w:pPr>
        <w:jc w:val="both"/>
        <w:ind w:left="580" w:firstLine="1292"/>
        <w:spacing w:after="0" w:line="259" w:lineRule="auto"/>
        <w:tabs>
          <w:tab w:leader="none" w:pos="2467" w:val="left"/>
        </w:tabs>
        <w:numPr>
          <w:ilvl w:val="2"/>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allocate to the Series 2023-7 Collection Account an amount equal to the Series 2023-7 Principal Allocation for such day, which amount shall be used in accordance with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on any Determination Date (A) the Administrator determines that the amount anticipated to be available from Interest Collections allocable to the Series 2023-7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ectPr>
          <w:pgSz w:w="11900" w:h="16838" w:orient="portrait"/>
          <w:cols w:equalWidth="0" w:num="1">
            <w:col w:w="11160"/>
          </w:cols>
          <w:pgMar w:left="400" w:top="1030" w:right="339" w:bottom="1440" w:gutter="0" w:footer="0" w:header="0"/>
        </w:sectPr>
      </w:pPr>
    </w:p>
    <w:bookmarkStart w:id="175" w:name="page176"/>
    <w:bookmarkEnd w:id="175"/>
    <w:p>
      <w:pPr>
        <w:jc w:val="both"/>
        <w:ind w:left="580"/>
        <w:spacing w:after="0" w:line="261" w:lineRule="auto"/>
        <w:rPr>
          <w:sz w:val="20"/>
          <w:szCs w:val="20"/>
          <w:color w:val="auto"/>
        </w:rPr>
      </w:pPr>
      <w:r>
        <w:rPr>
          <w:rFonts w:ascii="Times New Roman" w:cs="Times New Roman" w:eastAsia="Times New Roman" w:hAnsi="Times New Roman"/>
          <w:sz w:val="21"/>
          <w:szCs w:val="21"/>
          <w:color w:val="auto"/>
        </w:rPr>
        <w:t xml:space="preserve">Administrator shall direct the Trustee in writing to reallocate a portion of the Principal Collections allocated to the Series 2023-7 Notes during the Related Month equal to the lesser of such insufficiency and the Class A/B/C Enhancement Amount to the Series 2023-7 Accrued Interest Account to be treated as Interest Collections on such Distribution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2023-7 Notes and other amounts available pursuant to Section 2.3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2023-7 Notes during the Related Month equal to the lesser of such insufficiency and the Class D Enhancement Amount to the Series 2023-7 Accrued Interest Account to be treated as Interest Collections on such Distribution Date.</w:t>
      </w:r>
    </w:p>
    <w:p>
      <w:pPr>
        <w:spacing w:after="0" w:line="171" w:lineRule="exact"/>
        <w:rPr>
          <w:sz w:val="20"/>
          <w:szCs w:val="20"/>
          <w:color w:val="auto"/>
        </w:rPr>
      </w:pPr>
    </w:p>
    <w:p>
      <w:pPr>
        <w:jc w:val="both"/>
        <w:ind w:left="-80" w:firstLine="1304"/>
        <w:spacing w:after="0" w:line="253" w:lineRule="auto"/>
        <w:tabs>
          <w:tab w:leader="none" w:pos="1697"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after the Occurrence of an Event of Bankruptcy</w:t>
      </w:r>
      <w:r>
        <w:rPr>
          <w:rFonts w:ascii="Times New Roman" w:cs="Times New Roman" w:eastAsia="Times New Roman" w:hAnsi="Times New Roman"/>
          <w:sz w:val="22"/>
          <w:szCs w:val="22"/>
          <w:color w:val="auto"/>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2023-7 Deposit Date, all amounts attributable to the AESOP I Operating Lease Loan Agreement deposited into the Collection Account as set forth below:</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407"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2023-7 Collection Account an amount equal to the Series 2023-7 AESOP I Operating Lease Vehicle Percentage as of the date of the occurrence of such Event of Bankruptcy of the aggregate amount of Interest Collections made under the AESOP I Operating Lease Loan Agreement for such day. All such amounts allocated to the Series 2023-7 Collection Account shall be further allocated to the Series 2023-7 Accrued Interest Account; and</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455"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2023-7 Collection Account an amount equal to the Series 2023-7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bl>
    <w:p>
      <w:pPr>
        <w:sectPr>
          <w:pgSz w:w="11900" w:h="16838" w:orient="portrait"/>
          <w:cols w:equalWidth="0" w:num="1">
            <w:col w:w="11160"/>
          </w:cols>
          <w:pgMar w:left="400" w:top="1030" w:right="339" w:bottom="1440" w:gutter="0" w:footer="0" w:header="0"/>
        </w:sectPr>
      </w:pPr>
    </w:p>
    <w:bookmarkStart w:id="176" w:name="page177"/>
    <w:bookmarkEnd w:id="176"/>
    <w:p>
      <w:pPr>
        <w:jc w:val="both"/>
        <w:ind w:left="652"/>
        <w:spacing w:after="0" w:line="247" w:lineRule="auto"/>
        <w:rPr>
          <w:sz w:val="20"/>
          <w:szCs w:val="20"/>
          <w:color w:val="auto"/>
        </w:rPr>
      </w:pPr>
      <w:r>
        <w:rPr>
          <w:rFonts w:ascii="Times New Roman" w:cs="Times New Roman" w:eastAsia="Times New Roman" w:hAnsi="Times New Roman"/>
          <w:sz w:val="22"/>
          <w:szCs w:val="22"/>
          <w:color w:val="auto"/>
        </w:rPr>
        <w:t xml:space="preserve">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(A) the Administrator determines that the amount anticipated to be available from Interest Collections allocable to the Series 2023-7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2023-7 Notes during the Related Month equal to the lesser of such insufficiency and the Class A/B/C Enhancement Amount to the Series 2023-7 Accrued Interest Account to be treated as Interest Collections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2023-7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2023-7 Notes during the Related Month equal to the lesser of such insufficiency and the Class D Enhancement Amount to the Series 2023-7 Accrued Interest Account to be treated as Interest Collections on such Distribution Date.</w:t>
      </w:r>
    </w:p>
    <w:p>
      <w:pPr>
        <w:spacing w:after="0" w:line="187" w:lineRule="exact"/>
        <w:rPr>
          <w:sz w:val="20"/>
          <w:szCs w:val="20"/>
          <w:color w:val="auto"/>
        </w:rPr>
      </w:pPr>
    </w:p>
    <w:p>
      <w:pPr>
        <w:jc w:val="both"/>
        <w:ind w:left="-8" w:firstLine="1304"/>
        <w:spacing w:after="0" w:line="262" w:lineRule="auto"/>
        <w:tabs>
          <w:tab w:leader="none" w:pos="1933"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2023-7 Excess Collection Account</w:t>
      </w:r>
      <w:r>
        <w:rPr>
          <w:rFonts w:ascii="Times New Roman" w:cs="Times New Roman" w:eastAsia="Times New Roman" w:hAnsi="Times New Roman"/>
          <w:sz w:val="21"/>
          <w:szCs w:val="21"/>
          <w:color w:val="auto"/>
        </w:rPr>
        <w:t>. Amounts allocated to the Series 2023-7 Excess Collection Account on any Series 2023-7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w:t>
      </w:r>
    </w:p>
    <w:p>
      <w:pPr>
        <w:spacing w:after="0" w:line="1" w:lineRule="exact"/>
        <w:rPr>
          <w:rFonts w:ascii="Times New Roman" w:cs="Times New Roman" w:eastAsia="Times New Roman" w:hAnsi="Times New Roman"/>
          <w:sz w:val="21"/>
          <w:szCs w:val="21"/>
          <w:color w:val="auto"/>
        </w:rPr>
      </w:pPr>
    </w:p>
    <w:p>
      <w:pPr>
        <w:jc w:val="both"/>
        <w:ind w:left="-8" w:firstLine="8"/>
        <w:spacing w:after="0" w:line="247" w:lineRule="auto"/>
        <w:tabs>
          <w:tab w:leader="none" w:pos="31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w:t>
      </w:r>
    </w:p>
    <w:p>
      <w:pPr>
        <w:spacing w:after="0" w:line="200" w:lineRule="exact"/>
        <w:rPr>
          <w:sz w:val="20"/>
          <w:szCs w:val="20"/>
          <w:color w:val="auto"/>
        </w:rPr>
      </w:pPr>
    </w:p>
    <w:p>
      <w:pPr>
        <w:spacing w:after="0" w:line="270" w:lineRule="exact"/>
        <w:rPr>
          <w:sz w:val="20"/>
          <w:szCs w:val="20"/>
          <w:color w:val="auto"/>
        </w:rPr>
      </w:pPr>
    </w:p>
    <w:tbl>
      <w:tblPr>
        <w:tblLayout w:type="fixed"/>
        <w:tblInd w:w="72"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ectPr>
          <w:pgSz w:w="11900" w:h="16838" w:orient="portrait"/>
          <w:cols w:equalWidth="0" w:num="1">
            <w:col w:w="11232"/>
          </w:cols>
          <w:pgMar w:left="328" w:top="1030" w:right="339" w:bottom="1440" w:gutter="0" w:footer="0" w:header="0"/>
        </w:sectPr>
      </w:pPr>
    </w:p>
    <w:bookmarkStart w:id="177" w:name="page178"/>
    <w:bookmarkEnd w:id="177"/>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Borrowers have requested Loans thereunder and Eligible Vehicles are available for financing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case of clauses (x), (y) and (z), that no Amortization Event, Series 2023-7 Enhancement Deficiency or AESOP I Operating Lease Vehicle Deficiency would result therefrom or exist immediately thereafter. Upon the occurrence of an Amortization Event and once a Trust Officer has actual knowledge of the Amortization Event, funds on deposit in the Series 2023-7 Excess Collection Account will be withdrawn by the Trustee, deposited in the Series 2023-7 Collection Account and allocated as Principal Collections to reduce the Series 2023-7 Invested Amount on the immediately succeeding Distribution Date.</w:t>
      </w:r>
    </w:p>
    <w:p>
      <w:pPr>
        <w:spacing w:after="0" w:line="169" w:lineRule="exact"/>
        <w:rPr>
          <w:sz w:val="20"/>
          <w:szCs w:val="20"/>
          <w:color w:val="auto"/>
        </w:rPr>
      </w:pPr>
    </w:p>
    <w:p>
      <w:pPr>
        <w:jc w:val="both"/>
        <w:ind w:firstLine="1304"/>
        <w:spacing w:after="0" w:line="268" w:lineRule="auto"/>
        <w:tabs>
          <w:tab w:leader="none" w:pos="1822"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From Other Series</w:t>
      </w:r>
      <w:r>
        <w:rPr>
          <w:rFonts w:ascii="Times New Roman" w:cs="Times New Roman" w:eastAsia="Times New Roman" w:hAnsi="Times New Roman"/>
          <w:sz w:val="21"/>
          <w:szCs w:val="21"/>
          <w:color w:val="auto"/>
        </w:rPr>
        <w:t>. Amounts allocated to other Series of Notes that have been reallocated by ABRCF to the Series 2023-7 Notes (i) during the Series 2023-7 Revolving Period shall be allocated to the Series 2023-7 Excess Collection Account and applied in accordance with Section 2.2(e) and (ii) during the Series 2023-7 Controlled Amortization Period or the Series 2023-7 Rapid Amortization Period shall be allocated to the Series 2023-7 Collection Account and applied in accordance with Section 2.2(b) or 2.2(c), as applicable, to make principal payments in respect of the Series 2023-7 Notes.</w:t>
      </w:r>
    </w:p>
    <w:p>
      <w:pPr>
        <w:spacing w:after="0" w:line="163" w:lineRule="exact"/>
        <w:rPr>
          <w:rFonts w:ascii="Times New Roman" w:cs="Times New Roman" w:eastAsia="Times New Roman" w:hAnsi="Times New Roman"/>
          <w:sz w:val="21"/>
          <w:szCs w:val="21"/>
          <w:color w:val="auto"/>
        </w:rPr>
      </w:pPr>
    </w:p>
    <w:p>
      <w:pPr>
        <w:jc w:val="both"/>
        <w:ind w:firstLine="1304"/>
        <w:spacing w:after="0" w:line="250" w:lineRule="auto"/>
        <w:tabs>
          <w:tab w:leader="none" w:pos="1858"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Past Due Rent Payments</w:t>
      </w:r>
      <w:r>
        <w:rPr>
          <w:rFonts w:ascii="Times New Roman" w:cs="Times New Roman" w:eastAsia="Times New Roman" w:hAnsi="Times New Roman"/>
          <w:sz w:val="22"/>
          <w:szCs w:val="22"/>
          <w:color w:val="auto"/>
        </w:rPr>
        <w:t>. Notwithstanding the foregoing, if in the case of Section 2.2(a) or (b), after the occurrence of a Series 2023-7 Lease Payment Deficit, the Lessees shall make payments of Monthly Base Rent or other amounts payable by the Lessees under the Leases on or prior to the fifth Business Day after the occurrence of such Series 2023-7 Lease Payment Deficit (a “</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the Administrator shall direct the Trustee in writing pursuant to the Administration Agreement to allocate to the Series 2023-7 Collection Account an amount equal to the Series 2023-7 Invested Percentage as of the date of the occurrence of such Series 2023-7 Lease Payment Deficit of the Collections attributable to such Past Due Rent Payment (the “</w:t>
      </w:r>
      <w:r>
        <w:rPr>
          <w:rFonts w:ascii="Times New Roman" w:cs="Times New Roman" w:eastAsia="Times New Roman" w:hAnsi="Times New Roman"/>
          <w:sz w:val="22"/>
          <w:szCs w:val="22"/>
          <w:u w:val="single" w:color="auto"/>
          <w:color w:val="auto"/>
        </w:rPr>
        <w:t>Series 2023-7 Past Due Rent Payment</w:t>
      </w:r>
      <w:r>
        <w:rPr>
          <w:rFonts w:ascii="Times New Roman" w:cs="Times New Roman" w:eastAsia="Times New Roman" w:hAnsi="Times New Roman"/>
          <w:sz w:val="22"/>
          <w:szCs w:val="22"/>
          <w:color w:val="auto"/>
        </w:rPr>
        <w:t>”). The Administrator shall instruct the Trustee in writing pursuant to the Administration Agreement to withdraw from the Series 2023-7 Collection Account and apply the Series 2023-7 Past Due Rent Payment in the following order:</w:t>
      </w:r>
    </w:p>
    <w:p>
      <w:pPr>
        <w:spacing w:after="0" w:line="179"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14"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2023-7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2023-7 Reimbursement Agreement an amount equal to the lesser of (x) the unreimbursed amount of such Multi-Series Letter of Credit Provider’s Lease Deficit Disbursement with respect to the Class A/B/C Notes and (y) such Multi-Series Letter of Credit Provider’s Class A/B/C Pro Rata Share of the Series 2023-7 Past Due Rent Payment;</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67" w:lineRule="auto"/>
        <w:tabs>
          <w:tab w:leader="none" w:pos="2479" w:val="left"/>
        </w:tabs>
        <w:numPr>
          <w:ilvl w:val="2"/>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2023-7 Lease Payment Deficit resulted in a withdrawal being made from the Class A/B/C Cash Collateral Account, deposit in the Class A/B/C Cash Collateral Account an amount equal to the lesser of (x) the amount of the Series 2023-7 Past Due Rent Payment remaining after any payment pursuant to clause</w:t>
      </w:r>
    </w:p>
    <w:p>
      <w:pPr>
        <w:spacing w:after="0" w:line="1" w:lineRule="exact"/>
        <w:rPr>
          <w:rFonts w:ascii="Times New Roman" w:cs="Times New Roman" w:eastAsia="Times New Roman" w:hAnsi="Times New Roman"/>
          <w:sz w:val="21"/>
          <w:szCs w:val="21"/>
          <w:color w:val="auto"/>
        </w:rPr>
      </w:pPr>
    </w:p>
    <w:p>
      <w:pPr>
        <w:ind w:left="660" w:hanging="4"/>
        <w:spacing w:after="0" w:line="248" w:lineRule="auto"/>
        <w:tabs>
          <w:tab w:leader="none" w:pos="923"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A/B/C Cash Collateral Account on account of such Series 2023-7 Lease Payment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ectPr>
          <w:pgSz w:w="11900" w:h="16838" w:orient="portrait"/>
          <w:cols w:equalWidth="0" w:num="1">
            <w:col w:w="11240"/>
          </w:cols>
          <w:pgMar w:left="320" w:top="1030" w:right="339" w:bottom="1440" w:gutter="0" w:footer="0" w:header="0"/>
        </w:sectPr>
      </w:pPr>
    </w:p>
    <w:bookmarkStart w:id="178" w:name="page179"/>
    <w:bookmarkEnd w:id="178"/>
    <w:p>
      <w:pPr>
        <w:jc w:val="both"/>
        <w:ind w:left="660" w:firstLine="1292"/>
        <w:spacing w:after="0" w:line="253" w:lineRule="auto"/>
        <w:tabs>
          <w:tab w:leader="none" w:pos="2527"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2023-7 Lease Payment Deficit resulted in a withdrawal being made from the Class A/B/C Reserve Account pursuant to Section 2.3(d), deposit in the Class A/B/C Reserve Account an amount equal to the lesser of (x) the amount of the Series 2023-7 Past Due Rent Payment remaining after any payments pursuant to clauses (i) and (ii) above and (y) the excess, if any, of the Class A/B/C Required Reserve Account Amount over the Class A/B/C Available Reserve Account Amount on such day;</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50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2023-7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2023-7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2023-7 Past Due Rent Payment remaining after any payment pursuant to clauses (i) through (iii) above;</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67" w:lineRule="auto"/>
        <w:tabs>
          <w:tab w:leader="none" w:pos="2469"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2023-7 Lease Payment Deficit resulted in a withdrawal being made from the Class D Cash Collateral Account, deposit in the Class D Cash Collateral Account an amount equal to the lesser of (x) the amount of the Series 2023-7 Past Due Rent Payment remaining after any payment pursuant to clause (i) through</w:t>
      </w:r>
    </w:p>
    <w:p>
      <w:pPr>
        <w:spacing w:after="0" w:line="1" w:lineRule="exact"/>
        <w:rPr>
          <w:rFonts w:ascii="Times New Roman" w:cs="Times New Roman" w:eastAsia="Times New Roman" w:hAnsi="Times New Roman"/>
          <w:sz w:val="21"/>
          <w:szCs w:val="21"/>
          <w:color w:val="auto"/>
        </w:rPr>
      </w:pPr>
    </w:p>
    <w:p>
      <w:pPr>
        <w:ind w:left="660" w:right="20" w:hanging="4"/>
        <w:spacing w:after="0" w:line="248" w:lineRule="auto"/>
        <w:tabs>
          <w:tab w:leader="none" w:pos="104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D Cash Collateral Account on account of such Series 2023-7 Lease Payment Deficit;</w:t>
      </w:r>
    </w:p>
    <w:p>
      <w:pPr>
        <w:spacing w:after="0" w:line="182" w:lineRule="exact"/>
        <w:rPr>
          <w:rFonts w:ascii="Times New Roman" w:cs="Times New Roman" w:eastAsia="Times New Roman" w:hAnsi="Times New Roman"/>
          <w:sz w:val="22"/>
          <w:szCs w:val="22"/>
          <w:color w:val="auto"/>
        </w:rPr>
      </w:pPr>
    </w:p>
    <w:p>
      <w:pPr>
        <w:jc w:val="both"/>
        <w:ind w:left="660" w:firstLine="1292"/>
        <w:spacing w:after="0" w:line="253" w:lineRule="auto"/>
        <w:tabs>
          <w:tab w:leader="none" w:pos="2518"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2023-7 Lease Payment Deficit resulted in a withdrawal being made from the Class D Reserve Account pursuant to Section 2.3(d), deposit in the Class D Reserve Account an amount equal to the lesser of (x) the amount of the Series 2023-7 Past Due Rent Payment remaining after any payments pursuant to clauses (i) through (v) above and (y) the excess, if any, of the Class D Required Reserve Account Amount over the Class D Available Reserve Account Amount on such day;</w:t>
      </w:r>
    </w:p>
    <w:p>
      <w:pPr>
        <w:spacing w:after="0" w:line="178"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658"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2023-7 Accrued Interest Account the amount, if any, by which the Series 2023-7 Lease Interest Payment Deficit, if any, relating to such Series 2023-7 Lease Payment Deficit exceeds the amount of the Series 2023-7 Past Due Rent Payment applied pursuant to clauses (i) (vi) above; and</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67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 the remaining amount of the Series 2023-7 Past Due Rent Payment as Principal Collections allocated to the Series 2023-7 Notes in accordance with Section 2.2(a)(ii) or 2.2(b)(ii), as the case may be.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Payments to Noteholders</w:t>
      </w:r>
      <w:r>
        <w:rPr>
          <w:rFonts w:ascii="Times New Roman" w:cs="Times New Roman" w:eastAsia="Times New Roman" w:hAnsi="Times New Roman"/>
          <w:sz w:val="22"/>
          <w:szCs w:val="22"/>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ectPr>
          <w:pgSz w:w="11900" w:h="16838" w:orient="portrait"/>
          <w:cols w:equalWidth="0" w:num="1">
            <w:col w:w="11240"/>
          </w:cols>
          <w:pgMar w:left="320" w:top="1030" w:right="339" w:bottom="1440" w:gutter="0" w:footer="0" w:header="0"/>
        </w:sectPr>
      </w:pPr>
    </w:p>
    <w:bookmarkStart w:id="179" w:name="page180"/>
    <w:bookmarkEnd w:id="179"/>
    <w:p>
      <w:pPr>
        <w:spacing w:after="0" w:line="271" w:lineRule="auto"/>
        <w:rPr>
          <w:sz w:val="20"/>
          <w:szCs w:val="20"/>
          <w:color w:val="auto"/>
        </w:rPr>
      </w:pPr>
      <w:r>
        <w:rPr>
          <w:rFonts w:ascii="Times New Roman" w:cs="Times New Roman" w:eastAsia="Times New Roman" w:hAnsi="Times New Roman"/>
          <w:sz w:val="22"/>
          <w:szCs w:val="22"/>
          <w:color w:val="auto"/>
        </w:rPr>
        <w:t>Collection Account pursuant to Section 2.3(a) below in respect of all funds available from Interest Collections processed since the preceding Distribution Date and allocated to the holders of the Series 2023-7 Notes.</w:t>
      </w:r>
    </w:p>
    <w:p>
      <w:pPr>
        <w:spacing w:after="0" w:line="171" w:lineRule="exact"/>
        <w:rPr>
          <w:sz w:val="20"/>
          <w:szCs w:val="20"/>
          <w:color w:val="auto"/>
        </w:rPr>
      </w:pPr>
    </w:p>
    <w:p>
      <w:pPr>
        <w:jc w:val="both"/>
        <w:ind w:firstLine="1304"/>
        <w:spacing w:after="0" w:line="260" w:lineRule="auto"/>
        <w:tabs>
          <w:tab w:leader="none" w:pos="1779" w:val="left"/>
        </w:tabs>
        <w:numPr>
          <w:ilvl w:val="1"/>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Note Interest with Respect to the Series 2023-7 Notes</w:t>
      </w:r>
      <w:r>
        <w:rPr>
          <w:rFonts w:ascii="Times New Roman" w:cs="Times New Roman" w:eastAsia="Times New Roman" w:hAnsi="Times New Roman"/>
          <w:sz w:val="21"/>
          <w:szCs w:val="21"/>
          <w:color w:val="auto"/>
        </w:rPr>
        <w:t>. On each Determination Date, the Administrator shall instruct the Trustee and the Paying Agent in writing pursuant to the Administration Agreement as to the amount to be withdrawn and paid pursuant to Section 2.4 from the Series 2023-7 Accrued Interest Account to the extent funds are anticipated to be available from Interest Collections allocable to the Series 2023-7 Notes processed from but not including the preceding Distribution Date through the succeeding Distribution Date in respect of (i) an amount equal to the Class A Monthly Interest for the Series 2023-7 Interest Period ending on the day preceding the related Distribution Date, (ii) an amount equal to the amount of any unpaid Class A Shortfall as of the preceding Distribution Date (together with any accrued interest on such Class A Shortfall),</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79"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Class B Monthly Interest for the Series 2023-7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2023-7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2023-7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2023-7 Interest Period ending on the day preceding the related Distribution Date and (x)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2023-7 Accrued Interest Account and deposit such amounts in the Series 2023-7 Distribution Account. For the avoidance of doubt, no interest shall accrue or be due and payable with respect to the Class C Notes for so long as ABRCF owns 100% of the Class C Notes.</w:t>
      </w:r>
    </w:p>
    <w:p>
      <w:pPr>
        <w:spacing w:after="0" w:line="20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66"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 xml:space="preserve">. On or before 3:00 p.m. (New York City time) on the Business Day immediately preceding each Distribution Date, the Administrator shall notify the Trustee of the amount of any Series 2023-7 Lease Payment Deficit, such notification to be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81"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Multi-Series Letters of Credit For Series 2023-7 Lease Interest Payment Deficits</w:t>
      </w:r>
      <w:r>
        <w:rPr>
          <w:rFonts w:ascii="Times New Roman" w:cs="Times New Roman" w:eastAsia="Times New Roman" w:hAnsi="Times New Roman"/>
          <w:sz w:val="22"/>
          <w:szCs w:val="22"/>
          <w:color w:val="auto"/>
        </w:rPr>
        <w:t>. If the Administrator determines on the Business Day immediately preceding any Distribution Date that on such Distribution Date there will exist a Series 2023-7 Lease Interest Payment Deficit, the Administrator shall:</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388" w:val="left"/>
        </w:tabs>
        <w:numPr>
          <w:ilvl w:val="2"/>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bl>
    <w:p>
      <w:pPr>
        <w:sectPr>
          <w:pgSz w:w="11900" w:h="16838" w:orient="portrait"/>
          <w:cols w:equalWidth="0" w:num="1">
            <w:col w:w="11240"/>
          </w:cols>
          <w:pgMar w:left="320" w:top="1030" w:right="339" w:bottom="1440" w:gutter="0" w:footer="0" w:header="0"/>
        </w:sectPr>
      </w:pPr>
    </w:p>
    <w:bookmarkStart w:id="180" w:name="page181"/>
    <w:bookmarkEnd w:id="180"/>
    <w:p>
      <w:pPr>
        <w:jc w:val="both"/>
        <w:ind w:left="580"/>
        <w:spacing w:after="0" w:line="247" w:lineRule="auto"/>
        <w:rPr>
          <w:sz w:val="20"/>
          <w:szCs w:val="20"/>
          <w:color w:val="auto"/>
        </w:rPr>
      </w:pPr>
      <w:r>
        <w:rPr>
          <w:rFonts w:ascii="Times New Roman" w:cs="Times New Roman" w:eastAsia="Times New Roman" w:hAnsi="Times New Roman"/>
          <w:sz w:val="22"/>
          <w:szCs w:val="22"/>
          <w:color w:val="auto"/>
        </w:rPr>
        <w:t xml:space="preserve">the least of (x) the excess, if any, of such Series 2023-7 Lease Interest Payment Deficit over the sum of (1) the amounts described in clauses (vii) and (viii) of Section 2.3(a) above and (2) during the Series 2023-7 Rapid Amortization Period, the product of the Class D Percentage and the Series 2023-7 Trustee’s Fees for such Distribution Date, (y) the excess, if any, of (A) the sum of (1) the amounts described in clauses (i) through (vi) of Section 2.3(a) above for such Distribution Date and (2) during the Series 2023-7 Rapid Amortization Period, the product of the Class A/B/C Percentage and the Series 2023-7 Trustee’s Fees for such Distribution Date, over (B) the amounts available from the Series 2023-7 Accrued Interest Account and (z) the Class A/B/C Letter of Credit Liquidity Amount or (II) if no Class A Notes, Class B Notes or Class C Notes remain outstanding, the least of (x) such Series 2023-7 Lease Interest Payment Deficit, (y) the excess, if any, of (A) the sum of (1) the amounts described in clauses (i) through (viii) of Section 2.3(a) above for such Distribution Date and (2) during the Series 2023-7 Rapid Amortization Period, the Series 2023-7 Trustee’s Fees for such Distribution Date, over (B) the amounts available from the Series 2023-7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2023-7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2023-7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Multi-Series Letters of Credit; and</w:t>
      </w:r>
    </w:p>
    <w:p>
      <w:pPr>
        <w:spacing w:after="0" w:line="193" w:lineRule="exact"/>
        <w:rPr>
          <w:sz w:val="20"/>
          <w:szCs w:val="20"/>
          <w:color w:val="auto"/>
        </w:rPr>
      </w:pPr>
    </w:p>
    <w:p>
      <w:pPr>
        <w:jc w:val="both"/>
        <w:ind w:left="580" w:firstLine="1292"/>
        <w:spacing w:after="0" w:line="247" w:lineRule="auto"/>
        <w:tabs>
          <w:tab w:leader="none" w:pos="235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2023-7 Lease Interest Payment Deficit, (y) the excess, if any, of (A) the sum of (1) the amounts described in clauses (vii) and (viii) of Section 2.3(a) above for such Distribution Date and (2) during the Series 2023-7 Rapid Amortization Period, the product of the Class D Percentage and the Series 2023-7 Trustee’s Fees for such Distribution Date, over (B) the excess of (1) the sum of (X) the amounts available from the Series 2023-7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2023-7 Rapid Amortization Period, the product of the Class A/B/C Percentage and the Series 2023-7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ectPr>
          <w:pgSz w:w="11900" w:h="16838" w:orient="portrait"/>
          <w:cols w:equalWidth="0" w:num="1">
            <w:col w:w="11160"/>
          </w:cols>
          <w:pgMar w:left="400" w:top="1030" w:right="339" w:bottom="1440" w:gutter="0" w:footer="0" w:header="0"/>
        </w:sectPr>
      </w:pPr>
    </w:p>
    <w:bookmarkStart w:id="181" w:name="page182"/>
    <w:bookmarkEnd w:id="181"/>
    <w:p>
      <w:pPr>
        <w:jc w:val="both"/>
        <w:ind w:left="580"/>
        <w:spacing w:after="0" w:line="251" w:lineRule="auto"/>
        <w:rPr>
          <w:sz w:val="20"/>
          <w:szCs w:val="20"/>
          <w:color w:val="auto"/>
        </w:rPr>
      </w:pPr>
      <w:r>
        <w:rPr>
          <w:rFonts w:ascii="Times New Roman" w:cs="Times New Roman" w:eastAsia="Times New Roman" w:hAnsi="Times New Roman"/>
          <w:sz w:val="22"/>
          <w:szCs w:val="22"/>
          <w:color w:val="auto"/>
        </w:rPr>
        <w:t xml:space="preserve">Deficit Disbursements to be deposited in the Series 2023-7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D Cash Collateral Account has been established and funded, the Trustee shall withdraw from the Class D Cash Collateral Account and deposit in the Series 2023-7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spacing w:after="0" w:line="181" w:lineRule="exact"/>
        <w:rPr>
          <w:sz w:val="20"/>
          <w:szCs w:val="20"/>
          <w:color w:val="auto"/>
        </w:rPr>
      </w:pPr>
    </w:p>
    <w:p>
      <w:pPr>
        <w:jc w:val="both"/>
        <w:ind w:left="-80" w:firstLine="1304"/>
        <w:spacing w:after="0" w:line="251" w:lineRule="auto"/>
        <w:tabs>
          <w:tab w:leader="none" w:pos="179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Withdrawals from Series 2023-7 Reserve Accounts</w:t>
      </w:r>
      <w:r>
        <w:rPr>
          <w:rFonts w:ascii="Times New Roman" w:cs="Times New Roman" w:eastAsia="Times New Roman" w:hAnsi="Times New Roman"/>
          <w:sz w:val="22"/>
          <w:szCs w:val="22"/>
          <w:color w:val="auto"/>
        </w:rPr>
        <w:t xml:space="preserve">. If the Administrator determines on any Distribution Date that the amounts available from the Series 2023-7 Accrued Interest Account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to be drawn under the Multi-Series Letters of Credit and/or withdrawn from the Series 2023-7 Cash Collateral Accounts pursuant to Section 2.3(c) are insufficient to pay the sum of (A) the amounts described in clauses (i) through (viii) of Section 2.3(a) above on such Distribution Date and (B) during the Series 2023-7 Rapid Amortization Period, the Series 2023-7 Trustee’s Fees for such Distribution Date, the Administrator shall:</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328"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Trustee in writing to withdraw from the Class A/B/C Reserve Account and deposit in the Series 2023-7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2023-7 Rapid Amortization Period, the product of the Class A/B/C Percentage and the Series 2023-7 Trustee’s Fees for such Distribution Date or (II) if no Class A Notes, Class B Notes or Class C Notes remain outstanding, the sum of (1) the amounts described in clauses (i) through (viii) of Section 2.3(a) above with respect to such Distribution Date and (2) during the Series 2023-7 Rapid Amortization Period, the Series 2023-7 Trustee’s Fees for such Distribution Date over (B) the sum of (1) the amounts available from the Series 2023-7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2023-7 Distribution Account; and</w:t>
      </w:r>
    </w:p>
    <w:p>
      <w:pPr>
        <w:spacing w:after="0" w:line="192"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458"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Trustee in writing to withdraw from the Class D Reserve Account and deposit in the Series 2023-7 Distribution Account on such Distribution Date an amount equal to the lesser of (x) the Class D Available Reserve Account Amount and (y) the excess of (A) the sum of (1) the amounts described in clauses (vii) and (viii) of Section 2.3(a) above with respect to such Distribution Date and (2) during the Series 2023-7 Rapid Amortization Period, the product of the Class D Percentage and the Series 2023-7 Trustee’s Fees for such Distribution Date over (B) the excess with respect to such Distribution Date of (1) the sum of (W) the amounts available from the Series 2023-7 Accrued Interest Account, (X) the amount drawn on the Class A/B/C Letters of Credit (and/or withdrawn from the Class A/B/C Cash Collateral Account) in accordance with</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ectPr>
          <w:pgSz w:w="11900" w:h="16838" w:orient="portrait"/>
          <w:cols w:equalWidth="0" w:num="1">
            <w:col w:w="11160"/>
          </w:cols>
          <w:pgMar w:left="400" w:top="1030" w:right="339" w:bottom="1440" w:gutter="0" w:footer="0" w:header="0"/>
        </w:sectPr>
      </w:pPr>
    </w:p>
    <w:bookmarkStart w:id="182" w:name="page183"/>
    <w:bookmarkEnd w:id="182"/>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2023-7 Rapid Amortization Period, the product of the Class A/B/C Percentage and the Series 2023-7 Trustee’s Fees for such Distribution Date. The Trustee shall withdraw such amount from the Class D Reserve Account and deposit such amount in the Series 2023-7 Distribution Account.</w:t>
      </w:r>
    </w:p>
    <w:p>
      <w:pPr>
        <w:spacing w:after="0" w:line="194" w:lineRule="exact"/>
        <w:rPr>
          <w:sz w:val="20"/>
          <w:szCs w:val="20"/>
          <w:color w:val="auto"/>
        </w:rPr>
      </w:pPr>
    </w:p>
    <w:p>
      <w:pPr>
        <w:ind w:left="1760" w:hanging="456"/>
        <w:spacing w:after="0"/>
        <w:tabs>
          <w:tab w:leader="none" w:pos="176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82" w:val="left"/>
        </w:tabs>
        <w:numPr>
          <w:ilvl w:val="1"/>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Balance</w:t>
      </w:r>
      <w:r>
        <w:rPr>
          <w:rFonts w:ascii="Times New Roman" w:cs="Times New Roman" w:eastAsia="Times New Roman" w:hAnsi="Times New Roman"/>
          <w:sz w:val="21"/>
          <w:szCs w:val="21"/>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2023-7 Accrued Interest Account and the Series 2023-7 Distribution Account,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drawn under the Multi-Series Letters of Credit and/or withdrawn from the Series 2023-7 Cash Collateral Accounts pursuant to Section 2.3(c)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withdrawn from the Series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2023-7 Reserve Accounts pursuant to Section 2.3(d) as follows:</w:t>
      </w:r>
    </w:p>
    <w:p>
      <w:pPr>
        <w:spacing w:after="0" w:line="207" w:lineRule="exact"/>
        <w:rPr>
          <w:rFonts w:ascii="Times New Roman" w:cs="Times New Roman" w:eastAsia="Times New Roman" w:hAnsi="Times New Roman"/>
          <w:sz w:val="21"/>
          <w:szCs w:val="21"/>
          <w:color w:val="auto"/>
        </w:rPr>
      </w:pPr>
    </w:p>
    <w:p>
      <w:pPr>
        <w:jc w:val="both"/>
        <w:ind w:left="660" w:firstLine="1292"/>
        <w:spacing w:after="0" w:line="248" w:lineRule="auto"/>
        <w:tabs>
          <w:tab w:leader="none" w:pos="2400" w:val="left"/>
        </w:tabs>
        <w:numPr>
          <w:ilvl w:val="2"/>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Distribution Date during the Series 2023-7 Revolving Period or the Series 2023-7 Controlled Amortization Period, (1) first, to the Administrator, an amount equal to the Series 2023-7 Percentage as of the beginning of the Series 2023-7 Interest Period ending on the day preceding such Distribution Date of the portion of the Monthly Administration Fee payable by ABRCF (as specified in clause (iii) of the definition thereof) for such Series 2023-7 Interest Period, (2) second, to the Trustee, an amount equal to the Series 2023-7 Percentage as of the beginning of such Series 2023-7 Interest Period of the fees owing to the Trustee under the Base Indenture for such Series 2023-7 Interest Period, (3) third to pay any Carrying Charges (other than Carrying Charges provided for above) to the Persons to whom such amounts are owed, an amount equal to the Series 2023-7 Percentage as of the beginning of such Series 2023-7 Interest Period of such Carrying Charges (other than Carrying Charges provided for above) for such Series 2023-7 Interest Period and (4) fourth, the balance, if any, shall be withdrawn by the Paying Agent from the Series 2023-7 Collection Account and deposited in the Series 2023-7 Excess Collection Account; and</w:t>
      </w:r>
    </w:p>
    <w:p>
      <w:pPr>
        <w:spacing w:after="0" w:line="188" w:lineRule="exact"/>
        <w:rPr>
          <w:rFonts w:ascii="Times New Roman" w:cs="Times New Roman" w:eastAsia="Times New Roman" w:hAnsi="Times New Roman"/>
          <w:sz w:val="22"/>
          <w:szCs w:val="22"/>
          <w:color w:val="auto"/>
        </w:rPr>
      </w:pPr>
    </w:p>
    <w:p>
      <w:pPr>
        <w:jc w:val="both"/>
        <w:ind w:left="660" w:firstLine="1292"/>
        <w:spacing w:after="0" w:line="262" w:lineRule="auto"/>
        <w:tabs>
          <w:tab w:leader="none" w:pos="2580" w:val="left"/>
        </w:tabs>
        <w:numPr>
          <w:ilvl w:val="2"/>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Distribution Date during the Series 2023-7 Rapid Amortization Period, (1) first, to the Trustee, an amount equal to the Series 2023-7 Percentage as of the beginning of such Series 2023-7 Interest Period ending on the day preceding such Distribution Date of the fees owing to the Trustee under the Base Indenture for such Series 2023-7 Interest Period, (2) second, to the Administrator, an amount equal to the Series 2023-7 Percentage as of the beginning of such Series 2023-7 Interest Period of the portion of the Monthly Administration Fee (as specified in clause</w:t>
      </w:r>
    </w:p>
    <w:p>
      <w:pPr>
        <w:spacing w:after="0" w:line="1" w:lineRule="exact"/>
        <w:rPr>
          <w:rFonts w:ascii="Times New Roman" w:cs="Times New Roman" w:eastAsia="Times New Roman" w:hAnsi="Times New Roman"/>
          <w:sz w:val="21"/>
          <w:szCs w:val="21"/>
          <w:color w:val="auto"/>
        </w:rPr>
      </w:pPr>
    </w:p>
    <w:p>
      <w:pPr>
        <w:jc w:val="both"/>
        <w:ind w:left="660" w:hanging="4"/>
        <w:spacing w:after="0" w:line="245" w:lineRule="auto"/>
        <w:tabs>
          <w:tab w:leader="none" w:pos="1056"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thereof) payable by ABRCF for such Series 2023-7 Interest Period, (3) third, to pay any Carrying Charges (other than Carrying Charges provided for above) to the Persons to whom such amounts are owed, an amount equal to the Series 2023-7 Percentage as of</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bl>
    <w:p>
      <w:pPr>
        <w:sectPr>
          <w:pgSz w:w="11900" w:h="16838" w:orient="portrait"/>
          <w:cols w:equalWidth="0" w:num="1">
            <w:col w:w="11240"/>
          </w:cols>
          <w:pgMar w:left="320" w:top="1030" w:right="339" w:bottom="1440" w:gutter="0" w:footer="0" w:header="0"/>
        </w:sectPr>
      </w:pPr>
    </w:p>
    <w:bookmarkStart w:id="183" w:name="page184"/>
    <w:bookmarkEnd w:id="183"/>
    <w:p>
      <w:pPr>
        <w:jc w:val="both"/>
        <w:ind w:left="580"/>
        <w:spacing w:after="0" w:line="253" w:lineRule="auto"/>
        <w:rPr>
          <w:sz w:val="20"/>
          <w:szCs w:val="20"/>
          <w:color w:val="auto"/>
        </w:rPr>
      </w:pPr>
      <w:r>
        <w:rPr>
          <w:rFonts w:ascii="Times New Roman" w:cs="Times New Roman" w:eastAsia="Times New Roman" w:hAnsi="Times New Roman"/>
          <w:sz w:val="22"/>
          <w:szCs w:val="22"/>
          <w:color w:val="auto"/>
        </w:rPr>
        <w:t>the beginning of such Series 2023-7 Interest Period of such Carrying Charges (other than Carrying Charges provided for above) for such Series 2023-7 Interest Period and (4) fourth, so long as the Series 2023-7 Invested Amount is greater than the Monthly Total Principal Allocations for the Related Month, an amount equal to the excess of the Series 2023-7 Invested Amount over the Monthly Total Principal Allocations for the Related Month shall be treated as Principal Collections.</w:t>
      </w:r>
    </w:p>
    <w:p>
      <w:pPr>
        <w:spacing w:after="0" w:line="179" w:lineRule="exact"/>
        <w:rPr>
          <w:sz w:val="20"/>
          <w:szCs w:val="20"/>
          <w:color w:val="auto"/>
        </w:rPr>
      </w:pPr>
    </w:p>
    <w:p>
      <w:pPr>
        <w:ind w:left="1700" w:hanging="476"/>
        <w:spacing w:after="0"/>
        <w:tabs>
          <w:tab w:leader="none" w:pos="170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Shortfalls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417"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Class A Monthly Interest on any Distribution Date, payments of interest to the Class A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Shortfall</w:t>
      </w:r>
      <w:r>
        <w:rPr>
          <w:rFonts w:ascii="Times New Roman" w:cs="Times New Roman" w:eastAsia="Times New Roman" w:hAnsi="Times New Roman"/>
          <w:sz w:val="22"/>
          <w:szCs w:val="22"/>
          <w:color w:val="auto"/>
        </w:rPr>
        <w:t>”. Interest shall accrue on the Class A Shortfall at the Class A Note Rate.</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23"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B Monthly Interest for the Series 2023-7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Interest shall accrue on the Class B Shortfall at the Class B Note Rate.</w:t>
      </w:r>
    </w:p>
    <w:p>
      <w:pPr>
        <w:spacing w:after="0" w:line="193"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73"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C Monthly Interest for the Series 2023-7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Interest shall accrue on the Class C Shortfall at the Class C Note Rate.</w:t>
      </w:r>
    </w:p>
    <w:p>
      <w:pPr>
        <w:spacing w:after="0" w:line="180" w:lineRule="exact"/>
        <w:rPr>
          <w:rFonts w:ascii="Times New Roman" w:cs="Times New Roman" w:eastAsia="Times New Roman" w:hAnsi="Times New Roman"/>
          <w:sz w:val="22"/>
          <w:szCs w:val="22"/>
          <w:color w:val="auto"/>
        </w:rPr>
      </w:pPr>
    </w:p>
    <w:p>
      <w:pPr>
        <w:jc w:val="both"/>
        <w:ind w:left="580" w:firstLine="1292"/>
        <w:spacing w:after="0" w:line="251" w:lineRule="auto"/>
        <w:tabs>
          <w:tab w:leader="none" w:pos="2463"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 of Section 2.3(a) and the Class D Monthly Interest on any Distribution Date, payments of interest to the Class D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D Monthly Interest for the Series 2023-7 Interest Period ended on the day preceding such Distribution Date), together with the aggregate unpaid amount of any such deficiencies with respect to all prior Distribution Dates, shall be</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ectPr>
          <w:pgSz w:w="11900" w:h="16838" w:orient="portrait"/>
          <w:cols w:equalWidth="0" w:num="1">
            <w:col w:w="11160"/>
          </w:cols>
          <w:pgMar w:left="400" w:top="1030" w:right="339" w:bottom="1440" w:gutter="0" w:footer="0" w:header="0"/>
        </w:sectPr>
      </w:pPr>
    </w:p>
    <w:bookmarkStart w:id="184" w:name="page185"/>
    <w:bookmarkEnd w:id="184"/>
    <w:p>
      <w:pPr>
        <w:ind w:left="660"/>
        <w:spacing w:after="0"/>
        <w:rPr>
          <w:sz w:val="20"/>
          <w:szCs w:val="20"/>
          <w:color w:val="auto"/>
        </w:rPr>
      </w:pPr>
      <w:r>
        <w:rPr>
          <w:rFonts w:ascii="Times New Roman" w:cs="Times New Roman" w:eastAsia="Times New Roman" w:hAnsi="Times New Roman"/>
          <w:sz w:val="22"/>
          <w:szCs w:val="22"/>
          <w:color w:val="auto"/>
        </w:rPr>
        <w:t>referred to as the “</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Interest shall accrue on the Class D Shortfall at the Class D Note Rate.</w:t>
      </w:r>
    </w:p>
    <w:p>
      <w:pPr>
        <w:spacing w:after="0" w:line="220" w:lineRule="exact"/>
        <w:rPr>
          <w:sz w:val="20"/>
          <w:szCs w:val="20"/>
          <w:color w:val="auto"/>
        </w:rPr>
      </w:pPr>
    </w:p>
    <w:p>
      <w:pPr>
        <w:jc w:val="both"/>
        <w:ind w:left="660" w:firstLine="1292"/>
        <w:spacing w:after="0" w:line="252" w:lineRule="auto"/>
        <w:tabs>
          <w:tab w:leader="none" w:pos="249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(vi) of Section 2.3(a) and the Class R Monthly Interest on any Distribution Date, payments of interest to the Class R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R Monthly Interest for the Series 2023-7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Interest shall accrue on the Class R Shortfall at the Class R Note Rate.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Payment of Note Interest</w:t>
      </w:r>
      <w:r>
        <w:rPr>
          <w:rFonts w:ascii="Times New Roman" w:cs="Times New Roman" w:eastAsia="Times New Roman" w:hAnsi="Times New Roman"/>
          <w:sz w:val="22"/>
          <w:szCs w:val="22"/>
          <w:color w:val="auto"/>
        </w:rPr>
        <w:t>. (a) On each Distribution Date, subject to Section 9.8 of the Base Indenture, the Paying Agent shall, in accordance with Section 6.1 of the Base Indenture, pay the following amounts in the following order of priority from amounts deposited into the Series 2023-7 Distribution Account pursuant to Section 2.3:</w:t>
      </w:r>
    </w:p>
    <w:p>
      <w:pPr>
        <w:spacing w:after="0" w:line="173" w:lineRule="exact"/>
        <w:rPr>
          <w:sz w:val="20"/>
          <w:szCs w:val="20"/>
          <w:color w:val="auto"/>
        </w:rPr>
      </w:pPr>
    </w:p>
    <w:p>
      <w:pPr>
        <w:ind w:left="2420" w:hanging="468"/>
        <w:spacing w:after="0"/>
        <w:tabs>
          <w:tab w:leader="none" w:pos="242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Class A Noteholders, the amounts due to the Class A Noteholders described in Sections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 and (ii);</w:t>
      </w:r>
    </w:p>
    <w:p>
      <w:pPr>
        <w:spacing w:after="0" w:line="20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 the Class B Noteholders, the amounts due to the Class B Noteholders described in Sections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2.3(a)(iii) and (iv);</w:t>
      </w:r>
    </w:p>
    <w:p>
      <w:pPr>
        <w:spacing w:after="0" w:line="195" w:lineRule="exact"/>
        <w:rPr>
          <w:rFonts w:ascii="Times New Roman" w:cs="Times New Roman" w:eastAsia="Times New Roman" w:hAnsi="Times New Roman"/>
          <w:sz w:val="21"/>
          <w:szCs w:val="21"/>
          <w:color w:val="auto"/>
        </w:rPr>
      </w:pPr>
    </w:p>
    <w:p>
      <w:pPr>
        <w:ind w:left="2500" w:hanging="548"/>
        <w:spacing w:after="0"/>
        <w:tabs>
          <w:tab w:leader="none" w:pos="250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the Class C Noteholders, the amounts due to the Class C Noteholders described in Sections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2.3(a)(v) and (vi);</w:t>
      </w:r>
    </w:p>
    <w:p>
      <w:pPr>
        <w:spacing w:after="0" w:line="195" w:lineRule="exact"/>
        <w:rPr>
          <w:rFonts w:ascii="Times New Roman" w:cs="Times New Roman" w:eastAsia="Times New Roman" w:hAnsi="Times New Roman"/>
          <w:sz w:val="21"/>
          <w:szCs w:val="21"/>
          <w:color w:val="auto"/>
        </w:rPr>
      </w:pPr>
    </w:p>
    <w:p>
      <w:pPr>
        <w:ind w:left="660" w:firstLine="1292"/>
        <w:spacing w:after="0" w:line="284" w:lineRule="auto"/>
        <w:tabs>
          <w:tab w:leader="none" w:pos="2484"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the Class D Noteholders, the amounts due to the Class D Noteholders described in Sections 2.3(a)(vii) and (viii); and</w:t>
      </w:r>
    </w:p>
    <w:p>
      <w:pPr>
        <w:spacing w:after="0" w:line="143"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Class R Noteholders, the amounts due to the Class R Noteholders described in Sections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2.3(a)(ix) and (x).</w:t>
      </w:r>
    </w:p>
    <w:p>
      <w:pPr>
        <w:spacing w:after="0" w:line="19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Payment of Note Principal</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Monthly Payments During Controlled Amortization Period or Rapid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Amortization Period</w:t>
      </w:r>
      <w:r>
        <w:rPr>
          <w:rFonts w:ascii="Times New Roman" w:cs="Times New Roman" w:eastAsia="Times New Roman" w:hAnsi="Times New Roman"/>
          <w:sz w:val="21"/>
          <w:szCs w:val="21"/>
          <w:color w:val="auto"/>
        </w:rPr>
        <w:t>. On each Determination Date, commencing on the second Determination Date during the Series 2023-7 Controlled Amortization Period or the first Determination Date after the commencement of the Series 2023-7 Rapid Amortization Period, the Administrator shall instruct the Trustee and the Paying Agent in writing pursuant to the Administration Agreement and in accordance with this Section 2.5 as to (1) the amount allocated to the Series 2023-7 Notes during the Related Month pursuant to Section 2.2(b)(ii), (c)(ii) or (d)(ii), as the case may be, (2) any amounts to be drawn on the Series 2023-7 Demand Notes and/or on the Multi-Series Letters of Credit (or withdrawn from the Series 2023-7 Cash Collateral Accounts) pursuant to this Section 2.5 and (3) any amounts to be withdrawn from the Series 2023-7 Reserve Accounts pursuant to this Section 2.5 and deposited into the Series 2023-7 Distribution Account. On the Distribution Date following each such Determination Date, the Trustee shall withdraw the amount allocated to the Series 2023-7 Notes during the Related</w:t>
      </w:r>
    </w:p>
    <w:p>
      <w:pPr>
        <w:spacing w:after="0" w:line="200" w:lineRule="exact"/>
        <w:rPr>
          <w:sz w:val="20"/>
          <w:szCs w:val="20"/>
          <w:color w:val="auto"/>
        </w:rPr>
      </w:pP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ectPr>
          <w:pgSz w:w="11900" w:h="16838" w:orient="portrait"/>
          <w:cols w:equalWidth="0" w:num="1">
            <w:col w:w="11240"/>
          </w:cols>
          <w:pgMar w:left="320" w:top="1030" w:right="339" w:bottom="1440" w:gutter="0" w:footer="0" w:header="0"/>
        </w:sectPr>
      </w:pPr>
    </w:p>
    <w:bookmarkStart w:id="185" w:name="page186"/>
    <w:bookmarkEnd w:id="185"/>
    <w:p>
      <w:pPr>
        <w:spacing w:after="0" w:line="271" w:lineRule="auto"/>
        <w:rPr>
          <w:sz w:val="20"/>
          <w:szCs w:val="20"/>
          <w:color w:val="auto"/>
        </w:rPr>
      </w:pPr>
      <w:r>
        <w:rPr>
          <w:rFonts w:ascii="Times New Roman" w:cs="Times New Roman" w:eastAsia="Times New Roman" w:hAnsi="Times New Roman"/>
          <w:sz w:val="22"/>
          <w:szCs w:val="22"/>
          <w:color w:val="auto"/>
        </w:rPr>
        <w:t>Month pursuant to Section 2.2(b)(ii), (c)(ii) or (d)(ii), as the case may be, from the Series 2023-7 Collection Account and deposit such amount in the Series 2023-7 Distribution Account, to be paid to the holders of the Series 2023-7 Notes.</w:t>
      </w:r>
    </w:p>
    <w:p>
      <w:pPr>
        <w:spacing w:after="0" w:line="171" w:lineRule="exact"/>
        <w:rPr>
          <w:sz w:val="20"/>
          <w:szCs w:val="20"/>
          <w:color w:val="auto"/>
        </w:rPr>
      </w:pPr>
    </w:p>
    <w:p>
      <w:pPr>
        <w:jc w:val="both"/>
        <w:ind w:firstLine="1304"/>
        <w:spacing w:after="0" w:line="257" w:lineRule="auto"/>
        <w:tabs>
          <w:tab w:leader="none" w:pos="187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Draws on Multi-Series Letters of Credit</w:t>
      </w:r>
      <w:r>
        <w:rPr>
          <w:rFonts w:ascii="Times New Roman" w:cs="Times New Roman" w:eastAsia="Times New Roman" w:hAnsi="Times New Roman"/>
          <w:sz w:val="22"/>
          <w:szCs w:val="22"/>
          <w:color w:val="auto"/>
        </w:rPr>
        <w:t>. If the Administrator determines on the Business Day immediately preceding any Distribution Date during the Series 2023-7 Rapid Amortization Period that on such Distribution Date there will exist a Series 2023-7 Lease Principal Payment Deficit, the Administrator shall instruct the Trustee in writing to:</w:t>
      </w:r>
    </w:p>
    <w:p>
      <w:pPr>
        <w:spacing w:after="0" w:line="173" w:lineRule="exact"/>
        <w:rPr>
          <w:sz w:val="20"/>
          <w:szCs w:val="20"/>
          <w:color w:val="auto"/>
        </w:rPr>
      </w:pPr>
    </w:p>
    <w:p>
      <w:pPr>
        <w:jc w:val="both"/>
        <w:ind w:left="660" w:firstLine="644"/>
        <w:spacing w:after="0" w:line="259" w:lineRule="auto"/>
        <w:tabs>
          <w:tab w:leader="none" w:pos="1822"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2023-7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2023-7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2023-7 Distribution Account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A/B/C Cash Collateral Account has been established and funded, the Trustee shall withdraw from the Class A/B/C Cash Collateral Account and deposit in the Series 2023-7 Distribution Account an amount equal to the lesser of (x) the Class A/B/C Cash Collateral Percentage for such date of the lesser of the Series 2023-7 Lease Principal Payment Deficit and the Class A/B/C Principal Deficit Amount for such Distribution Date and (y) the Class A/B/C Available Cash Collateral Account Amount on such date and draw an amount equal to the remainder of such amount on the Multi-Series Letters of Credit that shall be allocable to the Class A/B/C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in the preceding sentence and (y) the excess, if any, of (A) the Class A/B/C Liquidity Amount on such date over (B) the Class A/B/C Required Liquidity Amount on such date;</w:t>
      </w:r>
    </w:p>
    <w:p>
      <w:pPr>
        <w:spacing w:after="0" w:line="185"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81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2023-7 Lease Principal Payment Deficit on or prior to</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bl>
    <w:p>
      <w:pPr>
        <w:sectPr>
          <w:pgSz w:w="11900" w:h="16838" w:orient="portrait"/>
          <w:cols w:equalWidth="0" w:num="1">
            <w:col w:w="11240"/>
          </w:cols>
          <w:pgMar w:left="320" w:top="1030" w:right="339" w:bottom="1440" w:gutter="0" w:footer="0" w:header="0"/>
        </w:sectPr>
      </w:pPr>
    </w:p>
    <w:bookmarkStart w:id="186" w:name="page187"/>
    <w:bookmarkEnd w:id="186"/>
    <w:p>
      <w:pPr>
        <w:ind w:left="580"/>
        <w:spacing w:after="0"/>
        <w:rPr>
          <w:sz w:val="20"/>
          <w:szCs w:val="20"/>
          <w:color w:val="auto"/>
        </w:rPr>
      </w:pPr>
      <w:r>
        <w:rPr>
          <w:rFonts w:ascii="Times New Roman" w:cs="Times New Roman" w:eastAsia="Times New Roman" w:hAnsi="Times New Roman"/>
          <w:sz w:val="22"/>
          <w:szCs w:val="22"/>
          <w:color w:val="auto"/>
        </w:rPr>
        <w:t>3:00 p.m. (New York City time) on the Business Day immediately preceding a Distribution Date, the Trustee shall, by</w:t>
      </w:r>
    </w:p>
    <w:p>
      <w:pPr>
        <w:spacing w:after="0" w:line="28"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2"/>
          <w:szCs w:val="22"/>
          <w:color w:val="auto"/>
        </w:rPr>
        <w:t xml:space="preserve">5:00 p.m. (New York City time) on such Business Day draw an amount as set forth in such notice equal to the least of (x) the excess of (A) such Series 2023-7 Lease Principal Payment Deficit over (B) the amount, if any, to be drawn on the 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2023-7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2023-7 Distribution Account an amount equal to the lesser of (x) the Class A/B/C Cash Collateral Percentage for such date of the lesser of (A) the excess of (1) the Series 2023-7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Multi-Series Letters of Credit that shall be allocable to the Class A/B/C Notes;</w:t>
      </w:r>
    </w:p>
    <w:p>
      <w:pPr>
        <w:spacing w:after="0" w:line="190" w:lineRule="exact"/>
        <w:rPr>
          <w:sz w:val="20"/>
          <w:szCs w:val="20"/>
          <w:color w:val="auto"/>
        </w:rPr>
      </w:pPr>
    </w:p>
    <w:p>
      <w:pPr>
        <w:jc w:val="both"/>
        <w:ind w:left="580" w:firstLine="644"/>
        <w:spacing w:after="0" w:line="247" w:lineRule="auto"/>
        <w:tabs>
          <w:tab w:leader="none" w:pos="178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giving effect to any payments to be made on such Distribution Date, the Class A Notes, the Class B Notes and the Class C Notes will have been paid in full, draw on the Multi-Series Letters of Credit with respect to the Class D Notes, if any, as provided in this clause (iii). Upon receipt of a notice by the Trustee from the Administrator in respect of a Series 2023-7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2023-7 Lease Principal Payment Deficit over (B) the amount, if any, to be drawn on the Multi-Series Letters of Credit with respect to the Class D Notes and/or withdrawn from the Class A/B/C Cash Collateral Account on such Distribution Date in accordance with Section 2.5(b)(i) and/or (ii), (y) the Class D Principal Deficit Amount for such Distribution Date 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2023-7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ectPr>
          <w:pgSz w:w="11900" w:h="16838" w:orient="portrait"/>
          <w:cols w:equalWidth="0" w:num="1">
            <w:col w:w="11160"/>
          </w:cols>
          <w:pgMar w:left="400" w:top="1030" w:right="339" w:bottom="1440" w:gutter="0" w:footer="0" w:header="0"/>
        </w:sectPr>
      </w:pPr>
    </w:p>
    <w:bookmarkStart w:id="187" w:name="page188"/>
    <w:bookmarkEnd w:id="187"/>
    <w:p>
      <w:pPr>
        <w:jc w:val="both"/>
        <w:ind w:left="580"/>
        <w:spacing w:after="0" w:line="247" w:lineRule="auto"/>
        <w:rPr>
          <w:sz w:val="20"/>
          <w:szCs w:val="20"/>
          <w:color w:val="auto"/>
        </w:rPr>
      </w:pPr>
      <w:r>
        <w:rPr>
          <w:rFonts w:ascii="Times New Roman" w:cs="Times New Roman" w:eastAsia="Times New Roman" w:hAnsi="Times New Roman"/>
          <w:sz w:val="22"/>
          <w:szCs w:val="22"/>
          <w:color w:val="auto"/>
        </w:rPr>
        <w:t>D Cash Collateral Account has been established and funded, the Trustee shall withdraw from the Class D Cash Collateral Account and deposit in the Series 2023-7 Distribution Account an amount equal to the lesser of (x) the Class D Cash Collateral Percentage for such date of the lesser of (A) the excess of (1) the Series 2023-7 Lease Principal Payment 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spacing w:after="0" w:line="195" w:lineRule="exact"/>
        <w:rPr>
          <w:sz w:val="20"/>
          <w:szCs w:val="20"/>
          <w:color w:val="auto"/>
        </w:rPr>
      </w:pPr>
    </w:p>
    <w:p>
      <w:pPr>
        <w:jc w:val="both"/>
        <w:ind w:left="-80" w:firstLine="1304"/>
        <w:spacing w:after="0" w:line="263" w:lineRule="auto"/>
        <w:tabs>
          <w:tab w:leader="none" w:pos="167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Distribution Date</w:t>
      </w:r>
      <w:r>
        <w:rPr>
          <w:rFonts w:ascii="Times New Roman" w:cs="Times New Roman" w:eastAsia="Times New Roman" w:hAnsi="Times New Roman"/>
          <w:sz w:val="22"/>
          <w:szCs w:val="22"/>
          <w:color w:val="auto"/>
        </w:rPr>
        <w:t>. Each of the entire Class A Invested Amount, the entire Class B Invested Amount, the entire Class C Invested Amount, the entire Class D Invested Amount and the entire Class R Invested Amount shall be due and payable on the Series 2023-7 Final Distribution Date. In connection therewith:</w:t>
      </w:r>
    </w:p>
    <w:p>
      <w:pPr>
        <w:spacing w:after="0" w:line="167" w:lineRule="exact"/>
        <w:rPr>
          <w:rFonts w:ascii="Times New Roman" w:cs="Times New Roman" w:eastAsia="Times New Roman" w:hAnsi="Times New Roman"/>
          <w:sz w:val="22"/>
          <w:szCs w:val="22"/>
          <w:color w:val="auto"/>
        </w:rPr>
      </w:pPr>
    </w:p>
    <w:p>
      <w:pPr>
        <w:jc w:val="both"/>
        <w:ind w:left="580" w:firstLine="1292"/>
        <w:spacing w:after="0" w:line="247" w:lineRule="auto"/>
        <w:tabs>
          <w:tab w:leader="none" w:pos="2417"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If the amount to be deposited in the Series 2023-7 Distribution Account in accordance with Section 2.5(a) together with any amounts to be deposited therein in accordance with Section 2.5(b) on the Series 2023-7 Final Distribution Date is less than the Series 2023-7 Senior Invested Amount and there are any Multi-Series Letters of Credit on such date, then, prior to 10:00 a.m. (New York City time) on the second Business Day prior to the Series 2023-7 Final Distribution Date, the Administrator shall instruct the Trustee in writing to make a demand (a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xml:space="preserve">”) substantially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on the Demand Note Issuers for payment under the Series 2023-7 Demand Notes in an amount equal to the lesser of (x) such insufficiency and (y) the sum of the Class A/B/C Letter of Credit Amount and the Class D Letter of Credit Amount. The Trustee shall, prior to 12:00 noon (New York City time) on the second Business Day preceding such Series 2023-7 Final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2023-7 Demand Notes to be deposited into the Series 2023-7 Distribution Account.</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ectPr>
          <w:pgSz w:w="11900" w:h="16838" w:orient="portrait"/>
          <w:cols w:equalWidth="0" w:num="1">
            <w:col w:w="11160"/>
          </w:cols>
          <w:pgMar w:left="400" w:top="1030" w:right="339" w:bottom="1440" w:gutter="0" w:footer="0" w:header="0"/>
        </w:sectPr>
      </w:pPr>
    </w:p>
    <w:bookmarkStart w:id="188" w:name="page189"/>
    <w:bookmarkEnd w:id="188"/>
    <w:p>
      <w:pPr>
        <w:jc w:val="both"/>
        <w:ind w:left="580" w:firstLine="1292"/>
        <w:spacing w:after="0" w:line="250" w:lineRule="auto"/>
        <w:tabs>
          <w:tab w:leader="none" w:pos="238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Draw</w:t>
      </w:r>
      <w:r>
        <w:rPr>
          <w:rFonts w:ascii="Times New Roman" w:cs="Times New Roman" w:eastAsia="Times New Roman" w:hAnsi="Times New Roman"/>
          <w:sz w:val="22"/>
          <w:szCs w:val="22"/>
          <w:color w:val="auto"/>
        </w:rPr>
        <w:t>. In the event that either (x) on or prior to 10:00 a.m. (New York City time) on the Business Day immediately preceding the Series 2023-7 Final Distribution Date a Demand Notice has been transmitted by the Trustee to the Demand Note Issuers pursuant to clause (i) of this Section 2.5(c) and any Demand Note Issuer shall have failed to pay to the Trustee or deposit into the Series 2023-7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2023-7 Final Distribution Date, then, in the case of (x) or (y) the Trustee shall:</w:t>
      </w:r>
    </w:p>
    <w:p>
      <w:pPr>
        <w:spacing w:after="0" w:line="179" w:lineRule="exact"/>
        <w:rPr>
          <w:rFonts w:ascii="Times New Roman" w:cs="Times New Roman" w:eastAsia="Times New Roman" w:hAnsi="Times New Roman"/>
          <w:sz w:val="22"/>
          <w:szCs w:val="22"/>
          <w:color w:val="auto"/>
        </w:rPr>
      </w:pPr>
    </w:p>
    <w:p>
      <w:pPr>
        <w:jc w:val="both"/>
        <w:ind w:left="1880" w:firstLine="640"/>
        <w:spacing w:after="0" w:line="247" w:lineRule="auto"/>
        <w:tabs>
          <w:tab w:leader="none" w:pos="3115"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draw on the Multi-Series Letters of Credit by 12:00 noon (New York City time) on such Business Day an amount allocable to the Class A/B/C Notes equal to the lesser of (a) the amount that the Demand Note Issuers so failed to pay under the Series 2023-7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2023-7 Distribution Account an amount equal to the lesser of (x) the Class A/B/C Cash Collateral Percentage on such Business Day of the amount that the Demand Note Issuers so failed to pay under the Series 2023-7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2023-7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2023-7 Distribution Account; and</w:t>
      </w:r>
    </w:p>
    <w:p>
      <w:pPr>
        <w:spacing w:after="0" w:line="187" w:lineRule="exact"/>
        <w:rPr>
          <w:rFonts w:ascii="Times New Roman" w:cs="Times New Roman" w:eastAsia="Times New Roman" w:hAnsi="Times New Roman"/>
          <w:sz w:val="22"/>
          <w:szCs w:val="22"/>
          <w:color w:val="auto"/>
        </w:rPr>
      </w:pPr>
    </w:p>
    <w:p>
      <w:pPr>
        <w:jc w:val="both"/>
        <w:ind w:left="1880" w:firstLine="640"/>
        <w:spacing w:after="0" w:line="251" w:lineRule="auto"/>
        <w:tabs>
          <w:tab w:leader="none" w:pos="3115"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draw on the Multi-Series Letters of Credit by 12:00 noon (New York City time) on such Business Day an amount allocable to the Class D Notes equal to the lesser of (a) the excess of (x) the amount that the Demand Note Issuers so failed to pay under the Series 2023-7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ectPr>
          <w:pgSz w:w="11900" w:h="16838" w:orient="portrait"/>
          <w:cols w:equalWidth="0" w:num="1">
            <w:col w:w="11160"/>
          </w:cols>
          <w:pgMar w:left="400" w:top="1030" w:right="339" w:bottom="1440" w:gutter="0" w:footer="0" w:header="0"/>
        </w:sectPr>
      </w:pPr>
    </w:p>
    <w:bookmarkStart w:id="189" w:name="page190"/>
    <w:bookmarkEnd w:id="189"/>
    <w:p>
      <w:pPr>
        <w:jc w:val="both"/>
        <w:ind w:left="1880" w:hanging="8"/>
        <w:spacing w:after="0" w:line="247" w:lineRule="auto"/>
        <w:tabs>
          <w:tab w:leader="none" w:pos="2187"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Class D Letter of Credit Amount on such Business Day by presenting to each Multi-Series Letter of Credit Provider with respect to the Class D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D Cash Collateral Account has been established and funded, the Trustee shall withdraw from the Class D Cash Collateral Account and deposit in the Series 2023-7 Distribution Account an amount equal to the lesser of (x) the Class D Cash Collateral Percentage on such Business Day of the excess of (A) the amount that the Demand Note Issuers so failed to pay under the Series 2023-7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2023-7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2023-7 Distribution Account.</w:t>
      </w:r>
    </w:p>
    <w:p>
      <w:pPr>
        <w:spacing w:after="0" w:line="197" w:lineRule="exact"/>
        <w:rPr>
          <w:sz w:val="20"/>
          <w:szCs w:val="20"/>
          <w:color w:val="auto"/>
        </w:rPr>
      </w:pPr>
    </w:p>
    <w:p>
      <w:pPr>
        <w:jc w:val="both"/>
        <w:ind w:left="580" w:firstLine="1292"/>
        <w:spacing w:after="0" w:line="260" w:lineRule="auto"/>
        <w:tabs>
          <w:tab w:leader="none" w:pos="2416"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 Account Withdrawal</w:t>
      </w:r>
      <w:r>
        <w:rPr>
          <w:rFonts w:ascii="Times New Roman" w:cs="Times New Roman" w:eastAsia="Times New Roman" w:hAnsi="Times New Roman"/>
          <w:sz w:val="21"/>
          <w:szCs w:val="21"/>
          <w:color w:val="auto"/>
        </w:rPr>
        <w:t>. If, after giving effect to the deposit into the Series 2023-7 Distribution Account of the amount to be deposited in accordance with Section 2.5(a) and the amounts described in clauses (i) and (ii) of this Section 2.5(c), the amount to be deposited in the Series 2023-7 Distribution Account with respect to the Series 2023-7 Final Distribution Date is or will be less than the Series 2023-7 Senior Invested Amount, then, prior to 12:00 noon (New York City time) on the second Business Day prior to such Series 2023-7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remaining insufficiency (after giving effect to any withdrawal from the Class A/B/C Reserve Account) and, in each case, deposit it in the Series 2023-7 Distribution Account on such Series 2023-7 Final Distribution Date.</w:t>
      </w:r>
    </w:p>
    <w:p>
      <w:pPr>
        <w:spacing w:after="0" w:line="191" w:lineRule="exact"/>
        <w:rPr>
          <w:rFonts w:ascii="Times New Roman" w:cs="Times New Roman" w:eastAsia="Times New Roman" w:hAnsi="Times New Roman"/>
          <w:sz w:val="21"/>
          <w:szCs w:val="21"/>
          <w:color w:val="auto"/>
        </w:rPr>
      </w:pPr>
    </w:p>
    <w:p>
      <w:pPr>
        <w:jc w:val="both"/>
        <w:ind w:left="-80" w:firstLine="1304"/>
        <w:spacing w:after="0" w:line="257" w:lineRule="auto"/>
        <w:tabs>
          <w:tab w:leader="none" w:pos="1832"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On each Distribution Date, other than the Series 2023-7 Final Distribution Date, on which the Class A/B/C Principal Deficit Amount is greater than zero, amounts shall be transferred to the Series 2023-7 Distribution Account as follows: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bl>
    <w:p>
      <w:pPr>
        <w:sectPr>
          <w:pgSz w:w="11900" w:h="16838" w:orient="portrait"/>
          <w:cols w:equalWidth="0" w:num="1">
            <w:col w:w="11160"/>
          </w:cols>
          <w:pgMar w:left="400" w:top="1246" w:right="339" w:bottom="1440" w:gutter="0" w:footer="0" w:header="0"/>
        </w:sectPr>
      </w:pPr>
    </w:p>
    <w:bookmarkStart w:id="190" w:name="page191"/>
    <w:bookmarkEnd w:id="190"/>
    <w:p>
      <w:pPr>
        <w:jc w:val="both"/>
        <w:ind w:left="580" w:firstLine="1292"/>
        <w:spacing w:after="0" w:line="248" w:lineRule="auto"/>
        <w:tabs>
          <w:tab w:leader="none" w:pos="229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xml:space="preserve">. If on any Determination Date, the Administrator determines that the Class A/B/C Principal Deficit Amount with respect to the next succeeding Distribution Date will be greater than zero and there are any Multi-Series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2023-7 Demand Note to be deposited into the Series 2023-7 Distribution Account.</w:t>
      </w:r>
    </w:p>
    <w:p>
      <w:pPr>
        <w:spacing w:after="0" w:line="184" w:lineRule="exact"/>
        <w:rPr>
          <w:rFonts w:ascii="Times New Roman" w:cs="Times New Roman" w:eastAsia="Times New Roman" w:hAnsi="Times New Roman"/>
          <w:sz w:val="22"/>
          <w:szCs w:val="22"/>
          <w:color w:val="auto"/>
        </w:rPr>
      </w:pPr>
    </w:p>
    <w:p>
      <w:pPr>
        <w:jc w:val="both"/>
        <w:ind w:left="580" w:firstLine="1292"/>
        <w:spacing w:after="0" w:line="259" w:lineRule="auto"/>
        <w:tabs>
          <w:tab w:leader="none" w:pos="2396"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A/B/C Letter of Credit Draw</w:t>
      </w:r>
      <w:r>
        <w:rPr>
          <w:rFonts w:ascii="Times New Roman" w:cs="Times New Roman" w:eastAsia="Times New Roman" w:hAnsi="Times New Roman"/>
          <w:sz w:val="21"/>
          <w:szCs w:val="21"/>
          <w:color w:val="auto"/>
        </w:rPr>
        <w:t xml:space="preserve">. In the event that either (x) on or prior to 10:00 a.m. (New York City time) on the Business Day prior to such Distribution Date, any Demand Note Issuer shall have failed to pay to the Trustee or deposit into the Series 2023-7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an amount allocable to the Class A/B/C Notes equal to the lesser of (i) Class A/B/C Letter of Credit Amount and (ii) the aggregate amount that the Demand Note Issuers so failed to pay under the Series 2023-7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A/B/C Cash Collateral Account has been established and funded, the Trustee shall withdraw from the Class A/B/C Cash Collateral Account and deposit in the Series 2023-7 Distribution Account an amount equal to the lesser of (x) the Class A/B/C Cash Collateral Percentage on such Business Day of the aggregate amount that the Demand Note Issuers so failed to pay under the Series 2023-7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2023-7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ectPr>
          <w:pgSz w:w="11900" w:h="16838" w:orient="portrait"/>
          <w:cols w:equalWidth="0" w:num="1">
            <w:col w:w="11160"/>
          </w:cols>
          <w:pgMar w:left="400" w:top="1030" w:right="339" w:bottom="1440" w:gutter="0" w:footer="0" w:header="0"/>
        </w:sectPr>
      </w:pPr>
    </w:p>
    <w:bookmarkStart w:id="191" w:name="page192"/>
    <w:bookmarkEnd w:id="191"/>
    <w:p>
      <w:pPr>
        <w:ind w:left="580"/>
        <w:spacing w:after="0" w:line="271" w:lineRule="auto"/>
        <w:rPr>
          <w:sz w:val="20"/>
          <w:szCs w:val="20"/>
          <w:color w:val="auto"/>
        </w:rPr>
      </w:pPr>
      <w:r>
        <w:rPr>
          <w:rFonts w:ascii="Times New Roman" w:cs="Times New Roman" w:eastAsia="Times New Roman" w:hAnsi="Times New Roman"/>
          <w:sz w:val="22"/>
          <w:szCs w:val="22"/>
          <w:color w:val="auto"/>
        </w:rPr>
        <w:t>proceeds of any withdrawal from the Class A/B/C Cash Collateral Account to be deposited in the Series 2023-7 Distribution Account.</w:t>
      </w:r>
    </w:p>
    <w:p>
      <w:pPr>
        <w:spacing w:after="0" w:line="171" w:lineRule="exact"/>
        <w:rPr>
          <w:sz w:val="20"/>
          <w:szCs w:val="20"/>
          <w:color w:val="auto"/>
        </w:rPr>
      </w:pPr>
    </w:p>
    <w:p>
      <w:pPr>
        <w:jc w:val="both"/>
        <w:ind w:left="580" w:firstLine="1292"/>
        <w:spacing w:after="0" w:line="250" w:lineRule="auto"/>
        <w:tabs>
          <w:tab w:leader="none" w:pos="2443"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Withdrawal</w:t>
      </w:r>
      <w:r>
        <w:rPr>
          <w:rFonts w:ascii="Times New Roman" w:cs="Times New Roman" w:eastAsia="Times New Roman" w:hAnsi="Times New Roman"/>
          <w:sz w:val="22"/>
          <w:szCs w:val="22"/>
          <w:color w:val="auto"/>
        </w:rPr>
        <w:t>.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2023-7 Distribution Account in accordance with clauses (i) and (ii) of this Section 2.5(d) and deposit it in the Series 2023-7 Distribution Account on such Distribution Date.</w:t>
      </w:r>
    </w:p>
    <w:p>
      <w:pPr>
        <w:spacing w:after="0" w:line="180" w:lineRule="exact"/>
        <w:rPr>
          <w:rFonts w:ascii="Times New Roman" w:cs="Times New Roman" w:eastAsia="Times New Roman" w:hAnsi="Times New Roman"/>
          <w:sz w:val="22"/>
          <w:szCs w:val="22"/>
          <w:color w:val="auto"/>
        </w:rPr>
      </w:pPr>
    </w:p>
    <w:p>
      <w:pPr>
        <w:jc w:val="both"/>
        <w:ind w:left="-80" w:firstLine="1304"/>
        <w:spacing w:after="0" w:line="275" w:lineRule="auto"/>
        <w:tabs>
          <w:tab w:leader="none" w:pos="1672"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Principal Deficit Amount</w:t>
      </w:r>
      <w:r>
        <w:rPr>
          <w:rFonts w:ascii="Times New Roman" w:cs="Times New Roman" w:eastAsia="Times New Roman" w:hAnsi="Times New Roman"/>
          <w:sz w:val="21"/>
          <w:szCs w:val="21"/>
          <w:color w:val="auto"/>
        </w:rPr>
        <w:t>. On each Distribution Date, other than the Series 2023-7 Final Distribution Date, on which the Class A Notes, Class B Notes and Class C Notes will have been paid in full and the Class D Principal Deficit Amount is greater than zero, amounts shall be transferred to the Series 2023-7 Distribution Account as follows:</w:t>
      </w:r>
    </w:p>
    <w:p>
      <w:pPr>
        <w:spacing w:after="0" w:line="155" w:lineRule="exact"/>
        <w:rPr>
          <w:rFonts w:ascii="Times New Roman" w:cs="Times New Roman" w:eastAsia="Times New Roman" w:hAnsi="Times New Roman"/>
          <w:sz w:val="21"/>
          <w:szCs w:val="21"/>
          <w:color w:val="auto"/>
        </w:rPr>
      </w:pPr>
    </w:p>
    <w:p>
      <w:pPr>
        <w:jc w:val="both"/>
        <w:ind w:left="580" w:firstLine="1292"/>
        <w:spacing w:after="0" w:line="262" w:lineRule="auto"/>
        <w:tabs>
          <w:tab w:leader="none" w:pos="239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Demand Note Draw</w:t>
      </w:r>
      <w:r>
        <w:rPr>
          <w:rFonts w:ascii="Times New Roman" w:cs="Times New Roman" w:eastAsia="Times New Roman" w:hAnsi="Times New Roman"/>
          <w:sz w:val="21"/>
          <w:szCs w:val="21"/>
          <w:color w:val="auto"/>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2023-7 Demand Note to be deposited into the Series 2023-7 Distribution Account.</w:t>
      </w:r>
    </w:p>
    <w:p>
      <w:pPr>
        <w:spacing w:after="0" w:line="171" w:lineRule="exact"/>
        <w:rPr>
          <w:sz w:val="20"/>
          <w:szCs w:val="20"/>
          <w:color w:val="auto"/>
        </w:rPr>
      </w:pPr>
    </w:p>
    <w:p>
      <w:pPr>
        <w:jc w:val="both"/>
        <w:ind w:left="580" w:firstLine="1292"/>
        <w:spacing w:after="0" w:line="248" w:lineRule="auto"/>
        <w:tabs>
          <w:tab w:leader="none" w:pos="239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Draw</w:t>
      </w:r>
      <w:r>
        <w:rPr>
          <w:rFonts w:ascii="Times New Roman" w:cs="Times New Roman" w:eastAsia="Times New Roman" w:hAnsi="Times New Roman"/>
          <w:sz w:val="22"/>
          <w:szCs w:val="22"/>
          <w:color w:val="auto"/>
        </w:rPr>
        <w:t>. In the event that either (x) on or prior to 10:00 a.m. (New York City time) on the Business Day prior to such Distribution Date, any Demand Note Issuer shall have failed to pay to the Trustee or deposit into the Series 2023-7 Distribution Account the amount specified in such Demand Notice delivered pursuant to Section 2.5I(i)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bl>
    <w:p>
      <w:pPr>
        <w:sectPr>
          <w:pgSz w:w="11900" w:h="16838" w:orient="portrait"/>
          <w:cols w:equalWidth="0" w:num="1">
            <w:col w:w="11160"/>
          </w:cols>
          <w:pgMar w:left="400" w:top="1030" w:right="339" w:bottom="1440" w:gutter="0" w:footer="0" w:header="0"/>
        </w:sectPr>
      </w:pPr>
    </w:p>
    <w:bookmarkStart w:id="192" w:name="page193"/>
    <w:bookmarkEnd w:id="192"/>
    <w:p>
      <w:pPr>
        <w:jc w:val="both"/>
        <w:ind w:left="580"/>
        <w:spacing w:after="0" w:line="261" w:lineRule="auto"/>
        <w:rPr>
          <w:sz w:val="20"/>
          <w:szCs w:val="20"/>
          <w:color w:val="auto"/>
        </w:rPr>
      </w:pPr>
      <w:r>
        <w:rPr>
          <w:rFonts w:ascii="Times New Roman" w:cs="Times New Roman" w:eastAsia="Times New Roman" w:hAnsi="Times New Roman"/>
          <w:sz w:val="21"/>
          <w:szCs w:val="21"/>
          <w:color w:val="auto"/>
        </w:rPr>
        <w:t xml:space="preserve">Notes equal to the lesser of (i) Class A/B/C Letter of Credit Amount and (ii) the aggregate amount that the Demand Note Issuers so failed to pay under the Series 2023-7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A/B/C Cash Collateral Account has been established and funded, the Trustee shall withdraw from the Class A/B/C Cash Collateral Account and deposit in the Series 2023-7 Distribution Account an amount equal to the lesser of (x) the Class A/B/C Cash Collateral Percentage on such Business Day of the aggregate amount that the Demand Note Issuers so failed to pay under the Series 2023-7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2023-7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2023-7 Distribution Account.</w:t>
      </w:r>
    </w:p>
    <w:p>
      <w:pPr>
        <w:spacing w:after="0" w:line="171" w:lineRule="exact"/>
        <w:rPr>
          <w:sz w:val="20"/>
          <w:szCs w:val="20"/>
          <w:color w:val="auto"/>
        </w:rPr>
      </w:pPr>
    </w:p>
    <w:p>
      <w:pPr>
        <w:jc w:val="both"/>
        <w:ind w:left="580" w:firstLine="1292"/>
        <w:spacing w:after="0" w:line="249" w:lineRule="auto"/>
        <w:tabs>
          <w:tab w:leader="none" w:pos="2537"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Withdrawal</w:t>
      </w:r>
      <w:r>
        <w:rPr>
          <w:rFonts w:ascii="Times New Roman" w:cs="Times New Roman" w:eastAsia="Times New Roman" w:hAnsi="Times New Roman"/>
          <w:sz w:val="22"/>
          <w:szCs w:val="22"/>
          <w:color w:val="auto"/>
        </w:rPr>
        <w:t>. If the amounts to be deposited in the Series 2023-7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2023-7 Distribution Account in accordance with clauses (i) and (ii) of this Section 2.5(e) and deposit it in the Series 2023-7 Distribution Account on such Distribution Date.</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67" w:lineRule="auto"/>
        <w:tabs>
          <w:tab w:leader="none" w:pos="2431"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 of Credit Draw</w:t>
      </w:r>
      <w:r>
        <w:rPr>
          <w:rFonts w:ascii="Times New Roman" w:cs="Times New Roman" w:eastAsia="Times New Roman" w:hAnsi="Times New Roman"/>
          <w:sz w:val="21"/>
          <w:szCs w:val="21"/>
          <w:color w:val="auto"/>
        </w:rPr>
        <w:t>. In the event that either (x) on or prior to 10:00 a.m. (New York City time) on the Business Day prior to such Distribution Date, any Demand Note Issuer shall have failed to pay to the Trustee or deposit into the Series 2023-7 Distribution Account the amount specified in such Demand Notice in whole or in part or</w:t>
      </w:r>
    </w:p>
    <w:p>
      <w:pPr>
        <w:spacing w:after="0" w:line="1" w:lineRule="exact"/>
        <w:rPr>
          <w:rFonts w:ascii="Times New Roman" w:cs="Times New Roman" w:eastAsia="Times New Roman" w:hAnsi="Times New Roman"/>
          <w:sz w:val="21"/>
          <w:szCs w:val="21"/>
          <w:color w:val="auto"/>
        </w:rPr>
      </w:pPr>
    </w:p>
    <w:p>
      <w:pPr>
        <w:jc w:val="both"/>
        <w:ind w:left="580" w:hanging="4"/>
        <w:spacing w:after="0" w:line="257" w:lineRule="auto"/>
        <w:tabs>
          <w:tab w:leader="none" w:pos="886"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D Notes, if any, an amount allocable to the Class D Notes equal to the lesser of</w:t>
      </w:r>
    </w:p>
    <w:p>
      <w:pPr>
        <w:spacing w:after="0" w:line="3" w:lineRule="exact"/>
        <w:rPr>
          <w:rFonts w:ascii="Times New Roman" w:cs="Times New Roman" w:eastAsia="Times New Roman" w:hAnsi="Times New Roman"/>
          <w:sz w:val="21"/>
          <w:szCs w:val="21"/>
          <w:color w:val="auto"/>
        </w:rPr>
      </w:pPr>
    </w:p>
    <w:p>
      <w:pPr>
        <w:jc w:val="both"/>
        <w:ind w:left="580" w:hanging="4"/>
        <w:spacing w:after="0" w:line="254" w:lineRule="auto"/>
        <w:tabs>
          <w:tab w:leader="none" w:pos="86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Class D Letter of Credit Amount and (ii) the excess of (A) the aggregate amount that the Demand Note Issuers so failed to pay under the Series 2023-7 Demand Notes (or, the amount that the Trustee failed to demand for payment thereunder) over (B) the amount deposited into the Series 2023-7 Distribution Account in accordance with Section 2.5(e)</w:t>
      </w:r>
    </w:p>
    <w:p>
      <w:pPr>
        <w:spacing w:after="0" w:line="2" w:lineRule="exact"/>
        <w:rPr>
          <w:rFonts w:ascii="Times New Roman" w:cs="Times New Roman" w:eastAsia="Times New Roman" w:hAnsi="Times New Roman"/>
          <w:sz w:val="21"/>
          <w:szCs w:val="21"/>
          <w:color w:val="auto"/>
        </w:rPr>
      </w:pPr>
    </w:p>
    <w:p>
      <w:pPr>
        <w:ind w:left="900" w:hanging="324"/>
        <w:spacing w:after="0"/>
        <w:tabs>
          <w:tab w:leader="none" w:pos="90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(iii) above, by presenting to each Multi-Series Letter of Credit Provider with respect to the Class 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bl>
    <w:p>
      <w:pPr>
        <w:sectPr>
          <w:pgSz w:w="11900" w:h="16838" w:orient="portrait"/>
          <w:cols w:equalWidth="0" w:num="1">
            <w:col w:w="11160"/>
          </w:cols>
          <w:pgMar w:left="400" w:top="1030" w:right="339" w:bottom="1440" w:gutter="0" w:footer="0" w:header="0"/>
        </w:sectPr>
      </w:pPr>
    </w:p>
    <w:bookmarkStart w:id="193" w:name="page194"/>
    <w:bookmarkEnd w:id="193"/>
    <w:p>
      <w:pPr>
        <w:jc w:val="both"/>
        <w:ind w:left="580"/>
        <w:spacing w:after="0" w:line="262" w:lineRule="auto"/>
        <w:rPr>
          <w:sz w:val="20"/>
          <w:szCs w:val="20"/>
          <w:color w:val="auto"/>
        </w:rPr>
      </w:pPr>
      <w:r>
        <w:rPr>
          <w:rFonts w:ascii="Times New Roman" w:cs="Times New Roman" w:eastAsia="Times New Roman" w:hAnsi="Times New Roman"/>
          <w:sz w:val="21"/>
          <w:szCs w:val="21"/>
          <w:color w:val="auto"/>
        </w:rPr>
        <w:t xml:space="preserve">Notes a draft accompanied by a Certificate of Unpaid Demand Note Demand;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2023-7 Distribution Account an amount equal to the lesser of (x) the Class D Cash Collateral Percentage on such Business Day of the excess of (A) the aggregate amount that the Demand Note Issuers so failed to pay under the Series 2023-7 Demand Notes (or, the amount that the Trustee failed to demand for payment thereunder) over</w:t>
      </w:r>
    </w:p>
    <w:p>
      <w:pPr>
        <w:spacing w:after="0" w:line="2" w:lineRule="exact"/>
        <w:rPr>
          <w:sz w:val="20"/>
          <w:szCs w:val="20"/>
          <w:color w:val="auto"/>
        </w:rPr>
      </w:pPr>
    </w:p>
    <w:p>
      <w:pPr>
        <w:jc w:val="both"/>
        <w:ind w:left="580" w:hanging="4"/>
        <w:spacing w:after="0" w:line="246" w:lineRule="auto"/>
        <w:tabs>
          <w:tab w:leader="none" w:pos="92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deposited into the Series 2023-7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2023-7 Distribution Account.</w:t>
      </w:r>
    </w:p>
    <w:p>
      <w:pPr>
        <w:spacing w:after="0" w:line="188"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573" w:val="left"/>
        </w:tabs>
        <w:numPr>
          <w:ilvl w:val="2"/>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Reserve Account Withdrawal</w:t>
      </w:r>
      <w:r>
        <w:rPr>
          <w:rFonts w:ascii="Times New Roman" w:cs="Times New Roman" w:eastAsia="Times New Roman" w:hAnsi="Times New Roman"/>
          <w:sz w:val="22"/>
          <w:szCs w:val="22"/>
          <w:color w:val="auto"/>
        </w:rPr>
        <w:t>. If the amounts to be deposited in the Series 2023-7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2023-7 Distribution Account in accordance with clauses (i) through (iv) of this Section 2.5(e) and deposit it in the Series 2023-7 Distribution Account on such Distribution Date.</w:t>
      </w:r>
    </w:p>
    <w:p>
      <w:pPr>
        <w:spacing w:after="0" w:line="186" w:lineRule="exact"/>
        <w:rPr>
          <w:rFonts w:ascii="Times New Roman" w:cs="Times New Roman" w:eastAsia="Times New Roman" w:hAnsi="Times New Roman"/>
          <w:sz w:val="22"/>
          <w:szCs w:val="22"/>
          <w:color w:val="auto"/>
        </w:rPr>
      </w:pPr>
    </w:p>
    <w:p>
      <w:pPr>
        <w:ind w:left="1660" w:hanging="436"/>
        <w:spacing w:after="0"/>
        <w:tabs>
          <w:tab w:leader="none" w:pos="166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350" w:val="left"/>
        </w:tabs>
        <w:numPr>
          <w:ilvl w:val="2"/>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Notes</w:t>
      </w:r>
      <w:r>
        <w:rPr>
          <w:rFonts w:ascii="Times New Roman" w:cs="Times New Roman" w:eastAsia="Times New Roman" w:hAnsi="Times New Roman"/>
          <w:sz w:val="22"/>
          <w:szCs w:val="22"/>
          <w:color w:val="auto"/>
        </w:rPr>
        <w:t xml:space="preserve">. On each Distribution Date occurring on or after the date a withdrawal is made from the Series 2023-7 Collection Account pursuant to Section 2.5(a) or amounts are deposited in the Series 2023-7 Distribution Account pursuant to Section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A Noteholder from the Series 2023-7 Distribution Account the amount deposited therein pursuant to Section 2.5(a), (b), (c) or (d), to the extent necessary to pay the Class A Controlled Distribution Amount during the Series 2023-7 Controlled Amortization Period or to the extent necessary to pay the Class A Invested Amount during the Series 2023-7 Rapid Amortization Period.</w:t>
      </w:r>
    </w:p>
    <w:p>
      <w:pPr>
        <w:spacing w:after="0" w:line="180" w:lineRule="exact"/>
        <w:rPr>
          <w:sz w:val="20"/>
          <w:szCs w:val="20"/>
          <w:color w:val="auto"/>
        </w:rPr>
      </w:pPr>
    </w:p>
    <w:p>
      <w:pPr>
        <w:jc w:val="both"/>
        <w:ind w:left="580" w:firstLine="1292"/>
        <w:spacing w:after="0" w:line="250" w:lineRule="auto"/>
        <w:tabs>
          <w:tab w:leader="none" w:pos="239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Notes</w:t>
      </w:r>
      <w:r>
        <w:rPr>
          <w:rFonts w:ascii="Times New Roman" w:cs="Times New Roman" w:eastAsia="Times New Roman" w:hAnsi="Times New Roman"/>
          <w:sz w:val="22"/>
          <w:szCs w:val="22"/>
          <w:color w:val="auto"/>
        </w:rPr>
        <w:t xml:space="preserve">. On each Distribution Date occurring on or after the date a withdrawal is made from the Series 2023-7 Collection Account pursuant to Section 2.5(a) or amounts are deposited in the Series 2023-7 Distribution Account pursuant to Section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B Noteholder from the Series 2023-7 Distribution Account the amount deposited therein pursuant to Section 2.5(a), (b), (c) or (d) less the aggregate amount applied to make the payments required pursuant to Section 2.5(f)(i), to the extent necessary to pay the Class B Controlled Distribution Amount during the Series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bl>
    <w:p>
      <w:pPr>
        <w:sectPr>
          <w:pgSz w:w="11900" w:h="16838" w:orient="portrait"/>
          <w:cols w:equalWidth="0" w:num="1">
            <w:col w:w="11160"/>
          </w:cols>
          <w:pgMar w:left="400" w:top="1030" w:right="339" w:bottom="1440" w:gutter="0" w:footer="0" w:header="0"/>
        </w:sectPr>
      </w:pPr>
    </w:p>
    <w:bookmarkStart w:id="194" w:name="page195"/>
    <w:bookmarkEnd w:id="194"/>
    <w:p>
      <w:pPr>
        <w:ind w:left="660"/>
        <w:spacing w:after="0"/>
        <w:rPr>
          <w:sz w:val="20"/>
          <w:szCs w:val="20"/>
          <w:color w:val="auto"/>
        </w:rPr>
      </w:pPr>
      <w:r>
        <w:rPr>
          <w:rFonts w:ascii="Times New Roman" w:cs="Times New Roman" w:eastAsia="Times New Roman" w:hAnsi="Times New Roman"/>
          <w:sz w:val="22"/>
          <w:szCs w:val="22"/>
          <w:color w:val="auto"/>
        </w:rPr>
        <w:t>2023-7 Controlled Amortization Period or to the extent necessary to pay the Class B Invested Amount during the Series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2023-7 Rapid Amortization Period.</w:t>
      </w:r>
    </w:p>
    <w:p>
      <w:pPr>
        <w:spacing w:after="0" w:line="209" w:lineRule="exact"/>
        <w:rPr>
          <w:sz w:val="20"/>
          <w:szCs w:val="20"/>
          <w:color w:val="auto"/>
        </w:rPr>
      </w:pPr>
    </w:p>
    <w:p>
      <w:pPr>
        <w:jc w:val="both"/>
        <w:ind w:left="660" w:firstLine="1292"/>
        <w:spacing w:after="0" w:line="249" w:lineRule="auto"/>
        <w:tabs>
          <w:tab w:leader="none" w:pos="2523"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xml:space="preserve">. On each Distribution Date occurring on or after the date a withdrawal is made from the Series 2023-7 Collection Account pursuant to Section 2.5(a) or amounts are deposited in the Series 2023-7 Distribution Account pursuant to Section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C Noteholder from the Series 2023-7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2023-7 Controlled Amortization Period or to the extent necessary to pay the Class C Invested Amount during the Series 2023-7 Rapid Amortization Period.</w:t>
      </w:r>
    </w:p>
    <w:p>
      <w:pPr>
        <w:spacing w:after="0" w:line="181" w:lineRule="exact"/>
        <w:rPr>
          <w:rFonts w:ascii="Times New Roman" w:cs="Times New Roman" w:eastAsia="Times New Roman" w:hAnsi="Times New Roman"/>
          <w:sz w:val="22"/>
          <w:szCs w:val="22"/>
          <w:color w:val="auto"/>
        </w:rPr>
      </w:pPr>
    </w:p>
    <w:p>
      <w:pPr>
        <w:jc w:val="both"/>
        <w:ind w:left="660" w:firstLine="1292"/>
        <w:spacing w:after="0" w:line="249" w:lineRule="auto"/>
        <w:tabs>
          <w:tab w:leader="none" w:pos="2511"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On each Distribution Date occurring on or after the date a withdrawal is made from the Series 2023-7 Collection Account pursuant to Section 2.5(a) or amounts are deposited in the Series 2023-7 Distribution Account pursuant to Section 2.5(b), (c), (d) or (e)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D Noteholder from the Series 2023-7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2023-7 Controlled Amortization Period or to the extent necessary to pay the Class D Invested Amount during the Series 2023-7 Rapid Amortization Period.</w:t>
      </w:r>
    </w:p>
    <w:p>
      <w:pPr>
        <w:spacing w:after="0" w:line="195"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6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R Notes</w:t>
      </w:r>
      <w:r>
        <w:rPr>
          <w:rFonts w:ascii="Times New Roman" w:cs="Times New Roman" w:eastAsia="Times New Roman" w:hAnsi="Times New Roman"/>
          <w:sz w:val="22"/>
          <w:szCs w:val="22"/>
          <w:color w:val="auto"/>
        </w:rPr>
        <w:t xml:space="preserve">. On each Distribution Date occurring on or after the date a withdrawal is made from the Series 2023-7 Collection Account pursuant to Section 2.5(a)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R Noteholder from the Series 2023-7 Distribution Account the amount deposited therein pursuant to Section 2.5(a) less the aggregate amount applied to make the payments required pursuant to Section 2.5(f)(i), Section 2.5(f)(ii), Section 2.5(f)(iii) and Section 2.5(f)(iv), to the extent necessary to pay the Class R Controlled Amortization Amount during the Series 2023-7 Controlled Amortization Period or to the extent necessary to pay the Class R Invested Amount during the Series 2023-7 Rapid Amortization Period.</w:t>
      </w:r>
    </w:p>
    <w:p>
      <w:pPr>
        <w:spacing w:after="0" w:line="18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Administrator’s Failure to Instruct the Trustee to Make a Deposit, Draw or Payment</w:t>
      </w:r>
      <w:r>
        <w:rPr>
          <w:rFonts w:ascii="Times New Roman" w:cs="Times New Roman" w:eastAsia="Times New Roman" w:hAnsi="Times New Roman"/>
          <w:sz w:val="21"/>
          <w:szCs w:val="21"/>
          <w:color w:val="auto"/>
        </w:rPr>
        <w:t xml:space="preserve">. If the Administrator fails to give notice or instructions to make (i) any payment from or deposit into the Collection Account, (ii) any draw on the Series 2023-7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2023-7 Demand Notes or the Multi-Series Letters of Credit, or such withdrawal from such Account, in each case without such notice or instruction from the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Administrator, upon</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ectPr>
          <w:pgSz w:w="11900" w:h="16838" w:orient="portrait"/>
          <w:cols w:equalWidth="0" w:num="1">
            <w:col w:w="11240"/>
          </w:cols>
          <w:pgMar w:left="320" w:top="1030" w:right="339" w:bottom="1440" w:gutter="0" w:footer="0" w:header="0"/>
        </w:sectPr>
      </w:pPr>
    </w:p>
    <w:bookmarkStart w:id="195" w:name="page196"/>
    <w:bookmarkEnd w:id="195"/>
    <w:p>
      <w:pPr>
        <w:jc w:val="both"/>
        <w:spacing w:after="0" w:line="256" w:lineRule="auto"/>
        <w:rPr>
          <w:sz w:val="20"/>
          <w:szCs w:val="20"/>
          <w:color w:val="auto"/>
        </w:rPr>
      </w:pPr>
      <w:r>
        <w:rPr>
          <w:rFonts w:ascii="Times New Roman" w:cs="Times New Roman" w:eastAsia="Times New Roman" w:hAnsi="Times New Roman"/>
          <w:sz w:val="22"/>
          <w:szCs w:val="22"/>
          <w:color w:val="auto"/>
        </w:rPr>
        <w:t>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Series 2023-7 Reserve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Establishment of Class A/B/C Reserve Account</w:t>
      </w:r>
      <w:r>
        <w:rPr>
          <w:rFonts w:ascii="Times New Roman" w:cs="Times New Roman" w:eastAsia="Times New Roman" w:hAnsi="Times New Roman"/>
          <w:sz w:val="21"/>
          <w:szCs w:val="21"/>
          <w:color w:val="auto"/>
        </w:rPr>
        <w:t>. ABRCF has established and shall maintain in the name of the Series 2023-7 Agent for the benefit of the Class A Noteholders, the Class B Noteholders, the Class C Noteholders and the Class D Noteholders, or cause to be established and maintained, an account (the “</w:t>
      </w:r>
      <w:r>
        <w:rPr>
          <w:rFonts w:ascii="Times New Roman" w:cs="Times New Roman" w:eastAsia="Times New Roman" w:hAnsi="Times New Roman"/>
          <w:sz w:val="21"/>
          <w:szCs w:val="21"/>
          <w:u w:val="single" w:color="auto"/>
          <w:color w:val="auto"/>
        </w:rPr>
        <w:t>Class A/B/C Reserve Account</w:t>
      </w:r>
      <w:r>
        <w:rPr>
          <w:rFonts w:ascii="Times New Roman" w:cs="Times New Roman" w:eastAsia="Times New Roman" w:hAnsi="Times New Roman"/>
          <w:sz w:val="21"/>
          <w:szCs w:val="21"/>
          <w:color w:val="auto"/>
        </w:rPr>
        <w:t xml:space="preserve">”), bearing a designation clearly indicating that the funds deposited therein are held for the benefit of the Series 2023-7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w:t>
      </w:r>
    </w:p>
    <w:p>
      <w:pPr>
        <w:spacing w:after="0" w:line="3" w:lineRule="exact"/>
        <w:rPr>
          <w:sz w:val="20"/>
          <w:szCs w:val="20"/>
          <w:color w:val="auto"/>
        </w:rPr>
      </w:pPr>
    </w:p>
    <w:p>
      <w:pPr>
        <w:jc w:val="both"/>
        <w:ind w:firstLine="8"/>
        <w:spacing w:after="0" w:line="249" w:lineRule="auto"/>
        <w:tabs>
          <w:tab w:leader="none" w:pos="426"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2023-7 Agent in writing to transfer all cash and investments from the non-qualifying Class A/B/C Reserve Account into the new Class A/B/C Reserve Account. The Class A/B/C Reserve Account has initially been established with The Bank of New York Mellon Trust Company, N.A.</w:t>
      </w:r>
    </w:p>
    <w:p>
      <w:pPr>
        <w:spacing w:after="0" w:line="181"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66"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A/B/C Reserve Account</w:t>
      </w:r>
      <w:r>
        <w:rPr>
          <w:rFonts w:ascii="Times New Roman" w:cs="Times New Roman" w:eastAsia="Times New Roman" w:hAnsi="Times New Roman"/>
          <w:sz w:val="21"/>
          <w:szCs w:val="21"/>
          <w:color w:val="auto"/>
        </w:rPr>
        <w:t xml:space="preserve">. The Administrator may instruct the institution maintaining the Class A/B/C Reserve Account to invest funds on deposit in the Class A/B/C Reserve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 on or prior to such Distribution Date;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the case of Permitted Investments held in the Series 2023-7 Reserve Account and so long as any Series 2023-7 Note is rated by Fitch (x) any Permitted Investment set forth in clauses (ii), (iii), (vi) and (vii) of the definition thereof will have a rating of “AA-” or “F1+” by Fitch and</w:t>
      </w:r>
    </w:p>
    <w:p>
      <w:pPr>
        <w:spacing w:after="0" w:line="4" w:lineRule="exact"/>
        <w:rPr>
          <w:rFonts w:ascii="Times New Roman" w:cs="Times New Roman" w:eastAsia="Times New Roman" w:hAnsi="Times New Roman"/>
          <w:sz w:val="21"/>
          <w:szCs w:val="21"/>
          <w:color w:val="auto"/>
        </w:rPr>
      </w:pPr>
    </w:p>
    <w:p>
      <w:pPr>
        <w:jc w:val="both"/>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w:t>
      </w:r>
    </w:p>
    <w:p>
      <w:pPr>
        <w:spacing w:after="0" w:line="200" w:lineRule="exact"/>
        <w:rPr>
          <w:sz w:val="20"/>
          <w:szCs w:val="20"/>
          <w:color w:val="auto"/>
        </w:rPr>
      </w:pP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bl>
    <w:p>
      <w:pPr>
        <w:sectPr>
          <w:pgSz w:w="11900" w:h="16838" w:orient="portrait"/>
          <w:cols w:equalWidth="0" w:num="1">
            <w:col w:w="11240"/>
          </w:cols>
          <w:pgMar w:left="320" w:top="1030" w:right="339" w:bottom="1440" w:gutter="0" w:footer="0" w:header="0"/>
        </w:sectPr>
      </w:pPr>
    </w:p>
    <w:bookmarkStart w:id="196" w:name="page197"/>
    <w:bookmarkEnd w:id="196"/>
    <w:p>
      <w:pPr>
        <w:jc w:val="both"/>
        <w:spacing w:after="0" w:line="256" w:lineRule="auto"/>
        <w:rPr>
          <w:sz w:val="20"/>
          <w:szCs w:val="20"/>
          <w:color w:val="auto"/>
        </w:rPr>
      </w:pPr>
      <w:r>
        <w:rPr>
          <w:rFonts w:ascii="Times New Roman" w:cs="Times New Roman" w:eastAsia="Times New Roman" w:hAnsi="Times New Roman"/>
          <w:sz w:val="22"/>
          <w:szCs w:val="22"/>
          <w:color w:val="auto"/>
        </w:rPr>
        <w:t>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spacing w:after="0" w:line="176" w:lineRule="exact"/>
        <w:rPr>
          <w:sz w:val="20"/>
          <w:szCs w:val="20"/>
          <w:color w:val="auto"/>
        </w:rPr>
      </w:pPr>
    </w:p>
    <w:p>
      <w:pPr>
        <w:jc w:val="both"/>
        <w:ind w:firstLine="1304"/>
        <w:spacing w:after="0" w:line="257" w:lineRule="auto"/>
        <w:tabs>
          <w:tab w:leader="none" w:pos="191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Class A/B/C Reserve Account</w:t>
      </w:r>
      <w:r>
        <w:rPr>
          <w:rFonts w:ascii="Times New Roman" w:cs="Times New Roman" w:eastAsia="Times New Roman" w:hAnsi="Times New Roman"/>
          <w:sz w:val="22"/>
          <w:szCs w:val="22"/>
          <w:color w:val="auto"/>
        </w:rPr>
        <w:t>. All interest and earnings (net of losses and investment expenses) paid on funds on deposit in the Class A/B/C Reserve Account shall be deemed to be on deposit therein and available for distribution.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0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A/B/C Reserve Account Constitutes Additional Collateral for Series 2023-7 Senior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2023-7 Senior Notes, ABRCF hereby grants a security interest in and assigns, pledges, grants, transfers and sets over to the Trustee, for the benefit of the Series 2023-7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A/B/C Reserve Account Collateral</w:t>
      </w:r>
      <w:r>
        <w:rPr>
          <w:rFonts w:ascii="Times New Roman" w:cs="Times New Roman" w:eastAsia="Times New Roman" w:hAnsi="Times New Roman"/>
          <w:sz w:val="21"/>
          <w:szCs w:val="21"/>
          <w:color w:val="auto"/>
        </w:rPr>
        <w:t>”).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2023-7 Noteholders. The Series 2023-7 Agent 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spacing w:after="0" w:line="200" w:lineRule="exact"/>
        <w:rPr>
          <w:rFonts w:ascii="Times New Roman" w:cs="Times New Roman" w:eastAsia="Times New Roman" w:hAnsi="Times New Roman"/>
          <w:sz w:val="21"/>
          <w:szCs w:val="21"/>
          <w:color w:val="auto"/>
        </w:rPr>
      </w:pPr>
    </w:p>
    <w:p>
      <w:pPr>
        <w:spacing w:after="0" w:line="231" w:lineRule="exact"/>
        <w:rPr>
          <w:rFonts w:ascii="Times New Roman" w:cs="Times New Roman" w:eastAsia="Times New Roman" w:hAnsi="Times New Roman"/>
          <w:sz w:val="21"/>
          <w:szCs w:val="21"/>
          <w:color w:val="auto"/>
        </w:rPr>
      </w:pPr>
    </w:p>
    <w:p>
      <w:pPr>
        <w:jc w:val="both"/>
        <w:ind w:firstLine="1304"/>
        <w:spacing w:after="0" w:line="251" w:lineRule="auto"/>
        <w:tabs>
          <w:tab w:leader="none" w:pos="180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In the event that the Class A/B/C Reserve Account Surplus on any Distribution Date, after giving effect to all withdrawals from the Class A/B/C Reserve Account, is greater than zero, if no Series 2023-7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ectPr>
          <w:pgSz w:w="11900" w:h="16838" w:orient="portrait"/>
          <w:cols w:equalWidth="0" w:num="1">
            <w:col w:w="11240"/>
          </w:cols>
          <w:pgMar w:left="320" w:top="1030" w:right="339" w:bottom="1440" w:gutter="0" w:footer="0" w:header="0"/>
        </w:sectPr>
      </w:pPr>
    </w:p>
    <w:bookmarkStart w:id="197" w:name="page198"/>
    <w:bookmarkEnd w:id="197"/>
    <w:p>
      <w:pPr>
        <w:spacing w:after="0" w:line="271" w:lineRule="auto"/>
        <w:rPr>
          <w:sz w:val="20"/>
          <w:szCs w:val="20"/>
          <w:color w:val="auto"/>
        </w:rPr>
      </w:pPr>
      <w:r>
        <w:rPr>
          <w:rFonts w:ascii="Times New Roman" w:cs="Times New Roman" w:eastAsia="Times New Roman" w:hAnsi="Times New Roman"/>
          <w:sz w:val="22"/>
          <w:szCs w:val="22"/>
          <w:color w:val="auto"/>
        </w:rPr>
        <w:t>excess, if any, of the Class D Required Liquidity Amount as of such date over the Class D Liquidity Amount as of such date to the Class D Reserve Account and (ii) pay any remaining Class A/B/C Reserve Account Surplus to ABRCF.</w:t>
      </w:r>
    </w:p>
    <w:p>
      <w:pPr>
        <w:spacing w:after="0" w:line="171" w:lineRule="exact"/>
        <w:rPr>
          <w:sz w:val="20"/>
          <w:szCs w:val="20"/>
          <w:color w:val="auto"/>
        </w:rPr>
      </w:pPr>
    </w:p>
    <w:p>
      <w:pPr>
        <w:jc w:val="both"/>
        <w:ind w:firstLine="1304"/>
        <w:spacing w:after="0" w:line="250" w:lineRule="auto"/>
        <w:tabs>
          <w:tab w:leader="none" w:pos="172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Class A/B/C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spacing w:after="0" w:line="19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Reserve Account</w:t>
      </w:r>
      <w:r>
        <w:rPr>
          <w:rFonts w:ascii="Times New Roman" w:cs="Times New Roman" w:eastAsia="Times New Roman" w:hAnsi="Times New Roman"/>
          <w:sz w:val="22"/>
          <w:szCs w:val="22"/>
          <w:color w:val="auto"/>
        </w:rPr>
        <w:t>. ABRCF shall establish and maintain in the name of the Series 2023-7 Agent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2023-7 Agent in writing to transfer all cash and investments from the non-qualifying Class D Reserve Account into the new Class D Reserve Account. Initially, the Class D Reserve Account will be established with The Bank of New York Mellon Trust Company, N.A.</w:t>
      </w:r>
    </w:p>
    <w:p>
      <w:pPr>
        <w:spacing w:after="0" w:line="192"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91"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D Reserve Account</w:t>
      </w:r>
      <w:r>
        <w:rPr>
          <w:rFonts w:ascii="Times New Roman" w:cs="Times New Roman" w:eastAsia="Times New Roman" w:hAnsi="Times New Roman"/>
          <w:sz w:val="21"/>
          <w:szCs w:val="21"/>
          <w:color w:val="auto"/>
        </w:rPr>
        <w:t xml:space="preserve">. The Administrator may instruct the institution maintaining the Class D Reserve Account to invest funds on deposit in the Class D Reserve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w:t>
      </w:r>
    </w:p>
    <w:p>
      <w:pPr>
        <w:spacing w:after="0" w:line="200" w:lineRule="exact"/>
        <w:rPr>
          <w:sz w:val="20"/>
          <w:szCs w:val="20"/>
          <w:color w:val="auto"/>
        </w:rPr>
      </w:pPr>
    </w:p>
    <w:p>
      <w:pPr>
        <w:spacing w:after="0" w:line="26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bl>
    <w:p>
      <w:pPr>
        <w:sectPr>
          <w:pgSz w:w="11900" w:h="16838" w:orient="portrait"/>
          <w:cols w:equalWidth="0" w:num="1">
            <w:col w:w="11240"/>
          </w:cols>
          <w:pgMar w:left="320" w:top="1030" w:right="339" w:bottom="1440" w:gutter="0" w:footer="0" w:header="0"/>
        </w:sectPr>
      </w:pPr>
    </w:p>
    <w:bookmarkStart w:id="198" w:name="page199"/>
    <w:bookmarkEnd w:id="198"/>
    <w:p>
      <w:pPr>
        <w:spacing w:after="0" w:line="271" w:lineRule="auto"/>
        <w:rPr>
          <w:sz w:val="20"/>
          <w:szCs w:val="20"/>
          <w:color w:val="auto"/>
        </w:rPr>
      </w:pPr>
      <w:r>
        <w:rPr>
          <w:rFonts w:ascii="Times New Roman" w:cs="Times New Roman" w:eastAsia="Times New Roman" w:hAnsi="Times New Roman"/>
          <w:sz w:val="22"/>
          <w:szCs w:val="22"/>
          <w:color w:val="auto"/>
        </w:rPr>
        <w:t>Permitted Investments. In the absence of written investment instructions hereunder, funds on deposit in the Class D Reserve Account shall remain uninvested.</w:t>
      </w:r>
    </w:p>
    <w:p>
      <w:pPr>
        <w:spacing w:after="0" w:line="171" w:lineRule="exact"/>
        <w:rPr>
          <w:sz w:val="20"/>
          <w:szCs w:val="20"/>
          <w:color w:val="auto"/>
        </w:rPr>
      </w:pPr>
    </w:p>
    <w:p>
      <w:pPr>
        <w:ind w:firstLine="1304"/>
        <w:spacing w:after="0" w:line="295" w:lineRule="auto"/>
        <w:tabs>
          <w:tab w:leader="none" w:pos="177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Earnings from Class D Reserve Account</w:t>
      </w:r>
      <w:r>
        <w:rPr>
          <w:rFonts w:ascii="Times New Roman" w:cs="Times New Roman" w:eastAsia="Times New Roman" w:hAnsi="Times New Roman"/>
          <w:sz w:val="21"/>
          <w:szCs w:val="21"/>
          <w:color w:val="auto"/>
        </w:rPr>
        <w:t>. All interest and earnings (net of losses and investment expenses) paid on funds on deposit in the Class D Reserve Account shall be deemed to be on deposit therein and available for distribution.</w:t>
      </w:r>
    </w:p>
    <w:p>
      <w:pPr>
        <w:spacing w:after="0" w:line="135" w:lineRule="exact"/>
        <w:rPr>
          <w:rFonts w:ascii="Times New Roman" w:cs="Times New Roman" w:eastAsia="Times New Roman" w:hAnsi="Times New Roman"/>
          <w:sz w:val="21"/>
          <w:szCs w:val="21"/>
          <w:color w:val="auto"/>
        </w:rPr>
      </w:pPr>
    </w:p>
    <w:p>
      <w:pPr>
        <w:jc w:val="both"/>
        <w:ind w:firstLine="1304"/>
        <w:spacing w:after="0" w:line="259" w:lineRule="auto"/>
        <w:tabs>
          <w:tab w:leader="none" w:pos="1729"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Reserve Account Constitutes Additional Collateral for Class D Notes</w:t>
      </w:r>
      <w:r>
        <w:rPr>
          <w:rFonts w:ascii="Times New Roman" w:cs="Times New Roman" w:eastAsia="Times New Roman" w:hAnsi="Times New Roman"/>
          <w:sz w:val="21"/>
          <w:szCs w:val="21"/>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w:t>
      </w:r>
    </w:p>
    <w:p>
      <w:pPr>
        <w:spacing w:after="0" w:line="5" w:lineRule="exact"/>
        <w:rPr>
          <w:rFonts w:ascii="Times New Roman" w:cs="Times New Roman" w:eastAsia="Times New Roman" w:hAnsi="Times New Roman"/>
          <w:sz w:val="21"/>
          <w:szCs w:val="21"/>
          <w:color w:val="auto"/>
        </w:rPr>
      </w:pPr>
    </w:p>
    <w:p>
      <w:pPr>
        <w:jc w:val="both"/>
        <w:ind w:firstLine="8"/>
        <w:spacing w:after="0" w:line="247" w:lineRule="auto"/>
        <w:tabs>
          <w:tab w:leader="none" w:pos="259"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(vi) are referred to, collectively, as the “</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2023-7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spacing w:after="0" w:line="184" w:lineRule="exact"/>
        <w:rPr>
          <w:rFonts w:ascii="Times New Roman" w:cs="Times New Roman" w:eastAsia="Times New Roman" w:hAnsi="Times New Roman"/>
          <w:sz w:val="22"/>
          <w:szCs w:val="22"/>
          <w:color w:val="auto"/>
        </w:rPr>
      </w:pPr>
    </w:p>
    <w:p>
      <w:pPr>
        <w:jc w:val="both"/>
        <w:ind w:firstLine="1304"/>
        <w:spacing w:after="0" w:line="260" w:lineRule="auto"/>
        <w:tabs>
          <w:tab w:leader="none" w:pos="1764" w:val="left"/>
        </w:tabs>
        <w:numPr>
          <w:ilvl w:val="1"/>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Reserve Account Surplus</w:t>
      </w:r>
      <w:r>
        <w:rPr>
          <w:rFonts w:ascii="Times New Roman" w:cs="Times New Roman" w:eastAsia="Times New Roman" w:hAnsi="Times New Roman"/>
          <w:sz w:val="21"/>
          <w:szCs w:val="21"/>
          <w:color w:val="auto"/>
        </w:rPr>
        <w:t>. In the event that the Class D Reserve Account Surplus on any Distribution Date, after giving effect to all withdrawals from the Class D Reserve Account, is greater than zero, if no Series 2023-7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ABRCF.</w:t>
      </w:r>
    </w:p>
    <w:p>
      <w:pPr>
        <w:spacing w:after="0" w:line="207" w:lineRule="exact"/>
        <w:rPr>
          <w:rFonts w:ascii="Times New Roman" w:cs="Times New Roman" w:eastAsia="Times New Roman" w:hAnsi="Times New Roman"/>
          <w:sz w:val="21"/>
          <w:szCs w:val="21"/>
          <w:color w:val="auto"/>
        </w:rPr>
      </w:pPr>
    </w:p>
    <w:p>
      <w:pPr>
        <w:jc w:val="both"/>
        <w:ind w:firstLine="1304"/>
        <w:spacing w:after="0" w:line="275" w:lineRule="auto"/>
        <w:tabs>
          <w:tab w:leader="none" w:pos="1743" w:val="left"/>
        </w:tabs>
        <w:numPr>
          <w:ilvl w:val="1"/>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Class D Reserve Account</w:t>
      </w:r>
      <w:r>
        <w:rPr>
          <w:rFonts w:ascii="Times New Roman" w:cs="Times New Roman" w:eastAsia="Times New Roman" w:hAnsi="Times New Roman"/>
          <w:sz w:val="21"/>
          <w:szCs w:val="21"/>
          <w:color w:val="auto"/>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w:t>
      </w:r>
    </w:p>
    <w:p>
      <w:pPr>
        <w:spacing w:after="0" w:line="200" w:lineRule="exact"/>
        <w:rPr>
          <w:sz w:val="20"/>
          <w:szCs w:val="20"/>
          <w:color w:val="auto"/>
        </w:r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bl>
    <w:p>
      <w:pPr>
        <w:sectPr>
          <w:pgSz w:w="11900" w:h="16838" w:orient="portrait"/>
          <w:cols w:equalWidth="0" w:num="1">
            <w:col w:w="11240"/>
          </w:cols>
          <w:pgMar w:left="320" w:top="1030"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2"/>
          <w:szCs w:val="22"/>
          <w:color w:val="auto"/>
        </w:rPr>
        <w:t>withdraw from the Class D Reserve Account all amounts on deposit therein for payment to ABRCF.</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u w:val="single" w:color="auto"/>
          <w:color w:val="auto"/>
        </w:rPr>
        <w:t>Multi-Series Letters of Credit and Series 2023-7 Cash Collateral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Multi-Series Letters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Credit and Series 2023-7 Cash Collateral Account Constitute Additional Collateral for Series 2023-7 Senior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2023-7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w:t>
      </w:r>
    </w:p>
    <w:p>
      <w:pPr>
        <w:spacing w:after="0" w:line="2" w:lineRule="exact"/>
        <w:rPr>
          <w:sz w:val="20"/>
          <w:szCs w:val="20"/>
          <w:color w:val="auto"/>
        </w:rPr>
      </w:pPr>
    </w:p>
    <w:p>
      <w:pPr>
        <w:jc w:val="both"/>
        <w:ind w:firstLine="8"/>
        <w:spacing w:after="0" w:line="258" w:lineRule="auto"/>
        <w:tabs>
          <w:tab w:leader="none" w:pos="395"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Class A/B/C Cash Collateral Account Collateral</w:t>
      </w:r>
      <w:r>
        <w:rPr>
          <w:rFonts w:ascii="Times New Roman" w:cs="Times New Roman" w:eastAsia="Times New Roman" w:hAnsi="Times New Roman"/>
          <w:sz w:val="21"/>
          <w:szCs w:val="21"/>
          <w:color w:val="auto"/>
        </w:rPr>
        <w:t>”).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2023-7 Agent hereby agrees (i) to act as the securities 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spacing w:after="0" w:line="176" w:lineRule="exact"/>
        <w:rPr>
          <w:rFonts w:ascii="Times New Roman" w:cs="Times New Roman" w:eastAsia="Times New Roman" w:hAnsi="Times New Roman"/>
          <w:sz w:val="21"/>
          <w:szCs w:val="21"/>
          <w:color w:val="auto"/>
        </w:rPr>
      </w:pPr>
    </w:p>
    <w:p>
      <w:pPr>
        <w:jc w:val="both"/>
        <w:ind w:firstLine="1304"/>
        <w:spacing w:after="0" w:line="250" w:lineRule="auto"/>
        <w:tabs>
          <w:tab w:leader="none" w:pos="1791"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Letters of Credit and Class D Cash Collateral Account Constitute Additional Collateral for Class D Notes</w:t>
      </w:r>
      <w:r>
        <w:rPr>
          <w:rFonts w:ascii="Times New Roman" w:cs="Times New Roman" w:eastAsia="Times New Roman" w:hAnsi="Times New Roman"/>
          <w:sz w:val="22"/>
          <w:szCs w:val="22"/>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of Credit related to supporting another Series of Notes); (ii) the Class D Cash Collateral Account, including any security entitlement thereto; (iii) all funds on deposit in the Class D Cash Collateral</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bl>
    <w:p>
      <w:pPr>
        <w:sectPr>
          <w:pgSz w:w="11900" w:h="16838" w:orient="portrait"/>
          <w:cols w:equalWidth="0" w:num="1">
            <w:col w:w="11240"/>
          </w:cols>
          <w:pgMar w:left="320" w:top="1030" w:right="339" w:bottom="1440" w:gutter="0" w:footer="0" w:header="0"/>
        </w:sectPr>
      </w:pPr>
    </w:p>
    <w:bookmarkStart w:id="200" w:name="page201"/>
    <w:bookmarkEnd w:id="200"/>
    <w:p>
      <w:pPr>
        <w:jc w:val="both"/>
        <w:spacing w:after="0" w:line="260" w:lineRule="auto"/>
        <w:rPr>
          <w:sz w:val="20"/>
          <w:szCs w:val="20"/>
          <w:color w:val="auto"/>
        </w:rPr>
      </w:pPr>
      <w:r>
        <w:rPr>
          <w:rFonts w:ascii="Times New Roman" w:cs="Times New Roman" w:eastAsia="Times New Roman" w:hAnsi="Times New Roman"/>
          <w:sz w:val="21"/>
          <w:szCs w:val="21"/>
          <w:color w:val="auto"/>
        </w:rPr>
        <w:t>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 Cash Collateral Account Collateral</w:t>
      </w:r>
      <w:r>
        <w:rPr>
          <w:rFonts w:ascii="Times New Roman" w:cs="Times New Roman" w:eastAsia="Times New Roman" w:hAnsi="Times New Roman"/>
          <w:sz w:val="21"/>
          <w:szCs w:val="21"/>
          <w:color w:val="auto"/>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2023-7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spacing w:after="0" w:line="175" w:lineRule="exact"/>
        <w:rPr>
          <w:sz w:val="20"/>
          <w:szCs w:val="20"/>
          <w:color w:val="auto"/>
        </w:rPr>
      </w:pPr>
    </w:p>
    <w:p>
      <w:pPr>
        <w:jc w:val="both"/>
        <w:ind w:firstLine="1304"/>
        <w:spacing w:after="0" w:line="247" w:lineRule="auto"/>
        <w:tabs>
          <w:tab w:leader="none" w:pos="1819"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Expiration Date</w:t>
      </w:r>
      <w:r>
        <w:rPr>
          <w:rFonts w:ascii="Times New Roman" w:cs="Times New Roman" w:eastAsia="Times New Roman" w:hAnsi="Times New Roman"/>
          <w:sz w:val="22"/>
          <w:szCs w:val="22"/>
          <w:color w:val="auto"/>
        </w:rPr>
        <w:t>.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2023-7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2023-7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Enhancement Amount, excluding the amount allocated to the Class A/B/C Notes and available under such expiring Multi-Series Letter of Credit but taking into account the amount allocated to</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bl>
    <w:p>
      <w:pPr>
        <w:sectPr>
          <w:pgSz w:w="11900" w:h="16838" w:orient="portrait"/>
          <w:cols w:equalWidth="0" w:num="1">
            <w:col w:w="11240"/>
          </w:cols>
          <w:pgMar w:left="320" w:top="1030" w:right="339" w:bottom="1440" w:gutter="0" w:footer="0" w:header="0"/>
        </w:sectPr>
      </w:pPr>
    </w:p>
    <w:bookmarkStart w:id="201" w:name="page202"/>
    <w:bookmarkEnd w:id="201"/>
    <w:p>
      <w:pPr>
        <w:jc w:val="both"/>
        <w:spacing w:after="0" w:line="248" w:lineRule="auto"/>
        <w:rPr>
          <w:sz w:val="20"/>
          <w:szCs w:val="20"/>
          <w:color w:val="auto"/>
        </w:rPr>
      </w:pPr>
      <w:r>
        <w:rPr>
          <w:rFonts w:ascii="Times New Roman" w:cs="Times New Roman" w:eastAsia="Times New Roman" w:hAnsi="Times New Roman"/>
          <w:sz w:val="22"/>
          <w:szCs w:val="22"/>
          <w:color w:val="auto"/>
        </w:rPr>
        <w:t>the Class A/B/C Notes under any substitute Multi-Series Letter of Credit which has been obtained from a Series 2023-7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2023-7 Eligible Letter of Credit Provider and is in full force and effect, on such date, and (y) 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spacing w:after="0" w:line="18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spacing w:after="0" w:line="179" w:lineRule="exact"/>
        <w:rPr>
          <w:sz w:val="20"/>
          <w:szCs w:val="20"/>
          <w:color w:val="auto"/>
        </w:rPr>
      </w:pPr>
    </w:p>
    <w:p>
      <w:pPr>
        <w:jc w:val="both"/>
        <w:ind w:firstLine="1304"/>
        <w:spacing w:after="0" w:line="262" w:lineRule="auto"/>
        <w:tabs>
          <w:tab w:leader="none" w:pos="1899"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 of Credit Expiration Date</w:t>
      </w:r>
      <w:r>
        <w:rPr>
          <w:rFonts w:ascii="Times New Roman" w:cs="Times New Roman" w:eastAsia="Times New Roman" w:hAnsi="Times New Roman"/>
          <w:sz w:val="21"/>
          <w:szCs w:val="21"/>
          <w:color w:val="auto"/>
        </w:rPr>
        <w:t>.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2023-7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w:t>
      </w:r>
    </w:p>
    <w:p>
      <w:pPr>
        <w:spacing w:after="0" w:line="1" w:lineRule="exact"/>
        <w:rPr>
          <w:rFonts w:ascii="Times New Roman" w:cs="Times New Roman" w:eastAsia="Times New Roman" w:hAnsi="Times New Roman"/>
          <w:sz w:val="21"/>
          <w:szCs w:val="21"/>
          <w:color w:val="auto"/>
        </w:rPr>
      </w:pPr>
    </w:p>
    <w:p>
      <w:pPr>
        <w:jc w:val="both"/>
        <w:ind w:firstLine="8"/>
        <w:spacing w:after="0" w:line="256" w:lineRule="auto"/>
        <w:tabs>
          <w:tab w:leader="none" w:pos="313"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2023-7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w:t>
      </w:r>
    </w:p>
    <w:p>
      <w:pPr>
        <w:spacing w:after="0" w:line="5" w:lineRule="exact"/>
        <w:rPr>
          <w:rFonts w:ascii="Times New Roman" w:cs="Times New Roman" w:eastAsia="Times New Roman" w:hAnsi="Times New Roman"/>
          <w:sz w:val="21"/>
          <w:szCs w:val="21"/>
          <w:color w:val="auto"/>
        </w:rPr>
      </w:pPr>
    </w:p>
    <w:p>
      <w:pPr>
        <w:jc w:val="both"/>
        <w:ind w:firstLine="8"/>
        <w:spacing w:after="0" w:line="245" w:lineRule="auto"/>
        <w:tabs>
          <w:tab w:leader="none" w:pos="319"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such Multi-Series Letter of Credit Expiration Date of (x) the greater of (A) the excess, if any, of the Class D Required Enhancement Amount over the Class D Enhancement Amount, excluding the amount allocated to the Class D Notes and available under such expiring Multi-Series Letter of Credit but taking into account the</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bl>
    <w:p>
      <w:pPr>
        <w:sectPr>
          <w:pgSz w:w="11900" w:h="16838" w:orient="portrait"/>
          <w:cols w:equalWidth="0" w:num="1">
            <w:col w:w="11240"/>
          </w:cols>
          <w:pgMar w:left="320" w:top="1030" w:right="339" w:bottom="1440" w:gutter="0" w:footer="0" w:header="0"/>
        </w:sectPr>
      </w:pPr>
    </w:p>
    <w:bookmarkStart w:id="202" w:name="page203"/>
    <w:bookmarkEnd w:id="202"/>
    <w:p>
      <w:pPr>
        <w:jc w:val="both"/>
        <w:spacing w:after="0" w:line="248" w:lineRule="auto"/>
        <w:rPr>
          <w:sz w:val="20"/>
          <w:szCs w:val="20"/>
          <w:color w:val="auto"/>
        </w:rPr>
      </w:pPr>
      <w:r>
        <w:rPr>
          <w:rFonts w:ascii="Times New Roman" w:cs="Times New Roman" w:eastAsia="Times New Roman" w:hAnsi="Times New Roman"/>
          <w:sz w:val="22"/>
          <w:szCs w:val="22"/>
          <w:color w:val="auto"/>
        </w:rPr>
        <w:t>amount allocated to the Class D Notes under any substitute Multi-Series Letter of Credit which has been obtained from a Series 2023-7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2023-7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spacing w:after="0" w:line="18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spacing w:after="0" w:line="179" w:lineRule="exact"/>
        <w:rPr>
          <w:sz w:val="20"/>
          <w:szCs w:val="20"/>
          <w:color w:val="auto"/>
        </w:rPr>
      </w:pPr>
    </w:p>
    <w:p>
      <w:pPr>
        <w:jc w:val="both"/>
        <w:ind w:firstLine="1304"/>
        <w:spacing w:after="0" w:line="259" w:lineRule="auto"/>
        <w:tabs>
          <w:tab w:leader="none" w:pos="1779"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Multi-Series Letter of Credit Providers</w:t>
      </w:r>
      <w:r>
        <w:rPr>
          <w:rFonts w:ascii="Times New Roman" w:cs="Times New Roman" w:eastAsia="Times New Roman" w:hAnsi="Times New Roman"/>
          <w:sz w:val="21"/>
          <w:szCs w:val="21"/>
          <w:color w:val="auto"/>
        </w:rPr>
        <w:t>.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 Class A/B/C Required Enhancement Amount over the Class A/B/C Enhancement Amount, excluding the available amount allocated to the Class A/B/C Notes under the Multi-Series Letter of Credit issued by such Multi-Series Letter of Credit Provider, on such date, and (B) the excess, if any, of the Class A/B/C Required Liquidity Amount over the Class A/B/C Liquidity Amount, excluding the available amount allocated to the Class A/B/C Notes under such Multi-Series Letter of Credit, on such date, and</w:t>
      </w:r>
    </w:p>
    <w:p>
      <w:pPr>
        <w:spacing w:after="0" w:line="10" w:lineRule="exact"/>
        <w:rPr>
          <w:rFonts w:ascii="Times New Roman" w:cs="Times New Roman" w:eastAsia="Times New Roman" w:hAnsi="Times New Roman"/>
          <w:sz w:val="21"/>
          <w:szCs w:val="21"/>
          <w:color w:val="auto"/>
        </w:rPr>
      </w:pPr>
    </w:p>
    <w:p>
      <w:pPr>
        <w:jc w:val="both"/>
        <w:ind w:firstLine="8"/>
        <w:spacing w:after="0" w:line="246" w:lineRule="auto"/>
        <w:tabs>
          <w:tab w:leader="none" w:pos="328"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Amount, excluding the available amount allocated to the Class D Notes under such Multi-Series Letter of Credit, on such date, and (ii) the amount allocated to the Class D Notes and available to</w:t>
      </w:r>
    </w:p>
    <w:p>
      <w:pPr>
        <w:spacing w:after="0" w:line="200" w:lineRule="exact"/>
        <w:rPr>
          <w:sz w:val="20"/>
          <w:szCs w:val="20"/>
          <w:color w:val="auto"/>
        </w:rPr>
      </w:pPr>
    </w:p>
    <w:p>
      <w:pPr>
        <w:spacing w:after="0" w:line="28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ectPr>
          <w:pgSz w:w="11900" w:h="16838" w:orient="portrait"/>
          <w:cols w:equalWidth="0" w:num="1">
            <w:col w:w="11240"/>
          </w:cols>
          <w:pgMar w:left="320" w:top="1030" w:right="339" w:bottom="1440" w:gutter="0" w:footer="0" w:header="0"/>
        </w:sectPr>
      </w:pPr>
    </w:p>
    <w:bookmarkStart w:id="203" w:name="page204"/>
    <w:bookmarkEnd w:id="203"/>
    <w:p>
      <w:pPr>
        <w:jc w:val="both"/>
        <w:spacing w:after="0" w:line="262" w:lineRule="auto"/>
        <w:rPr>
          <w:sz w:val="20"/>
          <w:szCs w:val="20"/>
          <w:color w:val="auto"/>
        </w:rPr>
      </w:pPr>
      <w:r>
        <w:rPr>
          <w:rFonts w:ascii="Times New Roman" w:cs="Times New Roman" w:eastAsia="Times New Roman" w:hAnsi="Times New Roman"/>
          <w:sz w:val="21"/>
          <w:szCs w:val="21"/>
          <w:color w:val="auto"/>
        </w:rPr>
        <w:t>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spacing w:after="0" w:line="172" w:lineRule="exact"/>
        <w:rPr>
          <w:sz w:val="20"/>
          <w:szCs w:val="20"/>
          <w:color w:val="auto"/>
        </w:rPr>
      </w:pPr>
    </w:p>
    <w:p>
      <w:pPr>
        <w:jc w:val="both"/>
        <w:ind w:firstLine="1304"/>
        <w:spacing w:after="0" w:line="259" w:lineRule="auto"/>
        <w:tabs>
          <w:tab w:leader="none" w:pos="1768"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Date Demands on the Multi-Series Letters of Credit</w:t>
      </w:r>
      <w:r>
        <w:rPr>
          <w:rFonts w:ascii="Times New Roman" w:cs="Times New Roman" w:eastAsia="Times New Roman" w:hAnsi="Times New Roman"/>
          <w:sz w:val="21"/>
          <w:szCs w:val="21"/>
          <w:color w:val="auto"/>
        </w:rPr>
        <w:t xml:space="preserve">. Prior to 10:00 a.m. (New York City time) on the Business Day immediately succeeding the Multi-Series Letter of Credit Termination Date, the Administrator shall determine the Series 2023-7 Demand Note Payment Amount, if any, as of the Multi-Series Letter of Credit Termination Date and, if the Series 2023-7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2023-7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Class A/B/C Cash Collateral Account has been established and funded, the Trustee shall draw an amount equal to the product of (a) 100%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Class A/B/C Cash Collateral Percentage and (b) the lesser of the amounts referred to in clause (i) and (ii) on such Business Day on the Multi-Series Letters of Credit, as calculated by the Administrator and provided in writing to the Trustee and (II) on each such Multi-Series Letter of Credit allocable to the Class D Notes equal to the lesser of (i) the excess of</w:t>
      </w:r>
    </w:p>
    <w:p>
      <w:pPr>
        <w:spacing w:after="0" w:line="3" w:lineRule="exact"/>
        <w:rPr>
          <w:rFonts w:ascii="Times New Roman" w:cs="Times New Roman" w:eastAsia="Times New Roman" w:hAnsi="Times New Roman"/>
          <w:sz w:val="21"/>
          <w:szCs w:val="21"/>
          <w:color w:val="auto"/>
        </w:rPr>
      </w:pPr>
    </w:p>
    <w:p>
      <w:pPr>
        <w:jc w:val="both"/>
        <w:ind w:firstLine="8"/>
        <w:spacing w:after="0" w:line="245" w:lineRule="auto"/>
        <w:tabs>
          <w:tab w:leader="none" w:pos="30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Series 2023-7 Demand Note Payment Amount over (y) the amounts drawn on the Multi-Series Letter of Credit pursuant to this Section 2.8(f) that are allocable to the Class D Notes and (ii) the Class D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Class D Cash Collateral Account has been established and funded, the Trustee shall draw an amount equal to the product of (a)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D Cash Collateral Percentage and (b) the lesser of the amounts referred to in clause (i) and (ii) on such Business Day on the Multi-Series Letters of Credit, as calculated by the Administrator and provided in writing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bl>
    <w:p>
      <w:pPr>
        <w:sectPr>
          <w:pgSz w:w="11900" w:h="16838" w:orient="portrait"/>
          <w:cols w:equalWidth="0" w:num="1">
            <w:col w:w="11240"/>
          </w:cols>
          <w:pgMar w:left="320" w:top="1030" w:right="339" w:bottom="1440" w:gutter="0" w:footer="0" w:header="0"/>
        </w:sectPr>
      </w:pPr>
    </w:p>
    <w:bookmarkStart w:id="204" w:name="page205"/>
    <w:bookmarkEnd w:id="204"/>
    <w:p>
      <w:pPr>
        <w:jc w:val="both"/>
        <w:ind w:left="-80" w:firstLine="1304"/>
        <w:spacing w:after="0" w:line="249" w:lineRule="auto"/>
        <w:tabs>
          <w:tab w:leader="none" w:pos="177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the Multi-Series Letters of Credit</w:t>
      </w:r>
      <w:r>
        <w:rPr>
          <w:rFonts w:ascii="Times New Roman" w:cs="Times New Roman" w:eastAsia="Times New Roman" w:hAnsi="Times New Roman"/>
          <w:sz w:val="22"/>
          <w:szCs w:val="22"/>
          <w:color w:val="auto"/>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spacing w:after="0" w:line="183" w:lineRule="exact"/>
        <w:rPr>
          <w:rFonts w:ascii="Times New Roman" w:cs="Times New Roman" w:eastAsia="Times New Roman" w:hAnsi="Times New Roman"/>
          <w:sz w:val="22"/>
          <w:szCs w:val="22"/>
          <w:color w:val="auto"/>
        </w:rPr>
      </w:pPr>
    </w:p>
    <w:p>
      <w:pPr>
        <w:jc w:val="both"/>
        <w:ind w:left="-80" w:firstLine="1304"/>
        <w:spacing w:after="0" w:line="260" w:lineRule="auto"/>
        <w:tabs>
          <w:tab w:leader="none" w:pos="1792"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Establishment of Class A/B/C Cash Collateral Account</w:t>
      </w:r>
      <w:r>
        <w:rPr>
          <w:rFonts w:ascii="Times New Roman" w:cs="Times New Roman" w:eastAsia="Times New Roman" w:hAnsi="Times New Roman"/>
          <w:sz w:val="21"/>
          <w:szCs w:val="21"/>
          <w:color w:val="auto"/>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 w:cs="Times New Roman" w:eastAsia="Times New Roman" w:hAnsi="Times New Roman"/>
          <w:sz w:val="21"/>
          <w:szCs w:val="21"/>
          <w:u w:val="single" w:color="auto"/>
          <w:color w:val="auto"/>
        </w:rPr>
        <w:t>Class A/B/C Cash Collateral Account</w:t>
      </w:r>
      <w:r>
        <w:rPr>
          <w:rFonts w:ascii="Times New Roman" w:cs="Times New Roman" w:eastAsia="Times New Roman" w:hAnsi="Times New Roman"/>
          <w:sz w:val="21"/>
          <w:szCs w:val="21"/>
          <w:color w:val="auto"/>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spacing w:after="0" w:line="179" w:lineRule="exact"/>
        <w:rPr>
          <w:rFonts w:ascii="Times New Roman" w:cs="Times New Roman" w:eastAsia="Times New Roman" w:hAnsi="Times New Roman"/>
          <w:sz w:val="21"/>
          <w:szCs w:val="21"/>
          <w:color w:val="auto"/>
        </w:rPr>
      </w:pPr>
    </w:p>
    <w:p>
      <w:pPr>
        <w:jc w:val="both"/>
        <w:ind w:left="-80" w:firstLine="1304"/>
        <w:spacing w:after="0" w:line="261" w:lineRule="auto"/>
        <w:tabs>
          <w:tab w:leader="none" w:pos="1676"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A/B/C Cash Collateral Account</w:t>
      </w:r>
      <w:r>
        <w:rPr>
          <w:rFonts w:ascii="Times New Roman" w:cs="Times New Roman" w:eastAsia="Times New Roman" w:hAnsi="Times New Roman"/>
          <w:sz w:val="21"/>
          <w:szCs w:val="21"/>
          <w:color w:val="auto"/>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the case of Permitted Investments held in the Class A/B/C Cash Collateral Account and so long as any Class A Note, Class B Note or Class C Note is rated by Fitch (x) any Permitted Investment set forth in clauses (ii), (iii), (vi) and (vii) of the definition thereof will have a rating of “AA-” or “F1+” by Fitch and (y) any Permitted Investment</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bl>
    <w:p>
      <w:pPr>
        <w:sectPr>
          <w:pgSz w:w="11900" w:h="16838" w:orient="portrait"/>
          <w:cols w:equalWidth="0" w:num="1">
            <w:col w:w="11160"/>
          </w:cols>
          <w:pgMar w:left="400" w:top="1030" w:right="339" w:bottom="1440" w:gutter="0" w:footer="0" w:header="0"/>
        </w:sectPr>
      </w:pPr>
    </w:p>
    <w:bookmarkStart w:id="205" w:name="page206"/>
    <w:bookmarkEnd w:id="205"/>
    <w:p>
      <w:pPr>
        <w:jc w:val="both"/>
        <w:spacing w:after="0" w:line="255" w:lineRule="auto"/>
        <w:rPr>
          <w:sz w:val="20"/>
          <w:szCs w:val="20"/>
          <w:color w:val="auto"/>
        </w:rPr>
      </w:pPr>
      <w:r>
        <w:rPr>
          <w:rFonts w:ascii="Times New Roman" w:cs="Times New Roman" w:eastAsia="Times New Roman" w:hAnsi="Times New Roman"/>
          <w:sz w:val="22"/>
          <w:szCs w:val="22"/>
          <w:color w:val="auto"/>
        </w:rPr>
        <w:t>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w:t>
      </w:r>
    </w:p>
    <w:p>
      <w:pPr>
        <w:spacing w:after="0" w:line="1" w:lineRule="exact"/>
        <w:rPr>
          <w:sz w:val="20"/>
          <w:szCs w:val="20"/>
          <w:color w:val="auto"/>
        </w:rPr>
      </w:pPr>
    </w:p>
    <w:p>
      <w:pPr>
        <w:jc w:val="both"/>
        <w:ind w:firstLine="8"/>
        <w:spacing w:after="0" w:line="245" w:lineRule="auto"/>
        <w:tabs>
          <w:tab w:leader="none" w:pos="288"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spacing w:after="0" w:line="18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7"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Cash Collateral Account</w:t>
      </w:r>
      <w:r>
        <w:rPr>
          <w:rFonts w:ascii="Times New Roman" w:cs="Times New Roman" w:eastAsia="Times New Roman" w:hAnsi="Times New Roman"/>
          <w:sz w:val="22"/>
          <w:szCs w:val="22"/>
          <w:color w:val="auto"/>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instruct the Trustee in writing to transfer all cash and investments from the non-qualifying Class D Cash Collateral Account into the new Class D Cash Collateral Account.</w:t>
      </w:r>
    </w:p>
    <w:p>
      <w:pPr>
        <w:spacing w:after="0" w:line="18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31"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D Cash Collateral Account</w:t>
      </w:r>
      <w:r>
        <w:rPr>
          <w:rFonts w:ascii="Times New Roman" w:cs="Times New Roman" w:eastAsia="Times New Roman" w:hAnsi="Times New Roman"/>
          <w:sz w:val="22"/>
          <w:szCs w:val="22"/>
          <w:color w:val="auto"/>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w:t>
      </w: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bl>
    <w:p>
      <w:pPr>
        <w:sectPr>
          <w:pgSz w:w="11900" w:h="16838" w:orient="portrait"/>
          <w:cols w:equalWidth="0" w:num="1">
            <w:col w:w="11240"/>
          </w:cols>
          <w:pgMar w:left="320" w:top="1030" w:right="339" w:bottom="1440" w:gutter="0" w:footer="0" w:header="0"/>
        </w:sectPr>
      </w:pPr>
    </w:p>
    <w:bookmarkStart w:id="206" w:name="page207"/>
    <w:bookmarkEnd w:id="206"/>
    <w:p>
      <w:pPr>
        <w:jc w:val="both"/>
        <w:ind w:left="-8" w:firstLine="8"/>
        <w:spacing w:after="0" w:line="250" w:lineRule="auto"/>
        <w:tabs>
          <w:tab w:leader="none" w:pos="32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spacing w:after="0" w:line="186" w:lineRule="exact"/>
        <w:rPr>
          <w:rFonts w:ascii="Times New Roman" w:cs="Times New Roman" w:eastAsia="Times New Roman" w:hAnsi="Times New Roman"/>
          <w:sz w:val="22"/>
          <w:szCs w:val="22"/>
          <w:color w:val="auto"/>
        </w:rPr>
      </w:pPr>
    </w:p>
    <w:p>
      <w:pPr>
        <w:jc w:val="both"/>
        <w:ind w:left="-8" w:firstLine="1304"/>
        <w:spacing w:after="0" w:line="257" w:lineRule="auto"/>
        <w:tabs>
          <w:tab w:leader="none" w:pos="1924"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2023-7 Cash Collateral Accounts</w:t>
      </w:r>
      <w:r>
        <w:rPr>
          <w:rFonts w:ascii="Times New Roman" w:cs="Times New Roman" w:eastAsia="Times New Roman" w:hAnsi="Times New Roman"/>
          <w:sz w:val="22"/>
          <w:szCs w:val="22"/>
          <w:color w:val="auto"/>
        </w:rPr>
        <w:t>. All interest and earnings (net of losses and investment expenses) paid on funds on deposit in the Series 2023-7 Cash Collateral Accounts shall be deemed to be on deposit therein and available for distribution.</w:t>
      </w:r>
    </w:p>
    <w:p>
      <w:pPr>
        <w:spacing w:after="0" w:line="172" w:lineRule="exact"/>
        <w:rPr>
          <w:rFonts w:ascii="Times New Roman" w:cs="Times New Roman" w:eastAsia="Times New Roman" w:hAnsi="Times New Roman"/>
          <w:sz w:val="22"/>
          <w:szCs w:val="22"/>
          <w:color w:val="auto"/>
        </w:rPr>
      </w:pPr>
    </w:p>
    <w:p>
      <w:pPr>
        <w:jc w:val="both"/>
        <w:ind w:left="-8" w:firstLine="1304"/>
        <w:spacing w:after="0" w:line="248" w:lineRule="auto"/>
        <w:tabs>
          <w:tab w:leader="none" w:pos="184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2023-7 Cash Collateral Account Surplus</w:t>
      </w:r>
      <w:r>
        <w:rPr>
          <w:rFonts w:ascii="Times New Roman" w:cs="Times New Roman" w:eastAsia="Times New Roman" w:hAnsi="Times New Roman"/>
          <w:sz w:val="22"/>
          <w:szCs w:val="22"/>
          <w:color w:val="auto"/>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2023-7 Reimbursement Agreement, for application in accordance with the provisions of the related Series 2023-7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allocable to the Class D Notes with respect to any Multi-Series Letters of Credit under the related Series 2023-7 Reimbursement Agreement, for application in accordance with the provisions of the related Series 2023-7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187" w:lineRule="exact"/>
        <w:rPr>
          <w:rFonts w:ascii="Times New Roman" w:cs="Times New Roman" w:eastAsia="Times New Roman" w:hAnsi="Times New Roman"/>
          <w:sz w:val="22"/>
          <w:szCs w:val="22"/>
          <w:color w:val="auto"/>
        </w:rPr>
      </w:pPr>
    </w:p>
    <w:p>
      <w:pPr>
        <w:jc w:val="both"/>
        <w:ind w:left="-8" w:firstLine="1304"/>
        <w:spacing w:after="0" w:line="249" w:lineRule="auto"/>
        <w:tabs>
          <w:tab w:leader="none" w:pos="1958"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Series 2023-7 Cash Collateral Account</w:t>
      </w:r>
      <w:r>
        <w:rPr>
          <w:rFonts w:ascii="Times New Roman" w:cs="Times New Roman" w:eastAsia="Times New Roman" w:hAnsi="Times New Roman"/>
          <w:sz w:val="22"/>
          <w:szCs w:val="22"/>
          <w:color w:val="auto"/>
        </w:rPr>
        <w:t xml:space="preserve">. Upon the termination of this Supplement in accordance with its terms, the Trustee, acting in accordance with the written instructions of the Administrator, after the prior payment of all amounts owing to the Series 2023-7 Noteholders and payable from any Series 2023-7 Cash Collateral Account as provided herein, shall (i) withdraw from the Class A/B/C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2023-7 Reimbursement Agreement, for application in accordance with the provisions of the related Series 2023-7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and (ii) withdraw from the Class D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Multi-Series Letter of Credit Providers to the extent of any unreimbursed drawings allocable to the Class</w:t>
      </w:r>
    </w:p>
    <w:p>
      <w:pPr>
        <w:spacing w:after="0" w:line="200" w:lineRule="exact"/>
        <w:rPr>
          <w:sz w:val="20"/>
          <w:szCs w:val="20"/>
          <w:color w:val="auto"/>
        </w:rPr>
      </w:pPr>
    </w:p>
    <w:p>
      <w:pPr>
        <w:spacing w:after="0" w:line="267" w:lineRule="exact"/>
        <w:rPr>
          <w:sz w:val="20"/>
          <w:szCs w:val="20"/>
          <w:color w:val="auto"/>
        </w:rPr>
      </w:pPr>
    </w:p>
    <w:tbl>
      <w:tblPr>
        <w:tblLayout w:type="fixed"/>
        <w:tblInd w:w="72"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bl>
    <w:p>
      <w:pPr>
        <w:sectPr>
          <w:pgSz w:w="11900" w:h="16838" w:orient="portrait"/>
          <w:cols w:equalWidth="0" w:num="1">
            <w:col w:w="11232"/>
          </w:cols>
          <w:pgMar w:left="328" w:top="1030" w:right="339" w:bottom="1440" w:gutter="0" w:footer="0" w:header="0"/>
        </w:sectPr>
      </w:pPr>
    </w:p>
    <w:bookmarkStart w:id="207" w:name="page208"/>
    <w:bookmarkEnd w:id="207"/>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D Notes with respect to any Multi-Series Letters of Credit under the related Series 2023-7 Reimbursement Agreement, for application in accordance with the provisions of the related Series 2023-7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Series 2023-7 Distribution Account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Establishment of Series 2023-7 Distribution Account</w:t>
      </w:r>
      <w:r>
        <w:rPr>
          <w:rFonts w:ascii="Times New Roman" w:cs="Times New Roman" w:eastAsia="Times New Roman" w:hAnsi="Times New Roman"/>
          <w:sz w:val="22"/>
          <w:szCs w:val="22"/>
          <w:color w:val="auto"/>
        </w:rPr>
        <w:t>. ABRCF has established and shall maintain in the name of the Trustee for the benefit of the Series 2023-7 Noteholders, or cause to be established and maintained, an account (the “</w:t>
      </w:r>
      <w:r>
        <w:rPr>
          <w:rFonts w:ascii="Times New Roman" w:cs="Times New Roman" w:eastAsia="Times New Roman" w:hAnsi="Times New Roman"/>
          <w:sz w:val="22"/>
          <w:szCs w:val="22"/>
          <w:u w:val="single" w:color="auto"/>
          <w:color w:val="auto"/>
        </w:rPr>
        <w:t>Series 2023-7 Distribution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Series 2023-7 Noteholders. The Series 2023-7 Distribution Account shall be maintained (i) with a Qualified Institution, or (ii) as a segregated trust account with the corporate trust department of a depository institution or trust company having corporate trust powers and acting as trustee for funds deposited in the Series 2023-7 Distribution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2023-7 Distribution Account with a new Qualified Institution. If the Series 2023-7 Distribution Account is not maintained in accordance with the previous sentence, ABRCF shall establish a new Series 2023-7 Distribution Account, within ten (10) Business Days after obtaining knowledge of such fact, which complies with such sentence, and shall instruct the Series 2023-7 Agent in writing to transfer all cash and investments from the non-qualifying Series 2023-7 Distribution Account into the new Series 2023-7 Distribution Account. The Series 2023-7 Distribution Account has initially been established with The Bank of New York Mellon Trust Company, N.A.</w:t>
      </w:r>
    </w:p>
    <w:p>
      <w:pPr>
        <w:spacing w:after="0" w:line="199" w:lineRule="exact"/>
        <w:rPr>
          <w:sz w:val="20"/>
          <w:szCs w:val="20"/>
          <w:color w:val="auto"/>
        </w:rPr>
      </w:pPr>
    </w:p>
    <w:p>
      <w:pPr>
        <w:jc w:val="both"/>
        <w:ind w:firstLine="1304"/>
        <w:spacing w:after="0" w:line="259" w:lineRule="auto"/>
        <w:tabs>
          <w:tab w:leader="none" w:pos="1858" w:val="left"/>
        </w:tabs>
        <w:numPr>
          <w:ilvl w:val="1"/>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Series 2023-7 Distribution Account</w:t>
      </w:r>
      <w:r>
        <w:rPr>
          <w:rFonts w:ascii="Times New Roman" w:cs="Times New Roman" w:eastAsia="Times New Roman" w:hAnsi="Times New Roman"/>
          <w:sz w:val="21"/>
          <w:szCs w:val="21"/>
          <w:color w:val="auto"/>
        </w:rPr>
        <w:t xml:space="preserve">. The Administrator may instruct the institution maintaining the Series 2023-7 Distribution Account to invest funds on deposit in the Series 2023-7 Distribution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received, unless any Permitted Investment held in the Series 2023-7 Distribution Account is held with the Paying Agent, then such investment may mature on such Distribution Date and such funds shall be available for withdrawal on or prior to such Distribution Date. All such Permitted Investments will be credited to the Series 2023-7 Distribution Account and any such Permitted Investments that constitute (i) physical property (and that is not either a United States security entitlement or a security entitlement) shall be physically delivered to the Trustee;</w:t>
      </w:r>
    </w:p>
    <w:p>
      <w:pPr>
        <w:spacing w:after="0" w:line="4" w:lineRule="exact"/>
        <w:rPr>
          <w:rFonts w:ascii="Times New Roman" w:cs="Times New Roman" w:eastAsia="Times New Roman" w:hAnsi="Times New Roman"/>
          <w:sz w:val="21"/>
          <w:szCs w:val="21"/>
          <w:color w:val="auto"/>
        </w:rPr>
      </w:pPr>
    </w:p>
    <w:p>
      <w:pPr>
        <w:jc w:val="both"/>
        <w:ind w:firstLine="8"/>
        <w:spacing w:after="0" w:line="245" w:lineRule="auto"/>
        <w:tabs>
          <w:tab w:leader="none" w:pos="329"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2023-7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2023-7 Distribution Account shall remain uninvested.</w:t>
      </w:r>
    </w:p>
    <w:p>
      <w:pPr>
        <w:spacing w:after="0" w:line="200" w:lineRule="exact"/>
        <w:rPr>
          <w:sz w:val="20"/>
          <w:szCs w:val="20"/>
          <w:color w:val="auto"/>
        </w:rPr>
      </w:pP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bl>
    <w:p>
      <w:pPr>
        <w:sectPr>
          <w:pgSz w:w="11900" w:h="16838" w:orient="portrait"/>
          <w:cols w:equalWidth="0" w:num="1">
            <w:col w:w="11240"/>
          </w:cols>
          <w:pgMar w:left="320" w:top="1030" w:right="339" w:bottom="1440" w:gutter="0" w:footer="0" w:header="0"/>
        </w:sectPr>
      </w:pPr>
    </w:p>
    <w:bookmarkStart w:id="208" w:name="page209"/>
    <w:bookmarkEnd w:id="208"/>
    <w:p>
      <w:pPr>
        <w:jc w:val="both"/>
        <w:ind w:firstLine="1304"/>
        <w:spacing w:after="0" w:line="263" w:lineRule="auto"/>
        <w:tabs>
          <w:tab w:leader="none" w:pos="181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2023-7 Distribution Account</w:t>
      </w:r>
      <w:r>
        <w:rPr>
          <w:rFonts w:ascii="Times New Roman" w:cs="Times New Roman" w:eastAsia="Times New Roman" w:hAnsi="Times New Roman"/>
          <w:sz w:val="22"/>
          <w:szCs w:val="22"/>
          <w:color w:val="auto"/>
        </w:rPr>
        <w:t>. All interest and earnings (net of losses and investment expenses) paid on funds on deposit in the Series 2023-7 Distribution Account shall be deemed to be on deposit and available for distribution.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45"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2023-7 Distribution Account Constitutes Additional Collateral for Series 2023-7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2023-7 Notes, ABRCF hereby grants a security interest in and assigns, pledges, grants, transfers and sets over to the Trustee, for the benefit of the Series 2023-7 Noteholders, all of ABRCF’s right, title and interest in and to the following (whether now or hereafter existing or acquired): (i) the Series 2023-7 Distribution Account, including any security entitlement thereto; (ii) all funds on deposit therein from time to time; (iii) all certificates and instruments, if any, representing or evidencing any or all of the Series 2023-7 Distribution Account or the funds on deposit therein from time to time; (iv) all investments made at any time and from time to time with monies in the Series 2023-7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2023-7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1"/>
          <w:szCs w:val="21"/>
          <w:u w:val="single" w:color="auto"/>
          <w:color w:val="auto"/>
        </w:rPr>
        <w:t>Series 2023-7 Distribution Account Collateral</w:t>
      </w:r>
      <w:r>
        <w:rPr>
          <w:rFonts w:ascii="Times New Roman" w:cs="Times New Roman" w:eastAsia="Times New Roman" w:hAnsi="Times New Roman"/>
          <w:sz w:val="21"/>
          <w:szCs w:val="21"/>
          <w:color w:val="auto"/>
        </w:rPr>
        <w:t>”). The Trustee shall possess all right, title and interest in all funds on deposit from time to time in the Series 2023-7 Distribution Account and in and to all proceeds thereof, and shall be the only person authorized to originate entitlement orders in respect of the Series 2023-7 Distribution Account. The Series 2023-7 Distribution Account Collateral shall be under the sole dominion and control of the Trustee for the benefit of the Series 2023-7 Noteholders. The Series 2023-7 Agent hereby agrees (i) to act as the securities intermediary (as defined in Section 8-102(a)(14) of the New York UCC) with respect to the Series 2023-7 Distribution Account; (ii) that its jurisdiction as securities intermediary is New York, (iii) that each item of property (whether investment property, financial asset, security, instrument or cash) credited to the Series 2023-7 Distribution Account shall be treated as a financial asset (as defined in Section 8-102(a)(9) of the New York UCC) and (iv) to comply with any entitlement order (as defined in Section 8-102(a)(8) of the New York UCC) issued by the Trustee.</w:t>
      </w:r>
    </w:p>
    <w:p>
      <w:pPr>
        <w:spacing w:after="0" w:line="18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Series 2023-7 Accounts Permitted Investments</w:t>
      </w:r>
      <w:r>
        <w:rPr>
          <w:rFonts w:ascii="Times New Roman" w:cs="Times New Roman" w:eastAsia="Times New Roman" w:hAnsi="Times New Roman"/>
          <w:sz w:val="22"/>
          <w:szCs w:val="22"/>
          <w:color w:val="auto"/>
        </w:rPr>
        <w:t>. ABRCF shall not, and shall not permit, funds on deposit in the Series 2023-7 Accounts to be invested in:</w:t>
      </w:r>
    </w:p>
    <w:p>
      <w:pPr>
        <w:spacing w:after="0" w:line="158" w:lineRule="exact"/>
        <w:rPr>
          <w:sz w:val="20"/>
          <w:szCs w:val="20"/>
          <w:color w:val="auto"/>
        </w:rPr>
      </w:pPr>
    </w:p>
    <w:p>
      <w:pPr>
        <w:ind w:left="2440" w:hanging="488"/>
        <w:spacing w:after="0"/>
        <w:tabs>
          <w:tab w:leader="none" w:pos="244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that do not mature at least one (1) Business Day before the next Distribution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w:t>
      </w:r>
    </w:p>
    <w:p>
      <w:pPr>
        <w:spacing w:after="0" w:line="196" w:lineRule="exact"/>
        <w:rPr>
          <w:sz w:val="20"/>
          <w:szCs w:val="20"/>
          <w:color w:val="auto"/>
        </w:rPr>
      </w:pPr>
    </w:p>
    <w:p>
      <w:pPr>
        <w:ind w:left="2440" w:hanging="488"/>
        <w:spacing w:after="0"/>
        <w:tabs>
          <w:tab w:leader="none" w:pos="244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with a maturity in excess of 360 days;</w:t>
      </w:r>
    </w:p>
    <w:p>
      <w:pPr>
        <w:spacing w:after="0" w:line="233"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which is not rated “P-1” by Moody’s;</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or eurodollar time deposits which are not rated at least “P-1” by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bl>
    <w:p>
      <w:pPr>
        <w:sectPr>
          <w:pgSz w:w="11900" w:h="16838" w:orient="portrait"/>
          <w:cols w:equalWidth="0" w:num="1">
            <w:col w:w="11240"/>
          </w:cols>
          <w:pgMar w:left="320" w:top="1030" w:right="339" w:bottom="1440" w:gutter="0" w:footer="0" w:header="0"/>
        </w:sectPr>
      </w:pPr>
    </w:p>
    <w:bookmarkStart w:id="209" w:name="page210"/>
    <w:bookmarkEnd w:id="209"/>
    <w:p>
      <w:pPr>
        <w:ind w:left="660" w:firstLine="1292"/>
        <w:spacing w:after="0" w:line="271" w:lineRule="auto"/>
        <w:tabs>
          <w:tab w:leader="none" w:pos="2529"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eurodollar deposits that are not rated “P-1” by Moody’s or that are with financial institutions not organized under the laws of a G-7 nation; or</w:t>
      </w:r>
    </w:p>
    <w:p>
      <w:pPr>
        <w:spacing w:after="0" w:line="171" w:lineRule="exact"/>
        <w:rPr>
          <w:rFonts w:ascii="Times New Roman" w:cs="Times New Roman" w:eastAsia="Times New Roman" w:hAnsi="Times New Roman"/>
          <w:sz w:val="22"/>
          <w:szCs w:val="22"/>
          <w:color w:val="auto"/>
        </w:rPr>
      </w:pPr>
    </w:p>
    <w:p>
      <w:pPr>
        <w:ind w:left="660" w:firstLine="1292"/>
        <w:spacing w:after="0" w:line="271" w:lineRule="auto"/>
        <w:tabs>
          <w:tab w:leader="none" w:pos="2501"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instrument or security not otherwise listed in clause (i) through (vi) of the definition of “Permitted Investments” in the Base Indenture.</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Series 2023-7 Demand Notes Constitute Additional Collateral for Series 2023-7 Senior Notes</w:t>
      </w:r>
      <w:r>
        <w:rPr>
          <w:rFonts w:ascii="Times New Roman" w:cs="Times New Roman" w:eastAsia="Times New Roman" w:hAnsi="Times New Roman"/>
          <w:sz w:val="22"/>
          <w:szCs w:val="22"/>
          <w:color w:val="auto"/>
        </w:rPr>
        <w:t>. In order to secure and provide for the repayment and payment of the ABRCF Obligations with respect to the Series 2023-7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2023-7 Demand Notes; (ii) all certificates and instruments, if any, representing or evidencing the Series 2023-7 Demand Notes; and</w:t>
      </w:r>
    </w:p>
    <w:p>
      <w:pPr>
        <w:spacing w:after="0" w:line="2" w:lineRule="exact"/>
        <w:rPr>
          <w:sz w:val="20"/>
          <w:szCs w:val="20"/>
          <w:color w:val="auto"/>
        </w:rPr>
      </w:pPr>
    </w:p>
    <w:p>
      <w:pPr>
        <w:jc w:val="both"/>
        <w:ind w:firstLine="8"/>
        <w:spacing w:after="0" w:line="247" w:lineRule="auto"/>
        <w:tabs>
          <w:tab w:leader="none" w:pos="38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any and all of the foregoing, including, without limitation, cash. On the date hereof, ABRCF shall deliver to the Trustee, for the benefit of the Class A Noteholders, the Class B Noteholders, the Class C Noteholders and the Class D Noteholders, each Series 2023-7 Demand Note, endorsed in blank. The Trustee, for the benefit of the Class A Noteholders, the Class B Noteholders, the Class C Noteholders and the Class D Noteholders, shall be the only Person authorized to make a demand for payments on the Series 2023-7 Demand Notes.</w:t>
      </w:r>
    </w:p>
    <w:p>
      <w:pPr>
        <w:spacing w:after="0" w:line="186"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u w:val="single" w:color="auto"/>
          <w:color w:val="auto"/>
        </w:rPr>
        <w:t>Subordination of the Class B Notes, Class C Notes, Class D Notes and the Class R Notes</w:t>
      </w:r>
      <w:r>
        <w:rPr>
          <w:rFonts w:ascii="Times New Roman" w:cs="Times New Roman" w:eastAsia="Times New Roman" w:hAnsi="Times New Roman"/>
          <w:sz w:val="21"/>
          <w:szCs w:val="21"/>
          <w:color w:val="auto"/>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2023-7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2023-7 Rapid Amortization Period or on the Series 2023-7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spacing w:after="0" w:line="172" w:lineRule="exact"/>
        <w:rPr>
          <w:sz w:val="20"/>
          <w:szCs w:val="20"/>
          <w:color w:val="auto"/>
        </w:rPr>
      </w:pPr>
    </w:p>
    <w:p>
      <w:pPr>
        <w:jc w:val="both"/>
        <w:ind w:firstLine="1304"/>
        <w:spacing w:after="0" w:line="248" w:lineRule="auto"/>
        <w:tabs>
          <w:tab w:leader="none" w:pos="1824"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2023-7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2023-7 Rapid Amortization Period or on the Series 2023-7 Final Distribution Date until the Class A Notes and the Class B Notes have been paid in full. No payments on account of interest shall be made with</w:t>
      </w:r>
    </w:p>
    <w:p>
      <w:pPr>
        <w:spacing w:after="0" w:line="200" w:lineRule="exact"/>
        <w:rPr>
          <w:sz w:val="20"/>
          <w:szCs w:val="20"/>
          <w:color w:val="auto"/>
        </w:rPr>
      </w:pP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bl>
    <w:p>
      <w:pPr>
        <w:sectPr>
          <w:pgSz w:w="11900" w:h="16838" w:orient="portrait"/>
          <w:cols w:equalWidth="0" w:num="1">
            <w:col w:w="11240"/>
          </w:cols>
          <w:pgMar w:left="320" w:top="1030" w:right="339" w:bottom="1440" w:gutter="0" w:footer="0" w:header="0"/>
        </w:sectPr>
      </w:pPr>
    </w:p>
    <w:bookmarkStart w:id="210" w:name="page211"/>
    <w:bookmarkEnd w:id="210"/>
    <w:p>
      <w:pPr>
        <w:jc w:val="both"/>
        <w:spacing w:after="0" w:line="263" w:lineRule="auto"/>
        <w:rPr>
          <w:sz w:val="20"/>
          <w:szCs w:val="20"/>
          <w:color w:val="auto"/>
        </w:rPr>
      </w:pPr>
      <w:r>
        <w:rPr>
          <w:rFonts w:ascii="Times New Roman" w:cs="Times New Roman" w:eastAsia="Times New Roman" w:hAnsi="Times New Roman"/>
          <w:sz w:val="22"/>
          <w:szCs w:val="22"/>
          <w:color w:val="auto"/>
        </w:rPr>
        <w:t>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spacing w:after="0" w:line="167" w:lineRule="exact"/>
        <w:rPr>
          <w:sz w:val="20"/>
          <w:szCs w:val="20"/>
          <w:color w:val="auto"/>
        </w:rPr>
      </w:pPr>
    </w:p>
    <w:p>
      <w:pPr>
        <w:jc w:val="both"/>
        <w:ind w:firstLine="1304"/>
        <w:spacing w:after="0" w:line="247" w:lineRule="auto"/>
        <w:tabs>
          <w:tab w:leader="none" w:pos="181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2023-7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2023-7 Rapid Amortization Period or on the Series 2023-7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spacing w:after="0" w:line="18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3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2023-7 Controlled Amortization Period or the Series 2023-7 Rapid Amortization Period or on the Series 2023-7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AMORTIZATION EVENTS</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In addition to the Amortization Events set forth in Section 9.1 of the Base Indenture, any of the following shall be an Amortization Event with respect to the Series 2023-7 Notes and collectively shall constitute the Amortization Events set forth in Section 9.1(n) of the Base</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bl>
    <w:p>
      <w:pPr>
        <w:sectPr>
          <w:pgSz w:w="11900" w:h="16838" w:orient="portrait"/>
          <w:cols w:equalWidth="0" w:num="1">
            <w:col w:w="11240"/>
          </w:cols>
          <w:pgMar w:left="320" w:top="1030"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22"/>
          <w:szCs w:val="22"/>
          <w:color w:val="auto"/>
        </w:rPr>
        <w:t>Indenture with respect to the Series 2023-7 Notes (without notice or other action on the part of the Trustee or any holders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Series 2023-7 Notes):</w:t>
      </w:r>
    </w:p>
    <w:p>
      <w:pPr>
        <w:spacing w:after="0" w:line="209" w:lineRule="exact"/>
        <w:rPr>
          <w:sz w:val="20"/>
          <w:szCs w:val="20"/>
          <w:color w:val="auto"/>
        </w:rPr>
      </w:pPr>
    </w:p>
    <w:p>
      <w:pPr>
        <w:jc w:val="both"/>
        <w:ind w:firstLine="1304"/>
        <w:spacing w:after="0" w:line="252" w:lineRule="auto"/>
        <w:tabs>
          <w:tab w:leader="none" w:pos="1902"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Series 2023-7 Enhancement Deficiency shall occur and continue for at least two (2)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event or condition shall not be an Amortization Event if during such two (2) Business Day period such Series 2023-7 Enhancement Deficiency shall have been cured in accordance with the terms and conditions of the Indenture and the Related Documents;</w:t>
      </w:r>
    </w:p>
    <w:p>
      <w:pPr>
        <w:spacing w:after="0" w:line="17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2"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either case, such event or condition shall not be an Amortization Event if during such two Business Day period such insufficiency shall have been cured in accordance with the terms and conditions of the Indenture and the Related Documents;</w:t>
      </w:r>
    </w:p>
    <w:p>
      <w:pPr>
        <w:spacing w:after="0" w:line="178"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61"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Collection Account, the Series 2023-7 Collection Account, the Series 2023-7 Excess Collection Account, the Class A/B/C Reserve Account or the Class D Reserve Account shall be subject to an injunction, estoppel or other stay or a lien (other than liens permitted under the Related Documents);</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776" w:val="left"/>
        </w:tabs>
        <w:numPr>
          <w:ilvl w:val="1"/>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principal of and interest on any Class of the Series 2023-7 Notes is not paid in full on or before the Series 2023-7 Expected Final Distribution Date;</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Multi-Series Letter of Credit shall not be in full force and effect for at least two Business Days and either</w:t>
      </w:r>
    </w:p>
    <w:p>
      <w:pPr>
        <w:spacing w:after="0" w:line="39" w:lineRule="exact"/>
        <w:rPr>
          <w:rFonts w:ascii="Times New Roman" w:cs="Times New Roman" w:eastAsia="Times New Roman" w:hAnsi="Times New Roman"/>
          <w:sz w:val="21"/>
          <w:szCs w:val="21"/>
          <w:color w:val="auto"/>
        </w:rPr>
      </w:pPr>
    </w:p>
    <w:p>
      <w:pPr>
        <w:jc w:val="both"/>
        <w:ind w:firstLine="8"/>
        <w:spacing w:after="0" w:line="249" w:lineRule="auto"/>
        <w:tabs>
          <w:tab w:leader="none" w:pos="33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Series 2023-7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39"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funding of any Series 2023-7 Cash Collateral Account, such Series 2023-7 Cash Collateral Account shall be subject to an injunction, estoppel or other stay or a lien (other than Liens permitted under the Related Documents) for at least two Business Days and either (x) a Series 2023-7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74"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Bankruptcy shall have occurred with respect to any Multi-Series Letter of Credit Provider or any Multi-Series Letter of Credit Provider repudiates its Multi-Series Letter of Credit or refuses to honor a proper draw thereon and either (x) a Series 2023-7 Enhancement Deficiency would result from excluding the Class A/B/C Applicable Multi-Series</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bl>
    <w:p>
      <w:pPr>
        <w:sectPr>
          <w:pgSz w:w="11900" w:h="16838" w:orient="portrait"/>
          <w:cols w:equalWidth="0" w:num="1">
            <w:col w:w="11240"/>
          </w:cols>
          <w:pgMar w:left="320" w:top="1030" w:right="339" w:bottom="1440" w:gutter="0" w:footer="0" w:header="0"/>
        </w:sectPr>
      </w:pPr>
    </w:p>
    <w:bookmarkStart w:id="212" w:name="page213"/>
    <w:bookmarkEnd w:id="212"/>
    <w:p>
      <w:pPr>
        <w:spacing w:after="0" w:line="267" w:lineRule="auto"/>
        <w:rPr>
          <w:sz w:val="20"/>
          <w:szCs w:val="20"/>
          <w:color w:val="auto"/>
        </w:rPr>
      </w:pPr>
      <w:r>
        <w:rPr>
          <w:rFonts w:ascii="Times New Roman" w:cs="Times New Roman" w:eastAsia="Times New Roman" w:hAnsi="Times New Roman"/>
          <w:sz w:val="21"/>
          <w:szCs w:val="21"/>
          <w:color w:val="auto"/>
        </w:rPr>
        <w:t>L/C Amount attributable to such Multi-Series Letter of Credit from the Class A/B/C Enhancement Amount or the Class D Applicable Multi-Series L/C Amount attributable to such Multi-Series Letter of Credit from the Class D Enhancement Amount or</w:t>
      </w:r>
    </w:p>
    <w:p>
      <w:pPr>
        <w:spacing w:after="0" w:line="2" w:lineRule="exact"/>
        <w:rPr>
          <w:sz w:val="20"/>
          <w:szCs w:val="20"/>
          <w:color w:val="auto"/>
        </w:rPr>
      </w:pPr>
    </w:p>
    <w:p>
      <w:pPr>
        <w:jc w:val="both"/>
        <w:ind w:firstLine="8"/>
        <w:spacing w:after="0" w:line="248" w:lineRule="auto"/>
        <w:tabs>
          <w:tab w:leader="none" w:pos="328"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SERIES 2023-7 NOTES</w:t>
      </w:r>
    </w:p>
    <w:p>
      <w:pPr>
        <w:spacing w:after="0" w:line="224"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Restricted Global Series 2023-7 Notes</w:t>
      </w:r>
      <w:r>
        <w:rPr>
          <w:rFonts w:ascii="Times New Roman" w:cs="Times New Roman" w:eastAsia="Times New Roman" w:hAnsi="Times New Roman"/>
          <w:sz w:val="21"/>
          <w:szCs w:val="21"/>
          <w:color w:val="auto"/>
        </w:rPr>
        <w:t>. Each Class of the Series 2023-7 Notes to be issued in the United States will be issued in book-entry form and represented by one or more permanent global Notes in fully registered form without interest coupons (each, a “</w:t>
      </w:r>
      <w:r>
        <w:rPr>
          <w:rFonts w:ascii="Times New Roman" w:cs="Times New Roman" w:eastAsia="Times New Roman" w:hAnsi="Times New Roman"/>
          <w:sz w:val="21"/>
          <w:szCs w:val="21"/>
          <w:u w:val="single" w:color="auto"/>
          <w:color w:val="auto"/>
        </w:rPr>
        <w:t>Restricted Global Class A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B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C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D Note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Restricted Global Class R Note</w:t>
      </w:r>
      <w:r>
        <w:rPr>
          <w:rFonts w:ascii="Times New Roman" w:cs="Times New Roman" w:eastAsia="Times New Roman" w:hAnsi="Times New Roman"/>
          <w:sz w:val="21"/>
          <w:szCs w:val="21"/>
          <w:color w:val="auto"/>
        </w:rPr>
        <w:t>”, as the case may be, and collectively with the Restricted Global Class D Notes (as defined below), the “</w:t>
      </w:r>
      <w:r>
        <w:rPr>
          <w:rFonts w:ascii="Times New Roman" w:cs="Times New Roman" w:eastAsia="Times New Roman" w:hAnsi="Times New Roman"/>
          <w:sz w:val="21"/>
          <w:szCs w:val="21"/>
          <w:u w:val="single" w:color="auto"/>
          <w:color w:val="auto"/>
        </w:rPr>
        <w:t>Restricted Global Series 2023-7 Notes</w:t>
      </w:r>
      <w:r>
        <w:rPr>
          <w:rFonts w:ascii="Times New Roman" w:cs="Times New Roman" w:eastAsia="Times New Roman" w:hAnsi="Times New Roman"/>
          <w:sz w:val="21"/>
          <w:szCs w:val="21"/>
          <w:color w:val="auto"/>
        </w:rPr>
        <w:t xml:space="preserve">”), substantially in the form set forth in </w:t>
      </w:r>
      <w:r>
        <w:rPr>
          <w:rFonts w:ascii="Times New Roman" w:cs="Times New Roman" w:eastAsia="Times New Roman" w:hAnsi="Times New Roman"/>
          <w:sz w:val="21"/>
          <w:szCs w:val="21"/>
          <w:u w:val="single" w:color="auto"/>
          <w:color w:val="auto"/>
        </w:rPr>
        <w:t>Exhibits A-1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E-1</w:t>
      </w:r>
      <w:r>
        <w:rPr>
          <w:rFonts w:ascii="Times New Roman" w:cs="Times New Roman" w:eastAsia="Times New Roman" w:hAnsi="Times New Roman"/>
          <w:sz w:val="21"/>
          <w:szCs w:val="21"/>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w:t>
      </w:r>
    </w:p>
    <w:p>
      <w:pPr>
        <w:spacing w:after="0" w:line="5" w:lineRule="exact"/>
        <w:rPr>
          <w:sz w:val="20"/>
          <w:szCs w:val="20"/>
          <w:color w:val="auto"/>
        </w:rPr>
      </w:pPr>
    </w:p>
    <w:p>
      <w:pPr>
        <w:jc w:val="both"/>
        <w:ind w:firstLine="8"/>
        <w:spacing w:after="0" w:line="249" w:lineRule="auto"/>
        <w:tabs>
          <w:tab w:leader="none" w:pos="315"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to qualified institutional buyers within the meaning of, and in reliance on, Rule 144A under the Securities Act and shall be deposited on behalf of the purchasers of such Class of the Series 2023-7 Notes represented thereby, with the Trustee as custodian for DTC, and registered in the name of Cede as DTC’s nominee, duly executed by ABRCF and authenticated by the Trustee in the manner set forth in Section 2.4 of the Base Indenture.</w:t>
      </w:r>
    </w:p>
    <w:p>
      <w:pPr>
        <w:spacing w:after="0" w:line="182"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Temporary Global Series 2023-7 Notes; Permanent Global Series 2023-7 Notes</w:t>
      </w:r>
      <w:r>
        <w:rPr>
          <w:rFonts w:ascii="Times New Roman" w:cs="Times New Roman" w:eastAsia="Times New Roman" w:hAnsi="Times New Roman"/>
          <w:sz w:val="22"/>
          <w:szCs w:val="22"/>
          <w:color w:val="auto"/>
        </w:rPr>
        <w:t>. Each Class of the Series 2023-7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Times New Roman" w:cs="Times New Roman" w:eastAsia="Times New Roman" w:hAnsi="Times New Roman"/>
          <w:sz w:val="22"/>
          <w:szCs w:val="22"/>
          <w:u w:val="single" w:color="auto"/>
          <w:color w:val="auto"/>
        </w:rPr>
        <w:t>Temporary Global Class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B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C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D Note</w:t>
      </w:r>
      <w:r>
        <w:rPr>
          <w:rFonts w:ascii="Times New Roman" w:cs="Times New Roman" w:eastAsia="Times New Roman" w:hAnsi="Times New Roman"/>
          <w:sz w:val="22"/>
          <w:szCs w:val="22"/>
          <w:color w:val="auto"/>
        </w:rPr>
        <w:t>” or a “</w:t>
      </w:r>
      <w:r>
        <w:rPr>
          <w:rFonts w:ascii="Times New Roman" w:cs="Times New Roman" w:eastAsia="Times New Roman" w:hAnsi="Times New Roman"/>
          <w:sz w:val="22"/>
          <w:szCs w:val="22"/>
          <w:u w:val="single" w:color="auto"/>
          <w:color w:val="auto"/>
        </w:rPr>
        <w:t>Temporary Global Class R Note</w:t>
      </w:r>
      <w:r>
        <w:rPr>
          <w:rFonts w:ascii="Times New Roman" w:cs="Times New Roman" w:eastAsia="Times New Roman" w:hAnsi="Times New Roman"/>
          <w:sz w:val="22"/>
          <w:szCs w:val="22"/>
          <w:color w:val="auto"/>
        </w:rPr>
        <w:t>”, as the case may be, and collectively with the Temporary Global Class D Notes (as defined below), the “</w:t>
      </w:r>
      <w:r>
        <w:rPr>
          <w:rFonts w:ascii="Times New Roman" w:cs="Times New Roman" w:eastAsia="Times New Roman" w:hAnsi="Times New Roman"/>
          <w:sz w:val="22"/>
          <w:szCs w:val="22"/>
          <w:u w:val="single" w:color="auto"/>
          <w:color w:val="auto"/>
        </w:rPr>
        <w:t>Temporary Global Series 2023-7 Notes</w:t>
      </w:r>
      <w:r>
        <w:rPr>
          <w:rFonts w:ascii="Times New Roman" w:cs="Times New Roman" w:eastAsia="Times New Roman" w:hAnsi="Times New Roman"/>
          <w:sz w:val="22"/>
          <w:szCs w:val="22"/>
          <w:color w:val="auto"/>
        </w:rPr>
        <w:t xml:space="preserve">”), substantially in the form set forth in </w:t>
      </w:r>
      <w:r>
        <w:rPr>
          <w:rFonts w:ascii="Times New Roman" w:cs="Times New Roman" w:eastAsia="Times New Roman" w:hAnsi="Times New Roman"/>
          <w:sz w:val="22"/>
          <w:szCs w:val="22"/>
          <w:u w:val="single" w:color="auto"/>
          <w:color w:val="auto"/>
        </w:rPr>
        <w:t>Exhibits A-2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E-2</w:t>
      </w:r>
      <w:r>
        <w:rPr>
          <w:rFonts w:ascii="Times New Roman" w:cs="Times New Roman" w:eastAsia="Times New Roman" w:hAnsi="Times New Roman"/>
          <w:sz w:val="22"/>
          <w:szCs w:val="22"/>
          <w:color w:val="auto"/>
        </w:rPr>
        <w:t xml:space="preserve"> which shall be deposited on behalf of the purchasers of such Class of the Series 2023-7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2023-7 Note will be exchangeable, in whole or in part, for interests in one or more permanent global notes in registered form without interest coupons (each, a “</w:t>
      </w:r>
      <w:r>
        <w:rPr>
          <w:rFonts w:ascii="Times New Roman" w:cs="Times New Roman" w:eastAsia="Times New Roman" w:hAnsi="Times New Roman"/>
          <w:sz w:val="22"/>
          <w:szCs w:val="22"/>
          <w:u w:val="single" w:color="auto"/>
          <w:color w:val="auto"/>
        </w:rPr>
        <w:t>Permanent Global Class A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Permanent Global Class B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Permanent Global</w:t>
      </w:r>
    </w:p>
    <w:p>
      <w:pPr>
        <w:spacing w:after="0" w:line="200" w:lineRule="exact"/>
        <w:rPr>
          <w:sz w:val="20"/>
          <w:szCs w:val="20"/>
          <w:color w:val="auto"/>
        </w:rPr>
      </w:pPr>
    </w:p>
    <w:p>
      <w:pPr>
        <w:spacing w:after="0" w:line="29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ectPr>
          <w:pgSz w:w="11900" w:h="16838" w:orient="portrait"/>
          <w:cols w:equalWidth="0" w:num="1">
            <w:col w:w="11240"/>
          </w:cols>
          <w:pgMar w:left="320" w:top="1030" w:right="339" w:bottom="1440" w:gutter="0" w:footer="0" w:header="0"/>
        </w:sectPr>
      </w:pPr>
    </w:p>
    <w:bookmarkStart w:id="213" w:name="page214"/>
    <w:bookmarkEnd w:id="213"/>
    <w:p>
      <w:pPr>
        <w:jc w:val="both"/>
        <w:spacing w:after="0" w:line="247" w:lineRule="auto"/>
        <w:rPr>
          <w:sz w:val="20"/>
          <w:szCs w:val="20"/>
          <w:color w:val="auto"/>
        </w:rPr>
      </w:pPr>
      <w:r>
        <w:rPr>
          <w:rFonts w:ascii="Times New Roman" w:cs="Times New Roman" w:eastAsia="Times New Roman" w:hAnsi="Times New Roman"/>
          <w:sz w:val="22"/>
          <w:szCs w:val="22"/>
          <w:u w:val="single" w:color="auto"/>
          <w:color w:val="auto"/>
        </w:rPr>
        <w:t>Class C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Permanent Global Class D Note</w:t>
      </w:r>
      <w:r>
        <w:rPr>
          <w:rFonts w:ascii="Times New Roman" w:cs="Times New Roman" w:eastAsia="Times New Roman" w:hAnsi="Times New Roman"/>
          <w:sz w:val="22"/>
          <w:szCs w:val="22"/>
          <w:color w:val="auto"/>
        </w:rPr>
        <w:t>” or a “</w:t>
      </w:r>
      <w:r>
        <w:rPr>
          <w:rFonts w:ascii="Times New Roman" w:cs="Times New Roman" w:eastAsia="Times New Roman" w:hAnsi="Times New Roman"/>
          <w:sz w:val="22"/>
          <w:szCs w:val="22"/>
          <w:u w:val="single" w:color="auto"/>
          <w:color w:val="auto"/>
        </w:rPr>
        <w:t>Permanent Global Class R Note</w:t>
      </w:r>
      <w:r>
        <w:rPr>
          <w:rFonts w:ascii="Times New Roman" w:cs="Times New Roman" w:eastAsia="Times New Roman" w:hAnsi="Times New Roman"/>
          <w:sz w:val="22"/>
          <w:szCs w:val="22"/>
          <w:color w:val="auto"/>
        </w:rPr>
        <w:t>”, as the case may be, and collectively with the Permanent Global Class D Notes (as defined below), the “</w:t>
      </w:r>
      <w:r>
        <w:rPr>
          <w:rFonts w:ascii="Times New Roman" w:cs="Times New Roman" w:eastAsia="Times New Roman" w:hAnsi="Times New Roman"/>
          <w:sz w:val="22"/>
          <w:szCs w:val="22"/>
          <w:u w:val="single" w:color="auto"/>
          <w:color w:val="auto"/>
        </w:rPr>
        <w:t>Permanent Global Series 2023-7 Notes</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Exhibits A-3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E-3</w:t>
      </w:r>
      <w:r>
        <w:rPr>
          <w:rFonts w:ascii="Times New Roman" w:cs="Times New Roman" w:eastAsia="Times New Roman" w:hAnsi="Times New Roman"/>
          <w:sz w:val="22"/>
          <w:szCs w:val="22"/>
          <w:color w:val="auto"/>
        </w:rPr>
        <w:t xml:space="preserve"> in accordance with the provisions of such Temporary Global Series 2023-7 Note and the Base Indenture (as modified by this Supplement). Interests in a Permanent Global Series 2023-7 Note will be exchangeable for a definitive Series 2023-7 Note in accordance with the provisions of such Permanent Global Series 2023-7 Note and the Base Indenture (as modified by this Supplement). The Restricted Global Class A Notes, the Temporary Global Class A Notes and the Permanent Global Class A Notes are collectively referred to as the “</w:t>
      </w:r>
      <w:r>
        <w:rPr>
          <w:rFonts w:ascii="Times New Roman" w:cs="Times New Roman" w:eastAsia="Times New Roman" w:hAnsi="Times New Roman"/>
          <w:sz w:val="22"/>
          <w:szCs w:val="22"/>
          <w:u w:val="single" w:color="auto"/>
          <w:color w:val="auto"/>
        </w:rPr>
        <w:t>Global Class A Notes</w:t>
      </w:r>
      <w:r>
        <w:rPr>
          <w:rFonts w:ascii="Times New Roman" w:cs="Times New Roman" w:eastAsia="Times New Roman" w:hAnsi="Times New Roman"/>
          <w:sz w:val="22"/>
          <w:szCs w:val="22"/>
          <w:color w:val="auto"/>
        </w:rPr>
        <w:t>”, the Restricted Global Class B Notes, the Temporary Global Class B Notes and the Permanent Global Class B Notes are collectively referred to as the “</w:t>
      </w:r>
      <w:r>
        <w:rPr>
          <w:rFonts w:ascii="Times New Roman" w:cs="Times New Roman" w:eastAsia="Times New Roman" w:hAnsi="Times New Roman"/>
          <w:sz w:val="22"/>
          <w:szCs w:val="22"/>
          <w:u w:val="single" w:color="auto"/>
          <w:color w:val="auto"/>
        </w:rPr>
        <w:t>Global Class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the Restricted Global Class C Notes, the Temporary Global Class C Notes and the Permanent Global Class C Notes are collectively referred to as the “</w:t>
      </w:r>
      <w:r>
        <w:rPr>
          <w:rFonts w:ascii="Times New Roman" w:cs="Times New Roman" w:eastAsia="Times New Roman" w:hAnsi="Times New Roman"/>
          <w:sz w:val="22"/>
          <w:szCs w:val="22"/>
          <w:u w:val="single" w:color="auto"/>
          <w:color w:val="auto"/>
        </w:rPr>
        <w:t>Global Class C Notes</w:t>
      </w:r>
      <w:r>
        <w:rPr>
          <w:rFonts w:ascii="Times New Roman" w:cs="Times New Roman" w:eastAsia="Times New Roman" w:hAnsi="Times New Roman"/>
          <w:sz w:val="22"/>
          <w:szCs w:val="22"/>
          <w:color w:val="auto"/>
        </w:rPr>
        <w:t>”, the Restricted Global Class D Notes, the Temporary Global Class D Notes and the Permanent Global Class D Notes are collectively referred to as the “</w:t>
      </w:r>
      <w:r>
        <w:rPr>
          <w:rFonts w:ascii="Times New Roman" w:cs="Times New Roman" w:eastAsia="Times New Roman" w:hAnsi="Times New Roman"/>
          <w:sz w:val="22"/>
          <w:szCs w:val="22"/>
          <w:u w:val="single" w:color="auto"/>
          <w:color w:val="auto"/>
        </w:rPr>
        <w:t>Global Class D Notes</w:t>
      </w:r>
      <w:r>
        <w:rPr>
          <w:rFonts w:ascii="Times New Roman" w:cs="Times New Roman" w:eastAsia="Times New Roman" w:hAnsi="Times New Roman"/>
          <w:sz w:val="22"/>
          <w:szCs w:val="22"/>
          <w:color w:val="auto"/>
        </w:rPr>
        <w:t>” and the Restricted Global Class R Notes, the Temporary Global Class R Notes and the Permanent Global Class R Notes are collectively referred to as the “</w:t>
      </w:r>
      <w:r>
        <w:rPr>
          <w:rFonts w:ascii="Times New Roman" w:cs="Times New Roman" w:eastAsia="Times New Roman" w:hAnsi="Times New Roman"/>
          <w:sz w:val="22"/>
          <w:szCs w:val="22"/>
          <w:u w:val="single" w:color="auto"/>
          <w:color w:val="auto"/>
        </w:rPr>
        <w:t>Global Class R Notes</w:t>
      </w:r>
      <w:r>
        <w:rPr>
          <w:rFonts w:ascii="Times New Roman" w:cs="Times New Roman" w:eastAsia="Times New Roman" w:hAnsi="Times New Roman"/>
          <w:sz w:val="22"/>
          <w:szCs w:val="22"/>
          <w:color w:val="auto"/>
        </w:rPr>
        <w: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2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(a) The Series 2023-7 Notes shall be subject to repurchase by ABRCF at its option in accordance with Section 6.3 of the Base Indenture on any Distribution Date (any such Distribution Date, a “</w:t>
      </w:r>
      <w:r>
        <w:rPr>
          <w:rFonts w:ascii="Times New Roman" w:cs="Times New Roman" w:eastAsia="Times New Roman" w:hAnsi="Times New Roman"/>
          <w:sz w:val="22"/>
          <w:szCs w:val="22"/>
          <w:u w:val="single" w:color="auto"/>
          <w:color w:val="auto"/>
        </w:rPr>
        <w:t>Clean-up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Repurchase Distribution Date</w:t>
      </w:r>
      <w:r>
        <w:rPr>
          <w:rFonts w:ascii="Times New Roman" w:cs="Times New Roman" w:eastAsia="Times New Roman" w:hAnsi="Times New Roman"/>
          <w:sz w:val="22"/>
          <w:szCs w:val="22"/>
          <w:color w:val="auto"/>
        </w:rPr>
        <w:t>”) after the Series 2023-7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 w:cs="Times New Roman" w:eastAsia="Times New Roman" w:hAnsi="Times New Roman"/>
          <w:sz w:val="22"/>
          <w:szCs w:val="22"/>
          <w:u w:val="single" w:color="auto"/>
          <w:color w:val="auto"/>
        </w:rPr>
        <w:t>Series 2023-7 Repurchase Amount</w:t>
      </w:r>
      <w:r>
        <w:rPr>
          <w:rFonts w:ascii="Times New Roman" w:cs="Times New Roman" w:eastAsia="Times New Roman" w:hAnsi="Times New Roman"/>
          <w:sz w:val="22"/>
          <w:szCs w:val="22"/>
          <w:color w:val="auto"/>
        </w:rPr>
        <w:t xml:space="preserve">”). The repurchase price for any Series 2023-7 Note subject to a Clean-up Repurchase shall equal the aggregate outstanding principal balance of such Series 2023-7 Note (determined after giving effect to any payments of principal and interest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interest on such outstanding principal balance.</w:t>
      </w:r>
    </w:p>
    <w:p>
      <w:pPr>
        <w:spacing w:after="0" w:line="180" w:lineRule="exact"/>
        <w:rPr>
          <w:sz w:val="20"/>
          <w:szCs w:val="20"/>
          <w:color w:val="auto"/>
        </w:rPr>
      </w:pPr>
    </w:p>
    <w:p>
      <w:pPr>
        <w:jc w:val="both"/>
        <w:ind w:firstLine="1304"/>
        <w:spacing w:after="0" w:line="247" w:lineRule="auto"/>
        <w:tabs>
          <w:tab w:leader="none" w:pos="177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2023-7 Notes shall also be subject to repurchase at the election of the ABRCF in accordance with Section 6.3 of the Base Indenture, in whole but not in part, on any Distribution Date (any such Distribution Date, an “</w:t>
      </w: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Repurchase Distribution Date</w:t>
      </w:r>
      <w:r>
        <w:rPr>
          <w:rFonts w:ascii="Times New Roman" w:cs="Times New Roman" w:eastAsia="Times New Roman" w:hAnsi="Times New Roman"/>
          <w:sz w:val="22"/>
          <w:szCs w:val="22"/>
          <w:color w:val="auto"/>
        </w:rPr>
        <w:t>”) that occurs prior to the earlier to occur of (x) the commencement of the Series 2023-7 Rapid Amortization Period and (y) the Clean-up Repurchase Distribution Date (any such repurchase, an “</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Class D Notes shall only be subject to such Optional Repurchase in accordance with this clause (b) on and after the earlier of (x) following the Class D Notes Closing Date, the offering and sale of the Class D Notes to one or more third-party investors and (y) the September 2025 Distribution Date. The repurchase price for any Series 2023-7 Note subject to an Optional Repurchase shall equal (1) the aggregate outstanding principal balance of such Series 2023-7 Note (determined after giving effect to any payments made pursuant to Section 2.5(a)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accrued and unpaid interest on such outstanding</w:t>
      </w:r>
    </w:p>
    <w:p>
      <w:pPr>
        <w:spacing w:after="0" w:line="200" w:lineRule="exact"/>
        <w:rPr>
          <w:sz w:val="20"/>
          <w:szCs w:val="20"/>
          <w:color w:val="auto"/>
        </w:rPr>
      </w:pP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bl>
    <w:p>
      <w:pPr>
        <w:sectPr>
          <w:pgSz w:w="11900" w:h="16838" w:orient="portrait"/>
          <w:cols w:equalWidth="0" w:num="1">
            <w:col w:w="11240"/>
          </w:cols>
          <w:pgMar w:left="320" w:top="1030" w:right="339" w:bottom="1440" w:gutter="0" w:footer="0" w:header="0"/>
        </w:sectPr>
      </w:pPr>
    </w:p>
    <w:bookmarkStart w:id="214" w:name="page215"/>
    <w:bookmarkEnd w:id="214"/>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principal balance (determined after giving effect to any payments made pursuant to Section 2.4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(3) the Make Whole Payment with respect to such Series 2023-7 Note.</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Trustee shall provide to the Series 2023-7 Noteholders, or their designated agent, copies of all information furnished to the Trustee or ABRCF pursuant to the Related Documents, as such information relates to the Series 2023-7 Notes or the Series 2023-7 Collateral.</w:t>
      </w:r>
    </w:p>
    <w:p>
      <w:pPr>
        <w:sectPr>
          <w:pgSz w:w="11900" w:h="16838" w:orient="portrait"/>
          <w:cols w:equalWidth="0" w:num="1">
            <w:col w:w="11240"/>
          </w:cols>
          <w:pgMar w:left="320" w:top="1030" w:right="339" w:bottom="1440" w:gutter="0" w:footer="0" w:header="0"/>
        </w:sectPr>
      </w:pP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5.3.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w:t>
      </w: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The following exhibits attached hereto supplement the exhibits included in the Base</w:t>
      </w:r>
    </w:p>
    <w:p>
      <w:pPr>
        <w:spacing w:after="0" w:line="200" w:lineRule="exact"/>
        <w:rPr>
          <w:sz w:val="20"/>
          <w:szCs w:val="20"/>
          <w:color w:val="auto"/>
        </w:rPr>
      </w:pP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2023-7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2023-7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2023-7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2023-7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2023-7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2023-7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2023-7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2023-7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2023-7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2023-7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2023-7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2023-7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2023-7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2023-7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2023-7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Series 2023-7 Demand Note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Multi-Series Letter of Credit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Lease Payment Deficit Notice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Demand Notice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Supplemental Indenture No. 6 to the Base Indenture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Operating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Finance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Operating Lease Loan Agreement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Finance Lease Loan Agreement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II Operating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Master Exchange Agreement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Escrow Agreement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Administration Agreement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II Operating Lease Loan Agreement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Original AESOP Nominee Agreement</w:t>
      </w:r>
    </w:p>
    <w:p>
      <w:pPr>
        <w:spacing w:after="0" w:line="227" w:lineRule="exact"/>
        <w:rPr>
          <w:sz w:val="20"/>
          <w:szCs w:val="20"/>
          <w:color w:val="auto"/>
        </w:rPr>
      </w:pPr>
    </w:p>
    <w:p>
      <w:pPr>
        <w:sectPr>
          <w:pgSz w:w="11900" w:h="16838" w:orient="portrait"/>
          <w:cols w:equalWidth="0" w:num="2">
            <w:col w:w="2560" w:space="160"/>
            <w:col w:w="8520"/>
          </w:cols>
          <w:pgMar w:left="320" w:top="1030" w:right="339" w:bottom="1440" w:gutter="0" w:footer="0" w:header="0"/>
          <w:type w:val="continuous"/>
        </w:sectPr>
      </w:pP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bl>
    <w:p>
      <w:pPr>
        <w:sectPr>
          <w:pgSz w:w="11900" w:h="16838" w:orient="portrait"/>
          <w:cols w:equalWidth="0" w:num="1">
            <w:col w:w="11240"/>
          </w:cols>
          <w:pgMar w:left="320" w:top="1030" w:right="339" w:bottom="1440" w:gutter="0" w:footer="0" w:header="0"/>
          <w:type w:val="continuous"/>
        </w:sectPr>
      </w:pPr>
    </w:p>
    <w:bookmarkStart w:id="215" w:name="page216"/>
    <w:bookmarkEnd w:id="215"/>
    <w:p>
      <w:pPr>
        <w:spacing w:after="0" w:line="1" w:lineRule="exact"/>
        <w:rPr>
          <w:sz w:val="20"/>
          <w:szCs w:val="20"/>
          <w:color w:val="auto"/>
        </w:rPr>
      </w:pPr>
    </w:p>
    <w:tbl>
      <w:tblPr>
        <w:tblLayout w:type="fixed"/>
        <w:tblInd w:w="1460" w:type="dxa"/>
        <w:tblCellMar>
          <w:top w:w="0" w:type="dxa"/>
          <w:left w:w="0" w:type="dxa"/>
          <w:bottom w:w="0" w:type="dxa"/>
          <w:right w:w="0" w:type="dxa"/>
        </w:tblCellMar>
      </w:tblPr>
      <w:tr>
        <w:trPr>
          <w:trHeight w:val="257"/>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U:</w:t>
            </w:r>
          </w:p>
        </w:tc>
        <w:tc>
          <w:tcPr>
            <w:tcW w:w="59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Form of Amendment to the Disposition Agent Agreement</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Form of Amendment to the Back-up Administration Agreement</w:t>
            </w:r>
          </w:p>
        </w:tc>
        <w:tc>
          <w:tcPr>
            <w:tcW w:w="0" w:type="dxa"/>
            <w:vAlign w:val="bottom"/>
          </w:tcPr>
          <w:p>
            <w:pPr>
              <w:spacing w:after="0" w:line="20" w:lineRule="exact"/>
              <w:rPr>
                <w:sz w:val="1"/>
                <w:szCs w:val="1"/>
                <w:color w:val="auto"/>
              </w:rPr>
            </w:pPr>
          </w:p>
        </w:tc>
      </w:tr>
      <w:tr>
        <w:trPr>
          <w:trHeight w:val="291"/>
        </w:trPr>
        <w:tc>
          <w:tcPr>
            <w:tcW w:w="1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V:</w:t>
            </w:r>
          </w:p>
        </w:tc>
        <w:tc>
          <w:tcPr>
            <w:tcW w:w="5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Ratification of Base Indenture</w:t>
      </w:r>
      <w:r>
        <w:rPr>
          <w:rFonts w:ascii="Times New Roman" w:cs="Times New Roman" w:eastAsia="Times New Roman" w:hAnsi="Times New Roman"/>
          <w:sz w:val="22"/>
          <w:szCs w:val="22"/>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73" w:lineRule="exact"/>
        <w:rPr>
          <w:sz w:val="20"/>
          <w:szCs w:val="20"/>
          <w:color w:val="auto"/>
        </w:rPr>
      </w:pPr>
    </w:p>
    <w:p>
      <w:pPr>
        <w:jc w:val="both"/>
        <w:ind w:firstLine="1296"/>
        <w:spacing w:after="0" w:line="309"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Supplement may be executed in any number of counterparts, each of which so executed shall be deemed to be an original, but all of such counterparts shall together constitute but one and the same instrument.</w:t>
      </w:r>
    </w:p>
    <w:p>
      <w:pPr>
        <w:spacing w:after="0" w:line="12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 shall be construed in accordance with the law of the State of New York, and the obligations, rights and remedies of the parties hereto shall be determined in accordance with such law.</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This Supplement may be modified or amended from time to time in accordance with the terms of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2023-7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 so long as (i) no Amortization Event has occurred and is continuing and (ii) the Rating Agency Consent Condition is met with respect to the outstanding Series 2023-7 Notes (other than the Class R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and (B) ABRCF shall be able to modify or amend any Series 2023-7 Maximum Amount at any time with the consent of a Requisite Series 2023-7 Noteholders.</w:t>
      </w:r>
    </w:p>
    <w:p>
      <w:pPr>
        <w:spacing w:after="0" w:line="19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Discharge of Base Indenture</w:t>
      </w:r>
      <w:r>
        <w:rPr>
          <w:rFonts w:ascii="Times New Roman" w:cs="Times New Roman" w:eastAsia="Times New Roman" w:hAnsi="Times New Roman"/>
          <w:sz w:val="22"/>
          <w:szCs w:val="22"/>
          <w:color w:val="auto"/>
        </w:rPr>
        <w:t>. Notwithstanding anything to the contrary contained in the Base Indenture, no discharge of the Indenture pursuant to Section 11.1(b) of the Base Indenture will be effective as to the Series 2023-7 Notes without the consent of the Requisite Series 2023-7 Noteholders.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Notice to Rating Agencies</w:t>
      </w:r>
      <w:r>
        <w:rPr>
          <w:rFonts w:ascii="Times New Roman" w:cs="Times New Roman" w:eastAsia="Times New Roman" w:hAnsi="Times New Roman"/>
          <w:sz w:val="22"/>
          <w:szCs w:val="22"/>
          <w:color w:val="auto"/>
        </w:rPr>
        <w:t>. The Trustee shall provide to each Rating Agency a copy of (x) each notice, opinion of counsel, certificate or other item delivered to, or</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bl>
    <w:p>
      <w:pPr>
        <w:sectPr>
          <w:pgSz w:w="11900" w:h="16838" w:orient="portrait"/>
          <w:cols w:equalWidth="0" w:num="1">
            <w:col w:w="11240"/>
          </w:cols>
          <w:pgMar w:left="320" w:top="1057" w:right="339" w:bottom="1440" w:gutter="0" w:footer="0" w:header="0"/>
        </w:sectPr>
      </w:pPr>
    </w:p>
    <w:bookmarkStart w:id="216" w:name="page217"/>
    <w:bookmarkEnd w:id="216"/>
    <w:p>
      <w:pPr>
        <w:jc w:val="both"/>
        <w:spacing w:after="0" w:line="271" w:lineRule="auto"/>
        <w:rPr>
          <w:sz w:val="20"/>
          <w:szCs w:val="20"/>
          <w:color w:val="auto"/>
        </w:rPr>
      </w:pPr>
      <w:r>
        <w:rPr>
          <w:rFonts w:ascii="Times New Roman" w:cs="Times New Roman" w:eastAsia="Times New Roman" w:hAnsi="Times New Roman"/>
          <w:sz w:val="22"/>
          <w:szCs w:val="22"/>
          <w:color w:val="auto"/>
        </w:rPr>
        <w:t>required to be provided by, the Trustee pursuant to this Supplement or any other Related Document and (y) any amendment or modification hereto pursuant to this Supplement or any other Related Document.</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Capitalization of ABRCF</w:t>
      </w:r>
      <w:r>
        <w:rPr>
          <w:rFonts w:ascii="Times New Roman" w:cs="Times New Roman" w:eastAsia="Times New Roman" w:hAnsi="Times New Roman"/>
          <w:sz w:val="22"/>
          <w:szCs w:val="22"/>
          <w:color w:val="auto"/>
        </w:rPr>
        <w:t>. ABRCF agrees that on the Class D Notes Closing Date it will have capitalization in an amount equal to or greater than 3% of the sum of (x) the Series 2023-7 Invested Amount and (y) the invested amount of the Series 2010-6 Notes, the Series 2011-4 Notes, the Series 2015-3 Notes, the Series 2020-1 Notes, the Series 2020-2 Notes, the Series 2021-1 Notes, the Series 2021-2 Notes, the Series 2022-1 Notes, the Series 2022-3 Notes, the Series 2022-4 Notes, the Series 2022-5 Notes, the Series 2023-1 Notes, the Series 2023-2 Notes, the Series 2023-3 Notes, the Series 2023-4 Notes, the Series 2023-5 Notes, the Series 2023-6 Notes, the Series 2023-8 Notes, the Series 2024-1 Notes, the Series 2024-2 Notes and the Series 2024-3 Notes.</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Required Noteholders</w:t>
      </w:r>
      <w:r>
        <w:rPr>
          <w:rFonts w:ascii="Times New Roman" w:cs="Times New Roman" w:eastAsia="Times New Roman" w:hAnsi="Times New Roman"/>
          <w:sz w:val="22"/>
          <w:szCs w:val="22"/>
          <w:color w:val="auto"/>
        </w:rPr>
        <w:t>. Subject to Section 5.7 above, any action pursuant to Section 5.6, Section 8.13 or Article 9 of the Base Indenture that requires the consent of, or is permissible at the direction of, the Required Noteholders with respect to the Series 2023-7 Notes pursuant to the Base Indenture shall only be allowed with the consent of, or at the direction of, the Required Controlling Class Series 2023-7 Noteholders. Any other action pursuant to any Related Document which requires the consent or approval of, or the waiver by, the Required Noteholders with respect to the Series 2023-7 Notes shall require the consent or approval of, or waiver by, the Requisite Series 2023-7 Noteholders.</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Series 2023-7 Demand Notes</w:t>
      </w:r>
      <w:r>
        <w:rPr>
          <w:rFonts w:ascii="Times New Roman" w:cs="Times New Roman" w:eastAsia="Times New Roman" w:hAnsi="Times New Roman"/>
          <w:sz w:val="22"/>
          <w:szCs w:val="22"/>
          <w:color w:val="auto"/>
        </w:rPr>
        <w:t>. Other than pursuant to a demand thereon pursuant to Section 2.5, ABRCF shall not reduce the amount of the Series 2023-7 Demand Notes or forgive amounts payable thereunder so that the outstanding principal amount of the Series 2023-7 Demand Notes after such reduction or forgiveness is less than the sum of (x) the Class A/B/C Letter of Credit Liquidity Amount plus (y) the Class D Letter of Credit Liquidity Amount. ABRCF shall not agree to any amendment of the Series 2023-7 Demand Notes without first satisfying the Rating Agency Confirmation Condition and the Rating Agency Consent Condition.</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Termination of Supplement</w:t>
      </w:r>
      <w:r>
        <w:rPr>
          <w:rFonts w:ascii="Times New Roman" w:cs="Times New Roman" w:eastAsia="Times New Roman" w:hAnsi="Times New Roman"/>
          <w:sz w:val="22"/>
          <w:szCs w:val="22"/>
          <w:color w:val="auto"/>
        </w:rPr>
        <w:t>. This Supplement shall cease to be of further effect when all outstanding Series 2023-7 Notes theretofore authenticated and issued have been delivered (other than destroyed, lost, or stolen Series 2023-7 Notes which have been replaced or paid) to the Trustee for cancellation, ABRCF has paid all sums payable hereunder, and, if the Series 2023-7 Demand Note Payment Amount on the Multi-Series Letter of Credit Termination Date was greater than zero, all amounts have been withdrawn from the Series 2023-7 Cash Collateral Accounts in accordance with Section 2.8(m).</w:t>
      </w:r>
    </w:p>
    <w:p>
      <w:pPr>
        <w:spacing w:after="0" w:line="18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Noteholder Consent to Certain Amendments</w:t>
      </w:r>
      <w:r>
        <w:rPr>
          <w:rFonts w:ascii="Times New Roman" w:cs="Times New Roman" w:eastAsia="Times New Roman" w:hAnsi="Times New Roman"/>
          <w:sz w:val="21"/>
          <w:szCs w:val="21"/>
          <w:color w:val="auto"/>
        </w:rPr>
        <w:t xml:space="preserve">. Each Series 2023-7 Noteholder, upon any acquisition of a Series 2023-7 Note, will be deemed to agree and consent to (i) the execution by ABRCF of a Supplemental Indenture to the Base Indenture substantially in the form of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xml:space="preserve"> hereto, (ii) the execution of an amendment to the AESOP I Operating Lease substantially in the form of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xml:space="preserve"> hereto, (iii) the execution of an amendment to the Finance Lease substantially in the form of </w:t>
      </w:r>
      <w:r>
        <w:rPr>
          <w:rFonts w:ascii="Times New Roman" w:cs="Times New Roman" w:eastAsia="Times New Roman" w:hAnsi="Times New Roman"/>
          <w:sz w:val="21"/>
          <w:szCs w:val="21"/>
          <w:u w:val="single" w:color="auto"/>
          <w:color w:val="auto"/>
        </w:rPr>
        <w:t>Exhibit L</w:t>
      </w:r>
      <w:r>
        <w:rPr>
          <w:rFonts w:ascii="Times New Roman" w:cs="Times New Roman" w:eastAsia="Times New Roman" w:hAnsi="Times New Roman"/>
          <w:sz w:val="21"/>
          <w:szCs w:val="21"/>
          <w:color w:val="auto"/>
        </w:rPr>
        <w:t xml:space="preserve"> hereto, (iv) the execution of an amendment to the AESOP I Operating Lease Loan Agreement substantially in the form of </w:t>
      </w:r>
      <w:r>
        <w:rPr>
          <w:rFonts w:ascii="Times New Roman" w:cs="Times New Roman" w:eastAsia="Times New Roman" w:hAnsi="Times New Roman"/>
          <w:sz w:val="21"/>
          <w:szCs w:val="21"/>
          <w:u w:val="single" w:color="auto"/>
          <w:color w:val="auto"/>
        </w:rPr>
        <w:t>Exhibit M</w:t>
      </w:r>
      <w:r>
        <w:rPr>
          <w:rFonts w:ascii="Times New Roman" w:cs="Times New Roman" w:eastAsia="Times New Roman" w:hAnsi="Times New Roman"/>
          <w:sz w:val="21"/>
          <w:szCs w:val="21"/>
          <w:color w:val="auto"/>
        </w:rPr>
        <w:t xml:space="preserve"> hereto, (v) the execution of an amendment to the AESOP I Finance Lease Loan Agreement substantially in the</w:t>
      </w:r>
    </w:p>
    <w:p>
      <w:pPr>
        <w:spacing w:after="0" w:line="200" w:lineRule="exact"/>
        <w:rPr>
          <w:sz w:val="20"/>
          <w:szCs w:val="20"/>
          <w:color w:val="auto"/>
        </w:rPr>
      </w:pP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bl>
    <w:p>
      <w:pPr>
        <w:sectPr>
          <w:pgSz w:w="11900" w:h="16838" w:orient="portrait"/>
          <w:cols w:equalWidth="0" w:num="1">
            <w:col w:w="11240"/>
          </w:cols>
          <w:pgMar w:left="320" w:top="1030" w:right="339" w:bottom="1440" w:gutter="0" w:footer="0" w:header="0"/>
        </w:sectPr>
      </w:pPr>
    </w:p>
    <w:bookmarkStart w:id="217" w:name="page218"/>
    <w:bookmarkEnd w:id="217"/>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form of </w:t>
      </w:r>
      <w:r>
        <w:rPr>
          <w:rFonts w:ascii="Times New Roman" w:cs="Times New Roman" w:eastAsia="Times New Roman" w:hAnsi="Times New Roman"/>
          <w:sz w:val="21"/>
          <w:szCs w:val="21"/>
          <w:u w:val="single" w:color="auto"/>
          <w:color w:val="auto"/>
        </w:rPr>
        <w:t>Exhibit N</w:t>
      </w:r>
      <w:r>
        <w:rPr>
          <w:rFonts w:ascii="Times New Roman" w:cs="Times New Roman" w:eastAsia="Times New Roman" w:hAnsi="Times New Roman"/>
          <w:sz w:val="21"/>
          <w:szCs w:val="21"/>
          <w:color w:val="auto"/>
        </w:rPr>
        <w:t xml:space="preserve"> hereto, (vi) the execution of an amendment to the AESOP II Operating Lease substantially in the form of </w:t>
      </w:r>
      <w:r>
        <w:rPr>
          <w:rFonts w:ascii="Times New Roman" w:cs="Times New Roman" w:eastAsia="Times New Roman" w:hAnsi="Times New Roman"/>
          <w:sz w:val="21"/>
          <w:szCs w:val="21"/>
          <w:u w:val="single" w:color="auto"/>
          <w:color w:val="auto"/>
        </w:rPr>
        <w:t>Exhibit O</w:t>
      </w:r>
      <w:r>
        <w:rPr>
          <w:rFonts w:ascii="Times New Roman" w:cs="Times New Roman" w:eastAsia="Times New Roman" w:hAnsi="Times New Roman"/>
          <w:sz w:val="21"/>
          <w:szCs w:val="21"/>
          <w:color w:val="auto"/>
        </w:rPr>
        <w:t xml:space="preserve"> hereto, (vii) the execution of an amendment to the Master Exchange Agreement substantially in the form of </w:t>
      </w:r>
      <w:r>
        <w:rPr>
          <w:rFonts w:ascii="Times New Roman" w:cs="Times New Roman" w:eastAsia="Times New Roman" w:hAnsi="Times New Roman"/>
          <w:sz w:val="21"/>
          <w:szCs w:val="21"/>
          <w:u w:val="single" w:color="auto"/>
          <w:color w:val="auto"/>
        </w:rPr>
        <w:t>Exhibit P</w:t>
      </w:r>
      <w:r>
        <w:rPr>
          <w:rFonts w:ascii="Times New Roman" w:cs="Times New Roman" w:eastAsia="Times New Roman" w:hAnsi="Times New Roman"/>
          <w:sz w:val="21"/>
          <w:szCs w:val="21"/>
          <w:color w:val="auto"/>
        </w:rPr>
        <w:t xml:space="preserve"> hereto, (viii) the execution of an amendment to the Escrow Agreement substantially in the form of </w:t>
      </w:r>
      <w:r>
        <w:rPr>
          <w:rFonts w:ascii="Times New Roman" w:cs="Times New Roman" w:eastAsia="Times New Roman" w:hAnsi="Times New Roman"/>
          <w:sz w:val="21"/>
          <w:szCs w:val="21"/>
          <w:u w:val="single" w:color="auto"/>
          <w:color w:val="auto"/>
        </w:rPr>
        <w:t>Exhibit Q</w:t>
      </w:r>
      <w:r>
        <w:rPr>
          <w:rFonts w:ascii="Times New Roman" w:cs="Times New Roman" w:eastAsia="Times New Roman" w:hAnsi="Times New Roman"/>
          <w:sz w:val="21"/>
          <w:szCs w:val="21"/>
          <w:color w:val="auto"/>
        </w:rPr>
        <w:t xml:space="preserve"> hereto, (ix) the execution of an amendment to the Administration Agreement substantially in the form of </w:t>
      </w:r>
      <w:r>
        <w:rPr>
          <w:rFonts w:ascii="Times New Roman" w:cs="Times New Roman" w:eastAsia="Times New Roman" w:hAnsi="Times New Roman"/>
          <w:sz w:val="21"/>
          <w:szCs w:val="21"/>
          <w:u w:val="single" w:color="auto"/>
          <w:color w:val="auto"/>
        </w:rPr>
        <w:t>Exhibit R</w:t>
      </w:r>
      <w:r>
        <w:rPr>
          <w:rFonts w:ascii="Times New Roman" w:cs="Times New Roman" w:eastAsia="Times New Roman" w:hAnsi="Times New Roman"/>
          <w:sz w:val="21"/>
          <w:szCs w:val="21"/>
          <w:color w:val="auto"/>
        </w:rPr>
        <w:t xml:space="preserve"> hereto, (x) the execution of an amendment to the AESOP II Operating Lease Loan Agreement substantially in the form of </w:t>
      </w:r>
      <w:r>
        <w:rPr>
          <w:rFonts w:ascii="Times New Roman" w:cs="Times New Roman" w:eastAsia="Times New Roman" w:hAnsi="Times New Roman"/>
          <w:sz w:val="21"/>
          <w:szCs w:val="21"/>
          <w:u w:val="single" w:color="auto"/>
          <w:color w:val="auto"/>
        </w:rPr>
        <w:t>Exhibit S</w:t>
      </w:r>
      <w:r>
        <w:rPr>
          <w:rFonts w:ascii="Times New Roman" w:cs="Times New Roman" w:eastAsia="Times New Roman" w:hAnsi="Times New Roman"/>
          <w:sz w:val="21"/>
          <w:szCs w:val="21"/>
          <w:color w:val="auto"/>
        </w:rPr>
        <w:t xml:space="preserve"> hereto, (xi) the execution of an amendment to the Original AESOP Nominee Agreement substantially in the form of </w:t>
      </w:r>
      <w:r>
        <w:rPr>
          <w:rFonts w:ascii="Times New Roman" w:cs="Times New Roman" w:eastAsia="Times New Roman" w:hAnsi="Times New Roman"/>
          <w:sz w:val="21"/>
          <w:szCs w:val="21"/>
          <w:u w:val="single" w:color="auto"/>
          <w:color w:val="auto"/>
        </w:rPr>
        <w:t>Exhibit T</w:t>
      </w:r>
      <w:r>
        <w:rPr>
          <w:rFonts w:ascii="Times New Roman" w:cs="Times New Roman" w:eastAsia="Times New Roman" w:hAnsi="Times New Roman"/>
          <w:sz w:val="21"/>
          <w:szCs w:val="21"/>
          <w:color w:val="auto"/>
        </w:rPr>
        <w:t xml:space="preserve"> hereto, (xii) the execution of an amendment to the Disposition Agent Agreement substantially in the form of </w:t>
      </w:r>
      <w:r>
        <w:rPr>
          <w:rFonts w:ascii="Times New Roman" w:cs="Times New Roman" w:eastAsia="Times New Roman" w:hAnsi="Times New Roman"/>
          <w:sz w:val="21"/>
          <w:szCs w:val="21"/>
          <w:u w:val="single" w:color="auto"/>
          <w:color w:val="auto"/>
        </w:rPr>
        <w:t>Exhibit U</w:t>
      </w:r>
      <w:r>
        <w:rPr>
          <w:rFonts w:ascii="Times New Roman" w:cs="Times New Roman" w:eastAsia="Times New Roman" w:hAnsi="Times New Roman"/>
          <w:sz w:val="21"/>
          <w:szCs w:val="21"/>
          <w:color w:val="auto"/>
        </w:rPr>
        <w:t xml:space="preserve"> hereto and (xiii) the execution of an amendment to the Back-up Administration Agreement substantially in the form of </w:t>
      </w:r>
      <w:r>
        <w:rPr>
          <w:rFonts w:ascii="Times New Roman" w:cs="Times New Roman" w:eastAsia="Times New Roman" w:hAnsi="Times New Roman"/>
          <w:sz w:val="21"/>
          <w:szCs w:val="21"/>
          <w:u w:val="single" w:color="auto"/>
          <w:color w:val="auto"/>
        </w:rPr>
        <w:t>Exhibit V</w:t>
      </w:r>
      <w:r>
        <w:rPr>
          <w:rFonts w:ascii="Times New Roman" w:cs="Times New Roman" w:eastAsia="Times New Roman" w:hAnsi="Times New Roman"/>
          <w:sz w:val="21"/>
          <w:szCs w:val="21"/>
          <w:color w:val="auto"/>
        </w:rPr>
        <w:t xml:space="preserve"> hereto. Such deemed consent will apply to each proposed amendment set forth in </w:t>
      </w:r>
      <w:r>
        <w:rPr>
          <w:rFonts w:ascii="Times New Roman" w:cs="Times New Roman" w:eastAsia="Times New Roman" w:hAnsi="Times New Roman"/>
          <w:sz w:val="21"/>
          <w:szCs w:val="21"/>
          <w:u w:val="single" w:color="auto"/>
          <w:color w:val="auto"/>
        </w:rPr>
        <w:t>Exhibits 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Q</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individually, and the failure to adopt any of the amendments set forth therein will not revoke the consent with respect to any other amendment.</w:t>
      </w:r>
    </w:p>
    <w:p>
      <w:pPr>
        <w:spacing w:after="0" w:line="172"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5.15.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(a) The Trustee and each Series 2023-7 Note Owner agrees, by its acceptance and holding of a beneficial interest in a Series 2023-7 Note, to maintain the confidentiality of all Confidential Information in accordance with procedures adopted by the Trustee or such Series 2023-7 Note Owner in good faith to protect confidential information of third parties delivered to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2023-7 Note Owner; (iv) any Person of the type that would be, to such Person’s knowledge, permitted to acquire an interest in the Series 2023-7 Notes in accordance with the requirements of the Indenture to which such Person sells or offers to sell any such Series 2023-7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2023-7 Notes has occurred and is continuing, to the extent such Person may reasonably determine such delivery and</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bl>
    <w:p>
      <w:pPr>
        <w:sectPr>
          <w:pgSz w:w="11900" w:h="16838" w:orient="portrait"/>
          <w:cols w:equalWidth="0" w:num="1">
            <w:col w:w="11240"/>
          </w:cols>
          <w:pgMar w:left="320" w:top="1030" w:right="339" w:bottom="1440" w:gutter="0" w:footer="0" w:header="0"/>
        </w:sectPr>
      </w:pPr>
    </w:p>
    <w:bookmarkStart w:id="218" w:name="page219"/>
    <w:bookmarkEnd w:id="21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disclosure to be necessary or appropriate in the enforcement or for the protection of the rights and remedies under the Series 2023-7 Notes, the Indenture or any other Related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delivery to any Series 2023-7 Note Owner of any report or information required by the terms of the Indenture to be provided to such Series 2023-7 Note Owner shall not be a violation of this Section 5.16. Each Series 2023-7 Note Owner agrees, by acceptance of a beneficial interest in a Series 2023-7 Note, except as set forth in clauses (v), (vi) and (ix) above, that it shall use the Confidential Information for the sole purpose of making an investment in the Series 2023-7 Notes or administering its investment in the Series 2023-7 Notes. In the event of any required disclosure of the Confidential Information by such Series 2023-7 Note Owner, such Series 2023-7 Note Owner agrees to use reasonable efforts to protect the confidentiality of the Confidential Information.</w:t>
      </w:r>
    </w:p>
    <w:p>
      <w:pPr>
        <w:spacing w:after="0" w:line="187" w:lineRule="exact"/>
        <w:rPr>
          <w:sz w:val="20"/>
          <w:szCs w:val="20"/>
          <w:color w:val="auto"/>
        </w:rPr>
      </w:pPr>
    </w:p>
    <w:p>
      <w:pPr>
        <w:jc w:val="both"/>
        <w:ind w:firstLine="1304"/>
        <w:spacing w:after="0" w:line="248" w:lineRule="auto"/>
        <w:tabs>
          <w:tab w:leader="none" w:pos="1774"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Section 5.16,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information delivered to the Trustee or any Series 2023-7 Note Owner by or on behalf of ABRCF in connection with and relating to the transactions contemplated by or otherwise pursuant to the Indenture and the Related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term does not include information that: (i) was publicly known or otherwise known to the Trustee or such Series 2023-7 Note Owner prior to the time of such disclosure; (ii) subsequently becomes publicly known through no act or omission by the Trustee, any Series 2023-7 Note Owner or any person acting on behalf of the Trustee or any Series 2023-7 Note Owner; (iii) otherwise is known or becomes known to the Trustee or any Series 2023-7 Note Owner other than (x) through disclosure by ABRCF or (y) as a result of the breach of a fiduciary duty to ABRCF or a contractual duty to ABRCF; or (iv) is allowed to be treated as non-confidential by consent of ABRCF.</w:t>
      </w:r>
    </w:p>
    <w:p>
      <w:pPr>
        <w:spacing w:after="0" w:line="185"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Further Limitation of Liability</w:t>
      </w:r>
      <w:r>
        <w:rPr>
          <w:rFonts w:ascii="Times New Roman" w:cs="Times New Roman" w:eastAsia="Times New Roman" w:hAnsi="Times New Roman"/>
          <w:sz w:val="22"/>
          <w:szCs w:val="22"/>
          <w:color w:val="auto"/>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Series 2023-7 Agent</w:t>
      </w:r>
      <w:r>
        <w:rPr>
          <w:rFonts w:ascii="Times New Roman" w:cs="Times New Roman" w:eastAsia="Times New Roman" w:hAnsi="Times New Roman"/>
          <w:sz w:val="22"/>
          <w:szCs w:val="22"/>
          <w:color w:val="auto"/>
        </w:rPr>
        <w:t>. The Series 2023-7 Agent shall be entitled to the same rights, benefits, protections, indemnities and immunities hereunder as are granted to the Trustee under the Base Indenture as if set forth fully herein.</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bl>
    <w:p>
      <w:pPr>
        <w:sectPr>
          <w:pgSz w:w="11900" w:h="16838" w:orient="portrait"/>
          <w:cols w:equalWidth="0" w:num="1">
            <w:col w:w="11240"/>
          </w:cols>
          <w:pgMar w:left="320" w:top="1030" w:right="339" w:bottom="1440" w:gutter="0" w:footer="0" w:header="0"/>
        </w:sectPr>
      </w:pPr>
    </w:p>
    <w:bookmarkStart w:id="219" w:name="page220"/>
    <w:bookmarkEnd w:id="219"/>
    <w:p>
      <w:pPr>
        <w:jc w:val="both"/>
        <w:spacing w:after="0" w:line="263" w:lineRule="auto"/>
        <w:rPr>
          <w:sz w:val="20"/>
          <w:szCs w:val="20"/>
          <w:color w:val="auto"/>
        </w:rPr>
      </w:pPr>
      <w:r>
        <w:rPr>
          <w:rFonts w:ascii="Times New Roman" w:cs="Times New Roman" w:eastAsia="Times New Roman" w:hAnsi="Times New Roman"/>
          <w:sz w:val="22"/>
          <w:szCs w:val="22"/>
          <w:color w:val="auto"/>
        </w:rPr>
        <w:t>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6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5.21. </w:t>
      </w:r>
      <w:r>
        <w:rPr>
          <w:rFonts w:ascii="Times New Roman" w:cs="Times New Roman" w:eastAsia="Times New Roman" w:hAnsi="Times New Roman"/>
          <w:sz w:val="21"/>
          <w:szCs w:val="21"/>
          <w:u w:val="single" w:color="auto"/>
          <w:color w:val="auto"/>
        </w:rPr>
        <w:t>Waiver of Jury Trial, etc</w:t>
      </w:r>
      <w:r>
        <w:rPr>
          <w:rFonts w:ascii="Times New Roman" w:cs="Times New Roman" w:eastAsia="Times New Roman" w:hAnsi="Times New Roman"/>
          <w:sz w:val="21"/>
          <w:szCs w:val="21"/>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2023-7 NOTES, THE SERIES 2023-7</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DEMAND NOTES, THE MULTI-SERIES LETTER OF CREDIT AND ANY OTHER RELATED DOCUMENTS EXECUTED IN CONNECTION WITH THE ISSUANCE OF THE SERIES 2023-7 NOTES, OR ANY COURSE OF CONDUCT, COURSE OF DEALING, STATEMENTS (WHETHER ORAL OR WRITTEN), OR ACTIONS OF THE PARTIES HERETO. THIS PROVISION IS A MATERIAL INDUCEMENT FOR THE PARTIES HERETO TO ENTER INTO THIS SUPPLEMENT.</w:t>
      </w:r>
    </w:p>
    <w:p>
      <w:pPr>
        <w:spacing w:after="0" w:line="16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5.22. </w:t>
      </w: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2023-7 NOTES, THE SERIES 2023-7 DEMAND NOTES, THE MULTI-SERIES LETTER OF CREDIT AND ANY OTHER RELATED DOCUMENTS EXECUTED IN CONNECTION WITH THE ISSUANCE OF THE SERIES 2023-7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 w:cs="Times New Roman" w:eastAsia="Times New Roman" w:hAnsi="Times New Roman"/>
          <w:sz w:val="21"/>
          <w:szCs w:val="21"/>
          <w:u w:val="single" w:color="auto"/>
          <w:color w:val="auto"/>
        </w:rPr>
        <w:t>FORUM NON CONVENIENS</w:t>
      </w:r>
      <w:r>
        <w:rPr>
          <w:rFonts w:ascii="Times New Roman" w:cs="Times New Roman" w:eastAsia="Times New Roman" w:hAnsi="Times New Roman"/>
          <w:sz w:val="21"/>
          <w:szCs w:val="21"/>
          <w:color w:val="auto"/>
        </w:rPr>
        <w:t xml:space="preserve"> OR OTHERWISE. NOTHING CONTAINED HEREIN SHALL PRECLUDE ANY PARTY HERETO FROM BRINGING AN ACTION OR PROCEEDING ARISING OUT OF OR RELATING TO THIS SUPPLEMENT, THE SERIES 2023-7 NOTES, THE SERIES 2023-7 DEMAND NOTES, THE MULTI-SERIES LETTER OF CREDIT AND ANY OTHER RELATED DOCUMENTS EXECUTED IN CONNECTION WITH THE ISSUANCE OF THE SERIES 2023-7 NOTES IN ANY OTHER COUNTRY, STATE OR PLACE HAVING JURISDICTION OVER SUCH ACTION OR PROCEEDING.</w:t>
      </w:r>
    </w:p>
    <w:p>
      <w:pPr>
        <w:spacing w:after="0" w:line="196"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5.23.</w:t>
      </w:r>
      <w:r>
        <w:rPr>
          <w:sz w:val="20"/>
          <w:szCs w:val="20"/>
          <w:color w:val="auto"/>
        </w:rPr>
        <w:tab/>
      </w:r>
      <w:r>
        <w:rPr>
          <w:rFonts w:ascii="Times New Roman" w:cs="Times New Roman" w:eastAsia="Times New Roman" w:hAnsi="Times New Roman"/>
          <w:sz w:val="21"/>
          <w:szCs w:val="21"/>
          <w:u w:val="single" w:color="auto"/>
          <w:color w:val="auto"/>
        </w:rPr>
        <w:t>Additional Terms of the Series 2023-7 Notes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tab/>
        <w:t>Solely with respect to this Supplement and the Series 2023-7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bl>
    <w:p>
      <w:pPr>
        <w:sectPr>
          <w:pgSz w:w="11900" w:h="16838" w:orient="portrait"/>
          <w:cols w:equalWidth="0" w:num="1">
            <w:col w:w="11240"/>
          </w:cols>
          <w:pgMar w:left="320" w:top="1030" w:right="339" w:bottom="1440" w:gutter="0" w:footer="0" w:header="0"/>
        </w:sectPr>
      </w:pPr>
    </w:p>
    <w:bookmarkStart w:id="220" w:name="page221"/>
    <w:bookmarkEnd w:id="220"/>
    <w:p>
      <w:pPr>
        <w:jc w:val="both"/>
        <w:ind w:left="580" w:firstLine="1292"/>
        <w:spacing w:after="0" w:line="256" w:lineRule="auto"/>
        <w:tabs>
          <w:tab w:leader="none" w:pos="2361"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Opinion of Counsel set forth in </w:t>
      </w:r>
      <w:r>
        <w:rPr>
          <w:rFonts w:ascii="Times New Roman" w:cs="Times New Roman" w:eastAsia="Times New Roman" w:hAnsi="Times New Roman"/>
          <w:sz w:val="22"/>
          <w:szCs w:val="22"/>
          <w:u w:val="single" w:color="auto"/>
          <w:color w:val="auto"/>
        </w:rPr>
        <w:t>Section 2.2(f)(i)(x)</w:t>
      </w:r>
      <w:r>
        <w:rPr>
          <w:rFonts w:ascii="Times New Roman" w:cs="Times New Roman" w:eastAsia="Times New Roman" w:hAnsi="Times New Roman"/>
          <w:sz w:val="22"/>
          <w:szCs w:val="22"/>
          <w:color w:val="auto"/>
        </w:rPr>
        <w:t xml:space="preserve"> of the Base Indenture shall not be required with respect to the Class C Notes and the Class R Notes. The Opinion of Counsel set forth in </w:t>
      </w:r>
      <w:r>
        <w:rPr>
          <w:rFonts w:ascii="Times New Roman" w:cs="Times New Roman" w:eastAsia="Times New Roman" w:hAnsi="Times New Roman"/>
          <w:sz w:val="22"/>
          <w:szCs w:val="22"/>
          <w:u w:val="single" w:color="auto"/>
          <w:color w:val="auto"/>
        </w:rPr>
        <w:t>Section 2.2(f)(i)(y)</w:t>
      </w:r>
      <w:r>
        <w:rPr>
          <w:rFonts w:ascii="Times New Roman" w:cs="Times New Roman" w:eastAsia="Times New Roman" w:hAnsi="Times New Roman"/>
          <w:sz w:val="22"/>
          <w:szCs w:val="22"/>
          <w:color w:val="auto"/>
        </w:rPr>
        <w:t xml:space="preserve"> of the Base Indenture shall not be required with respect to the Class C Notes and the Class R Notes for any Series issued after the date hereof.</w:t>
      </w:r>
    </w:p>
    <w:p>
      <w:pPr>
        <w:spacing w:after="0" w:line="176" w:lineRule="exact"/>
        <w:rPr>
          <w:rFonts w:ascii="Times New Roman" w:cs="Times New Roman" w:eastAsia="Times New Roman" w:hAnsi="Times New Roman"/>
          <w:sz w:val="22"/>
          <w:szCs w:val="22"/>
          <w:color w:val="auto"/>
        </w:rPr>
      </w:pPr>
    </w:p>
    <w:p>
      <w:pPr>
        <w:jc w:val="both"/>
        <w:ind w:left="580" w:firstLine="1292"/>
        <w:spacing w:after="0" w:line="268" w:lineRule="auto"/>
        <w:tabs>
          <w:tab w:leader="none" w:pos="2433"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129834063</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ectPr>
          <w:pgSz w:w="11900" w:h="16838" w:orient="portrait"/>
          <w:cols w:equalWidth="0" w:num="1">
            <w:col w:w="11160"/>
          </w:cols>
          <w:pgMar w:left="400" w:top="1030" w:right="339" w:bottom="1440" w:gutter="0" w:footer="0" w:header="0"/>
        </w:sectPr>
      </w:pPr>
    </w:p>
    <w:bookmarkStart w:id="221" w:name="page222"/>
    <w:bookmarkEnd w:id="221"/>
    <w:p>
      <w:pPr>
        <w:spacing w:after="0" w:line="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ABRCF and the Trustee have caused this Supplement to be duly executed by their respective officers thereunto duly authorized as of the day and year first above written.</w:t>
      </w:r>
    </w:p>
    <w:p>
      <w:pPr>
        <w:spacing w:after="0" w:line="18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(AESOP) LLC</w:t>
      </w:r>
    </w:p>
    <w:p>
      <w:pPr>
        <w:spacing w:after="0" w:line="200" w:lineRule="exact"/>
        <w:rPr>
          <w:sz w:val="20"/>
          <w:szCs w:val="20"/>
          <w:color w:val="auto"/>
        </w:rPr>
      </w:pPr>
    </w:p>
    <w:p>
      <w:pPr>
        <w:spacing w:after="0" w:line="34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-160020</wp:posOffset>
            </wp:positionV>
            <wp:extent cx="23399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A&amp;R Series 2023-7 Indenture Supplement</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129834063</w:t>
      </w:r>
    </w:p>
    <w:p>
      <w:pPr>
        <w:sectPr>
          <w:pgSz w:w="11900" w:h="16838" w:orient="portrait"/>
          <w:cols w:equalWidth="0" w:num="1">
            <w:col w:w="11220"/>
          </w:cols>
          <w:pgMar w:left="320" w:top="1440" w:right="359" w:bottom="1440" w:gutter="0" w:footer="0" w:header="0"/>
        </w:sectPr>
      </w:pPr>
    </w:p>
    <w:bookmarkStart w:id="222" w:name="page223"/>
    <w:bookmarkEnd w:id="222"/>
    <w:p>
      <w:pPr>
        <w:spacing w:after="0" w:line="25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spacing w:after="0" w:line="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COMPANY, N.A., as Trustee</w:t>
      </w:r>
    </w:p>
    <w:p>
      <w:pPr>
        <w:spacing w:after="0" w:line="27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34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ind w:left="7420"/>
        <w:spacing w:after="0" w:line="221" w:lineRule="auto"/>
        <w:rPr>
          <w:sz w:val="20"/>
          <w:szCs w:val="20"/>
          <w:color w:val="auto"/>
        </w:rPr>
      </w:pPr>
      <w:r>
        <w:rPr>
          <w:rFonts w:ascii="Times New Roman" w:cs="Times New Roman" w:eastAsia="Times New Roman" w:hAnsi="Times New Roman"/>
          <w:sz w:val="22"/>
          <w:szCs w:val="22"/>
          <w:color w:val="auto"/>
        </w:rPr>
        <w:t>COMPANY, N.A., as Series 2023-7</w:t>
      </w:r>
    </w:p>
    <w:p>
      <w:pPr>
        <w:ind w:left="7420"/>
        <w:spacing w:after="0"/>
        <w:rPr>
          <w:sz w:val="20"/>
          <w:szCs w:val="20"/>
          <w:color w:val="auto"/>
        </w:rPr>
      </w:pPr>
      <w:r>
        <w:rPr>
          <w:rFonts w:ascii="Times New Roman" w:cs="Times New Roman" w:eastAsia="Times New Roman" w:hAnsi="Times New Roman"/>
          <w:sz w:val="22"/>
          <w:szCs w:val="22"/>
          <w:color w:val="auto"/>
        </w:rPr>
        <w:t>Agent</w:t>
      </w:r>
    </w:p>
    <w:p>
      <w:pPr>
        <w:spacing w:after="0" w:line="2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i w:val="1"/>
          <w:iCs w:val="1"/>
          <w:color w:val="auto"/>
        </w:rPr>
        <w:t>Signature Page to A&amp;R Series 2023-7 Indenture Supplement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129834063</w:t>
      </w:r>
    </w:p>
    <w:p>
      <w:pPr>
        <w:sectPr>
          <w:pgSz w:w="11900" w:h="16838" w:orient="portrait"/>
          <w:cols w:equalWidth="0" w:num="1">
            <w:col w:w="10640"/>
          </w:cols>
          <w:pgMar w:left="400" w:top="1440" w:right="859" w:bottom="1440" w:gutter="0" w:footer="0" w:header="0"/>
        </w:sectPr>
      </w:pPr>
    </w:p>
    <w:bookmarkStart w:id="223" w:name="page224"/>
    <w:bookmarkEnd w:id="223"/>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SERIES 2023-7 ALLOCATIONS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99"/>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Establishment of Series 2023-7 Collection Account, Series 2023-7 Excess Collection Account and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2023-7 Accrued Interest Account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Allocations with Respect to the Series 2023-7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Payments to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Interest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Principal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2.6.</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Administrator’s Failure to Instruct the Trustee to Make a Deposit, Draw or</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2023-7 Reserve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Multi-Series Letters of Credit and Series 2023-7 Cash Collateral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2023-7 Distribution Account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2023-7 Accounts Permitted Investments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2.11.</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Series 2023-7 Demand Notes Constitute Additional Collateral for Series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2023-7 Senior Notes</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Subordination of the Class B Notes, Class C Notes, Class D Notes and the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Class R 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AMORTIZATION EVENTS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c>
          <w:tcPr>
            <w:tcW w:w="0" w:type="dxa"/>
            <w:vAlign w:val="bottom"/>
          </w:tcPr>
          <w:p>
            <w:pPr>
              <w:spacing w:after="0"/>
              <w:rPr>
                <w:sz w:val="1"/>
                <w:szCs w:val="1"/>
                <w:color w:val="auto"/>
              </w:rPr>
            </w:pPr>
          </w:p>
        </w:tc>
      </w:tr>
      <w:tr>
        <w:trPr>
          <w:trHeight w:val="365"/>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FORM OF SERIES 2023-7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Restricted Global Series 2023-7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4.2.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Temporary Global Series 2023-7 Notes; Permanent Global Series 2023-7</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GENERAL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Optional Repurchase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Ratification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Counterparts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Discharge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 to Rating Agencies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Capitalization of ABRCF</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Required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2023-7 Demand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of Supplement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Noteholder Consent to Certain 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Confidential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8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AMERICAS 129834063</w:t>
      </w:r>
    </w:p>
    <w:p>
      <w:pPr>
        <w:sectPr>
          <w:pgSz w:w="11900" w:h="16838" w:orient="portrait"/>
          <w:cols w:equalWidth="0" w:num="1">
            <w:col w:w="11220"/>
          </w:cols>
          <w:pgMar w:left="340" w:top="126" w:right="339" w:bottom="1440" w:gutter="0" w:footer="0" w:header="0"/>
          <w:type w:val="continuous"/>
        </w:sectPr>
      </w:pPr>
    </w:p>
    <w:bookmarkStart w:id="224" w:name="page225"/>
    <w:bookmarkEnd w:id="224"/>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5.18.</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Further Limitation of Liability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5.19.</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2023-7 Agent</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5.20.</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Force Majeure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5.21.</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Waiver of Jury Trial, etc</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5.22.</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Submission to Jurisdiction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5.23.</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Terms of the Series 2023-7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129834063</w:t>
      </w:r>
    </w:p>
    <w:p>
      <w:pPr>
        <w:sectPr>
          <w:pgSz w:w="11900" w:h="16838" w:orient="portrait"/>
          <w:cols w:equalWidth="0" w:num="1">
            <w:col w:w="11160"/>
          </w:cols>
          <w:pgMar w:left="400" w:top="369"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Issuer</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BANK OF NEW YORK MELLON TRUST COMPANY, N.A.,</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Trustee</w:t>
      </w:r>
    </w:p>
    <w:p>
      <w:pPr>
        <w:spacing w:after="0" w:line="19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SUPPLEMENTAL INDENTURE No. 5</w:t>
      </w: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 April 22, 2025</w:t>
      </w:r>
    </w:p>
    <w:p>
      <w:pPr>
        <w:spacing w:after="0" w:line="23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to</w:t>
      </w:r>
    </w:p>
    <w:p>
      <w:pPr>
        <w:spacing w:after="0" w:line="22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SECOND AMENDED AND RESTATED</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BASE INDENTURE</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3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Rental Car Asset Backed Notes</w:t>
      </w:r>
    </w:p>
    <w:p>
      <w:pPr>
        <w:spacing w:after="0" w:line="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(Issuable in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129526753</w:t>
      </w:r>
    </w:p>
    <w:p>
      <w:pPr>
        <w:sectPr>
          <w:pgSz w:w="11900" w:h="16838" w:orient="portrait"/>
          <w:cols w:equalWidth="0" w:num="1">
            <w:col w:w="11160"/>
          </w:cols>
          <w:pgMar w:left="400" w:top="122" w:right="339" w:bottom="1440" w:gutter="0" w:footer="0" w:header="0"/>
        </w:sectPr>
      </w:pPr>
    </w:p>
    <w:bookmarkStart w:id="226" w:name="page227"/>
    <w:bookmarkEnd w:id="226"/>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SUPPLEMENTAL INDENTURE No. 5, dated as of April 22, 2025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to the SECOND AMENDED AND RESTATED BASE INDENTURE, dated as of June 3, 2004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AVIS BUDGET RENTAL CAR FUNDING (AESOP) LLC (formerly known as Cendant Rental Car Funding (AESOP) LLC), a special purpose, limited liability company established under the laws of Delaware, as issuer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and THE BANK OF NEW YORK MELLON TRUST COMPANY, N.A. (as successor in interest to The Bank of New York), a national banking association, as trustee (in such capacity,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ABRCF and the Trustee are parties to the Base Indenture;</w:t>
      </w:r>
    </w:p>
    <w:p>
      <w:pPr>
        <w:spacing w:after="0" w:line="22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WHEREAS, pursuant to Section 12.1(h) of the Base Indenture, without the consent of any Noteholder, ABRCF, the Trustee and any applicable Enhancement Provider may enter into one or more Supplements to the Base Indenture so long as</w:t>
      </w:r>
    </w:p>
    <w:p>
      <w:pPr>
        <w:spacing w:after="0" w:line="2" w:lineRule="exact"/>
        <w:rPr>
          <w:sz w:val="20"/>
          <w:szCs w:val="20"/>
          <w:color w:val="auto"/>
        </w:rPr>
      </w:pPr>
    </w:p>
    <w:p>
      <w:pPr>
        <w:ind w:firstLine="8"/>
        <w:spacing w:after="0" w:line="248" w:lineRule="auto"/>
        <w:tabs>
          <w:tab w:leader="none" w:pos="268"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Rating Agency Consent Condition is met and (ii) as evidenced by an Opinion of Counsel, such action shall not adversely affect in any material respect the interests of any Noteholders;</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ABRCF desires to amend the definition of “Eligible Vehicle” in Schedule I of the Base Indenture to make such definition consistent with the requirements of the definition of “Vehicle Perfection and Documentation Requirements” in Schedule I of the Base Indenture;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ABRCF has requested the Trustee and each applicable Enhancement Provider to consent, and the Trustee and each applicable Enhancement Provider have consented, to the amendment of certain provisions of the Base Indenture as set forth herein;</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on the date hereof, (i) the Rating Agency Consent Condition will be met and (ii) an Opinion of Counsel to the effect that such amendment shall not adversely affect in any material respect the interests of any Noteholder will be provided;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ABRCF has duly authorized the execution and delivery of this Supplemental Indenture.</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NOW, THEREFORE, for and in consideration of the premises, and other good and valuable consideration the receipt and sufficiency of which are acknowledged, it is mutually covenanted and agreed, that the Base Indenture be amended and supplemented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 AMENDMENTS TO SCHEDULES</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Amended and Restated Definition</w:t>
      </w:r>
      <w:r>
        <w:rPr>
          <w:rFonts w:ascii="Times New Roman" w:cs="Times New Roman" w:eastAsia="Times New Roman" w:hAnsi="Times New Roman"/>
          <w:sz w:val="22"/>
          <w:szCs w:val="22"/>
          <w:color w:val="auto"/>
        </w:rPr>
        <w:t xml:space="preserve">. The definition of “Eligible Vehicle” in Schedule I to the Base Indenture is hereby amended and restated as follows by inserting the text thereof which is </w:t>
      </w:r>
      <w:r>
        <w:rPr>
          <w:rFonts w:ascii="Times New Roman" w:cs="Times New Roman" w:eastAsia="Times New Roman" w:hAnsi="Times New Roman"/>
          <w:sz w:val="22"/>
          <w:szCs w:val="22"/>
          <w:b w:val="1"/>
          <w:bCs w:val="1"/>
          <w:u w:val="single" w:color="auto"/>
          <w:color w:val="0E32E1"/>
        </w:rPr>
        <w:t>double underlined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Vehicle</w:t>
      </w:r>
      <w:r>
        <w:rPr>
          <w:rFonts w:ascii="Times New Roman" w:cs="Times New Roman" w:eastAsia="Times New Roman" w:hAnsi="Times New Roman"/>
          <w:sz w:val="22"/>
          <w:szCs w:val="22"/>
          <w:color w:val="auto"/>
        </w:rPr>
        <w:t>” means an automobile or light truck that (i) either is a Program Vehicle (other than a light truck manufactured by Chrysler that is subject to a nine-month or longer minimum hold period under the Guaranteed Depreciation Program with Chrysler)</w:t>
      </w:r>
    </w:p>
    <w:p>
      <w:pPr>
        <w:spacing w:after="0" w:line="200" w:lineRule="exact"/>
        <w:rPr>
          <w:sz w:val="20"/>
          <w:szCs w:val="20"/>
          <w:color w:val="auto"/>
        </w:rPr>
      </w:pPr>
    </w:p>
    <w:p>
      <w:pPr>
        <w:spacing w:after="0" w:line="4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129526753</w:t>
      </w:r>
    </w:p>
    <w:p>
      <w:pPr>
        <w:sectPr>
          <w:pgSz w:w="11900" w:h="16838" w:orient="portrait"/>
          <w:cols w:equalWidth="0" w:num="1">
            <w:col w:w="11240"/>
          </w:cols>
          <w:pgMar w:left="320" w:top="1030" w:right="339" w:bottom="1440" w:gutter="0" w:footer="0" w:header="0"/>
        </w:sectPr>
      </w:pPr>
    </w:p>
    <w:bookmarkStart w:id="227" w:name="page228"/>
    <w:bookmarkEnd w:id="227"/>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or a Non-Program Vehicle manufactured by an Eligible Non-Program Manufacturer or other Manufacturer, in each case at the time of leasing under the relevant Lease, (ii) is owned by AESOP Leasing, AESOP Leasing II, ABCR, ARAC or BRAC</w:t>
      </w:r>
      <w:r>
        <w:rPr>
          <w:rFonts w:ascii="Times New Roman" w:cs="Times New Roman" w:eastAsia="Times New Roman" w:hAnsi="Times New Roman"/>
          <w:sz w:val="22"/>
          <w:szCs w:val="22"/>
          <w:b w:val="1"/>
          <w:bCs w:val="1"/>
          <w:u w:val="single" w:color="auto"/>
          <w:color w:val="0E32E1"/>
        </w:rPr>
        <w:t>, any other Permitted Sublessees or their respective Permitted Nominees</w:t>
      </w:r>
      <w:r>
        <w:rPr>
          <w:rFonts w:ascii="Times New Roman" w:cs="Times New Roman" w:eastAsia="Times New Roman" w:hAnsi="Times New Roman"/>
          <w:sz w:val="22"/>
          <w:szCs w:val="22"/>
          <w:color w:val="auto"/>
        </w:rPr>
        <w:t>, as applicable, free and clear of all Liens other than Permitted Liens, and (iii) with respect to which the Trustee is noted as the first lienholder on the Certificate of Title (other than with respect to Certificates of Title for (i) the Franchisee Vehicles (which Certificates of Title will show the nominee lienholder under the related Franchisee Nominee Agreement as the first lienholder) and (ii) Vehicles located in the states of Ohio, Oklahoma and Nebraska) therefor, or the Certificate of Title has been submitted to the appropriate state authorities for such notation (other than with respect to Certificates of Title for Vehicles located in the states of Ohio, Oklahoma and Nebraska).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 DEEMED AMENDMENTS</w:t>
      </w:r>
    </w:p>
    <w:p>
      <w:pPr>
        <w:spacing w:after="0" w:line="22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Deemed Amendments and/or Waiver</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Concurrently with the execution of this Supplemental Indenture, the Finance Lease shall be amended to provide for the use of Vehicles in Puerto Rico pursuant to the Finance Lease Amendment and the ABPR Sublease Agreement shall be entered into pursuant to which ABPR shall become a Permitted Sublessee and the Existing ABPR Vehicles shall be Leased under the Finance Lease. As of the date hereof, (i) the Series 2011-4 Notes are the only Series of Notes that could be materially and adversely affected by the amendment of the definition of “Eligible Vehicle” set forth in Section 1 above and (ii) U.S. Bank National Association holds 100% of the aggregate Invested Amount of the Series 2011-4 Notes (in such capacity, the “</w:t>
      </w:r>
      <w:r>
        <w:rPr>
          <w:rFonts w:ascii="Times New Roman" w:cs="Times New Roman" w:eastAsia="Times New Roman" w:hAnsi="Times New Roman"/>
          <w:sz w:val="22"/>
          <w:szCs w:val="22"/>
          <w:u w:val="single" w:color="auto"/>
          <w:color w:val="auto"/>
        </w:rPr>
        <w:t>Series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2011-4 Noteholder</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In connection with the amendment to the definition of “Eligible Vehicle” set forth in Section 1 herein, the Series 2011-4 Noteholder acknowledges that, with respect to the Finance Lease, (i) the Certificates of Title with respect to the Existing ABPR Vehicles will be registered in the name of ABPR, and, within sixty (60) days following the date hereof (or such longer period as may be agreed by the parties hereto), noted with a Lien of the Trustee as the first lienholder on its respective Certificate of Title, consistent with the requirements of the definition of “Vehicle Perfection and Documentation Requirements” and</w:t>
      </w:r>
    </w:p>
    <w:p>
      <w:pPr>
        <w:jc w:val="both"/>
        <w:ind w:firstLine="8"/>
        <w:spacing w:after="0" w:line="251" w:lineRule="auto"/>
        <w:tabs>
          <w:tab w:leader="none" w:pos="341"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provisions of the Base Indenture or any other Related Document may be inconsistent with the requirements of the definitions “Eligible Vehicle” (as amended by this Supplemental Indenture) and “Vehicle Perfection and Documentation Requirements”.</w:t>
      </w:r>
    </w:p>
    <w:p>
      <w:pPr>
        <w:spacing w:after="0" w:line="12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As a precautionary measure, to the extent any provisions in the Base Indenture or any other Related Document are inconsistent with requirements of the definitions “Eligible Vehicle” (as amended by this Supplemental Indenture) and “Vehicle Perfection and Documentation Requirements”, such provisions shall be deemed an amendment to the Base Indenture and each Related Document solely to the extent affected thereby such that the applicable provision is consistent with the definitions of “Eligible Vehicle” (as amended by this Supplemental Indenture) and “Vehicle Perfection and Documentation Requirements” (collectively, the “</w:t>
      </w:r>
      <w:r>
        <w:rPr>
          <w:rFonts w:ascii="Times New Roman" w:cs="Times New Roman" w:eastAsia="Times New Roman" w:hAnsi="Times New Roman"/>
          <w:sz w:val="22"/>
          <w:szCs w:val="22"/>
          <w:u w:val="single" w:color="auto"/>
          <w:color w:val="auto"/>
        </w:rPr>
        <w:t>Deemed Amendments</w:t>
      </w:r>
      <w:r>
        <w:rPr>
          <w:rFonts w:ascii="Times New Roman" w:cs="Times New Roman" w:eastAsia="Times New Roman" w:hAnsi="Times New Roman"/>
          <w:sz w:val="22"/>
          <w:szCs w:val="22"/>
          <w:color w:val="auto"/>
        </w:rPr>
        <w:t>”). The Series 2011-4 Noteholder hereby consents to such Deemed Amendments and waives any breach or default under the Base Indenture or any other Related Document that may arise solely as a result of such Deemed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129526753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1030" w:right="339" w:bottom="1440" w:gutter="0" w:footer="0" w:header="0"/>
        </w:sectPr>
      </w:pPr>
    </w:p>
    <w:bookmarkStart w:id="228" w:name="page229"/>
    <w:bookmarkEnd w:id="228"/>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The Trustee is directed to execute and deliver this Supplemental Indenture, the Finance Lease Amendment and the ABPR Sublease Agreement, in each case, to the extent so required under the Base Indenture or the Related Documents. The Deemed Amendments shall be limited solely for the purposes and to the extent expressly set forth herein, and, except as set forth herein, nothing herein express or implied shall constitute an amendment, supplement, modification, or waiver to or of any other term, provision, or condition of the Base Indenture or any other Related Document.</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this Section 2, the following terms have the following meanings: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ABPR</w:t>
      </w:r>
      <w:r>
        <w:rPr>
          <w:rFonts w:ascii="Times New Roman" w:cs="Times New Roman" w:eastAsia="Times New Roman" w:hAnsi="Times New Roman"/>
          <w:sz w:val="22"/>
          <w:szCs w:val="22"/>
          <w:color w:val="auto"/>
        </w:rPr>
        <w:t>” means Avis Budget de Puerto Rico, Inc.</w:t>
      </w:r>
    </w:p>
    <w:p>
      <w:pPr>
        <w:spacing w:after="0" w:line="23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ABPR Sublease Agreement</w:t>
      </w:r>
      <w:r>
        <w:rPr>
          <w:rFonts w:ascii="Times New Roman" w:cs="Times New Roman" w:eastAsia="Times New Roman" w:hAnsi="Times New Roman"/>
          <w:sz w:val="22"/>
          <w:szCs w:val="22"/>
          <w:color w:val="auto"/>
        </w:rPr>
        <w:t>” means the AESOP I Finance Sublease Agreement, dated as of April 22, 2025, by and between Avis Budget de Puerto Rico, Inc., as sublessee, and ABCR, as sublessor.</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ABPR Vehicles</w:t>
      </w:r>
      <w:r>
        <w:rPr>
          <w:rFonts w:ascii="Times New Roman" w:cs="Times New Roman" w:eastAsia="Times New Roman" w:hAnsi="Times New Roman"/>
          <w:sz w:val="22"/>
          <w:szCs w:val="22"/>
          <w:color w:val="auto"/>
        </w:rPr>
        <w:t>” means the Vehicles Leased under the Finance Lease as of April 22, 2025 that are owned by ABPR and will be subleased by ABPR under the ABPR Sublease Agreement.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Lease Amendment</w:t>
      </w:r>
      <w:r>
        <w:rPr>
          <w:rFonts w:ascii="Times New Roman" w:cs="Times New Roman" w:eastAsia="Times New Roman" w:hAnsi="Times New Roman"/>
          <w:sz w:val="22"/>
          <w:szCs w:val="22"/>
          <w:color w:val="auto"/>
        </w:rPr>
        <w:t>” means the Sixth Amendment to the Amended and Restated Master Motor Vehicle Finance Lease Agreement, dated as of April 22, 2025, by and among AESOP Leasing, as the lessor thereunder, ARAC and BRAC, each as a lessee thereunder, and ABCR, as a lessee, Administrator and Finance Lease Guarantor thereunder.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 REPRESENTATIONS AND WARRANTIES</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In order to induce the Trustee to agree to this Supplemental Indenture, ABRCF hereby represents and warrants as follows for the benefit of the Trustee and the Secured Parties, as of the date hereof:</w:t>
      </w:r>
    </w:p>
    <w:p>
      <w:pPr>
        <w:spacing w:after="0" w:line="158"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Affirmation of Representations and Warranties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Each representation and warranty of ABRCF set forth in the Base Indenture and in each other Related Document to which it is a party is true and correct as of the date of this Supplemental Indenture in all material respects (except for representations and warranties which are limited as to materiality by their terms, which representations and warranties shall be true and correct as of the date of this Supplemental Indenture) as though such representation or warranty were being made on and as of the date hereof and is hereby deemed repeated as though fully set forth herein.</w:t>
      </w:r>
    </w:p>
    <w:p>
      <w:pPr>
        <w:spacing w:after="0" w:line="194"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Limited Liability Company and Governmental Authorization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execution, delivery and performance by ABRCF of this Supplemental Indenture (a) is within ABRCF’s limited liability company powers and has been duly authorized by all necessary limited liability company action, (b) requires no action by or in respect of, or filing with, any governmental body, agency or official which has not been obtained, and (c) does not contravene, or constitute a default under, any provision of applicable law or regulation or of the</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129526753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1030" w:right="339" w:bottom="1440" w:gutter="0" w:footer="0" w:header="0"/>
        </w:sectPr>
      </w:pPr>
    </w:p>
    <w:bookmarkStart w:id="229" w:name="page230"/>
    <w:bookmarkEnd w:id="229"/>
    <w:p>
      <w:pPr>
        <w:jc w:val="both"/>
        <w:spacing w:after="0" w:line="272" w:lineRule="auto"/>
        <w:rPr>
          <w:sz w:val="20"/>
          <w:szCs w:val="20"/>
          <w:color w:val="auto"/>
        </w:rPr>
      </w:pPr>
      <w:r>
        <w:rPr>
          <w:rFonts w:ascii="Times New Roman" w:cs="Times New Roman" w:eastAsia="Times New Roman" w:hAnsi="Times New Roman"/>
          <w:sz w:val="21"/>
          <w:szCs w:val="21"/>
          <w:color w:val="auto"/>
        </w:rPr>
        <w:t>certificate of formation or limited liability company agreement of ABRCF or of any law or governmental regulation, rule, contract, agreement, judgment, injunction, order, decree or other instrument binding upon ABRCF or any of its Assets or result in the creation or imposition of any Lien on any Asset of ABRCF, except for Liens created by this Supplemental Indenture or the other Related Documents. This Supplemental Indenture has been executed and delivered by a duly authorized officer of ABRCF.</w:t>
      </w:r>
    </w:p>
    <w:p>
      <w:pPr>
        <w:spacing w:after="0" w:line="161"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3.3</w:t>
      </w:r>
      <w:r>
        <w:rPr>
          <w:sz w:val="20"/>
          <w:szCs w:val="20"/>
          <w:color w:val="auto"/>
        </w:rPr>
        <w:tab/>
      </w:r>
      <w:r>
        <w:rPr>
          <w:rFonts w:ascii="Times New Roman" w:cs="Times New Roman" w:eastAsia="Times New Roman" w:hAnsi="Times New Roman"/>
          <w:sz w:val="21"/>
          <w:szCs w:val="21"/>
          <w:u w:val="single" w:color="auto"/>
          <w:color w:val="auto"/>
        </w:rPr>
        <w:t>Binding Effect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This Supplemental Indenture is a legal, valid and binding obligation of ABRCF enforceable against ABRCF in accordance with its terms (except as such enforceability may be limited by bankruptcy, insolvency, fraudulent conveyance, reorganization, moratorium and other similar laws affecting creditors’ rights generally or by general equitable principles, whether considered in a proceeding at law or in equity and by an implied covenant of good faith and fair dealing).</w:t>
      </w:r>
    </w:p>
    <w:p>
      <w:pPr>
        <w:spacing w:after="0" w:line="176"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No Consent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 consent or action by or in respect of, approval or other authorization of, or registration, declaration or filing with, any Governmental Authority or other Person is required for the valid execution and delivery of this Supplemental Indenture or for the performance of any of ABRCF’s obligations hereunder other than such consents, approvals, authorizations, registrations, declarations or filings as were obtained by ABRCF prior to the Initial Closing Date, or the date hereof, as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 CONDITIONS PRECEDENT</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This Supplemental Indenture shall become effective and shall be binding on each of the parties hereto upon the satisfaction or due waiver of each of the following conditions precedent:</w:t>
      </w:r>
    </w:p>
    <w:p>
      <w:pPr>
        <w:spacing w:after="0" w:line="171" w:lineRule="exact"/>
        <w:rPr>
          <w:sz w:val="20"/>
          <w:szCs w:val="20"/>
          <w:color w:val="auto"/>
        </w:rPr>
      </w:pPr>
    </w:p>
    <w:p>
      <w:pPr>
        <w:ind w:left="1700" w:hanging="396"/>
        <w:spacing w:after="0" w:line="271" w:lineRule="auto"/>
        <w:tabs>
          <w:tab w:leader="none" w:pos="169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affected Noteholder shall have been given in accordance with the terms of the applicable Supplement and a copy thereof provided to the Trustee.</w:t>
      </w:r>
    </w:p>
    <w:p>
      <w:pPr>
        <w:spacing w:after="0" w:line="157"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Rating Agency Consent Condition shall have been satisfied.</w:t>
      </w:r>
    </w:p>
    <w:p>
      <w:pPr>
        <w:spacing w:after="0" w:line="219" w:lineRule="exact"/>
        <w:rPr>
          <w:rFonts w:ascii="Times New Roman" w:cs="Times New Roman" w:eastAsia="Times New Roman" w:hAnsi="Times New Roman"/>
          <w:sz w:val="22"/>
          <w:szCs w:val="22"/>
          <w:color w:val="auto"/>
        </w:rPr>
      </w:pPr>
    </w:p>
    <w:p>
      <w:pPr>
        <w:jc w:val="both"/>
        <w:ind w:left="1700" w:hanging="396"/>
        <w:spacing w:after="0" w:line="262" w:lineRule="auto"/>
        <w:tabs>
          <w:tab w:leader="none" w:pos="1735"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have received an Officer’s Certificate of ABRCF dated as of the date hereof to the effect that (i) no Amortization Event, Aggregate Asset Amount Deficiency, Enhancement Agreement Event of Default, Enhancement Deficiency, Loan Event of Default, AESOP I Operating Lease Vehicle Deficiency, Manufacturer Event of Default, Lease Event of Default, Potential Amortization Event, Potential Enhancement Agreement Event of Default, Potential Loan Event of Default, Potential Lease Event of Default, or Potential Manufacturer Event of Default is continuing or will occur as a result of the execution and delivery of this Supplemental Indenture, and (ii) the execution and delivery of this Supplemental Indenture will not result in any breach of any of the terms, conditions or provisions of or constitute a default under any</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129526753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ectPr>
          <w:pgSz w:w="11900" w:h="16838" w:orient="portrait"/>
          <w:cols w:equalWidth="0" w:num="1">
            <w:col w:w="11240"/>
          </w:cols>
          <w:pgMar w:left="320" w:top="1030" w:right="339" w:bottom="1440" w:gutter="0" w:footer="0" w:header="0"/>
        </w:sectPr>
      </w:pPr>
    </w:p>
    <w:bookmarkStart w:id="230" w:name="page231"/>
    <w:bookmarkEnd w:id="230"/>
    <w:p>
      <w:pPr>
        <w:jc w:val="both"/>
        <w:ind w:left="1700"/>
        <w:spacing w:after="0" w:line="253" w:lineRule="auto"/>
        <w:rPr>
          <w:sz w:val="20"/>
          <w:szCs w:val="20"/>
          <w:color w:val="auto"/>
        </w:rPr>
      </w:pPr>
      <w:r>
        <w:rPr>
          <w:rFonts w:ascii="Times New Roman" w:cs="Times New Roman" w:eastAsia="Times New Roman" w:hAnsi="Times New Roman"/>
          <w:sz w:val="22"/>
          <w:szCs w:val="22"/>
          <w:color w:val="auto"/>
        </w:rPr>
        <w:t>indenture, mortgage, deed of trust or other agreement or instrument, including, without limitation, any Related Document, to which ABRCF is a party or by which it or its property is bound or any order of any court or administrative agency entered in the suit, action or other judicial or administrative proceeding to which ABRCF is a party or by which it or its property may be bound or to which it or its property may be subject.</w:t>
      </w:r>
    </w:p>
    <w:p>
      <w:pPr>
        <w:spacing w:after="0" w:line="179" w:lineRule="exact"/>
        <w:rPr>
          <w:sz w:val="20"/>
          <w:szCs w:val="20"/>
          <w:color w:val="auto"/>
        </w:rPr>
      </w:pPr>
    </w:p>
    <w:p>
      <w:pPr>
        <w:jc w:val="both"/>
        <w:ind w:left="1700" w:hanging="396"/>
        <w:spacing w:after="0" w:line="249" w:lineRule="auto"/>
        <w:tabs>
          <w:tab w:leader="none" w:pos="190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received one or more Opinions of Counsel, subject to the assumptions and qualifications stated therein and an Officer’s Certificate of ABRCF, in each case, in a form substantially acceptable to the Trustee, dated the date hereof, substantially to the effect that (x) all conditions precedent provided for in the Base Indenture with respect to the execution and delivery of this Supplemental Indenture have been complied with in all material respects, (y) the execution of this Supplemental Indenture is authorized and permitted by the Indenture and that it will be valid and binding upon ABRCF in accordance with its terms and (z) this Supplemental Indenture shall not adversely affect in any material respect the interests of any Noteholders.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 MISCELLANEOUS</w:t>
      </w:r>
    </w:p>
    <w:p>
      <w:pPr>
        <w:spacing w:after="0" w:line="220"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Counterpart Originals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This Supplemental Indenture may be executed in any number of counterparts, each of which so executed shall be deemed to be an original, but all of such counterparts shall together constitute but one and the same instrument. Delivery of an executed counterpart of a signature page to this Supplemental Indenture by facsimile or electronic mail in a “pdf” file shall be effective as delivery of a manually executed counterpart of this Supplemental Indenture. The parties agree that this Supplemental Indenture may be executed and delivered by electronic signatures and that the signatures appearing on this Supplemental Indenture are the same as handwritten signatures for the purposes of validity, enforceability and admissibility.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176"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5.2</w:t>
      </w:r>
      <w:r>
        <w:rPr>
          <w:sz w:val="20"/>
          <w:szCs w:val="20"/>
          <w:color w:val="auto"/>
        </w:rPr>
        <w:tab/>
      </w:r>
      <w:r>
        <w:rPr>
          <w:rFonts w:ascii="Times New Roman" w:cs="Times New Roman" w:eastAsia="Times New Roman" w:hAnsi="Times New Roman"/>
          <w:sz w:val="21"/>
          <w:szCs w:val="21"/>
          <w:u w:val="single" w:color="auto"/>
          <w:color w:val="auto"/>
        </w:rPr>
        <w:t>Ratification and Effect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Base Indenture, as amended and supplemented by this Supplemental Indenture, is in all respects ratified and confirmed, shall continue to be in full force and effect, and shall be read, taken and construed as one and the same instrument.</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Effect of Supplemental Indenture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129526753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240"/>
          </w:cols>
          <w:pgMar w:left="320" w:top="1030" w:right="339" w:bottom="1440" w:gutter="0" w:footer="0" w:header="0"/>
        </w:sectPr>
      </w:pPr>
    </w:p>
    <w:bookmarkStart w:id="231" w:name="page232"/>
    <w:bookmarkEnd w:id="231"/>
    <w:p>
      <w:pPr>
        <w:ind w:firstLine="1296"/>
        <w:spacing w:after="0" w:line="271" w:lineRule="auto"/>
        <w:rPr>
          <w:sz w:val="20"/>
          <w:szCs w:val="20"/>
          <w:color w:val="auto"/>
        </w:rPr>
      </w:pPr>
      <w:r>
        <w:rPr>
          <w:rFonts w:ascii="Times New Roman" w:cs="Times New Roman" w:eastAsia="Times New Roman" w:hAnsi="Times New Roman"/>
          <w:sz w:val="22"/>
          <w:szCs w:val="22"/>
          <w:color w:val="auto"/>
        </w:rPr>
        <w:t>This Supplemental Indenture is limited as specified and, except as expressly stated herein, shall not constitute a modification, acceptance or waiver of any other provision of the Base Indenture.</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Headings, etc.</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The headings of the Sections of this Supplemental Indenture have been inserted for convenience of reference only, are not to be considered a part hereof, and shall in no way modify or restrict any of the terms or provisions hereof.</w:t>
      </w:r>
    </w:p>
    <w:p>
      <w:pPr>
        <w:spacing w:after="0" w:line="158"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Choice of Law</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1296"/>
        <w:spacing w:after="0" w:line="284" w:lineRule="auto"/>
        <w:rPr>
          <w:sz w:val="20"/>
          <w:szCs w:val="20"/>
          <w:color w:val="auto"/>
        </w:rPr>
      </w:pPr>
      <w:r>
        <w:rPr>
          <w:rFonts w:ascii="Times New Roman" w:cs="Times New Roman" w:eastAsia="Times New Roman" w:hAnsi="Times New Roman"/>
          <w:sz w:val="22"/>
          <w:szCs w:val="22"/>
          <w:color w:val="auto"/>
        </w:rPr>
        <w:t>THIS SUPPLEMENTAL INDENTURE SHALL BE A CONTRACT MADE UNDER AND GOVERNED BY THE INTERNAL LAWS OF THE STATE OF NEW YORK.</w:t>
      </w: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129526753</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40"/>
          </w:cols>
          <w:pgMar w:left="320" w:top="1030" w:right="339" w:bottom="1440" w:gutter="0" w:footer="0" w:header="0"/>
        </w:sectPr>
      </w:pPr>
    </w:p>
    <w:bookmarkStart w:id="232" w:name="page233"/>
    <w:bookmarkEnd w:id="232"/>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Trustee and ABRCF have caused this Supplemental Indenture to be duly executed by their respective duly authorized officers as of the day and year first written above.</w:t>
      </w:r>
    </w:p>
    <w:p>
      <w:pPr>
        <w:spacing w:after="0" w:line="17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RENTAL CAR</w:t>
      </w:r>
    </w:p>
    <w:p>
      <w:pPr>
        <w:ind w:left="7320"/>
        <w:spacing w:after="0"/>
        <w:rPr>
          <w:sz w:val="20"/>
          <w:szCs w:val="20"/>
          <w:color w:val="auto"/>
        </w:rPr>
      </w:pPr>
      <w:r>
        <w:rPr>
          <w:rFonts w:ascii="Times New Roman" w:cs="Times New Roman" w:eastAsia="Times New Roman" w:hAnsi="Times New Roman"/>
          <w:sz w:val="22"/>
          <w:szCs w:val="22"/>
          <w:color w:val="auto"/>
        </w:rPr>
        <w:t>FUNDING</w:t>
      </w:r>
    </w:p>
    <w:p>
      <w:pPr>
        <w:spacing w:after="0" w:line="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(AESOP) LLC,</w:t>
      </w:r>
    </w:p>
    <w:p>
      <w:pPr>
        <w:spacing w:after="0" w:line="1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34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21945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Title: Senior Vice President and</w:t>
      </w:r>
    </w:p>
    <w:p>
      <w:pPr>
        <w:spacing w:after="0" w:line="1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4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TRUST COMPANY, N.A.,</w:t>
      </w:r>
    </w:p>
    <w:p>
      <w:pPr>
        <w:spacing w:after="0" w:line="1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34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21945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the Supplemental Indenture No. 5 to the Base Indenture]</w:t>
      </w:r>
    </w:p>
    <w:p>
      <w:pPr>
        <w:spacing w:after="0" w:line="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129526753</w:t>
      </w:r>
    </w:p>
    <w:p>
      <w:pPr>
        <w:sectPr>
          <w:pgSz w:w="11900" w:h="16838" w:orient="portrait"/>
          <w:cols w:equalWidth="0" w:num="1">
            <w:col w:w="11240"/>
          </w:cols>
          <w:pgMar w:left="320" w:top="1422" w:right="339" w:bottom="1440" w:gutter="0" w:footer="0" w:header="0"/>
        </w:sectPr>
      </w:pPr>
    </w:p>
    <w:bookmarkStart w:id="233" w:name="page234"/>
    <w:bookmarkEnd w:id="233"/>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Solely with respect to Section 2 herein, acknowledged and accepted by: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as Series 2011-4 Noteholder</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Pawel Bania</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Name: Pawel Bania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-160020</wp:posOffset>
            </wp:positionV>
            <wp:extent cx="37458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2059"/>
        <w:spacing w:after="0"/>
        <w:rPr>
          <w:sz w:val="20"/>
          <w:szCs w:val="20"/>
          <w:color w:val="auto"/>
        </w:rPr>
      </w:pPr>
      <w:r>
        <w:rPr>
          <w:rFonts w:ascii="Times New Roman" w:cs="Times New Roman" w:eastAsia="Times New Roman" w:hAnsi="Times New Roman"/>
          <w:sz w:val="16"/>
          <w:szCs w:val="16"/>
          <w:i w:val="1"/>
          <w:iCs w:val="1"/>
          <w:color w:val="auto"/>
        </w:rPr>
        <w:t>[Signature page to the Supplemental Indenture No. 5 to the Base Indenture]</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AMERICAS 129526753</w:t>
      </w:r>
    </w:p>
    <w:p>
      <w:pPr>
        <w:sectPr>
          <w:pgSz w:w="11900" w:h="16838" w:orient="portrait"/>
          <w:cols w:equalWidth="0" w:num="1">
            <w:col w:w="10139"/>
          </w:cols>
          <w:pgMar w:left="320" w:top="1440" w:right="1440"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SIXTH AMENDMENT TO AMENDED AND RESTATED MASTER MOTOR VEHICLE FINANCE LEASE AGREEMENT</w:t>
      </w:r>
    </w:p>
    <w:p>
      <w:pPr>
        <w:spacing w:after="0" w:line="231" w:lineRule="exact"/>
        <w:rPr>
          <w:sz w:val="20"/>
          <w:szCs w:val="20"/>
          <w:color w:val="auto"/>
        </w:rPr>
      </w:pPr>
    </w:p>
    <w:p>
      <w:pPr>
        <w:jc w:val="both"/>
        <w:ind w:firstLine="307"/>
        <w:spacing w:after="0" w:line="248" w:lineRule="auto"/>
        <w:rPr>
          <w:sz w:val="20"/>
          <w:szCs w:val="20"/>
          <w:color w:val="auto"/>
        </w:rPr>
      </w:pPr>
      <w:r>
        <w:rPr>
          <w:rFonts w:ascii="Times New Roman" w:cs="Times New Roman" w:eastAsia="Times New Roman" w:hAnsi="Times New Roman"/>
          <w:sz w:val="22"/>
          <w:szCs w:val="22"/>
          <w:color w:val="auto"/>
        </w:rPr>
        <w:t>This SIXTH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April 22, 2025, amends the Amended and Restated Master Motor Vehicle Finance Lease Agreement, dated as of June 3, 2004 (as amended to date, the “</w:t>
      </w:r>
      <w:r>
        <w:rPr>
          <w:rFonts w:ascii="Times New Roman" w:cs="Times New Roman" w:eastAsia="Times New Roman" w:hAnsi="Times New Roman"/>
          <w:sz w:val="22"/>
          <w:szCs w:val="22"/>
          <w:u w:val="single" w:color="auto"/>
          <w:color w:val="auto"/>
        </w:rPr>
        <w:t>Finance Lease</w:t>
      </w:r>
      <w:r>
        <w:rPr>
          <w:rFonts w:ascii="Times New Roman" w:cs="Times New Roman" w:eastAsia="Times New Roman" w:hAnsi="Times New Roman"/>
          <w:sz w:val="22"/>
          <w:szCs w:val="22"/>
          <w:color w:val="auto"/>
        </w:rPr>
        <w:t>”), by and among AESOP LEASING L.P., a Delaware limited partnership, as lessor (the “</w:t>
      </w:r>
      <w:r>
        <w:rPr>
          <w:rFonts w:ascii="Times New Roman" w:cs="Times New Roman" w:eastAsia="Times New Roman" w:hAnsi="Times New Roman"/>
          <w:sz w:val="22"/>
          <w:szCs w:val="22"/>
          <w:u w:val="single" w:color="auto"/>
          <w:color w:val="auto"/>
        </w:rPr>
        <w:t>Lessor</w:t>
      </w:r>
      <w:r>
        <w:rPr>
          <w:rFonts w:ascii="Times New Roman" w:cs="Times New Roman" w:eastAsia="Times New Roman" w:hAnsi="Times New Roman"/>
          <w:sz w:val="22"/>
          <w:szCs w:val="22"/>
          <w:color w:val="auto"/>
        </w:rPr>
        <w:t>”), AVIS BUDGET CAR RENTAL, LLC (formerly known as Cendant Car Rental Group, LLC), a Delaware limited liability company (“</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as a lessee (in such capacity, a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as administrator (in such capacity, the “</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and as guarantor (in such capacity, the “</w:t>
      </w:r>
      <w:r>
        <w:rPr>
          <w:rFonts w:ascii="Times New Roman" w:cs="Times New Roman" w:eastAsia="Times New Roman" w:hAnsi="Times New Roman"/>
          <w:sz w:val="22"/>
          <w:szCs w:val="22"/>
          <w:u w:val="single" w:color="auto"/>
          <w:color w:val="auto"/>
        </w:rPr>
        <w:t>Finance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Lease Guarantor</w:t>
      </w:r>
      <w:r>
        <w:rPr>
          <w:rFonts w:ascii="Times New Roman" w:cs="Times New Roman" w:eastAsia="Times New Roman" w:hAnsi="Times New Roman"/>
          <w:sz w:val="22"/>
          <w:szCs w:val="22"/>
          <w:color w:val="auto"/>
        </w:rPr>
        <w:t>”), AVIS RENT A CAR SYSTEM, LLC (formerly known as Avis Rent A Car System, Inc.), a Delaware limited liability company (“</w:t>
      </w:r>
      <w:r>
        <w:rPr>
          <w:rFonts w:ascii="Times New Roman" w:cs="Times New Roman" w:eastAsia="Times New Roman" w:hAnsi="Times New Roman"/>
          <w:sz w:val="22"/>
          <w:szCs w:val="22"/>
          <w:u w:val="single" w:color="auto"/>
          <w:color w:val="auto"/>
        </w:rPr>
        <w:t>ARAC</w:t>
      </w:r>
      <w:r>
        <w:rPr>
          <w:rFonts w:ascii="Times New Roman" w:cs="Times New Roman" w:eastAsia="Times New Roman" w:hAnsi="Times New Roman"/>
          <w:sz w:val="22"/>
          <w:szCs w:val="22"/>
          <w:color w:val="auto"/>
        </w:rPr>
        <w:t>”), as a lessee (in such capacity, a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and BUDGET RENT A CAR SYSTEM, INC., a Delaware corporation (“</w:t>
      </w:r>
      <w:r>
        <w:rPr>
          <w:rFonts w:ascii="Times New Roman" w:cs="Times New Roman" w:eastAsia="Times New Roman" w:hAnsi="Times New Roman"/>
          <w:sz w:val="22"/>
          <w:szCs w:val="22"/>
          <w:u w:val="single" w:color="auto"/>
          <w:color w:val="auto"/>
        </w:rPr>
        <w:t>BRAC</w:t>
      </w:r>
      <w:r>
        <w:rPr>
          <w:rFonts w:ascii="Times New Roman" w:cs="Times New Roman" w:eastAsia="Times New Roman" w:hAnsi="Times New Roman"/>
          <w:sz w:val="22"/>
          <w:szCs w:val="22"/>
          <w:color w:val="auto"/>
        </w:rPr>
        <w:t>”), as a lessee (in such capacity, a “</w:t>
      </w:r>
      <w:r>
        <w:rPr>
          <w:rFonts w:ascii="Times New Roman" w:cs="Times New Roman" w:eastAsia="Times New Roman" w:hAnsi="Times New Roman"/>
          <w:sz w:val="22"/>
          <w:szCs w:val="22"/>
          <w:u w:val="single" w:color="auto"/>
          <w:color w:val="auto"/>
        </w:rPr>
        <w:t>Lessee</w:t>
      </w:r>
      <w:r>
        <w:rPr>
          <w:rFonts w:ascii="Times New Roman" w:cs="Times New Roman" w:eastAsia="Times New Roman" w:hAnsi="Times New Roman"/>
          <w:sz w:val="22"/>
          <w:szCs w:val="22"/>
          <w:color w:val="auto"/>
        </w:rPr>
        <w:t>” and together, with ABCR and ARAC, in their capacities as lessees, the “</w:t>
      </w:r>
      <w:r>
        <w:rPr>
          <w:rFonts w:ascii="Times New Roman" w:cs="Times New Roman" w:eastAsia="Times New Roman" w:hAnsi="Times New Roman"/>
          <w:sz w:val="22"/>
          <w:szCs w:val="22"/>
          <w:u w:val="single" w:color="auto"/>
          <w:color w:val="auto"/>
        </w:rPr>
        <w:t>Lessees</w:t>
      </w:r>
      <w:r>
        <w:rPr>
          <w:rFonts w:ascii="Times New Roman" w:cs="Times New Roman" w:eastAsia="Times New Roman" w:hAnsi="Times New Roman"/>
          <w:sz w:val="22"/>
          <w:szCs w:val="22"/>
          <w:color w:val="auto"/>
        </w:rPr>
        <w:t>”). Unless otherwise specified herein, capitalized terms used herein shall have the meanings ascribed to such terms in (i) the Definitions List attached as Schedule I to the Second Amended and Restated Base Indenture, dated as of June 3, 2004 (as amended to date,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 between Avis Budget Rental Car Funding (AESOP) LLC (formerly known as Cendant Rental Car Funding (AESOP) LLC)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as Issuer, and The Bank of New York Mellon Trust Company, N.A. (as successor in interest to The Bank of New York),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as such Definitions List may from time to time be amended in accordance with the terms of the Base Indenture, or (ii) the Finance Lease, as applicable.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pursuant to Section 29 of the Finance Lease, the Finance Lease may be amended with an agreement in writing signed by the Lessor, the Finance Lease Guarantor and each Lessee and consented to in writing by ABRCF, as lender (in such capacity, the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and the Trustee;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pursuant to Section 8.24 of the Base Indenture, ABRCF is prohibited, subject to certain exceptions, from giving any approval or consent or permission provided for in any Related Document;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pursuant to Section 12.1(c) and Section 12.1(h) of the Base Indenture, without the consent of any Noteholder, ABRCF, the Trustee and any applicable Enhancement Provider may enter into one or more amendments to a Related Document so long as (i) the Rating Agency Consent Condition is met and (ii) as evidenced by an Opinion of Counsel, such action shall not adversely affect in any material respect the interests of any Noteholders;</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parties desire to amend the Finance Lease, subject to certain restrictions, to (i) permit vehicles to be located and used in Puerto Rico and (ii) correct an inconsistency in Attachment C to the Finance Lease;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on the date hereof, (i) the Rating Agency Consent Condition will be met and (ii) an Opinion of Counsel to the effect that such amendment shall not adversely affect in any material respect the interests of any Noteholder will be provided; and</w:t>
      </w:r>
    </w:p>
    <w:p>
      <w:pPr>
        <w:spacing w:after="0" w:line="200" w:lineRule="exact"/>
        <w:rPr>
          <w:sz w:val="20"/>
          <w:szCs w:val="20"/>
          <w:color w:val="auto"/>
        </w:rPr>
      </w:pPr>
    </w:p>
    <w:p>
      <w:pPr>
        <w:spacing w:after="0" w:line="38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129272611</w:t>
      </w:r>
    </w:p>
    <w:p>
      <w:pPr>
        <w:sectPr>
          <w:pgSz w:w="11900" w:h="16838" w:orient="portrait"/>
          <w:cols w:equalWidth="0" w:num="1">
            <w:col w:w="11240"/>
          </w:cols>
          <w:pgMar w:left="320" w:top="122" w:right="339" w:bottom="1440" w:gutter="0" w:footer="0" w:header="0"/>
        </w:sectPr>
      </w:pPr>
    </w:p>
    <w:bookmarkStart w:id="235" w:name="page236"/>
    <w:bookmarkEnd w:id="235"/>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WHEREAS, the Lessor has requested the Trustee and the Lender to, and, upon this Amendment becoming effective, the Lessor, the Lender and the Trustee have agreed to, amend certain provisions of the Finance Lease as set forth herein.</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it is agreed:</w:t>
      </w:r>
    </w:p>
    <w:p>
      <w:pPr>
        <w:spacing w:after="0" w:line="216"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2"/>
          <w:szCs w:val="22"/>
          <w:color w:val="auto"/>
        </w:rPr>
        <w:t>1.</w:t>
        <w:tab/>
        <w:t xml:space="preserve">Section 7 of the Finance Lease is hereby amended by inserting the text thereof which is </w:t>
      </w:r>
      <w:r>
        <w:rPr>
          <w:rFonts w:ascii="Times New Roman" w:cs="Times New Roman" w:eastAsia="Times New Roman" w:hAnsi="Times New Roman"/>
          <w:sz w:val="22"/>
          <w:szCs w:val="22"/>
          <w:b w:val="1"/>
          <w:bCs w:val="1"/>
          <w:u w:val="single" w:color="auto"/>
          <w:color w:val="0E32E1"/>
        </w:rPr>
        <w:t>double underlined</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21"/>
          <w:szCs w:val="21"/>
          <w:color w:val="auto"/>
        </w:rPr>
        <w:t xml:space="preserve">“So long as no Finance Lease Event of Default, Liquidation Event of Default or Limited Liquidation Event of Default has occurred (subject, however,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hereof), each Lessee may use each Vehicle leased by such Lessee hereunder in its regular course of business and may sublease such Vehicle to Permitted Sublessees from time to time pursuant to subleases (each such agreement, a “</w:t>
      </w:r>
      <w:r>
        <w:rPr>
          <w:rFonts w:ascii="Times New Roman" w:cs="Times New Roman" w:eastAsia="Times New Roman" w:hAnsi="Times New Roman"/>
          <w:sz w:val="21"/>
          <w:szCs w:val="21"/>
          <w:u w:val="single" w:color="auto"/>
          <w:color w:val="auto"/>
        </w:rPr>
        <w:t>Sublease</w:t>
      </w:r>
      <w:r>
        <w:rPr>
          <w:rFonts w:ascii="Times New Roman" w:cs="Times New Roman" w:eastAsia="Times New Roman" w:hAnsi="Times New Roman"/>
          <w:sz w:val="21"/>
          <w:szCs w:val="21"/>
          <w:color w:val="auto"/>
        </w:rPr>
        <w:t xml:space="preserve">”), substantially in the form of the agreement attached hereto as </w:t>
      </w:r>
      <w:r>
        <w:rPr>
          <w:rFonts w:ascii="Times New Roman" w:cs="Times New Roman" w:eastAsia="Times New Roman" w:hAnsi="Times New Roman"/>
          <w:sz w:val="21"/>
          <w:szCs w:val="21"/>
          <w:u w:val="single" w:color="auto"/>
          <w:color w:val="auto"/>
        </w:rPr>
        <w:t>Attachment C</w:t>
      </w:r>
      <w:r>
        <w:rPr>
          <w:rFonts w:ascii="Times New Roman" w:cs="Times New Roman" w:eastAsia="Times New Roman" w:hAnsi="Times New Roman"/>
          <w:sz w:val="21"/>
          <w:szCs w:val="21"/>
          <w:color w:val="auto"/>
        </w:rPr>
        <w:t xml:space="preserve">, for use in the rental car businesses of such Permitted Sublessees. Such use shall be confined primarily to the United States </w:t>
      </w:r>
      <w:r>
        <w:rPr>
          <w:rFonts w:ascii="Times New Roman" w:cs="Times New Roman" w:eastAsia="Times New Roman" w:hAnsi="Times New Roman"/>
          <w:sz w:val="21"/>
          <w:szCs w:val="21"/>
          <w:b w:val="1"/>
          <w:bCs w:val="1"/>
          <w:u w:val="single" w:color="auto"/>
          <w:color w:val="0E32E1"/>
        </w:rPr>
        <w:t>and Puerto Rico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principal place of business or rental office of each Lessee and each Permitted Sublessee with respect to the Vehicles is located in the United States </w:t>
      </w:r>
      <w:r>
        <w:rPr>
          <w:rFonts w:ascii="Times New Roman" w:cs="Times New Roman" w:eastAsia="Times New Roman" w:hAnsi="Times New Roman"/>
          <w:sz w:val="21"/>
          <w:szCs w:val="21"/>
          <w:b w:val="1"/>
          <w:bCs w:val="1"/>
          <w:u w:val="single" w:color="auto"/>
          <w:color w:val="0E32E1"/>
        </w:rPr>
        <w:t>and Puerto Rico</w:t>
      </w:r>
      <w:r>
        <w:rPr>
          <w:rFonts w:ascii="Times New Roman" w:cs="Times New Roman" w:eastAsia="Times New Roman" w:hAnsi="Times New Roman"/>
          <w:sz w:val="21"/>
          <w:szCs w:val="21"/>
          <w:color w:val="auto"/>
        </w:rPr>
        <w:t xml:space="preserve">. The Administrator shall promptly and duly execute, deliver, file and record </w:t>
      </w:r>
      <w:r>
        <w:rPr>
          <w:rFonts w:ascii="Times New Roman" w:cs="Times New Roman" w:eastAsia="Times New Roman" w:hAnsi="Times New Roman"/>
          <w:sz w:val="21"/>
          <w:szCs w:val="21"/>
          <w:b w:val="1"/>
          <w:bCs w:val="1"/>
          <w:u w:val="single" w:color="auto"/>
          <w:color w:val="0E32E1"/>
        </w:rPr>
        <w:t>(and,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E32E1"/>
        </w:rPr>
        <w:t>where applicable, shall cause each Permitted Sublessee to execute, deliver, file and record)</w:t>
      </w:r>
      <w:r>
        <w:rPr>
          <w:rFonts w:ascii="Times New Roman" w:cs="Times New Roman" w:eastAsia="Times New Roman" w:hAnsi="Times New Roman"/>
          <w:sz w:val="21"/>
          <w:szCs w:val="21"/>
          <w:b w:val="1"/>
          <w:bCs w:val="1"/>
          <w:color w:val="0E32E1"/>
        </w:rPr>
        <w:t xml:space="preserve"> </w:t>
      </w:r>
      <w:r>
        <w:rPr>
          <w:rFonts w:ascii="Times New Roman" w:cs="Times New Roman" w:eastAsia="Times New Roman" w:hAnsi="Times New Roman"/>
          <w:sz w:val="21"/>
          <w:szCs w:val="21"/>
          <w:color w:val="000000"/>
        </w:rPr>
        <w:t>all such</w:t>
      </w:r>
      <w:r>
        <w:rPr>
          <w:rFonts w:ascii="Times New Roman" w:cs="Times New Roman" w:eastAsia="Times New Roman" w:hAnsi="Times New Roman"/>
          <w:sz w:val="21"/>
          <w:szCs w:val="21"/>
          <w:b w:val="1"/>
          <w:bCs w:val="1"/>
          <w:color w:val="0E32E1"/>
        </w:rPr>
        <w:t xml:space="preserve"> </w:t>
      </w:r>
      <w:r>
        <w:rPr>
          <w:rFonts w:ascii="Times New Roman" w:cs="Times New Roman" w:eastAsia="Times New Roman" w:hAnsi="Times New Roman"/>
          <w:sz w:val="21"/>
          <w:szCs w:val="21"/>
          <w:color w:val="000000"/>
        </w:rPr>
        <w:t xml:space="preserve">documents, statements, filings and registrations, and take such further actions as the Lessor, the Lender or the Trustee shall from time to time reasonably request in order to establish, perfect and maintain the Trustee’s Lien on the Vehicles leased by it hereunder and the Certificates of Title (other than noting the Lien of the Trustee on the Certificates of Title with respect to the Franchisee Vehicles (which shall reflect the Lien of the nominee lienholder under the applicable Franchisee Nominee Agreement)) with respect to such Vehicles as a perfected first lien in any applicable jurisdiction. Each Lessee and each Permitted Sublessee may, at its sole expense, change the place of principal location of any Vehicles leased hereunder. Notwithstanding the foregoing, no change of location shall be undertaken unless and until (x) all actions necessary to maintain the Lien of the Trustee on such Vehicles and the Certificates of Title (other than noting the Lien of the Trustee on the Certificates of Title with respect to the Franchisee Vehicles (which shall reflect the Lien of the nominee lienholder under the applicable Franchisee Nominee Agreement)) with respect to such Vehicles shall have been taken and (y) all legal requirements applicable to such Vehicles shall have been met or obtained. Following the occurrence of a Finance Lease Event of Default, a Limited Liquidation Event of Default, a Liquidation Event of Default or a Manufacturer Event of Default, and upon the Lender’s request, each Lessee shall advise the Lender in writing where all Vehicles leased hereunder </w:t>
      </w:r>
      <w:r>
        <w:rPr>
          <w:rFonts w:ascii="Times New Roman" w:cs="Times New Roman" w:eastAsia="Times New Roman" w:hAnsi="Times New Roman"/>
          <w:sz w:val="21"/>
          <w:szCs w:val="21"/>
          <w:b w:val="1"/>
          <w:bCs w:val="1"/>
          <w:u w:val="single" w:color="auto"/>
          <w:color w:val="0E32E1"/>
        </w:rPr>
        <w:t>or subleased by any Permitted Sublessee</w:t>
      </w:r>
      <w:r>
        <w:rPr>
          <w:rFonts w:ascii="Times New Roman" w:cs="Times New Roman" w:eastAsia="Times New Roman" w:hAnsi="Times New Roman"/>
          <w:sz w:val="21"/>
          <w:szCs w:val="21"/>
          <w:color w:val="000000"/>
        </w:rPr>
        <w:t xml:space="preserve"> as of such date are principally located. Each Lessee shall not knowingly use any Vehicles or knowingly permit the same to be used for any unlawful purpose. Each Lessee shall use reasonable precautions to prevent loss or damage to Vehicles. Each Lessee shall comply</w:t>
      </w:r>
      <w:r>
        <w:rPr>
          <w:rFonts w:ascii="Times New Roman" w:cs="Times New Roman" w:eastAsia="Times New Roman" w:hAnsi="Times New Roman"/>
          <w:sz w:val="21"/>
          <w:szCs w:val="21"/>
          <w:b w:val="1"/>
          <w:bCs w:val="1"/>
          <w:u w:val="single" w:color="auto"/>
          <w:color w:val="0E32E1"/>
        </w:rPr>
        <w:t>, and shall cause each</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E32E1"/>
        </w:rPr>
        <w:t>Permitted Sublessee to comply,</w:t>
      </w:r>
      <w:r>
        <w:rPr>
          <w:rFonts w:ascii="Times New Roman" w:cs="Times New Roman" w:eastAsia="Times New Roman" w:hAnsi="Times New Roman"/>
          <w:sz w:val="21"/>
          <w:szCs w:val="21"/>
          <w:b w:val="1"/>
          <w:bCs w:val="1"/>
          <w:color w:val="0E32E1"/>
        </w:rPr>
        <w:t xml:space="preserve"> </w:t>
      </w:r>
      <w:r>
        <w:rPr>
          <w:rFonts w:ascii="Times New Roman" w:cs="Times New Roman" w:eastAsia="Times New Roman" w:hAnsi="Times New Roman"/>
          <w:sz w:val="21"/>
          <w:szCs w:val="21"/>
          <w:color w:val="000000"/>
        </w:rPr>
        <w:t>with all applicable statutes, decrees, ordinances and regulations regarding</w:t>
      </w:r>
      <w:r>
        <w:rPr>
          <w:rFonts w:ascii="Times New Roman" w:cs="Times New Roman" w:eastAsia="Times New Roman" w:hAnsi="Times New Roman"/>
          <w:sz w:val="21"/>
          <w:szCs w:val="21"/>
          <w:b w:val="1"/>
          <w:bCs w:val="1"/>
          <w:color w:val="0E32E1"/>
        </w:rPr>
        <w:t xml:space="preserve"> </w:t>
      </w:r>
      <w:r>
        <w:rPr>
          <w:rFonts w:ascii="Times New Roman" w:cs="Times New Roman" w:eastAsia="Times New Roman" w:hAnsi="Times New Roman"/>
          <w:sz w:val="21"/>
          <w:szCs w:val="21"/>
          <w:color w:val="000000"/>
        </w:rPr>
        <w:t>acquiring, titling, registering, leasing, insuring and disposing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129272611</w:t>
      </w:r>
    </w:p>
    <w:p>
      <w:pPr>
        <w:sectPr>
          <w:pgSz w:w="11900" w:h="16838" w:orient="portrait"/>
          <w:cols w:equalWidth="0" w:num="1">
            <w:col w:w="11240"/>
          </w:cols>
          <w:pgMar w:left="320" w:top="1030" w:right="339" w:bottom="1440" w:gutter="0" w:footer="0" w:header="0"/>
        </w:sectPr>
      </w:pPr>
    </w:p>
    <w:bookmarkStart w:id="236" w:name="page237"/>
    <w:bookmarkEnd w:id="236"/>
    <w:p>
      <w:pPr>
        <w:jc w:val="both"/>
        <w:ind w:left="1220"/>
        <w:spacing w:after="0" w:line="247" w:lineRule="auto"/>
        <w:rPr>
          <w:sz w:val="20"/>
          <w:szCs w:val="20"/>
          <w:color w:val="auto"/>
        </w:rPr>
      </w:pPr>
      <w:r>
        <w:rPr>
          <w:rFonts w:ascii="Times New Roman" w:cs="Times New Roman" w:eastAsia="Times New Roman" w:hAnsi="Times New Roman"/>
          <w:sz w:val="22"/>
          <w:szCs w:val="22"/>
          <w:color w:val="auto"/>
        </w:rPr>
        <w:t xml:space="preserve">of Vehicles and shall take reasonable steps to ensure that operators are licensed. Each Lessee and the Lessor agree that such Lessee shall perform, at such Lessee’s own expense, such vehicle preparation and conditioning services with respect to Vehicles leased by such Lessee hereunder as are customary. The Lessor, the Lender or the Trustee or any authorized representative of the Lessor, the Lender or the Trustee may during reasonable business hours from time to time, without disruption of any Lessee’s or any Permitted Sublessee’s business, subject to applicable law, inspect Vehicles and registration certificates, Certificates of Title and related documents covering Vehicles wherever the same be located. No Lessee shall sublease any Vehicles to any Person other than a Permitted Sublessee pursuant to a Sublease, and, except for a sublease to a Permitted Sublessee pursuant to a Sublease, no Lessee shall assign any right or interest herein or in any Vehicles;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foregoing shall not be deemed to prohibit any Lessee or any Permitted Sublessee from renting Vehicles to third-party customers in the ordinary course of its respective car rental business. If any Lessee subleases any Vehicle to any Permitted Sublessee from time to time, such Lessee shall nevertheless remain responsible for all obligations arising hereunder with respect to such Vehicle.”</w:t>
      </w:r>
    </w:p>
    <w:p>
      <w:pPr>
        <w:spacing w:after="0" w:line="206" w:lineRule="exact"/>
        <w:rPr>
          <w:sz w:val="20"/>
          <w:szCs w:val="20"/>
          <w:color w:val="auto"/>
        </w:rPr>
      </w:pPr>
    </w:p>
    <w:p>
      <w:pPr>
        <w:ind w:left="-80" w:firstLine="1304"/>
        <w:spacing w:after="0" w:line="271" w:lineRule="auto"/>
        <w:tabs>
          <w:tab w:leader="none" w:pos="1634"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Attachment C of the Finance Lease is hereby deleted in its entirety and substituted with Attachment C, as it appears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w:t>
      </w:r>
    </w:p>
    <w:p>
      <w:pPr>
        <w:spacing w:after="0" w:line="157" w:lineRule="exact"/>
        <w:rPr>
          <w:rFonts w:ascii="Times New Roman" w:cs="Times New Roman" w:eastAsia="Times New Roman" w:hAnsi="Times New Roman"/>
          <w:sz w:val="22"/>
          <w:szCs w:val="22"/>
          <w:color w:val="auto"/>
        </w:rPr>
      </w:pPr>
    </w:p>
    <w:p>
      <w:pPr>
        <w:ind w:left="-80" w:right="20" w:firstLine="1304"/>
        <w:spacing w:after="0" w:line="271" w:lineRule="auto"/>
        <w:tabs>
          <w:tab w:leader="none" w:pos="178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limited as specified and, except as expressly stated herein, shall not constitute a modification, acceptance or waiver of any other provision of the Finance Lease.</w:t>
      </w:r>
    </w:p>
    <w:p>
      <w:pPr>
        <w:spacing w:after="0" w:line="157" w:lineRule="exact"/>
        <w:rPr>
          <w:rFonts w:ascii="Times New Roman" w:cs="Times New Roman" w:eastAsia="Times New Roman" w:hAnsi="Times New Roman"/>
          <w:sz w:val="22"/>
          <w:szCs w:val="22"/>
          <w:color w:val="auto"/>
        </w:rPr>
      </w:pPr>
    </w:p>
    <w:p>
      <w:pPr>
        <w:jc w:val="both"/>
        <w:ind w:left="-80" w:firstLine="1304"/>
        <w:spacing w:after="0" w:line="253" w:lineRule="auto"/>
        <w:tabs>
          <w:tab w:leader="none" w:pos="163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become effective as of the date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on which each of the following has occurred: (i) each of the parties hereto shall have executed and delivered this Amendment to the Trustee, (ii) the Rating Agency Consent Condition shall have been satisfied with respect to this Amendment, (iii) an Opinion of Counsel shall have been delivered to the Trustee with respect to this Amendment and (iv) the Trustee, the Lender and, for any applicable Series of Notes, each applicable Enhancement Provider, shall have consented hereto.</w:t>
      </w:r>
    </w:p>
    <w:p>
      <w:pPr>
        <w:spacing w:after="0" w:line="178" w:lineRule="exact"/>
        <w:rPr>
          <w:rFonts w:ascii="Times New Roman" w:cs="Times New Roman" w:eastAsia="Times New Roman" w:hAnsi="Times New Roman"/>
          <w:sz w:val="22"/>
          <w:szCs w:val="22"/>
          <w:color w:val="auto"/>
        </w:rPr>
      </w:pPr>
    </w:p>
    <w:p>
      <w:pPr>
        <w:ind w:left="-80" w:firstLine="1304"/>
        <w:spacing w:after="0" w:line="284" w:lineRule="auto"/>
        <w:tabs>
          <w:tab w:leader="none" w:pos="168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Amendment Effective Date, all references to the Finance Lease shall be deemed to be references to the Finance Lease as amended hereby.</w:t>
      </w:r>
    </w:p>
    <w:p>
      <w:pPr>
        <w:spacing w:after="0" w:line="143" w:lineRule="exact"/>
        <w:rPr>
          <w:rFonts w:ascii="Times New Roman" w:cs="Times New Roman" w:eastAsia="Times New Roman" w:hAnsi="Times New Roman"/>
          <w:sz w:val="22"/>
          <w:szCs w:val="22"/>
          <w:color w:val="auto"/>
        </w:rPr>
      </w:pPr>
    </w:p>
    <w:p>
      <w:pPr>
        <w:ind w:left="-80" w:firstLine="1304"/>
        <w:spacing w:after="0" w:line="271" w:lineRule="auto"/>
        <w:tabs>
          <w:tab w:leader="none" w:pos="1698"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separate counterparts by the parties hereto, each of which when so executed and delivered shall be an original but all of which shall together constitute one and the same instrument.</w:t>
      </w:r>
    </w:p>
    <w:p>
      <w:pPr>
        <w:spacing w:after="0" w:line="157" w:lineRule="exact"/>
        <w:rPr>
          <w:rFonts w:ascii="Times New Roman" w:cs="Times New Roman" w:eastAsia="Times New Roman" w:hAnsi="Times New Roman"/>
          <w:sz w:val="22"/>
          <w:szCs w:val="22"/>
          <w:color w:val="auto"/>
        </w:rPr>
      </w:pPr>
    </w:p>
    <w:p>
      <w:pPr>
        <w:ind w:left="-80" w:right="20" w:firstLine="1304"/>
        <w:spacing w:after="0" w:line="295" w:lineRule="auto"/>
        <w:tabs>
          <w:tab w:leader="none" w:pos="1795"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AND THE RIGHTS AND OBLIGATIONS OF THE PARTIES HEREUNDER SHALL BE CONSTRUED IN ACCORDANCE WITH AND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129272611</w:t>
      </w:r>
    </w:p>
    <w:p>
      <w:pPr>
        <w:sectPr>
          <w:pgSz w:w="11900" w:h="16838" w:orient="portrait"/>
          <w:cols w:equalWidth="0" w:num="1">
            <w:col w:w="11160"/>
          </w:cols>
          <w:pgMar w:left="400" w:top="1030" w:right="339" w:bottom="1440" w:gutter="0" w:footer="0" w:header="0"/>
        </w:sectPr>
      </w:pPr>
    </w:p>
    <w:bookmarkStart w:id="237" w:name="page238"/>
    <w:bookmarkEnd w:id="237"/>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duly authorized officers as of the date above first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AESOP LEASING L.P., as Lessor</w:t>
      </w:r>
    </w:p>
    <w:p>
      <w:pPr>
        <w:spacing w:after="0" w:line="28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AESOP LEASING CORP.,</w:t>
      </w:r>
    </w:p>
    <w:p>
      <w:pPr>
        <w:spacing w:after="0" w:line="2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7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21945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7700"/>
        <w:spacing w:after="0"/>
        <w:rPr>
          <w:sz w:val="20"/>
          <w:szCs w:val="20"/>
          <w:color w:val="auto"/>
        </w:rPr>
      </w:pPr>
      <w:r>
        <w:rPr>
          <w:rFonts w:ascii="Times New Roman" w:cs="Times New Roman" w:eastAsia="Times New Roman" w:hAnsi="Times New Roman"/>
          <w:sz w:val="22"/>
          <w:szCs w:val="22"/>
          <w:color w:val="auto"/>
        </w:rPr>
        <w:t>Title: Senior Vice President and</w:t>
      </w:r>
    </w:p>
    <w:p>
      <w:pPr>
        <w:ind w:left="770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2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BUDGET CAR RENTAL, LLC, as</w:t>
      </w:r>
    </w:p>
    <w:p>
      <w:pPr>
        <w:ind w:left="7320"/>
        <w:spacing w:after="0"/>
        <w:rPr>
          <w:sz w:val="20"/>
          <w:szCs w:val="20"/>
          <w:color w:val="auto"/>
        </w:rPr>
      </w:pPr>
      <w:r>
        <w:rPr>
          <w:rFonts w:ascii="Times New Roman" w:cs="Times New Roman" w:eastAsia="Times New Roman" w:hAnsi="Times New Roman"/>
          <w:sz w:val="22"/>
          <w:szCs w:val="22"/>
          <w:color w:val="auto"/>
        </w:rPr>
        <w:t>Lessee,</w:t>
      </w:r>
    </w:p>
    <w:p>
      <w:pPr>
        <w:ind w:left="7700"/>
        <w:spacing w:after="0" w:line="221" w:lineRule="auto"/>
        <w:rPr>
          <w:sz w:val="20"/>
          <w:szCs w:val="20"/>
          <w:color w:val="auto"/>
        </w:rPr>
      </w:pPr>
      <w:r>
        <w:rPr>
          <w:rFonts w:ascii="Times New Roman" w:cs="Times New Roman" w:eastAsia="Times New Roman" w:hAnsi="Times New Roman"/>
          <w:sz w:val="22"/>
          <w:szCs w:val="22"/>
          <w:color w:val="auto"/>
        </w:rPr>
        <w:t>Administrator and Finance Lease</w:t>
      </w:r>
    </w:p>
    <w:p>
      <w:pPr>
        <w:ind w:left="7700"/>
        <w:spacing w:after="0"/>
        <w:rPr>
          <w:sz w:val="20"/>
          <w:szCs w:val="20"/>
          <w:color w:val="auto"/>
        </w:rPr>
      </w:pPr>
      <w:r>
        <w:rPr>
          <w:rFonts w:ascii="Times New Roman" w:cs="Times New Roman" w:eastAsia="Times New Roman" w:hAnsi="Times New Roman"/>
          <w:sz w:val="22"/>
          <w:szCs w:val="22"/>
          <w:color w:val="auto"/>
        </w:rPr>
        <w:t>Guarantor</w:t>
      </w:r>
    </w:p>
    <w:p>
      <w:pPr>
        <w:spacing w:after="0" w:line="26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21945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7700"/>
        <w:spacing w:after="0"/>
        <w:rPr>
          <w:sz w:val="20"/>
          <w:szCs w:val="20"/>
          <w:color w:val="auto"/>
        </w:rPr>
      </w:pPr>
      <w:r>
        <w:rPr>
          <w:rFonts w:ascii="Times New Roman" w:cs="Times New Roman" w:eastAsia="Times New Roman" w:hAnsi="Times New Roman"/>
          <w:sz w:val="22"/>
          <w:szCs w:val="22"/>
          <w:color w:val="auto"/>
        </w:rPr>
        <w:t>Title: Senior Vice President and</w:t>
      </w:r>
    </w:p>
    <w:p>
      <w:pPr>
        <w:ind w:left="7700"/>
        <w:spacing w:after="0"/>
        <w:rPr>
          <w:sz w:val="20"/>
          <w:szCs w:val="20"/>
          <w:color w:val="auto"/>
        </w:rPr>
      </w:pPr>
      <w:r>
        <w:rPr>
          <w:rFonts w:ascii="Times New Roman" w:cs="Times New Roman" w:eastAsia="Times New Roman" w:hAnsi="Times New Roman"/>
          <w:sz w:val="22"/>
          <w:szCs w:val="22"/>
          <w:color w:val="auto"/>
        </w:rPr>
        <w:t>Treasurer</w:t>
      </w:r>
    </w:p>
    <w:p>
      <w:pPr>
        <w:spacing w:after="0" w:line="25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AVIS RENT A CAR SYSTEM, LLC, as</w:t>
      </w:r>
    </w:p>
    <w:p>
      <w:pPr>
        <w:ind w:left="7320"/>
        <w:spacing w:after="0"/>
        <w:rPr>
          <w:sz w:val="20"/>
          <w:szCs w:val="20"/>
          <w:color w:val="auto"/>
        </w:rPr>
      </w:pPr>
      <w:r>
        <w:rPr>
          <w:rFonts w:ascii="Times New Roman" w:cs="Times New Roman" w:eastAsia="Times New Roman" w:hAnsi="Times New Roman"/>
          <w:sz w:val="22"/>
          <w:szCs w:val="22"/>
          <w:color w:val="auto"/>
        </w:rPr>
        <w:t>Lessee</w:t>
      </w:r>
    </w:p>
    <w:p>
      <w:pPr>
        <w:spacing w:after="0" w:line="200" w:lineRule="exact"/>
        <w:rPr>
          <w:sz w:val="20"/>
          <w:szCs w:val="20"/>
          <w:color w:val="auto"/>
        </w:rPr>
      </w:pPr>
    </w:p>
    <w:p>
      <w:pPr>
        <w:spacing w:after="0" w:line="33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21945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7700"/>
        <w:spacing w:after="0"/>
        <w:rPr>
          <w:sz w:val="20"/>
          <w:szCs w:val="20"/>
          <w:color w:val="auto"/>
        </w:rPr>
      </w:pPr>
      <w:r>
        <w:rPr>
          <w:rFonts w:ascii="Times New Roman" w:cs="Times New Roman" w:eastAsia="Times New Roman" w:hAnsi="Times New Roman"/>
          <w:sz w:val="22"/>
          <w:szCs w:val="22"/>
          <w:color w:val="auto"/>
        </w:rPr>
        <w:t>Title: Senior Vice President and</w:t>
      </w:r>
    </w:p>
    <w:p>
      <w:pPr>
        <w:ind w:left="7700"/>
        <w:spacing w:after="0"/>
        <w:rPr>
          <w:sz w:val="20"/>
          <w:szCs w:val="20"/>
          <w:color w:val="auto"/>
        </w:rPr>
      </w:pPr>
      <w:r>
        <w:rPr>
          <w:rFonts w:ascii="Times New Roman" w:cs="Times New Roman" w:eastAsia="Times New Roman" w:hAnsi="Times New Roman"/>
          <w:sz w:val="22"/>
          <w:szCs w:val="22"/>
          <w:color w:val="auto"/>
        </w:rPr>
        <w:t>Treasurer</w:t>
      </w:r>
    </w:p>
    <w:p>
      <w:pPr>
        <w:spacing w:after="0" w:line="26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BUDGET RENT A CAR SYSTEM, INC.,</w:t>
      </w:r>
    </w:p>
    <w:p>
      <w:pPr>
        <w:spacing w:after="0" w:line="2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as Lessee</w:t>
      </w:r>
    </w:p>
    <w:p>
      <w:pPr>
        <w:spacing w:after="0" w:line="275"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-160020</wp:posOffset>
            </wp:positionV>
            <wp:extent cx="21945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ind w:left="7700"/>
        <w:spacing w:after="0"/>
        <w:rPr>
          <w:sz w:val="20"/>
          <w:szCs w:val="20"/>
          <w:color w:val="auto"/>
        </w:rPr>
      </w:pPr>
      <w:r>
        <w:rPr>
          <w:rFonts w:ascii="Times New Roman" w:cs="Times New Roman" w:eastAsia="Times New Roman" w:hAnsi="Times New Roman"/>
          <w:sz w:val="22"/>
          <w:szCs w:val="22"/>
          <w:color w:val="auto"/>
        </w:rPr>
        <w:t>Title: Senior Vice President and</w:t>
      </w:r>
    </w:p>
    <w:p>
      <w:pPr>
        <w:ind w:left="770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THE SIXTH AMENDMENT TO THE FINANCE LEASE]</w:t>
      </w:r>
    </w:p>
    <w:p>
      <w:pPr>
        <w:sectPr>
          <w:pgSz w:w="11900" w:h="16838" w:orient="portrait"/>
          <w:cols w:equalWidth="0" w:num="1">
            <w:col w:w="11240"/>
          </w:cols>
          <w:pgMar w:left="320" w:top="1422"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u w:val="single" w:color="auto"/>
          <w:color w:val="auto"/>
        </w:rPr>
        <w:t>Acknowledged and Consented To</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AVIS BUDGET RENTAL CAR FUNDING</w:t>
      </w:r>
    </w:p>
    <w:p>
      <w:pPr>
        <w:ind w:left="20"/>
        <w:spacing w:after="0"/>
        <w:rPr>
          <w:sz w:val="20"/>
          <w:szCs w:val="20"/>
          <w:color w:val="auto"/>
        </w:rPr>
      </w:pPr>
      <w:r>
        <w:rPr>
          <w:rFonts w:ascii="Times New Roman" w:cs="Times New Roman" w:eastAsia="Times New Roman" w:hAnsi="Times New Roman"/>
          <w:sz w:val="22"/>
          <w:szCs w:val="22"/>
          <w:color w:val="auto"/>
        </w:rPr>
        <w:t>(AESOP)</w:t>
      </w:r>
    </w:p>
    <w:p>
      <w:pPr>
        <w:spacing w:after="0" w:line="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LLC, as Lender</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-160020</wp:posOffset>
            </wp:positionV>
            <wp:extent cx="23056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22"/>
          <w:szCs w:val="22"/>
          <w:color w:val="auto"/>
        </w:rPr>
        <w:t>Title: Senior Vice President and</w:t>
      </w:r>
    </w:p>
    <w:p>
      <w:pPr>
        <w:ind w:left="40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BANK OF NEW YORK TRUST</w:t>
      </w:r>
    </w:p>
    <w:p>
      <w:pPr>
        <w:ind w:left="20"/>
        <w:spacing w:after="0"/>
        <w:rPr>
          <w:sz w:val="20"/>
          <w:szCs w:val="20"/>
          <w:color w:val="auto"/>
        </w:rPr>
      </w:pPr>
      <w:r>
        <w:rPr>
          <w:rFonts w:ascii="Times New Roman" w:cs="Times New Roman" w:eastAsia="Times New Roman" w:hAnsi="Times New Roman"/>
          <w:sz w:val="22"/>
          <w:szCs w:val="22"/>
          <w:color w:val="auto"/>
        </w:rPr>
        <w:t>COMPANY,</w:t>
      </w:r>
    </w:p>
    <w:p>
      <w:pPr>
        <w:spacing w:after="0" w:line="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N.A., as Trustee</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 /s/ Mitchell L. Brumwell</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Name: Mitchell L. Brumwell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-160020</wp:posOffset>
            </wp:positionV>
            <wp:extent cx="23056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35" w:lineRule="exact"/>
        <w:rPr>
          <w:sz w:val="20"/>
          <w:szCs w:val="20"/>
          <w:color w:val="auto"/>
        </w:rPr>
      </w:pPr>
    </w:p>
    <w:p>
      <w:pPr>
        <w:jc w:val="right"/>
        <w:ind w:right="1839"/>
        <w:spacing w:after="0"/>
        <w:rPr>
          <w:sz w:val="20"/>
          <w:szCs w:val="20"/>
          <w:color w:val="auto"/>
        </w:rPr>
      </w:pPr>
      <w:r>
        <w:rPr>
          <w:rFonts w:ascii="Times New Roman" w:cs="Times New Roman" w:eastAsia="Times New Roman" w:hAnsi="Times New Roman"/>
          <w:sz w:val="16"/>
          <w:szCs w:val="16"/>
          <w:i w:val="1"/>
          <w:iCs w:val="1"/>
          <w:color w:val="auto"/>
        </w:rPr>
        <w:t>[SIGNATURE PAGE TO THE SIXTH AMENDMENT TO THE FINANCE LEASE]</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129272611</w:t>
      </w:r>
    </w:p>
    <w:p>
      <w:pPr>
        <w:sectPr>
          <w:pgSz w:w="11900" w:h="16838" w:orient="portrait"/>
          <w:cols w:equalWidth="0" w:num="1">
            <w:col w:w="10139"/>
          </w:cols>
          <w:pgMar w:left="320" w:top="1422" w:right="1440"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BANK OF NEW YORK MELLON TRUST COMPANY, N.A.,</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Trustee and Series 2023-4 Agent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SERIES 2023-4 SUPPLEMENT</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June 10, 2025</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to</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2023-4 5.49% Rental Car Asset Backed Notes, Class A</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2023-4 6.32% Rental Car Asset Backed Notes, Class B</w:t>
      </w:r>
    </w:p>
    <w:p>
      <w:pPr>
        <w:spacing w:after="0" w:line="1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2023-4 7.24% Rental Car Asset Backed Notes, Class C</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2023-4 7.31% Rental Car Asset Backed Notes, Class D</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Series 2023-4 9.170% Rental Car Asset Backed Notes, Class R</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130188167</w:t>
      </w:r>
    </w:p>
    <w:p>
      <w:pPr>
        <w:sectPr>
          <w:pgSz w:w="11900" w:h="16838" w:orient="portrait"/>
          <w:cols w:equalWidth="0" w:num="1">
            <w:col w:w="11160"/>
          </w:cols>
          <w:pgMar w:left="400" w:top="122" w:right="339" w:bottom="1440" w:gutter="0" w:footer="0" w:header="0"/>
        </w:sectPr>
      </w:pPr>
    </w:p>
    <w:bookmarkStart w:id="240" w:name="page241"/>
    <w:bookmarkEnd w:id="240"/>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SECOND AMENDED AND RESTATED SERIES 2023-4 SUPPLEMENT, dated as of June 10, 2025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THE BANK OF NEW YORK MELLON TRUST COMPANY, N.A. (formerly known as The Bank of New York), as agent (in such capacity, the “</w:t>
      </w:r>
      <w:r>
        <w:rPr>
          <w:rFonts w:ascii="Times New Roman" w:cs="Times New Roman" w:eastAsia="Times New Roman" w:hAnsi="Times New Roman"/>
          <w:sz w:val="22"/>
          <w:szCs w:val="22"/>
          <w:u w:val="single" w:color="auto"/>
          <w:color w:val="auto"/>
        </w:rPr>
        <w:t>Series 2023-4 Agent</w:t>
      </w:r>
      <w:r>
        <w:rPr>
          <w:rFonts w:ascii="Times New Roman" w:cs="Times New Roman" w:eastAsia="Times New Roman" w:hAnsi="Times New Roman"/>
          <w:sz w:val="22"/>
          <w:szCs w:val="22"/>
          <w:color w:val="auto"/>
        </w:rPr>
        <w:t>”) for the benefit of the Series 2023-4 Noteholders,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ABRCF and the Trustee entered into the Series 2023-4 Supplement, dated April 6, 2023 (the “</w:t>
      </w:r>
      <w:r>
        <w:rPr>
          <w:rFonts w:ascii="Times New Roman" w:cs="Times New Roman" w:eastAsia="Times New Roman" w:hAnsi="Times New Roman"/>
          <w:sz w:val="22"/>
          <w:szCs w:val="22"/>
          <w:u w:val="single" w:color="auto"/>
          <w:color w:val="auto"/>
        </w:rPr>
        <w:t>Prior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on April 6, 2023, ABRCF issued its Series 2023-4 5.49% Rental Car Asset Backed Notes, Class A, its Series 2023-4 6.32% Rental Car Asset Backed Notes, Class B, its Series 2023-4 7.24% Rental Car Asset Backed Notes, Class C, and its Series 2023-4 9.170% Rental Car Asset Backed Notes, Class R under the Prior Supplement;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and the Trustee entered into the Amended and Restated Series 2023-4 Supplement, dated January 31, 2025 (the “</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in accordance with Section 5.15 of the Prior Supplement, on January 31, 2025, ABRCF issued its Series 2023-4 8.01% Rental Car Asset Backed Notes, Class D and additional Class R Notes (the “</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on the Class D Notes Closing Date and amended and restated the Prior Supplement in its entirety as set forth in the Prior A&amp;R Supplement;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 5.7 of the Prior A&amp;R Supplement permits ABRCF to make certain amendments to the Prior A&amp;R Supplement in connection with the re-marketing and/or offering and sale of the Class D Notes, subject, in each case to certain conditions set forth therein;</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desires to re-market and/or sell the Class D Notes on the date hereof (the “</w:t>
      </w: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Sale Date</w:t>
      </w:r>
      <w:r>
        <w:rPr>
          <w:rFonts w:ascii="Times New Roman" w:cs="Times New Roman" w:eastAsia="Times New Roman" w:hAnsi="Times New Roman"/>
          <w:sz w:val="22"/>
          <w:szCs w:val="22"/>
          <w:color w:val="auto"/>
        </w:rPr>
        <w:t>”); and</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in connection with the re-marketing and/or offering and sale of the Class D Notes and in accordance with Section 5.7 of the Prior A&amp;R Supplement, the Prior A&amp;R Supplement is amended and restated on the Class D Notes Sale Date in its entirety as set forth herein;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1030" w:right="339" w:bottom="1440" w:gutter="0" w:footer="0" w:header="0"/>
        </w:sectPr>
      </w:pPr>
    </w:p>
    <w:bookmarkStart w:id="241" w:name="page242"/>
    <w:bookmarkEnd w:id="241"/>
    <w:p>
      <w:pPr>
        <w:ind w:left="130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3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There was created a Series of Notes issued pursuant to the Base Indenture and the Prior Supplement, and such Series of Notes was designated generally as the “Series 2023-4 Rental Car Asset Backed Notes”. The Series 2023-4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w:t>
      </w:r>
    </w:p>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On the Class A/B/C Notes Closing Date, ABRCF issued (i) one tranche of Class A Notes designated as the “Series 2023-4 5.49% Rental Car Asset Backed Notes, Class A”, (ii) one tranche of Class B Notes designated as the “Series 2023-4 6.32% Rental Car Asset Backed Notes, Class B”, (iii) one tranche of Class C Notes designated as the “Series 2023-4 7.24% Rental Car Asset Backed Notes, Class C” and (iv) one tranche of Class R Notes designated the “Series 2023-4 9.170% Rental Car Asset Backed Notes, Class R”.</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On the Class D Notes Closing Date, ABRCF issued (i) one tranche of Class D Notes designated as the “Series 2023-4 8.01% Rental Car Asset Backed Notes, Class D” and (ii) the Additional Class R Notes.</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On the Class D Notes Sale Date, ABRCF shall re-market the Class D Notes and such Class D Notes will be designated as the “Series 2023-4 7.31% Rental Car Asset Backed Notes, Class D”.</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The Class A Notes, Class B Notes, Class C Notes, Class D Notes and Class R Notes collectively, constitute the Series 2023-4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w:t>
      </w:r>
    </w:p>
    <w:p>
      <w:pPr>
        <w:spacing w:after="0" w:line="181"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The proceeds from the sale of the Class A Notes, Class B Notes, Class C Notes and Class R Notes were deposited in the Collection Account and were deemed to be Principal Collections, and the proceeds from the sale of the Class D Notes and the Additional Class R Notes were deposited in the Collection Account and were deemed to be Principal Collections.</w:t>
      </w:r>
    </w:p>
    <w:p>
      <w:pPr>
        <w:spacing w:after="0" w:line="15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Series 2023-4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1138" w:right="339" w:bottom="1440" w:gutter="0" w:footer="0" w:header="0"/>
        </w:sectPr>
      </w:pPr>
    </w:p>
    <w:bookmarkStart w:id="242" w:name="page243"/>
    <w:bookmarkEnd w:id="242"/>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jc w:val="both"/>
        <w:ind w:firstLine="1304"/>
        <w:spacing w:after="0" w:line="251" w:lineRule="auto"/>
        <w:tabs>
          <w:tab w:leader="none" w:pos="1821"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2023-4 Notes and not to any other Series of Notes issued by ABRCF. In the event that a term used herein shall be defined both herein and in the Base Indenture, the definition of such term herein shall govern.</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4"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words and phrases shall have the following meanings with respect to the Series 2023-4 Notes and the definitions of such terms are applicable to the singular as well as the plural form of such terms and to the masculine as well as the feminine and neuter genders of such terms: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means Avis Budget Car Rental, LLC.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is defined in the preamble hereto.</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Net Book Value</w:t>
      </w:r>
      <w:r>
        <w:rPr>
          <w:rFonts w:ascii="Times New Roman" w:cs="Times New Roman" w:eastAsia="Times New Roman" w:hAnsi="Times New Roman"/>
          <w:sz w:val="22"/>
          <w:szCs w:val="22"/>
          <w:color w:val="auto"/>
        </w:rPr>
        <w:t>” means, as of any date of determination, with respect to each Adjusted Program Vehicle as of such date, the product of 0.965 and the Net Book Value of such Adjusted Program Vehicle as of such date.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Distribution Date</w:t>
      </w:r>
      <w:r>
        <w:rPr>
          <w:rFonts w:ascii="Times New Roman" w:cs="Times New Roman" w:eastAsia="Times New Roman" w:hAnsi="Times New Roman"/>
          <w:sz w:val="22"/>
          <w:szCs w:val="22"/>
          <w:color w:val="auto"/>
        </w:rPr>
        <w:t>” means each Distribution Date occurring after the later of (i) the Optional Repurchase Distribution Date and (ii) the first Distribution Date occurring during the Series 2023-4 Controlled Amortization Period.</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a Sunday or (b) a day on which banking institutions in New York City or in the city in which the corporate trust office of the Trustee is located are authorized or obligated by law or executive order to close.</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Lease Deficit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Date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Unpaid Demand Note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means a class of the Series 2023-4 Notes, which may be the Class A Notes, the Class B Notes, the Class C Notes, the Class D Notes or the Class R Notes.</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1350" w:right="339" w:bottom="1440" w:gutter="0" w:footer="0" w:header="0"/>
        </w:sectPr>
      </w:pPr>
    </w:p>
    <w:bookmarkStart w:id="243" w:name="page244"/>
    <w:bookmarkEnd w:id="243"/>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Carryover Controlled Amortization Amount</w:t>
      </w:r>
      <w:r>
        <w:rPr>
          <w:rFonts w:ascii="Times New Roman" w:cs="Times New Roman" w:eastAsia="Times New Roman" w:hAnsi="Times New Roman"/>
          <w:sz w:val="22"/>
          <w:szCs w:val="22"/>
          <w:color w:val="auto"/>
        </w:rPr>
        <w:t xml:space="preserve">” means, with respect to any Related Month during the Series 2023-4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2023-4 Controlled Amortization Period, the Class A Carryover Controlled Amortization Amount shall be zero.</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Amortization Amount</w:t>
      </w:r>
      <w:r>
        <w:rPr>
          <w:rFonts w:ascii="Times New Roman" w:cs="Times New Roman" w:eastAsia="Times New Roman" w:hAnsi="Times New Roman"/>
          <w:sz w:val="22"/>
          <w:szCs w:val="22"/>
          <w:color w:val="auto"/>
        </w:rPr>
        <w:t>” means, (i) with respect to any Related Month during the Series 2023-4 Controlled Amortization Period other than the Related Month immediately preceding the Series 2023-4 Expected Final Distribution Date, $71,958,333.33 and (ii) with respect to the Related Month immediately preceding the Series 2023-4 Expected Final Distribution Date, $71,958,333.35.</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Distribution Amount</w:t>
      </w:r>
      <w:r>
        <w:rPr>
          <w:rFonts w:ascii="Times New Roman" w:cs="Times New Roman" w:eastAsia="Times New Roman" w:hAnsi="Times New Roman"/>
          <w:sz w:val="22"/>
          <w:szCs w:val="22"/>
          <w:color w:val="auto"/>
        </w:rPr>
        <w:t>” means, with respect to any Related Month during the Series 2023-4 Controlled Amortization Period, an amount equal to the sum of the Class A Controlled Amortization Amount and any Class A Carryover Controlled Amortization Amount for such Related Month.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Initial Invested Amount</w:t>
      </w:r>
      <w:r>
        <w:rPr>
          <w:rFonts w:ascii="Times New Roman" w:cs="Times New Roman" w:eastAsia="Times New Roman" w:hAnsi="Times New Roman"/>
          <w:sz w:val="22"/>
          <w:szCs w:val="22"/>
          <w:color w:val="auto"/>
        </w:rPr>
        <w:t>” means the aggregate initial principal amount of the Class A Notes, which 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$431,750,000.</w:t>
      </w:r>
    </w:p>
    <w:p>
      <w:pPr>
        <w:spacing w:after="0" w:line="20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Invested Amount</w:t>
      </w:r>
      <w:r>
        <w:rPr>
          <w:rFonts w:ascii="Times New Roman" w:cs="Times New Roman" w:eastAsia="Times New Roman" w:hAnsi="Times New Roman"/>
          <w:sz w:val="22"/>
          <w:szCs w:val="22"/>
          <w:color w:val="auto"/>
        </w:rPr>
        <w:t xml:space="preserve">” means, when used with respect to any date, an amount equal to (a) the Class A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A Noteholders on or prior to such date.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means, with respect to (i) the initial Series 2023-4 Interest Period, an amount equal to $2,897,042.50 and (ii) any other Series 2023-4 Interest Period, an amount equal to the product of (A) one-twelfth of the Class A Note Rate and (B) the Class A Invested Amount on the first day of such Series 2023-4 Interest Period, after giving effect to any principal payments made on such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w:t>
      </w:r>
      <w:r>
        <w:rPr>
          <w:rFonts w:ascii="Times New Roman" w:cs="Times New Roman" w:eastAsia="Times New Roman" w:hAnsi="Times New Roman"/>
          <w:sz w:val="22"/>
          <w:szCs w:val="22"/>
          <w:color w:val="auto"/>
        </w:rPr>
        <w:t xml:space="preserve">” means any one of the Series 2023-4 5.49% Rental Car Asset Backed Notes, Class A,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 Definitive Class A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 Rate</w:t>
      </w:r>
      <w:r>
        <w:rPr>
          <w:rFonts w:ascii="Times New Roman" w:cs="Times New Roman" w:eastAsia="Times New Roman" w:hAnsi="Times New Roman"/>
          <w:sz w:val="22"/>
          <w:szCs w:val="22"/>
          <w:color w:val="auto"/>
        </w:rPr>
        <w:t>” means 5.49%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Noteholder</w:t>
      </w:r>
      <w:r>
        <w:rPr>
          <w:rFonts w:ascii="Times New Roman" w:cs="Times New Roman" w:eastAsia="Times New Roman" w:hAnsi="Times New Roman"/>
          <w:sz w:val="22"/>
          <w:szCs w:val="22"/>
          <w:color w:val="auto"/>
        </w:rPr>
        <w:t>” means the Person in whose name a Class A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Shortfall</w:t>
      </w:r>
      <w:r>
        <w:rPr>
          <w:rFonts w:ascii="Times New Roman" w:cs="Times New Roman" w:eastAsia="Times New Roman" w:hAnsi="Times New Roman"/>
          <w:sz w:val="22"/>
          <w:szCs w:val="22"/>
          <w:color w:val="auto"/>
        </w:rPr>
        <w:t>” has the meaning set forth in Section 2.3(g)(i).</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Applicable Multi-Series L/C Amount</w:t>
      </w:r>
      <w:r>
        <w:rPr>
          <w:rFonts w:ascii="Times New Roman" w:cs="Times New Roman" w:eastAsia="Times New Roman" w:hAnsi="Times New Roman"/>
          <w:sz w:val="22"/>
          <w:szCs w:val="22"/>
          <w:color w:val="auto"/>
        </w:rPr>
        <w:t>” means, as of any date of determination, an amount equal to the sum, for each Multi-Series Letter of Credit, of (1) the aggregate amount allocable to the Class A/B/C Notes and available to be drawn on such date under</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ectPr>
          <w:pgSz w:w="11900" w:h="16838" w:orient="portrait"/>
          <w:cols w:equalWidth="0" w:num="1">
            <w:col w:w="11240"/>
          </w:cols>
          <w:pgMar w:left="320" w:top="1030" w:right="339" w:bottom="1440" w:gutter="0" w:footer="0" w:header="0"/>
        </w:sectPr>
      </w:pPr>
    </w:p>
    <w:bookmarkStart w:id="244" w:name="page245"/>
    <w:bookmarkEnd w:id="244"/>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A/B/C Required Liquidity Amount divided by “Required Liquidity Amount” for each applicable Series for which such Multi-Series Letter of Credit is providing credit enhancement.</w:t>
      </w:r>
    </w:p>
    <w:p>
      <w:pPr>
        <w:spacing w:after="0" w:line="16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Cash Collateral Account Amount</w:t>
      </w:r>
      <w:r>
        <w:rPr>
          <w:rFonts w:ascii="Times New Roman" w:cs="Times New Roman" w:eastAsia="Times New Roman" w:hAnsi="Times New Roman"/>
          <w:sz w:val="22"/>
          <w:szCs w:val="22"/>
          <w:color w:val="auto"/>
        </w:rPr>
        <w:t>” means, as of any date of determination, the amount on deposit in the Class A/B/C Cash Collateral Account (after giving effect to any deposits thereto and withdrawals and releases therefrom on such date).</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Reserve Account Amount</w:t>
      </w:r>
      <w:r>
        <w:rPr>
          <w:rFonts w:ascii="Times New Roman" w:cs="Times New Roman" w:eastAsia="Times New Roman" w:hAnsi="Times New Roman"/>
          <w:sz w:val="22"/>
          <w:szCs w:val="22"/>
          <w:color w:val="auto"/>
        </w:rPr>
        <w:t>” means, as of any date of determination, the amount on deposit in the Class A/B/C Reserve Account (after giving effect to any deposits thereto and withdrawals and releases therefrom on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w:t>
      </w:r>
      <w:r>
        <w:rPr>
          <w:rFonts w:ascii="Times New Roman" w:cs="Times New Roman" w:eastAsia="Times New Roman" w:hAnsi="Times New Roman"/>
          <w:sz w:val="22"/>
          <w:szCs w:val="22"/>
          <w:color w:val="auto"/>
        </w:rPr>
        <w:t>” is defined in Section 2.8(h).</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Collateral</w:t>
      </w:r>
      <w:r>
        <w:rPr>
          <w:rFonts w:ascii="Times New Roman" w:cs="Times New Roman" w:eastAsia="Times New Roman" w:hAnsi="Times New Roman"/>
          <w:sz w:val="22"/>
          <w:szCs w:val="22"/>
          <w:color w:val="auto"/>
        </w:rPr>
        <w:t>” is defined in Section 2.8(a).</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Surplus</w:t>
      </w:r>
      <w:r>
        <w:rPr>
          <w:rFonts w:ascii="Times New Roman" w:cs="Times New Roman" w:eastAsia="Times New Roman" w:hAnsi="Times New Roman"/>
          <w:sz w:val="22"/>
          <w:szCs w:val="22"/>
          <w:color w:val="auto"/>
        </w:rPr>
        <w:t xml:space="preserve">” 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2023-4 Reserve Accounts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A/B/C Cash Collateral Account Surplus shall mean the excess, if any, of (x) the Class A/B/C Available Cash Collateral Account Amount over (y) the Series 2023-4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w:t>
      </w:r>
    </w:p>
    <w:p>
      <w:pPr>
        <w:spacing w:after="0" w:line="18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Amount</w:t>
      </w:r>
      <w:r>
        <w:rPr>
          <w:rFonts w:ascii="Times New Roman" w:cs="Times New Roman" w:eastAsia="Times New Roman" w:hAnsi="Times New Roman"/>
          <w:sz w:val="22"/>
          <w:szCs w:val="22"/>
          <w:color w:val="auto"/>
        </w:rPr>
        <w:t>” 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2023-4 Collection Account (not including amounts allocable to the Series 2023-4 Accrued Interest Account) and the Series 2023-4 Excess Collection Account as of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Deficiency</w:t>
      </w:r>
      <w:r>
        <w:rPr>
          <w:rFonts w:ascii="Times New Roman" w:cs="Times New Roman" w:eastAsia="Times New Roman" w:hAnsi="Times New Roman"/>
          <w:sz w:val="22"/>
          <w:szCs w:val="22"/>
          <w:color w:val="auto"/>
        </w:rPr>
        <w:t>” means, on any date of determination, the amount by which the Class A/B/C Enhancement Amount is less than the Class A/B/C Required Enhancement Amount as of such date.</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240"/>
          </w:cols>
          <w:pgMar w:left="320" w:top="1026" w:right="339" w:bottom="1440" w:gutter="0" w:footer="0" w:header="0"/>
        </w:sectPr>
      </w:pPr>
    </w:p>
    <w:bookmarkStart w:id="245" w:name="page246"/>
    <w:bookmarkEnd w:id="245"/>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and the Class C Invested Amount as of such date.</w:t>
      </w:r>
    </w:p>
    <w:p>
      <w:pPr>
        <w:spacing w:after="0" w:line="17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Amount</w:t>
      </w:r>
      <w:r>
        <w:rPr>
          <w:rFonts w:ascii="Times New Roman" w:cs="Times New Roman" w:eastAsia="Times New Roman" w:hAnsi="Times New Roman"/>
          <w:sz w:val="22"/>
          <w:szCs w:val="22"/>
          <w:color w:val="auto"/>
        </w:rPr>
        <w:t>” 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2023-4 Demand Notes on such date.</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Liquidity Amount</w:t>
      </w:r>
      <w:r>
        <w:rPr>
          <w:rFonts w:ascii="Times New Roman" w:cs="Times New Roman" w:eastAsia="Times New Roman" w:hAnsi="Times New Roman"/>
          <w:sz w:val="22"/>
          <w:szCs w:val="22"/>
          <w:color w:val="auto"/>
        </w:rPr>
        <w:t>” 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spacing w:after="0" w:line="19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Liquidity Amount</w:t>
      </w:r>
      <w:r>
        <w:rPr>
          <w:rFonts w:ascii="Times New Roman" w:cs="Times New Roman" w:eastAsia="Times New Roman" w:hAnsi="Times New Roman"/>
          <w:sz w:val="22"/>
          <w:szCs w:val="22"/>
          <w:color w:val="auto"/>
        </w:rPr>
        <w:t>” means, as of any date of determination, the sum of (a) the Class A/B/C Letter of Credit Liquidity Amount on such date and (b) the Class A/B/C Available Reserve Account Amount on such date.</w:t>
      </w:r>
    </w:p>
    <w:p>
      <w:pPr>
        <w:spacing w:after="0" w:line="158"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Maximum Amounts</w:t>
      </w:r>
      <w:r>
        <w:rPr>
          <w:rFonts w:ascii="Times New Roman" w:cs="Times New Roman" w:eastAsia="Times New Roman" w:hAnsi="Times New Roman"/>
          <w:sz w:val="21"/>
          <w:szCs w:val="21"/>
          <w:color w:val="auto"/>
        </w:rPr>
        <w:t>” means, collectively, the Series 2023-4 Maximum Jaguar Amount, Series 2023-4 Maximum Tesla Amount, the Series 2023-4 Maximum Land Rover Amount, the Series 2023-4 Maximum Mitsubishi Amount, the Series 2023-4 Maximum Isuzu Amount, the Series 2023-4 Maximum Subaru Amount, the Series 2023-4 Maximum Hyundai Amount, the Series 2023-4 Maximum Kia Amount, the Series 2023-4 Maximum Suzuki Amount, the Series 2023-4 Maximum Specified States Amount (if applicable), the Series 2023-4 Maximum Non-Perfected Vehicle Amount, the Series 2023-4 Maximum Non-Eligible Manufacturer Amount and the Series 2023-4 Maximum Medium/Heavy Duty Truck Amount.</w:t>
      </w:r>
    </w:p>
    <w:p>
      <w:pPr>
        <w:spacing w:after="0" w:line="16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40"/>
          </w:cols>
          <w:pgMar w:left="320" w:top="1030" w:right="339" w:bottom="1440" w:gutter="0" w:footer="0" w:header="0"/>
        </w:sectPr>
      </w:pPr>
    </w:p>
    <w:bookmarkStart w:id="246" w:name="page247"/>
    <w:bookmarkEnd w:id="246"/>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Notes Closing Date</w:t>
      </w:r>
      <w:r>
        <w:rPr>
          <w:rFonts w:ascii="Times New Roman" w:cs="Times New Roman" w:eastAsia="Times New Roman" w:hAnsi="Times New Roman"/>
          <w:sz w:val="22"/>
          <w:szCs w:val="22"/>
          <w:color w:val="auto"/>
        </w:rPr>
        <w:t>” means April 6, 2023.</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Overcollateralization Amount</w:t>
      </w:r>
      <w:r>
        <w:rPr>
          <w:rFonts w:ascii="Times New Roman" w:cs="Times New Roman" w:eastAsia="Times New Roman" w:hAnsi="Times New Roman"/>
          <w:sz w:val="22"/>
          <w:szCs w:val="22"/>
          <w:color w:val="auto"/>
        </w:rPr>
        <w:t>” means, the excess, if any of (x) the Series 2023-4 AESOP I Operating Lease Loan Agreement Borrowing Base as of such date over (y) the sum of the Class A Invested Amount, the Class B Invested Amount and the Class C Invested Amount, in each case, as of such date.</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Percentage</w:t>
      </w:r>
      <w:r>
        <w:rPr>
          <w:rFonts w:ascii="Times New Roman" w:cs="Times New Roman" w:eastAsia="Times New Roman" w:hAnsi="Times New Roman"/>
          <w:sz w:val="22"/>
          <w:szCs w:val="22"/>
          <w:color w:val="auto"/>
        </w:rPr>
        <w:t>” 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2023-4 Invested Amount and the Class D Required Overcollateralization Amount and (ii) as of any other date of determination, 0%.</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xml:space="preserve">” 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2023-4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bl>
    <w:p>
      <w:pPr>
        <w:sectPr>
          <w:pgSz w:w="11900" w:h="16838" w:orient="portrait"/>
          <w:cols w:equalWidth="0" w:num="1">
            <w:col w:w="11240"/>
          </w:cols>
          <w:pgMar w:left="320" w:top="1030" w:right="339" w:bottom="1440" w:gutter="0" w:footer="0" w:header="0"/>
        </w:sectPr>
      </w:pPr>
    </w:p>
    <w:bookmarkStart w:id="247" w:name="page248"/>
    <w:bookmarkEnd w:id="247"/>
    <w:p>
      <w:pPr>
        <w:jc w:val="both"/>
        <w:spacing w:after="0" w:line="250" w:lineRule="auto"/>
        <w:rPr>
          <w:sz w:val="20"/>
          <w:szCs w:val="20"/>
          <w:color w:val="auto"/>
        </w:rPr>
      </w:pPr>
      <w:r>
        <w:rPr>
          <w:rFonts w:ascii="Times New Roman" w:cs="Times New Roman" w:eastAsia="Times New Roman" w:hAnsi="Times New Roman"/>
          <w:sz w:val="22"/>
          <w:szCs w:val="22"/>
          <w:color w:val="auto"/>
        </w:rPr>
        <w:t>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2023-4 AESOP I Operating Lease Loan Agreement Borrowing Base on such date and (2) the lesser of (a) the Class A/B/C Liquidity Amount on such date and (b) the Class A/B/C Required Liquidity Amount on such date.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Pro Rata Share</w:t>
      </w:r>
      <w:r>
        <w:rPr>
          <w:rFonts w:ascii="Times New Roman" w:cs="Times New Roman" w:eastAsia="Times New Roman" w:hAnsi="Times New Roman"/>
          <w:sz w:val="21"/>
          <w:szCs w:val="21"/>
          <w:color w:val="auto"/>
        </w:rPr>
        <w:t xml:space="preserve">” 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available amount allocated to the Class A/B/C Notes under all Multi-Series Letters of Credit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calculation shall not in any manner reduce the undersigned’s actual liability in respect of any failure to pay any demand under the Multi-Series Letter of Credit).</w:t>
      </w:r>
    </w:p>
    <w:p>
      <w:pPr>
        <w:spacing w:after="0" w:line="17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Enhancement Amount</w:t>
      </w:r>
      <w:r>
        <w:rPr>
          <w:rFonts w:ascii="Times New Roman" w:cs="Times New Roman" w:eastAsia="Times New Roman" w:hAnsi="Times New Roman"/>
          <w:sz w:val="22"/>
          <w:szCs w:val="22"/>
          <w:color w:val="auto"/>
        </w:rPr>
        <w:t>” means, as of any date of determination, the sum, without duplication, of (i) the Series 2023-4 Moody’s Required Enhancement Amount as of such date, (ii) the Series 2023-4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2023-4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2023-4 AESOP I Operating Lease Vehicle Percentage as of the immediately preceding Business Day of the excess, if any, of the aggregate Net Book Value of all Vehicles manufactured by Subaru and leased under the Leases as of such date over the Series 2023-4 Maximum Subaru Amount as of such date, (v) the Series 2023-4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2023-4 AESOP I Operating Lease Vehicle Percentage as of the immediately preceding Business Day of the excess, if any, of the aggregate Net Book Value of all Vehicles manufactured by Kia and leased under the Leases as of such date over the Class A/B/C Maximum Kia Amount as of</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bl>
    <w:p>
      <w:pPr>
        <w:sectPr>
          <w:pgSz w:w="11900" w:h="16838" w:orient="portrait"/>
          <w:cols w:equalWidth="0" w:num="1">
            <w:col w:w="11240"/>
          </w:cols>
          <w:pgMar w:left="320" w:top="1030" w:right="339" w:bottom="1440" w:gutter="0" w:footer="0" w:header="0"/>
        </w:sectPr>
      </w:pPr>
    </w:p>
    <w:bookmarkStart w:id="248" w:name="page249"/>
    <w:bookmarkEnd w:id="248"/>
    <w:p>
      <w:pPr>
        <w:jc w:val="both"/>
        <w:spacing w:after="0" w:line="259" w:lineRule="auto"/>
        <w:rPr>
          <w:sz w:val="20"/>
          <w:szCs w:val="20"/>
          <w:color w:val="auto"/>
        </w:rPr>
      </w:pPr>
      <w:r>
        <w:rPr>
          <w:rFonts w:ascii="Times New Roman" w:cs="Times New Roman" w:eastAsia="Times New Roman" w:hAnsi="Times New Roman"/>
          <w:sz w:val="21"/>
          <w:szCs w:val="21"/>
          <w:color w:val="auto"/>
        </w:rPr>
        <w:t>such date, (vii) the Series 2023-4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2023-4 AESOP I Operating Lease Vehicle Percentage as of the immediately preceding Business Day of the excess, if any, of the aggregate Net Book Value of all Vehicles manufactured by Tesla and leased under the Leases as of such date over the Class A/B/C Maximum Tesla Amount as of such date, (ix) the Series 2023-4 AESOP I Operating Lease Vehicle Percentage as of the immediately preceding Business Day of the excess, if any, of the aggregate Net Book Value of all Vehicles manufactured by Land Rover and leased under the Leases as of such date over the Class A/B/C Maximum Land Rover Amount as of such date, (x) the Series 2023-4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2023-4 AESOP I Operating Lease 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2023-4 Maximum Non-Perfected Vehicle Amount (as applicable) as of such date, (xii) the Series 2023-4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2023-4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spacing w:after="0" w:line="18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Liquidity Amount</w:t>
      </w:r>
      <w:r>
        <w:rPr>
          <w:rFonts w:ascii="Times New Roman" w:cs="Times New Roman" w:eastAsia="Times New Roman" w:hAnsi="Times New Roman"/>
          <w:sz w:val="22"/>
          <w:szCs w:val="22"/>
          <w:color w:val="auto"/>
        </w:rPr>
        <w:t>” means, as of any date of determination, an amount equal to the product of 4.00% and the Class A/B/C Senior Invested Amount as of such date.</w:t>
      </w:r>
    </w:p>
    <w:p>
      <w:pPr>
        <w:spacing w:after="0" w:line="14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Required Overcollateralization Amount</w:t>
      </w:r>
      <w:r>
        <w:rPr>
          <w:rFonts w:ascii="Times New Roman" w:cs="Times New Roman" w:eastAsia="Times New Roman" w:hAnsi="Times New Roman"/>
          <w:sz w:val="21"/>
          <w:szCs w:val="21"/>
          <w:color w:val="auto"/>
        </w:rPr>
        <w:t>” means, as of any date of determination, the excess, if any, of the Class A/B/C Required Enhancement Amount over the sum of (i) the Class A/B/C Letter of Credit Amount as of such date,</w:t>
      </w:r>
    </w:p>
    <w:p>
      <w:pPr>
        <w:spacing w:after="0" w:line="2" w:lineRule="exact"/>
        <w:rPr>
          <w:sz w:val="20"/>
          <w:szCs w:val="20"/>
          <w:color w:val="auto"/>
        </w:rPr>
      </w:pPr>
    </w:p>
    <w:p>
      <w:pPr>
        <w:jc w:val="both"/>
        <w:ind w:firstLine="8"/>
        <w:spacing w:after="0" w:line="245" w:lineRule="auto"/>
        <w:tabs>
          <w:tab w:leader="none" w:pos="325"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A/B/C Available Reserve Account Amount on such date and (iii) the amount of cash and Permitted Investments on deposit in the Series 2023-4 Collection Account (not including amounts allocable to the Series 2023-4 Accrued Interest Account) and the Series 2023-4 Excess Collection Account on such date.</w:t>
      </w:r>
    </w:p>
    <w:p>
      <w:pPr>
        <w:spacing w:after="0" w:line="20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Reserve Account Amount</w:t>
      </w:r>
      <w:r>
        <w:rPr>
          <w:rFonts w:ascii="Times New Roman" w:cs="Times New Roman" w:eastAsia="Times New Roman" w:hAnsi="Times New Roman"/>
          <w:sz w:val="22"/>
          <w:szCs w:val="22"/>
          <w:color w:val="auto"/>
        </w:rPr>
        <w:t>” 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bl>
    <w:p>
      <w:pPr>
        <w:sectPr>
          <w:pgSz w:w="11900" w:h="16838" w:orient="portrait"/>
          <w:cols w:equalWidth="0" w:num="1">
            <w:col w:w="11240"/>
          </w:cols>
          <w:pgMar w:left="320" w:top="1030" w:right="339" w:bottom="1440" w:gutter="0" w:footer="0" w:header="0"/>
        </w:sectPr>
      </w:pPr>
    </w:p>
    <w:bookmarkStart w:id="249" w:name="page250"/>
    <w:bookmarkEnd w:id="249"/>
    <w:p>
      <w:pPr>
        <w:jc w:val="both"/>
        <w:spacing w:after="0" w:line="263" w:lineRule="auto"/>
        <w:rPr>
          <w:sz w:val="20"/>
          <w:szCs w:val="20"/>
          <w:color w:val="auto"/>
        </w:rPr>
      </w:pPr>
      <w:r>
        <w:rPr>
          <w:rFonts w:ascii="Times New Roman" w:cs="Times New Roman" w:eastAsia="Times New Roman" w:hAnsi="Times New Roman"/>
          <w:sz w:val="22"/>
          <w:szCs w:val="22"/>
          <w:color w:val="auto"/>
        </w:rPr>
        <w:t>to be made on the Series 2023-4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2023-4 Notes) as of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w:t>
      </w:r>
      <w:r>
        <w:rPr>
          <w:rFonts w:ascii="Times New Roman" w:cs="Times New Roman" w:eastAsia="Times New Roman" w:hAnsi="Times New Roman"/>
          <w:sz w:val="22"/>
          <w:szCs w:val="22"/>
          <w:color w:val="auto"/>
        </w:rPr>
        <w:t>” is defined in Section 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Collateral</w:t>
      </w:r>
      <w:r>
        <w:rPr>
          <w:rFonts w:ascii="Times New Roman" w:cs="Times New Roman" w:eastAsia="Times New Roman" w:hAnsi="Times New Roman"/>
          <w:sz w:val="22"/>
          <w:szCs w:val="22"/>
          <w:color w:val="auto"/>
        </w:rPr>
        <w:t>” is defined in Section 2.7(d).</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means, with respect to any Distribution Date, the excess, if any, of the Class A/B/C Available Reserve Account Amount over the Class A/B/C Required Reserve Account Amount on such Distribution Date.</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Carryover Controlled Amortization Amount</w:t>
      </w:r>
      <w:r>
        <w:rPr>
          <w:rFonts w:ascii="Times New Roman" w:cs="Times New Roman" w:eastAsia="Times New Roman" w:hAnsi="Times New Roman"/>
          <w:sz w:val="22"/>
          <w:szCs w:val="22"/>
          <w:color w:val="auto"/>
        </w:rPr>
        <w:t xml:space="preserve">” means, with respect to any Related Month during the Series 2023-4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2023-4 Controlled Amortization Period, the Class B Carryover Controlled Amortization Amount shall be zero.</w:t>
      </w:r>
    </w:p>
    <w:p>
      <w:pPr>
        <w:spacing w:after="0" w:line="19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Amortization Amount</w:t>
      </w:r>
      <w:r>
        <w:rPr>
          <w:rFonts w:ascii="Times New Roman" w:cs="Times New Roman" w:eastAsia="Times New Roman" w:hAnsi="Times New Roman"/>
          <w:sz w:val="22"/>
          <w:szCs w:val="22"/>
          <w:color w:val="auto"/>
        </w:rPr>
        <w:t>” means, with respect to any Related Month during the Series 2023-4 Controlled Amortization Period, $11,000,000.</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Distribution Amount</w:t>
      </w:r>
      <w:r>
        <w:rPr>
          <w:rFonts w:ascii="Times New Roman" w:cs="Times New Roman" w:eastAsia="Times New Roman" w:hAnsi="Times New Roman"/>
          <w:sz w:val="22"/>
          <w:szCs w:val="22"/>
          <w:color w:val="auto"/>
        </w:rPr>
        <w:t>” means, with respect to any Related Month during the Series 2023-4 Controlled Amortization Period, an amount equal to the sum of the Class B Controlled Amortization Amount and any Class B Carryover Controlled Amortization Amount for such Related Month.</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Initial Invested Amount</w:t>
      </w:r>
      <w:r>
        <w:rPr>
          <w:rFonts w:ascii="Times New Roman" w:cs="Times New Roman" w:eastAsia="Times New Roman" w:hAnsi="Times New Roman"/>
          <w:sz w:val="22"/>
          <w:szCs w:val="22"/>
          <w:color w:val="auto"/>
        </w:rPr>
        <w:t>” means the aggregate initial principal amount of the Class B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$66,000,000.</w:t>
      </w:r>
    </w:p>
    <w:p>
      <w:pPr>
        <w:spacing w:after="0" w:line="19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Invested Amount</w:t>
      </w:r>
      <w:r>
        <w:rPr>
          <w:rFonts w:ascii="Times New Roman" w:cs="Times New Roman" w:eastAsia="Times New Roman" w:hAnsi="Times New Roman"/>
          <w:sz w:val="22"/>
          <w:szCs w:val="22"/>
          <w:color w:val="auto"/>
        </w:rPr>
        <w:t xml:space="preserve">” means, when used with respect to any date, an amount equal to (a) the Class B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B Noteholders on or prior to such date.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Monthly Interest</w:t>
      </w:r>
      <w:r>
        <w:rPr>
          <w:rFonts w:ascii="Times New Roman" w:cs="Times New Roman" w:eastAsia="Times New Roman" w:hAnsi="Times New Roman"/>
          <w:sz w:val="22"/>
          <w:szCs w:val="22"/>
          <w:color w:val="auto"/>
        </w:rPr>
        <w:t>” means, with respect to (i) the initial Series 2023-4 Interest Period, an amount equal to $509,813.33 and (ii) any other Series 2023-4 Interest Period, an amount equal to the product of (A) one-twelfth of the Class B Note Rate and (B) the Class B Invested Amount on the first day of such Series 2023-4 Interest Period, after giving effect to any principal payments made on such date.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w:t>
      </w:r>
      <w:r>
        <w:rPr>
          <w:rFonts w:ascii="Times New Roman" w:cs="Times New Roman" w:eastAsia="Times New Roman" w:hAnsi="Times New Roman"/>
          <w:sz w:val="22"/>
          <w:szCs w:val="22"/>
          <w:color w:val="auto"/>
        </w:rPr>
        <w:t xml:space="preserve">” means any one of the Series 2023-4 6.32% Rental Car Asset Backed Notes, Class B,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Definitive Class B Notes shall have such insertions and deletions as are necessary to give effect to the provisions of Section 2.18 of the Base Indenture.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bl>
    <w:p>
      <w:pPr>
        <w:sectPr>
          <w:pgSz w:w="11900" w:h="16838" w:orient="portrait"/>
          <w:cols w:equalWidth="0" w:num="1">
            <w:col w:w="11240"/>
          </w:cols>
          <w:pgMar w:left="320" w:top="1030" w:right="339" w:bottom="1440" w:gutter="0" w:footer="0" w:header="0"/>
        </w:sectPr>
      </w:pPr>
    </w:p>
    <w:bookmarkStart w:id="250" w:name="page251"/>
    <w:bookmarkEnd w:id="25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Rate</w:t>
      </w:r>
      <w:r>
        <w:rPr>
          <w:rFonts w:ascii="Times New Roman" w:cs="Times New Roman" w:eastAsia="Times New Roman" w:hAnsi="Times New Roman"/>
          <w:sz w:val="22"/>
          <w:szCs w:val="22"/>
          <w:color w:val="auto"/>
        </w:rPr>
        <w:t>” means 6.32%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w:t>
      </w:r>
      <w:r>
        <w:rPr>
          <w:rFonts w:ascii="Times New Roman" w:cs="Times New Roman" w:eastAsia="Times New Roman" w:hAnsi="Times New Roman"/>
          <w:sz w:val="22"/>
          <w:szCs w:val="22"/>
          <w:color w:val="auto"/>
        </w:rPr>
        <w:t>” means the Person in whose name a Class B Note is registered in the Note Register.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has the meaning set forth in Section 2.3(g)(ii).</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Carryover Controlled Amortization Amount</w:t>
      </w:r>
      <w:r>
        <w:rPr>
          <w:rFonts w:ascii="Times New Roman" w:cs="Times New Roman" w:eastAsia="Times New Roman" w:hAnsi="Times New Roman"/>
          <w:sz w:val="22"/>
          <w:szCs w:val="22"/>
          <w:color w:val="auto"/>
        </w:rPr>
        <w:t xml:space="preserve">” means, with respect to any Related Month during the Series 2023-4 Controlled Amortization Period, the amount, if any, by which the portion of the Monthly Total Principal Allocation paid to the Class C Noteholders pursuant to Section 2.5(f)(iii) for the previous Related Month was less than the Class C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2023-4 Controlled Amortization Period, the Class C Carryover Controlled Amortization Amount shall be zero.</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Amortization Amount</w:t>
      </w:r>
      <w:r>
        <w:rPr>
          <w:rFonts w:ascii="Times New Roman" w:cs="Times New Roman" w:eastAsia="Times New Roman" w:hAnsi="Times New Roman"/>
          <w:sz w:val="22"/>
          <w:szCs w:val="22"/>
          <w:color w:val="auto"/>
        </w:rPr>
        <w:t>” means, (i) with respect to any Related Month during the Series 2023-4 Controlled Amortization Period other than the Related Month immediately preceding the Series 2023-4 Expected Final Distribution Date, $8,708,333.33 and (ii) with respect to the Related Month immediately preceding the Series 2023-4 Expected Final Distribution Date, $8,708,333.35.</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Distribution Amount</w:t>
      </w:r>
      <w:r>
        <w:rPr>
          <w:rFonts w:ascii="Times New Roman" w:cs="Times New Roman" w:eastAsia="Times New Roman" w:hAnsi="Times New Roman"/>
          <w:sz w:val="22"/>
          <w:szCs w:val="22"/>
          <w:color w:val="auto"/>
        </w:rPr>
        <w:t>” means, with respect to any Related Month during the Series 2023-4 Controlled Amortization Period, an amount equal to the sum of the Class C Controlled Amortization Amount and any Class C Carryover Controlled Amortization Amount for such Related Month.</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Initial Invested Amount</w:t>
      </w:r>
      <w:r>
        <w:rPr>
          <w:rFonts w:ascii="Times New Roman" w:cs="Times New Roman" w:eastAsia="Times New Roman" w:hAnsi="Times New Roman"/>
          <w:sz w:val="22"/>
          <w:szCs w:val="22"/>
          <w:color w:val="auto"/>
        </w:rPr>
        <w:t>” means the aggregate initial principal amount of the Class C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$52,250,000.</w:t>
      </w:r>
    </w:p>
    <w:p>
      <w:pPr>
        <w:spacing w:after="0" w:line="196"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Invested Amount</w:t>
      </w:r>
      <w:r>
        <w:rPr>
          <w:rFonts w:ascii="Times New Roman" w:cs="Times New Roman" w:eastAsia="Times New Roman" w:hAnsi="Times New Roman"/>
          <w:sz w:val="22"/>
          <w:szCs w:val="22"/>
          <w:color w:val="auto"/>
        </w:rPr>
        <w:t xml:space="preserve">” means, when used with respect to any date, an amount equal to (a) the Class C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C Noteholders on or prior to such date.</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w:t>
      </w:r>
      <w:r>
        <w:rPr>
          <w:rFonts w:ascii="Times New Roman" w:cs="Times New Roman" w:eastAsia="Times New Roman" w:hAnsi="Times New Roman"/>
          <w:sz w:val="22"/>
          <w:szCs w:val="22"/>
          <w:color w:val="auto"/>
        </w:rPr>
        <w:t>” means, (A) for so long as ABRCF owns 100% of the Class C Notes, $0 and (B) if ABRCF owns less than 100% of the Class C Notes, with respect to (i) the initial Series 2023-4 Interest Period, an amount equal to $462,354.44 and (ii) any other Series 2023-4 Interest Period, an amount equal to the product of (A) one-twelfth of the Class C Note Rate and (B) the Class C Invested Amount on the first day of such Series 2023-4 Interest Period, after giving effect to any principal payments made on such date.</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w:t>
      </w:r>
      <w:r>
        <w:rPr>
          <w:rFonts w:ascii="Times New Roman" w:cs="Times New Roman" w:eastAsia="Times New Roman" w:hAnsi="Times New Roman"/>
          <w:sz w:val="22"/>
          <w:szCs w:val="22"/>
          <w:color w:val="auto"/>
        </w:rPr>
        <w:t xml:space="preserve">” means any one of the Series 2023-4 7.24% Rental Car Asset Backed Notes, Class C,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Definitive Class C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means 7.24% per annum.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ectPr>
          <w:pgSz w:w="11900" w:h="16838" w:orient="portrait"/>
          <w:cols w:equalWidth="0" w:num="1">
            <w:col w:w="11240"/>
          </w:cols>
          <w:pgMar w:left="320" w:top="1030" w:right="339" w:bottom="1440" w:gutter="0" w:footer="0" w:header="0"/>
        </w:sectPr>
      </w:pPr>
    </w:p>
    <w:bookmarkStart w:id="251" w:name="page252"/>
    <w:bookmarkEnd w:id="25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the Person in whose name a Class C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has the meaning set forth in Section 2.3(g)(iii).</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Applicable Multi-Series L/C Amount</w:t>
      </w:r>
      <w:r>
        <w:rPr>
          <w:rFonts w:ascii="Times New Roman" w:cs="Times New Roman" w:eastAsia="Times New Roman" w:hAnsi="Times New Roman"/>
          <w:sz w:val="22"/>
          <w:szCs w:val="22"/>
          <w:color w:val="auto"/>
        </w:rPr>
        <w:t xml:space="preserve">” means, as of any date of determination, an amount equal to the sum, for each Multi-Series Letter of Credit, of (1) the aggregate amount allocable to the Class D Notes and available to be drawn on such date under 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D Required Liquidity Amount divided by “Required Liquidity Amount” for each applicable Series for which such Multi-Series Letter of Credit is providing credit enhancement.</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Cash Collateral Account Amount</w:t>
      </w:r>
      <w:r>
        <w:rPr>
          <w:rFonts w:ascii="Times New Roman" w:cs="Times New Roman" w:eastAsia="Times New Roman" w:hAnsi="Times New Roman"/>
          <w:sz w:val="22"/>
          <w:szCs w:val="22"/>
          <w:color w:val="auto"/>
        </w:rPr>
        <w:t>” means, as of any date of determination, the amount on deposit in the Class D Cash Collateral Account (after giving effect to any deposits thereto and withdrawals and releases therefrom on such date).</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Reserve Account Amount</w:t>
      </w:r>
      <w:r>
        <w:rPr>
          <w:rFonts w:ascii="Times New Roman" w:cs="Times New Roman" w:eastAsia="Times New Roman" w:hAnsi="Times New Roman"/>
          <w:sz w:val="22"/>
          <w:szCs w:val="22"/>
          <w:color w:val="auto"/>
        </w:rPr>
        <w:t>” means, as of any date of determination, the amount on deposit in the Class D Reserve Account (after giving effect to any deposits thereto and withdrawals and releases therefrom on such date).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Carryover Controlled Amortization Amount</w:t>
      </w:r>
      <w:r>
        <w:rPr>
          <w:rFonts w:ascii="Times New Roman" w:cs="Times New Roman" w:eastAsia="Times New Roman" w:hAnsi="Times New Roman"/>
          <w:sz w:val="22"/>
          <w:szCs w:val="22"/>
          <w:color w:val="auto"/>
        </w:rPr>
        <w:t xml:space="preserve">” means, with respect to any Related Month during the Series 2023-4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2023-4 Controlled Amortization Period, the Class D Carryover Controlled Amortization Amount shall be zero.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is defined in Section 2.8(j).</w:t>
      </w:r>
    </w:p>
    <w:p>
      <w:pPr>
        <w:spacing w:after="0" w:line="23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 Surplus</w:t>
      </w:r>
      <w:r>
        <w:rPr>
          <w:rFonts w:ascii="Times New Roman" w:cs="Times New Roman" w:eastAsia="Times New Roman" w:hAnsi="Times New Roman"/>
          <w:sz w:val="22"/>
          <w:szCs w:val="22"/>
          <w:color w:val="auto"/>
        </w:rPr>
        <w:t xml:space="preserve">” 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D Cash Collateral Account Surplus shall mean the excess, if any, of (x) the Class D Available Cash Collateral Account Amount over (y) the Series 2023-4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A/B/C Cash Collateral Account Amount.</w:t>
      </w:r>
    </w:p>
    <w:p>
      <w:pPr>
        <w:spacing w:after="0" w:line="191"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D Available Cash</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bl>
    <w:p>
      <w:pPr>
        <w:sectPr>
          <w:pgSz w:w="11900" w:h="16838" w:orient="portrait"/>
          <w:cols w:equalWidth="0" w:num="1">
            <w:col w:w="11240"/>
          </w:cols>
          <w:pgMar w:left="320" w:top="1030" w:right="339" w:bottom="1440" w:gutter="0" w:footer="0" w:header="0"/>
        </w:sectPr>
      </w:pPr>
    </w:p>
    <w:bookmarkStart w:id="252" w:name="page253"/>
    <w:bookmarkEnd w:id="252"/>
    <w:p>
      <w:pPr>
        <w:jc w:val="both"/>
        <w:spacing w:after="0" w:line="271" w:lineRule="auto"/>
        <w:rPr>
          <w:sz w:val="20"/>
          <w:szCs w:val="20"/>
          <w:color w:val="auto"/>
        </w:rPr>
      </w:pPr>
      <w:r>
        <w:rPr>
          <w:rFonts w:ascii="Times New Roman" w:cs="Times New Roman" w:eastAsia="Times New Roman" w:hAnsi="Times New Roman"/>
          <w:sz w:val="22"/>
          <w:szCs w:val="22"/>
          <w:color w:val="auto"/>
        </w:rPr>
        <w:t>Collateral Account Amount as of such date and the denominator of which is the Class D Letter of Credit Liquidity Amount as of such date.</w:t>
      </w:r>
    </w:p>
    <w:p>
      <w:pPr>
        <w:spacing w:after="0" w:line="17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Amortization Amount</w:t>
      </w:r>
      <w:r>
        <w:rPr>
          <w:rFonts w:ascii="Times New Roman" w:cs="Times New Roman" w:eastAsia="Times New Roman" w:hAnsi="Times New Roman"/>
          <w:sz w:val="22"/>
          <w:szCs w:val="22"/>
          <w:color w:val="auto"/>
        </w:rPr>
        <w:t>” means, with respect to any Related Month during the Series 2023-4 Controlled Amortization Period, $12,500,000.</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Distribution Amount</w:t>
      </w:r>
      <w:r>
        <w:rPr>
          <w:rFonts w:ascii="Times New Roman" w:cs="Times New Roman" w:eastAsia="Times New Roman" w:hAnsi="Times New Roman"/>
          <w:sz w:val="22"/>
          <w:szCs w:val="22"/>
          <w:color w:val="auto"/>
        </w:rPr>
        <w:t>” means, with respect to any Related Month during the Series 2023-4 Controlled Amortization Period, an amount equal to the sum of the Class D Controlled Amortization Amount and any Class D Carryover Controlled Amortization Amount for such Related Month.</w:t>
      </w:r>
    </w:p>
    <w:p>
      <w:pPr>
        <w:spacing w:after="0" w:line="18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Amount</w:t>
      </w:r>
      <w:r>
        <w:rPr>
          <w:rFonts w:ascii="Times New Roman" w:cs="Times New Roman" w:eastAsia="Times New Roman" w:hAnsi="Times New Roman"/>
          <w:sz w:val="22"/>
          <w:szCs w:val="22"/>
          <w:color w:val="auto"/>
        </w:rPr>
        <w:t>” 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2023-4 Collection Account (not including amounts allocable to the Series 2023-4 Accrued Interest Account) and the Series 2023-4 Excess Collection Account as of such date.</w:t>
      </w:r>
    </w:p>
    <w:p>
      <w:pPr>
        <w:spacing w:after="0" w:line="20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Deficiency</w:t>
      </w:r>
      <w:r>
        <w:rPr>
          <w:rFonts w:ascii="Times New Roman" w:cs="Times New Roman" w:eastAsia="Times New Roman" w:hAnsi="Times New Roman"/>
          <w:sz w:val="22"/>
          <w:szCs w:val="22"/>
          <w:color w:val="auto"/>
        </w:rPr>
        <w:t>” means, on any date of determination, the amount by which the Class D Enhancement Amount is less than the Class D Required Enhancement Amount as of such date.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Initial Invested Amount</w:t>
      </w:r>
      <w:r>
        <w:rPr>
          <w:rFonts w:ascii="Times New Roman" w:cs="Times New Roman" w:eastAsia="Times New Roman" w:hAnsi="Times New Roman"/>
          <w:sz w:val="22"/>
          <w:szCs w:val="22"/>
          <w:color w:val="auto"/>
        </w:rPr>
        <w:t>” means the aggregate initial principal amount of the Class D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$75,000,000.</w:t>
      </w:r>
    </w:p>
    <w:p>
      <w:pPr>
        <w:spacing w:after="0" w:line="19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Invested Amount</w:t>
      </w:r>
      <w:r>
        <w:rPr>
          <w:rFonts w:ascii="Times New Roman" w:cs="Times New Roman" w:eastAsia="Times New Roman" w:hAnsi="Times New Roman"/>
          <w:sz w:val="22"/>
          <w:szCs w:val="22"/>
          <w:color w:val="auto"/>
        </w:rPr>
        <w:t xml:space="preserve">” means, when used with respect to any date, an amount equal to (a) the Class D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D Noteholders on or prior to such date.</w:t>
      </w:r>
    </w:p>
    <w:p>
      <w:pPr>
        <w:spacing w:after="0" w:line="144"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Letter of Credit Amount</w:t>
      </w:r>
      <w:r>
        <w:rPr>
          <w:rFonts w:ascii="Times New Roman" w:cs="Times New Roman" w:eastAsia="Times New Roman" w:hAnsi="Times New Roman"/>
          <w:sz w:val="21"/>
          <w:szCs w:val="21"/>
          <w:color w:val="auto"/>
        </w:rPr>
        <w:t>” 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2023-4 Demand Notes on such date.</w:t>
      </w:r>
    </w:p>
    <w:p>
      <w:pPr>
        <w:spacing w:after="0" w:line="16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Letter of Credit Liquidity Amount</w:t>
      </w:r>
      <w:r>
        <w:rPr>
          <w:rFonts w:ascii="Times New Roman" w:cs="Times New Roman" w:eastAsia="Times New Roman" w:hAnsi="Times New Roman"/>
          <w:sz w:val="22"/>
          <w:szCs w:val="22"/>
          <w:color w:val="auto"/>
        </w:rPr>
        <w:t>” 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 Collateral Account has been established and funded pursuant to Section 2.8, the Class D Available Cash Collateral Account Amount on such date.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bl>
    <w:p>
      <w:pPr>
        <w:sectPr>
          <w:pgSz w:w="11900" w:h="16838" w:orient="portrait"/>
          <w:cols w:equalWidth="0" w:num="1">
            <w:col w:w="11240"/>
          </w:cols>
          <w:pgMar w:left="320" w:top="1030" w:right="339" w:bottom="1440" w:gutter="0" w:footer="0" w:header="0"/>
        </w:sectPr>
      </w:pPr>
    </w:p>
    <w:bookmarkStart w:id="253" w:name="page254"/>
    <w:bookmarkEnd w:id="253"/>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Liquidity Amount</w:t>
      </w:r>
      <w:r>
        <w:rPr>
          <w:rFonts w:ascii="Times New Roman" w:cs="Times New Roman" w:eastAsia="Times New Roman" w:hAnsi="Times New Roman"/>
          <w:sz w:val="22"/>
          <w:szCs w:val="22"/>
          <w:color w:val="auto"/>
        </w:rPr>
        <w:t>” means, as of any date of determination, the sum of (a) the Class D Letter of Credit Liquidity Amount on such date and (b) the Class D Available Reserve Account Amount on such date.</w:t>
      </w:r>
    </w:p>
    <w:p>
      <w:pPr>
        <w:spacing w:after="0" w:line="17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Amounts</w:t>
      </w:r>
      <w:r>
        <w:rPr>
          <w:rFonts w:ascii="Times New Roman" w:cs="Times New Roman" w:eastAsia="Times New Roman" w:hAnsi="Times New Roman"/>
          <w:sz w:val="22"/>
          <w:szCs w:val="22"/>
          <w:color w:val="auto"/>
        </w:rPr>
        <w:t>” means, collectively,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and the Class D Maximum Medium/Heavy Duty Truck Amount.</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4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ectPr>
          <w:pgSz w:w="11900" w:h="16838" w:orient="portrait"/>
          <w:cols w:equalWidth="0" w:num="1">
            <w:col w:w="11240"/>
          </w:cols>
          <w:pgMar w:left="320" w:top="1030" w:right="339" w:bottom="1440" w:gutter="0" w:footer="0" w:header="0"/>
        </w:sectPr>
      </w:pPr>
    </w:p>
    <w:bookmarkStart w:id="254" w:name="page255"/>
    <w:bookmarkEnd w:id="254"/>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7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Monthly Interest</w:t>
      </w:r>
      <w:r>
        <w:rPr>
          <w:rFonts w:ascii="Times New Roman" w:cs="Times New Roman" w:eastAsia="Times New Roman" w:hAnsi="Times New Roman"/>
          <w:sz w:val="22"/>
          <w:szCs w:val="22"/>
          <w:color w:val="auto"/>
        </w:rPr>
        <w:t>” means, with respect to (i) the initial Series 2023-4 Interest Period for the Class D Notes, following the Class D Notes Closing Date, an amount equal to $834,375, (ii) the initial Series 2023-4 Interest Period for the Class D Notes from the Class D Notes Sale Date to and including June 20, 2025, an amount equal to $152,291.67 and (iii) any other Series 2023-4 Interest Period, an amount equal to the product of (A) one-twelfth of the Class D Note Rate and (B) the Class D Invested Amount on the first day of such Series 2023-4 Interest Period, after giving effect to any principal payments made on such date.</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w:t>
      </w:r>
      <w:r>
        <w:rPr>
          <w:rFonts w:ascii="Times New Roman" w:cs="Times New Roman" w:eastAsia="Times New Roman" w:hAnsi="Times New Roman"/>
          <w:sz w:val="22"/>
          <w:szCs w:val="22"/>
          <w:color w:val="auto"/>
        </w:rPr>
        <w:t xml:space="preserve">” means any one of the Series 2023-4 7.31% Rental Car Asset Backed Notes, Class D,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Definitive Class D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Owner</w:t>
      </w:r>
      <w:r>
        <w:rPr>
          <w:rFonts w:ascii="Times New Roman" w:cs="Times New Roman" w:eastAsia="Times New Roman" w:hAnsi="Times New Roman"/>
          <w:sz w:val="22"/>
          <w:szCs w:val="22"/>
          <w:color w:val="auto"/>
        </w:rPr>
        <w:t>” means each beneficial owner of a Class D Note.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Rate</w:t>
      </w:r>
      <w:r>
        <w:rPr>
          <w:rFonts w:ascii="Times New Roman" w:cs="Times New Roman" w:eastAsia="Times New Roman" w:hAnsi="Times New Roman"/>
          <w:sz w:val="22"/>
          <w:szCs w:val="22"/>
          <w:color w:val="auto"/>
        </w:rPr>
        <w:t>” means 7.31%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Noteholder</w:t>
      </w:r>
      <w:r>
        <w:rPr>
          <w:rFonts w:ascii="Times New Roman" w:cs="Times New Roman" w:eastAsia="Times New Roman" w:hAnsi="Times New Roman"/>
          <w:sz w:val="22"/>
          <w:szCs w:val="22"/>
          <w:color w:val="auto"/>
        </w:rPr>
        <w:t>” means the Person in whose name a Class D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Closing Date</w:t>
      </w:r>
      <w:r>
        <w:rPr>
          <w:rFonts w:ascii="Times New Roman" w:cs="Times New Roman" w:eastAsia="Times New Roman" w:hAnsi="Times New Roman"/>
          <w:sz w:val="22"/>
          <w:szCs w:val="22"/>
          <w:color w:val="auto"/>
        </w:rPr>
        <w:t>” means January 31, 2025.</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Sale Date</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Overcollateralization Amount</w:t>
      </w:r>
      <w:r>
        <w:rPr>
          <w:rFonts w:ascii="Times New Roman" w:cs="Times New Roman" w:eastAsia="Times New Roman" w:hAnsi="Times New Roman"/>
          <w:sz w:val="22"/>
          <w:szCs w:val="22"/>
          <w:color w:val="auto"/>
        </w:rPr>
        <w:t>” means, the excess, if any of (x) the Series 2023-4 AESOP I Operating Lease Loan Agreement Borrowing Base as of such date over (y) the Series 2023-4 Invested Amount as of such date.</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Percentage</w:t>
      </w:r>
      <w:r>
        <w:rPr>
          <w:rFonts w:ascii="Times New Roman" w:cs="Times New Roman" w:eastAsia="Times New Roman" w:hAnsi="Times New Roman"/>
          <w:sz w:val="22"/>
          <w:szCs w:val="22"/>
          <w:color w:val="auto"/>
        </w:rPr>
        <w:t>” means, as of any date of determination, a percentage equal to the excess, if any, of (x) 100% over (y) the Class A/B/C Percentage as of such date.</w:t>
      </w:r>
    </w:p>
    <w:p>
      <w:pPr>
        <w:spacing w:after="0" w:line="17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Principal Deficit Amount</w:t>
      </w:r>
      <w:r>
        <w:rPr>
          <w:rFonts w:ascii="Times New Roman" w:cs="Times New Roman" w:eastAsia="Times New Roman" w:hAnsi="Times New Roman"/>
          <w:sz w:val="22"/>
          <w:szCs w:val="22"/>
          <w:color w:val="auto"/>
        </w:rPr>
        <w:t xml:space="preserve">” means, as of any date of determination, the excess, if any, of (i) the Class D Invested Amount on such date (after giving effect to the distribution of the Monthly Total Principal Allocation for the Related Month if such date is a Distribution Date) over (ii) the Series 2023-4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w:t>
      </w: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ectPr>
          <w:pgSz w:w="11900" w:h="16838" w:orient="portrait"/>
          <w:cols w:equalWidth="0" w:num="1">
            <w:col w:w="11240"/>
          </w:cols>
          <w:pgMar w:left="320" w:top="1030" w:right="339" w:bottom="1440" w:gutter="0" w:footer="0" w:header="0"/>
        </w:sectPr>
      </w:pPr>
    </w:p>
    <w:bookmarkStart w:id="255" w:name="page256"/>
    <w:bookmarkEnd w:id="255"/>
    <w:p>
      <w:pPr>
        <w:jc w:val="both"/>
        <w:spacing w:after="0" w:line="267" w:lineRule="auto"/>
        <w:rPr>
          <w:sz w:val="20"/>
          <w:szCs w:val="20"/>
          <w:color w:val="auto"/>
        </w:rPr>
      </w:pPr>
      <w:r>
        <w:rPr>
          <w:rFonts w:ascii="Times New Roman" w:cs="Times New Roman" w:eastAsia="Times New Roman" w:hAnsi="Times New Roman"/>
          <w:sz w:val="21"/>
          <w:szCs w:val="21"/>
          <w:color w:val="auto"/>
        </w:rPr>
        <w:t>effect to the distribution of Monthly Total Principal Allocation for the Related Month if such date is a Distribution Date) over (y) the sum of (1) the Series 2023-4 AESOP I Operating Lease Loan Agreement Borrowing Base on such date and (2) the lesser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the Class D Liquidity Amount on such date and (b) the Class D Required Liquidity Amount on such date.</w:t>
      </w:r>
    </w:p>
    <w:p>
      <w:pPr>
        <w:spacing w:after="0" w:line="20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Pro Rata Share</w:t>
      </w:r>
      <w:r>
        <w:rPr>
          <w:rFonts w:ascii="Times New Roman" w:cs="Times New Roman" w:eastAsia="Times New Roman" w:hAnsi="Times New Roman"/>
          <w:sz w:val="22"/>
          <w:szCs w:val="22"/>
          <w:color w:val="auto"/>
        </w:rPr>
        <w:t xml:space="preserve">” means, with respect to any Multi-Series Letter of Credit Provider as of any date, the fraction (expressed as a percentage) obtained by dividing (A) the available amount allocated to the Class D Notes under such Multi-Series Letter of Credit Provider’s Multi-Series Letter of Credit as of such date by (B) an amount equal to the aggregate available amount allocated to the Class D Notes under all Multi-Series Letters of Credit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calculation shall not in any manner reduce the undersigned’s actual liability in respect of any failure to pay any demand under the Multi-Series Letter of Credit).</w:t>
      </w:r>
    </w:p>
    <w:p>
      <w:pPr>
        <w:spacing w:after="0" w:line="18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Enhancement Amount</w:t>
      </w:r>
      <w:r>
        <w:rPr>
          <w:rFonts w:ascii="Times New Roman" w:cs="Times New Roman" w:eastAsia="Times New Roman" w:hAnsi="Times New Roman"/>
          <w:sz w:val="22"/>
          <w:szCs w:val="22"/>
          <w:color w:val="auto"/>
        </w:rPr>
        <w:t>” means an amount equal to, as of any date of determination, the sum (without duplication) of (i) the applicable Series 2023-4 Moody’s Required Enhancement Amount as of such date, (ii) the Series 2023-4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2023-4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2023-4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2023-4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2023-4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2023-4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2023-4 AESOP I Operating Lease Vehicle Percentage as of the immediately preceding Business Day of the excess, if any, of the aggregate Net Book Value of all Vehicles manufactured by Tesla and leased under the Leases as of such date over the Class D Maximum</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bl>
    <w:p>
      <w:pPr>
        <w:sectPr>
          <w:pgSz w:w="11900" w:h="16838" w:orient="portrait"/>
          <w:cols w:equalWidth="0" w:num="1">
            <w:col w:w="11240"/>
          </w:cols>
          <w:pgMar w:left="320" w:top="1030" w:right="339" w:bottom="1440" w:gutter="0" w:footer="0" w:header="0"/>
        </w:sectPr>
      </w:pPr>
    </w:p>
    <w:bookmarkStart w:id="256" w:name="page257"/>
    <w:bookmarkEnd w:id="256"/>
    <w:p>
      <w:pPr>
        <w:jc w:val="both"/>
        <w:spacing w:after="0" w:line="261" w:lineRule="auto"/>
        <w:rPr>
          <w:sz w:val="20"/>
          <w:szCs w:val="20"/>
          <w:color w:val="auto"/>
        </w:rPr>
      </w:pPr>
      <w:r>
        <w:rPr>
          <w:rFonts w:ascii="Times New Roman" w:cs="Times New Roman" w:eastAsia="Times New Roman" w:hAnsi="Times New Roman"/>
          <w:sz w:val="21"/>
          <w:szCs w:val="21"/>
          <w:color w:val="auto"/>
        </w:rPr>
        <w:t>Tesla Amount as of such date, (ix) the Series 2023-4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2023-4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2023-4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w:t>
      </w:r>
    </w:p>
    <w:p>
      <w:pPr>
        <w:spacing w:after="0" w:line="2" w:lineRule="exact"/>
        <w:rPr>
          <w:sz w:val="20"/>
          <w:szCs w:val="20"/>
          <w:color w:val="auto"/>
        </w:rPr>
      </w:pPr>
    </w:p>
    <w:p>
      <w:pPr>
        <w:jc w:val="both"/>
        <w:ind w:firstLine="8"/>
        <w:spacing w:after="0" w:line="245" w:lineRule="auto"/>
        <w:tabs>
          <w:tab w:leader="none" w:pos="311"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2023-4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2023-4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spacing w:after="0" w:line="19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Liquidity Amount</w:t>
      </w:r>
      <w:r>
        <w:rPr>
          <w:rFonts w:ascii="Times New Roman" w:cs="Times New Roman" w:eastAsia="Times New Roman" w:hAnsi="Times New Roman"/>
          <w:sz w:val="22"/>
          <w:szCs w:val="22"/>
          <w:color w:val="auto"/>
        </w:rPr>
        <w:t>” means an amount equal to the product of 5.50% and the Class D Invested Amount as of such date.</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Overcollateralization Amount</w:t>
      </w:r>
      <w:r>
        <w:rPr>
          <w:rFonts w:ascii="Times New Roman" w:cs="Times New Roman" w:eastAsia="Times New Roman" w:hAnsi="Times New Roman"/>
          <w:sz w:val="22"/>
          <w:szCs w:val="22"/>
          <w:color w:val="auto"/>
        </w:rPr>
        <w:t>” 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 Permitted Investments on deposit in the Series 2023-4 Collection Account (not including amounts allocable to the Series 2023-4 Accrued Interest Account) and the Series 2023-4 Excess Collection Account on such date.</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Reserve Account Amount</w:t>
      </w:r>
      <w:r>
        <w:rPr>
          <w:rFonts w:ascii="Times New Roman" w:cs="Times New Roman" w:eastAsia="Times New Roman" w:hAnsi="Times New Roman"/>
          <w:sz w:val="22"/>
          <w:szCs w:val="22"/>
          <w:color w:val="auto"/>
        </w:rPr>
        <w:t>” 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2023-4 Notes)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w:t>
      </w:r>
      <w:r>
        <w:rPr>
          <w:rFonts w:ascii="Times New Roman" w:cs="Times New Roman" w:eastAsia="Times New Roman" w:hAnsi="Times New Roman"/>
          <w:sz w:val="22"/>
          <w:szCs w:val="22"/>
          <w:color w:val="auto"/>
        </w:rPr>
        <w:t>” is defined in Section 2.7(g).</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is defined in Section 2.7(j).</w:t>
      </w: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ectPr>
          <w:pgSz w:w="11900" w:h="16838" w:orient="portrait"/>
          <w:cols w:equalWidth="0" w:num="1">
            <w:col w:w="11240"/>
          </w:cols>
          <w:pgMar w:left="320" w:top="1030" w:right="339" w:bottom="1440" w:gutter="0" w:footer="0" w:header="0"/>
        </w:sectPr>
      </w:pPr>
    </w:p>
    <w:bookmarkStart w:id="257" w:name="page258"/>
    <w:bookmarkEnd w:id="257"/>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Surplus</w:t>
      </w:r>
      <w:r>
        <w:rPr>
          <w:rFonts w:ascii="Times New Roman" w:cs="Times New Roman" w:eastAsia="Times New Roman" w:hAnsi="Times New Roman"/>
          <w:sz w:val="22"/>
          <w:szCs w:val="22"/>
          <w:color w:val="auto"/>
        </w:rPr>
        <w:t>” means, with respect to any Distribution Date, the excess, if any, of the Class D Available Reserve Account Amount over the Class D Required Reserve Account Amount on such Distribution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has the meaning set forth in Section 2.3(g)(iv).</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Controlled Amortization Amount</w:t>
      </w:r>
      <w:r>
        <w:rPr>
          <w:rFonts w:ascii="Times New Roman" w:cs="Times New Roman" w:eastAsia="Times New Roman" w:hAnsi="Times New Roman"/>
          <w:sz w:val="22"/>
          <w:szCs w:val="22"/>
          <w:color w:val="auto"/>
        </w:rPr>
        <w:t>” means, (i) with respect to any Related Month during the Series 2023-4 Controlled Amortization Period other than the Related Month immediately preceding the Series 2023-4 Expected Final Distribution Date, $0 and (ii) with respect to the Related Month immediately preceding the Series 2023-4 Expected Final Distribution Date, $34,400,000.</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Initial Invested Amount</w:t>
      </w:r>
      <w:r>
        <w:rPr>
          <w:rFonts w:ascii="Times New Roman" w:cs="Times New Roman" w:eastAsia="Times New Roman" w:hAnsi="Times New Roman"/>
          <w:sz w:val="22"/>
          <w:szCs w:val="22"/>
          <w:color w:val="auto"/>
        </w:rPr>
        <w:t>” means the aggregate initial principal amount of the Class R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$34,400,000.</w:t>
      </w:r>
    </w:p>
    <w:p>
      <w:pPr>
        <w:spacing w:after="0" w:line="196"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Invested Amount</w:t>
      </w:r>
      <w:r>
        <w:rPr>
          <w:rFonts w:ascii="Times New Roman" w:cs="Times New Roman" w:eastAsia="Times New Roman" w:hAnsi="Times New Roman"/>
          <w:sz w:val="22"/>
          <w:szCs w:val="22"/>
          <w:color w:val="auto"/>
        </w:rPr>
        <w:t xml:space="preserve">” means, when used with respect to any date, an amount equal to (a) the Class R Initial Invested Amount plus (b) the aggregate principal amount of any Additional Class R Notes issued on or prior to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amount of principal payments made to Class R Noteholders on or prior to such date.</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Monthly Interest</w:t>
      </w:r>
      <w:r>
        <w:rPr>
          <w:rFonts w:ascii="Times New Roman" w:cs="Times New Roman" w:eastAsia="Times New Roman" w:hAnsi="Times New Roman"/>
          <w:sz w:val="21"/>
          <w:szCs w:val="21"/>
          <w:color w:val="auto"/>
        </w:rPr>
        <w:t>” means, with respect to (i) the initial Series 2023-4 Interest Period, an amount equal to $338,474.89 (ii) the initial Series 2023-4 Interest Period following the Class D Notes Closing Date, an amount equal to $53,492 and (iii) any other Series 2023-4 Interest Period, an amount equal to the product of (A) one-twelfth of the Class R Note Rate and</w:t>
      </w:r>
    </w:p>
    <w:p>
      <w:pPr>
        <w:spacing w:after="0" w:line="1" w:lineRule="exact"/>
        <w:rPr>
          <w:sz w:val="20"/>
          <w:szCs w:val="20"/>
          <w:color w:val="auto"/>
        </w:rPr>
      </w:pPr>
    </w:p>
    <w:p>
      <w:pPr>
        <w:ind w:firstLine="8"/>
        <w:spacing w:after="0" w:line="248" w:lineRule="auto"/>
        <w:tabs>
          <w:tab w:leader="none" w:pos="375"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R Invested Amount on the first day of such Series 2023-4 Interest Period, after giving effect to any principal payments made on such date.</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w:t>
      </w:r>
      <w:r>
        <w:rPr>
          <w:rFonts w:ascii="Times New Roman" w:cs="Times New Roman" w:eastAsia="Times New Roman" w:hAnsi="Times New Roman"/>
          <w:sz w:val="22"/>
          <w:szCs w:val="22"/>
          <w:color w:val="auto"/>
        </w:rPr>
        <w:t xml:space="preserve">” means any one of the Series 2023-4 9.170% Rental Car Asset Backed Notes, Class R,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Definitive Class R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 Rate</w:t>
      </w:r>
      <w:r>
        <w:rPr>
          <w:rFonts w:ascii="Times New Roman" w:cs="Times New Roman" w:eastAsia="Times New Roman" w:hAnsi="Times New Roman"/>
          <w:sz w:val="22"/>
          <w:szCs w:val="22"/>
          <w:color w:val="auto"/>
        </w:rPr>
        <w:t>” means 9.170%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Noteholder</w:t>
      </w:r>
      <w:r>
        <w:rPr>
          <w:rFonts w:ascii="Times New Roman" w:cs="Times New Roman" w:eastAsia="Times New Roman" w:hAnsi="Times New Roman"/>
          <w:sz w:val="22"/>
          <w:szCs w:val="22"/>
          <w:color w:val="auto"/>
        </w:rPr>
        <w:t>” means the Person in whose name a Class R Note is registered in the Note Register.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has the meaning set forth in Section 2.3(g)(v).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w:t>
      </w:r>
      <w:r>
        <w:rPr>
          <w:rFonts w:ascii="Times New Roman" w:cs="Times New Roman" w:eastAsia="Times New Roman" w:hAnsi="Times New Roman"/>
          <w:sz w:val="22"/>
          <w:szCs w:val="22"/>
          <w:color w:val="auto"/>
        </w:rPr>
        <w:t>” means any optional repurchase pursuant to Section 5.1(a).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 Distribution Date</w:t>
      </w:r>
      <w:r>
        <w:rPr>
          <w:rFonts w:ascii="Times New Roman" w:cs="Times New Roman" w:eastAsia="Times New Roman" w:hAnsi="Times New Roman"/>
          <w:sz w:val="22"/>
          <w:szCs w:val="22"/>
          <w:color w:val="auto"/>
        </w:rPr>
        <w:t>” has the meaning set forth in Section 5.1(a).</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Confirmation Condition</w:t>
      </w:r>
      <w:r>
        <w:rPr>
          <w:rFonts w:ascii="Times New Roman" w:cs="Times New Roman" w:eastAsia="Times New Roman" w:hAnsi="Times New Roman"/>
          <w:sz w:val="22"/>
          <w:szCs w:val="22"/>
          <w:color w:val="auto"/>
        </w:rPr>
        <w:t>” means, with respect to any Bankrupt Manufacturer which is a debtor in Chapter 11 Proceedings, a condition that shall be satisfied upon the bankruptcy court having competent jurisdiction over such Chapter 11 Proceedings issuing an order that</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ectPr>
          <w:pgSz w:w="11900" w:h="16838" w:orient="portrait"/>
          <w:cols w:equalWidth="0" w:num="1">
            <w:col w:w="11240"/>
          </w:cols>
          <w:pgMar w:left="320" w:top="1030" w:right="339" w:bottom="1440" w:gutter="0" w:footer="0" w:header="0"/>
        </w:sectPr>
      </w:pPr>
    </w:p>
    <w:bookmarkStart w:id="258" w:name="page259"/>
    <w:bookmarkEnd w:id="258"/>
    <w:p>
      <w:pPr>
        <w:jc w:val="both"/>
        <w:spacing w:after="0" w:line="242" w:lineRule="auto"/>
        <w:rPr>
          <w:sz w:val="20"/>
          <w:szCs w:val="20"/>
          <w:color w:val="auto"/>
        </w:rPr>
      </w:pPr>
      <w:r>
        <w:rPr>
          <w:rFonts w:ascii="Times New Roman" w:cs="Times New Roman" w:eastAsia="Times New Roman" w:hAnsi="Times New Roman"/>
          <w:sz w:val="22"/>
          <w:szCs w:val="22"/>
          <w:color w:val="auto"/>
        </w:rPr>
        <w:t xml:space="preserve">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the foregoing, the Confirmation Condition shall be deemed satisfied until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initial filing in respect of such Chapter 11 Proceedings.</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Note Issuer</w:t>
      </w:r>
      <w:r>
        <w:rPr>
          <w:rFonts w:ascii="Times New Roman" w:cs="Times New Roman" w:eastAsia="Times New Roman" w:hAnsi="Times New Roman"/>
          <w:sz w:val="22"/>
          <w:szCs w:val="22"/>
          <w:color w:val="auto"/>
        </w:rPr>
        <w:t>” means each issuer of a Series 2023-4 Demand Note.</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Disbursement</w:t>
      </w:r>
      <w:r>
        <w:rPr>
          <w:rFonts w:ascii="Times New Roman" w:cs="Times New Roman" w:eastAsia="Times New Roman" w:hAnsi="Times New Roman"/>
          <w:sz w:val="22"/>
          <w:szCs w:val="22"/>
          <w:color w:val="auto"/>
        </w:rPr>
        <w:t>” means any Lease Deficit Disbursement, any Unpaid Demand Note Disbursement, any Termination Date Disbursement or any Termination Disbursement under a Multi-Series Letter of Credit, or any combination thereof, as the context may require.</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Value</w:t>
      </w:r>
      <w:r>
        <w:rPr>
          <w:rFonts w:ascii="Times New Roman" w:cs="Times New Roman" w:eastAsia="Times New Roman" w:hAnsi="Times New Roman"/>
          <w:sz w:val="22"/>
          <w:szCs w:val="22"/>
          <w:color w:val="auto"/>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Guide</w:t>
      </w:r>
      <w:r>
        <w:rPr>
          <w:rFonts w:ascii="Times New Roman" w:cs="Times New Roman" w:eastAsia="Times New Roman" w:hAnsi="Times New Roman"/>
          <w:sz w:val="22"/>
          <w:szCs w:val="22"/>
          <w:color w:val="auto"/>
        </w:rPr>
        <w:t>” means the Black Book Official Finance/Lease Guide.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A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B Notes</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C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D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R Notes</w:t>
      </w:r>
      <w:r>
        <w:rPr>
          <w:rFonts w:ascii="Times New Roman" w:cs="Times New Roman" w:eastAsia="Times New Roman" w:hAnsi="Times New Roman"/>
          <w:sz w:val="22"/>
          <w:szCs w:val="22"/>
          <w:color w:val="auto"/>
        </w:rPr>
        <w:t>” is defined in Section 4.2.</w:t>
      </w: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ectPr>
          <w:pgSz w:w="11900" w:h="16838" w:orient="portrait"/>
          <w:cols w:equalWidth="0" w:num="1">
            <w:col w:w="11240"/>
          </w:cols>
          <w:pgMar w:left="320" w:top="1030" w:right="339" w:bottom="1440" w:gutter="0" w:footer="0" w:header="0"/>
        </w:sectPr>
      </w:pPr>
    </w:p>
    <w:bookmarkStart w:id="259" w:name="page260"/>
    <w:bookmarkEnd w:id="259"/>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Deficit Disbursement</w:t>
      </w:r>
      <w:r>
        <w:rPr>
          <w:rFonts w:ascii="Times New Roman" w:cs="Times New Roman" w:eastAsia="Times New Roman" w:hAnsi="Times New Roman"/>
          <w:sz w:val="22"/>
          <w:szCs w:val="22"/>
          <w:color w:val="auto"/>
        </w:rPr>
        <w:t>” means an amount drawn under a Multi-Series Letter of Credit pursuant to a Certificate of Lease Deficit Demand.</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 Whole Payment</w:t>
      </w:r>
      <w:r>
        <w:rPr>
          <w:rFonts w:ascii="Times New Roman" w:cs="Times New Roman" w:eastAsia="Times New Roman" w:hAnsi="Times New Roman"/>
          <w:sz w:val="22"/>
          <w:szCs w:val="22"/>
          <w:color w:val="auto"/>
        </w:rPr>
        <w:t xml:space="preserve">” means, with respect to any Series 2023-4 Note on any Optional Repurchase Distribution Date,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with respect to such Series 2023-4 Note of the excess, if any, of (x) the sum of the Discounted Values for each Remaining Distribution Amount with respect to each Applicable Distribution Date over (y) the Series 2023-4 Invested Amount as of such Optional Repurchase Distribution Date (determined after giving effect to any payments made pursuant to Section 2.5(a) on such Distribution Date).</w:t>
      </w:r>
    </w:p>
    <w:p>
      <w:pPr>
        <w:spacing w:after="0" w:line="19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Market Value Average</w:t>
      </w:r>
      <w:r>
        <w:rPr>
          <w:rFonts w:ascii="Times New Roman" w:cs="Times New Roman" w:eastAsia="Times New Roman" w:hAnsi="Times New Roman"/>
          <w:sz w:val="21"/>
          <w:szCs w:val="21"/>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Total Principal Allocation</w:t>
      </w:r>
      <w:r>
        <w:rPr>
          <w:rFonts w:ascii="Times New Roman" w:cs="Times New Roman" w:eastAsia="Times New Roman" w:hAnsi="Times New Roman"/>
          <w:sz w:val="22"/>
          <w:szCs w:val="22"/>
          <w:color w:val="auto"/>
        </w:rPr>
        <w:t>” means for any Related Month the sum of all Series 2023-4 Principal Allocations with respect to such Related Month.</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 Excluded Manufacturer Amount</w:t>
      </w:r>
      <w:r>
        <w:rPr>
          <w:rFonts w:ascii="Times New Roman" w:cs="Times New Roman" w:eastAsia="Times New Roman" w:hAnsi="Times New Roman"/>
          <w:sz w:val="21"/>
          <w:szCs w:val="21"/>
          <w:color w:val="auto"/>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w:t>
      </w:r>
    </w:p>
    <w:p>
      <w:pPr>
        <w:spacing w:after="0" w:line="2" w:lineRule="exact"/>
        <w:rPr>
          <w:sz w:val="20"/>
          <w:szCs w:val="20"/>
          <w:color w:val="auto"/>
        </w:rPr>
      </w:pPr>
    </w:p>
    <w:p>
      <w:pPr>
        <w:jc w:val="both"/>
        <w:ind w:firstLine="8"/>
        <w:spacing w:after="0" w:line="245" w:lineRule="auto"/>
        <w:tabs>
          <w:tab w:leader="none" w:pos="367"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Excluded Manufacturer Receivable Specified Percentage</w:t>
      </w:r>
      <w:r>
        <w:rPr>
          <w:rFonts w:ascii="Times New Roman" w:cs="Times New Roman" w:eastAsia="Times New Roman" w:hAnsi="Times New Roman"/>
          <w:sz w:val="22"/>
          <w:szCs w:val="22"/>
          <w:color w:val="auto"/>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2023-4 Noteholders with respect to such Moody’s Non-Investment Grade Manufacturer;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as of the Class A/B/C Notes Closing Date the Moody’s Excluded Manufacturer Receivable Specified</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bl>
    <w:p>
      <w:pPr>
        <w:sectPr>
          <w:pgSz w:w="11900" w:h="16838" w:orient="portrait"/>
          <w:cols w:equalWidth="0" w:num="1">
            <w:col w:w="11240"/>
          </w:cols>
          <w:pgMar w:left="320" w:top="1030" w:right="339" w:bottom="1440" w:gutter="0" w:footer="0" w:header="0"/>
        </w:sectPr>
      </w:pPr>
    </w:p>
    <w:bookmarkStart w:id="260" w:name="page261"/>
    <w:bookmarkEnd w:id="260"/>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Percentage for each Moody’s Non-Investment Grade Manufacturer shall be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initial Moody’s Excluded Manufacturer Receivable Specified Percentage with respect to any Manufacturer that becomes a Moody’s Non-Investment Grade Manufacturer after the Class A/B/C Notes Closing Date shall be 100%.</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Non-Investment Grade Manufacturer</w:t>
      </w:r>
      <w:r>
        <w:rPr>
          <w:rFonts w:ascii="Times New Roman" w:cs="Times New Roman" w:eastAsia="Times New Roman" w:hAnsi="Times New Roman"/>
          <w:sz w:val="22"/>
          <w:szCs w:val="22"/>
          <w:color w:val="auto"/>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spacing w:after="0" w:line="18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Turnback Vehicle Specified Percentage</w:t>
      </w:r>
      <w:r>
        <w:rPr>
          <w:rFonts w:ascii="Times New Roman" w:cs="Times New Roman" w:eastAsia="Times New Roman" w:hAnsi="Times New Roman"/>
          <w:sz w:val="22"/>
          <w:szCs w:val="22"/>
          <w:color w:val="auto"/>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following such downgrade.</w:t>
      </w:r>
    </w:p>
    <w:p>
      <w:pPr>
        <w:spacing w:after="0" w:line="1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w:t>
      </w:r>
      <w:r>
        <w:rPr>
          <w:rFonts w:ascii="Times New Roman" w:cs="Times New Roman" w:eastAsia="Times New Roman" w:hAnsi="Times New Roman"/>
          <w:sz w:val="22"/>
          <w:szCs w:val="22"/>
          <w:color w:val="auto"/>
        </w:rPr>
        <w:t xml:space="preserve">” means an irrevocable letter of credit, if any,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issued by a Series 2023-4 Eligible Letter of Credit Provider in favor of the Trustee for the benefit, in whole or in part, of the Series 2023-4 Noteholders (provided that a Multi-Series Letter of Credit may also benefit Noteholders of certain other Series).</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Expiration Date</w:t>
      </w:r>
      <w:r>
        <w:rPr>
          <w:rFonts w:ascii="Times New Roman" w:cs="Times New Roman" w:eastAsia="Times New Roman" w:hAnsi="Times New Roman"/>
          <w:sz w:val="22"/>
          <w:szCs w:val="22"/>
          <w:color w:val="auto"/>
        </w:rPr>
        <w:t>” means, with respect to any Multi-Series Letter of Credit, the expiration date set forth in such Multi-Series Letter of Credit, as such date may be extended in accordance with the terms of such Multi-Series Letter of Credit.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Provider</w:t>
      </w:r>
      <w:r>
        <w:rPr>
          <w:rFonts w:ascii="Times New Roman" w:cs="Times New Roman" w:eastAsia="Times New Roman" w:hAnsi="Times New Roman"/>
          <w:sz w:val="22"/>
          <w:szCs w:val="22"/>
          <w:color w:val="auto"/>
        </w:rPr>
        <w:t>” means any issuer of any Multi-Series Letter of Credit.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Termination Date</w:t>
      </w:r>
      <w:r>
        <w:rPr>
          <w:rFonts w:ascii="Times New Roman" w:cs="Times New Roman" w:eastAsia="Times New Roman" w:hAnsi="Times New Roman"/>
          <w:sz w:val="22"/>
          <w:szCs w:val="22"/>
          <w:color w:val="auto"/>
        </w:rPr>
        <w:t>” means the first to occur of (a) the date on which the Series 2023-4 Notes are fully paid and (b) the Series 2023-4 Termination Date.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ectPr>
          <w:pgSz w:w="11900" w:h="16838" w:orient="portrait"/>
          <w:cols w:equalWidth="0" w:num="1">
            <w:col w:w="11240"/>
          </w:cols>
          <w:pgMar w:left="320" w:top="1030" w:right="339" w:bottom="1440" w:gutter="0" w:footer="0" w:header="0"/>
        </w:sectPr>
      </w:pPr>
    </w:p>
    <w:bookmarkStart w:id="261" w:name="page262"/>
    <w:bookmarkEnd w:id="26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Delivery Condition</w:t>
      </w:r>
      <w:r>
        <w:rPr>
          <w:rFonts w:ascii="Times New Roman" w:cs="Times New Roman" w:eastAsia="Times New Roman" w:hAnsi="Times New Roman"/>
          <w:sz w:val="22"/>
          <w:szCs w:val="22"/>
          <w:color w:val="auto"/>
        </w:rPr>
        <w:t>” means a condition that shall be satisfied if, on or prior to the Offering Memorandum Related Date, ABRCF delivers to BofA Securities, Inc. an agreed-upon undated preliminary offering memorandum in customary form consistent with ABRCF’s past Notes offerings for the offering of Notes by ABRCF that provides for the offering and sale of the Class D Notes and contains information, including the applicable financial and statistical information, as of a date reasonably recent to the Offering Memorandum Related Date.</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Related Date</w:t>
      </w:r>
      <w:r>
        <w:rPr>
          <w:rFonts w:ascii="Times New Roman" w:cs="Times New Roman" w:eastAsia="Times New Roman" w:hAnsi="Times New Roman"/>
          <w:sz w:val="22"/>
          <w:szCs w:val="22"/>
          <w:color w:val="auto"/>
        </w:rPr>
        <w:t>” means, solely if the Offering Memorandum Delivery Condition is not satisfied, the date which is six weeks following the Class D Notes Closing Date (or such longer period as mutually agreed upon among ABRCF, ABCR and BofA Securities, Inc.).</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 Distribution Date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is defined in Section 2.2(g).</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B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C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D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R Note</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Series 2023-4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Pre-Preference Period Demand Note Payments</w:t>
      </w:r>
      <w:r>
        <w:rPr>
          <w:rFonts w:ascii="Times New Roman" w:cs="Times New Roman" w:eastAsia="Times New Roman" w:hAnsi="Times New Roman"/>
          <w:sz w:val="21"/>
          <w:szCs w:val="21"/>
          <w:color w:val="auto"/>
        </w:rPr>
        <w:t xml:space="preserve">” means, as of any date of determination, the aggregate amount of all proceeds of demands made on the Series 2023-4 Demand Notes included in the Series 2023-4 Demand Note Payment Amount as of the Multi-Series Letter of Credit Termination Date that were paid by the Demand Note Issuers more than one year before such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 Event of Bankruptcy (or the occurrence of an event described in clause</w:t>
      </w:r>
    </w:p>
    <w:p>
      <w:pPr>
        <w:spacing w:after="0" w:line="2" w:lineRule="exact"/>
        <w:rPr>
          <w:sz w:val="20"/>
          <w:szCs w:val="20"/>
          <w:color w:val="auto"/>
        </w:rPr>
      </w:pPr>
    </w:p>
    <w:p>
      <w:pPr>
        <w:jc w:val="both"/>
        <w:ind w:firstLine="8"/>
        <w:spacing w:after="0" w:line="262" w:lineRule="auto"/>
        <w:tabs>
          <w:tab w:leader="none" w:pos="307" w:val="left"/>
        </w:tabs>
        <w:numPr>
          <w:ilvl w:val="0"/>
          <w:numId w:val="2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w:t>
      </w: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ectPr>
          <w:pgSz w:w="11900" w:h="16838" w:orient="portrait"/>
          <w:cols w:equalWidth="0" w:num="1">
            <w:col w:w="11240"/>
          </w:cols>
          <w:pgMar w:left="320" w:top="1030" w:right="339" w:bottom="1440" w:gutter="0" w:footer="0" w:header="0"/>
        </w:sectPr>
      </w:pPr>
    </w:p>
    <w:bookmarkStart w:id="262" w:name="page263"/>
    <w:bookmarkEnd w:id="262"/>
    <w:p>
      <w:pPr>
        <w:jc w:val="both"/>
        <w:spacing w:after="0" w:line="271" w:lineRule="auto"/>
        <w:rPr>
          <w:sz w:val="20"/>
          <w:szCs w:val="20"/>
          <w:color w:val="auto"/>
        </w:rPr>
      </w:pPr>
      <w:r>
        <w:rPr>
          <w:rFonts w:ascii="Times New Roman" w:cs="Times New Roman" w:eastAsia="Times New Roman" w:hAnsi="Times New Roman"/>
          <w:sz w:val="22"/>
          <w:szCs w:val="22"/>
          <w:color w:val="auto"/>
        </w:rPr>
        <w:t>Pre-Preference Period Demand Note Payments as of any date after the conclusion or dismissal of such proceedings shall equal the Series 2023-4 Demand Note Payment Amount as of the date of the conclusion or dismissal of such proceedings.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Yield</w:t>
      </w:r>
      <w:r>
        <w:rPr>
          <w:rFonts w:ascii="Times New Roman" w:cs="Times New Roman" w:eastAsia="Times New Roman" w:hAnsi="Times New Roman"/>
          <w:sz w:val="22"/>
          <w:szCs w:val="22"/>
          <w:color w:val="auto"/>
        </w:rPr>
        <w:t>” means, with respect to any Remaining Distribution Amount, the sum of (i) 0.25% and (ii) the greater of (x) 0% and (y) the U.S. Treasury Rate with respect to such Remaining Distribution Amount.</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Distribution Amount</w:t>
      </w:r>
      <w:r>
        <w:rPr>
          <w:rFonts w:ascii="Times New Roman" w:cs="Times New Roman" w:eastAsia="Times New Roman" w:hAnsi="Times New Roman"/>
          <w:sz w:val="22"/>
          <w:szCs w:val="22"/>
          <w:color w:val="auto"/>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January 2028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January 2028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January 2028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January 2028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spacing w:after="0" w:line="19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Controlling Class Series 2023-4 Noteholders</w:t>
      </w:r>
      <w:r>
        <w:rPr>
          <w:rFonts w:ascii="Times New Roman" w:cs="Times New Roman" w:eastAsia="Times New Roman" w:hAnsi="Times New Roman"/>
          <w:sz w:val="22"/>
          <w:szCs w:val="22"/>
          <w:color w:val="auto"/>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2023-4 Notes</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ectPr>
          <w:pgSz w:w="11900" w:h="16838" w:orient="portrait"/>
          <w:cols w:equalWidth="0" w:num="1">
            <w:col w:w="11240"/>
          </w:cols>
          <w:pgMar w:left="320" w:top="1030" w:right="339" w:bottom="1440" w:gutter="0" w:footer="0" w:header="0"/>
        </w:sectPr>
      </w:pPr>
    </w:p>
    <w:bookmarkStart w:id="263" w:name="page264"/>
    <w:bookmarkEnd w:id="263"/>
    <w:p>
      <w:pPr>
        <w:jc w:val="both"/>
        <w:spacing w:after="0" w:line="256" w:lineRule="auto"/>
        <w:rPr>
          <w:sz w:val="20"/>
          <w:szCs w:val="20"/>
          <w:color w:val="auto"/>
        </w:rPr>
      </w:pPr>
      <w:r>
        <w:rPr>
          <w:rFonts w:ascii="Times New Roman" w:cs="Times New Roman" w:eastAsia="Times New Roman" w:hAnsi="Times New Roman"/>
          <w:sz w:val="22"/>
          <w:szCs w:val="22"/>
          <w:color w:val="auto"/>
        </w:rPr>
        <w:t>held by ABCR or any Affiliate of ABCR unless ABCR or such Affiliate is the sole Series 2023-4 Noteholder) and (v) if no Class A Notes, Class B Notes, Class C Notes or Class D Notes are outstanding, Class R Noteholders holding more than 50% Class R Invested Amount (excluding, for the purpose of making any of the foregoing calculations, any Series 2023-4 Notes held by ABCR or any Affiliate of ABCR unless ABCR or such Affiliate is the sole Series 2023-4 Noteholder).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Series 2023-4 Noteholders</w:t>
      </w:r>
      <w:r>
        <w:rPr>
          <w:rFonts w:ascii="Times New Roman" w:cs="Times New Roman" w:eastAsia="Times New Roman" w:hAnsi="Times New Roman"/>
          <w:sz w:val="22"/>
          <w:szCs w:val="22"/>
          <w:color w:val="auto"/>
        </w:rPr>
        <w:t>” means Series 2023-4 Noteholders holding, in the aggregate, more than 50% of the Series 2023-4 Invested Amount (excluding, for the purpose of making the foregoing calculation (x) for all purposes, any Series 2023-4 Notes held by ABCR or any Affiliate of ABCR unless ABCR is the sole Series 2023-4 Noteholder and (y) for so long as any Class A Notes, the Class B Notes, or the Class C Notes are outstanding, any Class D Notes).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A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B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C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D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R Note</w:t>
      </w:r>
      <w:r>
        <w:rPr>
          <w:rFonts w:ascii="Times New Roman" w:cs="Times New Roman" w:eastAsia="Times New Roman" w:hAnsi="Times New Roman"/>
          <w:sz w:val="22"/>
          <w:szCs w:val="22"/>
          <w:color w:val="auto"/>
        </w:rPr>
        <w:t>” is defined in Section 4.1.</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Series 2023-4 Notes</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Selected Fleet Market Value</w:t>
      </w:r>
      <w:r>
        <w:rPr>
          <w:rFonts w:ascii="Times New Roman" w:cs="Times New Roman" w:eastAsia="Times New Roman" w:hAnsi="Times New Roman"/>
          <w:sz w:val="21"/>
          <w:szCs w:val="21"/>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the Finance Guide is not being published, the Market Value of such</w:t>
      </w: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bl>
    <w:p>
      <w:pPr>
        <w:sectPr>
          <w:pgSz w:w="11900" w:h="16838" w:orient="portrait"/>
          <w:cols w:equalWidth="0" w:num="1">
            <w:col w:w="11240"/>
          </w:cols>
          <w:pgMar w:left="320" w:top="1030" w:right="339" w:bottom="1440" w:gutter="0" w:footer="0" w:header="0"/>
        </w:sectPr>
      </w:pPr>
    </w:p>
    <w:bookmarkStart w:id="264" w:name="page265"/>
    <w:bookmarkEnd w:id="264"/>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2010-6 Notes</w:t>
      </w:r>
      <w:r>
        <w:rPr>
          <w:rFonts w:ascii="Times New Roman" w:cs="Times New Roman" w:eastAsia="Times New Roman" w:hAnsi="Times New Roman"/>
          <w:sz w:val="22"/>
          <w:szCs w:val="22"/>
          <w:color w:val="auto"/>
        </w:rPr>
        <w:t>” means the Series of Notes designated as the Series 2010-6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2011-4 Notes</w:t>
      </w:r>
      <w:r>
        <w:rPr>
          <w:rFonts w:ascii="Times New Roman" w:cs="Times New Roman" w:eastAsia="Times New Roman" w:hAnsi="Times New Roman"/>
          <w:sz w:val="22"/>
          <w:szCs w:val="22"/>
          <w:color w:val="auto"/>
        </w:rPr>
        <w:t>” means the Series of Notes designated as the Series 2011-4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2015-3 Notes</w:t>
      </w:r>
      <w:r>
        <w:rPr>
          <w:rFonts w:ascii="Times New Roman" w:cs="Times New Roman" w:eastAsia="Times New Roman" w:hAnsi="Times New Roman"/>
          <w:sz w:val="22"/>
          <w:szCs w:val="22"/>
          <w:color w:val="auto"/>
        </w:rPr>
        <w:t>” means the Series of Notes designated as the Series 2015-3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2020-1 Notes</w:t>
      </w:r>
      <w:r>
        <w:rPr>
          <w:rFonts w:ascii="Times New Roman" w:cs="Times New Roman" w:eastAsia="Times New Roman" w:hAnsi="Times New Roman"/>
          <w:sz w:val="22"/>
          <w:szCs w:val="22"/>
          <w:color w:val="auto"/>
        </w:rPr>
        <w:t>” means the Series of Notes designated as the Series 2020-1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2020-2 Notes</w:t>
      </w:r>
      <w:r>
        <w:rPr>
          <w:rFonts w:ascii="Times New Roman" w:cs="Times New Roman" w:eastAsia="Times New Roman" w:hAnsi="Times New Roman"/>
          <w:sz w:val="22"/>
          <w:szCs w:val="22"/>
          <w:color w:val="auto"/>
        </w:rPr>
        <w:t>” means the Series of Notes designated as the Series 2020-2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2021-1 Notes</w:t>
      </w:r>
      <w:r>
        <w:rPr>
          <w:rFonts w:ascii="Times New Roman" w:cs="Times New Roman" w:eastAsia="Times New Roman" w:hAnsi="Times New Roman"/>
          <w:sz w:val="22"/>
          <w:szCs w:val="22"/>
          <w:color w:val="auto"/>
        </w:rPr>
        <w:t>” means the Series of Notes designated as the Series 2021-1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2021-2 Notes</w:t>
      </w:r>
      <w:r>
        <w:rPr>
          <w:rFonts w:ascii="Times New Roman" w:cs="Times New Roman" w:eastAsia="Times New Roman" w:hAnsi="Times New Roman"/>
          <w:sz w:val="22"/>
          <w:szCs w:val="22"/>
          <w:color w:val="auto"/>
        </w:rPr>
        <w:t>” means the Series of Notes designated as the Series 2021-2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2022-1 Notes</w:t>
      </w:r>
      <w:r>
        <w:rPr>
          <w:rFonts w:ascii="Times New Roman" w:cs="Times New Roman" w:eastAsia="Times New Roman" w:hAnsi="Times New Roman"/>
          <w:sz w:val="22"/>
          <w:szCs w:val="22"/>
          <w:color w:val="auto"/>
        </w:rPr>
        <w:t>” means the Series of Notes designated as the Series 2022-1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2022-3 Notes</w:t>
      </w:r>
      <w:r>
        <w:rPr>
          <w:rFonts w:ascii="Times New Roman" w:cs="Times New Roman" w:eastAsia="Times New Roman" w:hAnsi="Times New Roman"/>
          <w:sz w:val="22"/>
          <w:szCs w:val="22"/>
          <w:color w:val="auto"/>
        </w:rPr>
        <w:t>” means the Series of Notes designated as the Series 2022-3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2022-4 Notes</w:t>
      </w:r>
      <w:r>
        <w:rPr>
          <w:rFonts w:ascii="Times New Roman" w:cs="Times New Roman" w:eastAsia="Times New Roman" w:hAnsi="Times New Roman"/>
          <w:sz w:val="22"/>
          <w:szCs w:val="22"/>
          <w:color w:val="auto"/>
        </w:rPr>
        <w:t>” means the Series of Notes designated as the Series 2022-4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Notes</w:t>
      </w:r>
      <w:r>
        <w:rPr>
          <w:rFonts w:ascii="Times New Roman" w:cs="Times New Roman" w:eastAsia="Times New Roman" w:hAnsi="Times New Roman"/>
          <w:sz w:val="22"/>
          <w:szCs w:val="22"/>
          <w:color w:val="auto"/>
        </w:rPr>
        <w:t>” means the Series of Notes designated as the Series 2022-5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Notes</w:t>
      </w:r>
      <w:r>
        <w:rPr>
          <w:rFonts w:ascii="Times New Roman" w:cs="Times New Roman" w:eastAsia="Times New Roman" w:hAnsi="Times New Roman"/>
          <w:sz w:val="22"/>
          <w:szCs w:val="22"/>
          <w:color w:val="auto"/>
        </w:rPr>
        <w:t>” means the Series of Notes designated as the Series 2023-1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Notes</w:t>
      </w:r>
      <w:r>
        <w:rPr>
          <w:rFonts w:ascii="Times New Roman" w:cs="Times New Roman" w:eastAsia="Times New Roman" w:hAnsi="Times New Roman"/>
          <w:sz w:val="22"/>
          <w:szCs w:val="22"/>
          <w:color w:val="auto"/>
        </w:rPr>
        <w:t>” means the Series of Notes designated as the Series 2023-2 Notes.</w:t>
      </w: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ectPr>
          <w:pgSz w:w="11900" w:h="16838" w:orient="portrait"/>
          <w:cols w:equalWidth="0" w:num="1">
            <w:col w:w="11240"/>
          </w:cols>
          <w:pgMar w:left="320" w:top="1030" w:right="339" w:bottom="1440" w:gutter="0" w:footer="0" w:header="0"/>
        </w:sectPr>
      </w:pPr>
    </w:p>
    <w:bookmarkStart w:id="265" w:name="page266"/>
    <w:bookmarkEnd w:id="265"/>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2023-3 Notes</w:t>
      </w:r>
      <w:r>
        <w:rPr>
          <w:rFonts w:ascii="Times New Roman" w:cs="Times New Roman" w:eastAsia="Times New Roman" w:hAnsi="Times New Roman"/>
          <w:sz w:val="22"/>
          <w:szCs w:val="22"/>
          <w:color w:val="auto"/>
        </w:rPr>
        <w:t>” means the Series of Notes designated as the Series 2023-3 Notes.</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Accounts</w:t>
      </w:r>
      <w:r>
        <w:rPr>
          <w:rFonts w:ascii="Times New Roman" w:cs="Times New Roman" w:eastAsia="Times New Roman" w:hAnsi="Times New Roman"/>
          <w:sz w:val="22"/>
          <w:szCs w:val="22"/>
          <w:color w:val="auto"/>
        </w:rPr>
        <w:t>” means each of the Series 2023-4 Distribution Account, the Class A/B/C Reserve Account, the Class D Reserve Account, the Series 2023-4 Collection Account, the Series 2023-4 Excess Collection Account and the Series 2023-4 Accrued Interest Account.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Accrued Interest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AESOP I Operating Lease Loan Agreement Borrowing Base</w:t>
      </w:r>
      <w:r>
        <w:rPr>
          <w:rFonts w:ascii="Times New Roman" w:cs="Times New Roman" w:eastAsia="Times New Roman" w:hAnsi="Times New Roman"/>
          <w:sz w:val="22"/>
          <w:szCs w:val="22"/>
          <w:color w:val="auto"/>
        </w:rPr>
        <w:t xml:space="preserve">” means, as of any date of determination, the product of (a) the Series 2023-4 AESOP I Operating Lease Vehicle Percentage as of such date and (b) the excess of (i) the AESOP I Operating Lease Loan Agreement Borrowing Base as of such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Moody’s Excluded Manufacturer Amount as of such date.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AESOP I Operating Lease Vehicle Percentage</w:t>
      </w:r>
      <w:r>
        <w:rPr>
          <w:rFonts w:ascii="Times New Roman" w:cs="Times New Roman" w:eastAsia="Times New Roman" w:hAnsi="Times New Roman"/>
          <w:sz w:val="22"/>
          <w:szCs w:val="22"/>
          <w:color w:val="auto"/>
        </w:rPr>
        <w:t>” means, as of any date of determination, a fraction, expressed as a percentage (which percentage shall never exceed 100%), the numerator of which is the Series 2023-4 Required AESOP I Operating Lease Vehicle Amount as of such date and the denominator of which is the sum of the Required AESOP I Operating Lease Vehicle Amounts for all Series of Notes as of such date.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Agent</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Allocated Cash Amount</w:t>
      </w:r>
      <w:r>
        <w:rPr>
          <w:rFonts w:ascii="Times New Roman" w:cs="Times New Roman" w:eastAsia="Times New Roman" w:hAnsi="Times New Roman"/>
          <w:sz w:val="22"/>
          <w:szCs w:val="22"/>
          <w:color w:val="auto"/>
        </w:rPr>
        <w:t>” means, as of any date of determination, an amount equal to (x) all cash on deposit in the Collection Account as of such date times (y) the Series 2023-4 Invested Percentage (calculated with respect to Principal Collections) as of such date.</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Cash Collateral Accounts</w:t>
      </w:r>
      <w:r>
        <w:rPr>
          <w:rFonts w:ascii="Times New Roman" w:cs="Times New Roman" w:eastAsia="Times New Roman" w:hAnsi="Times New Roman"/>
          <w:sz w:val="22"/>
          <w:szCs w:val="22"/>
          <w:color w:val="auto"/>
        </w:rPr>
        <w:t>” means, together, the Class A/B/C Cash Collateral Account and the Class D Cash Collateral Account.</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Collateral</w:t>
      </w:r>
      <w:r>
        <w:rPr>
          <w:rFonts w:ascii="Times New Roman" w:cs="Times New Roman" w:eastAsia="Times New Roman" w:hAnsi="Times New Roman"/>
          <w:sz w:val="22"/>
          <w:szCs w:val="22"/>
          <w:color w:val="auto"/>
        </w:rPr>
        <w:t>” means the Collateral, the Multi-Series Letters of Credit, each Series 2023-4 Demand Note, the Series 2023-4 Distribution Account Collateral, the Class A/B/C Cash Collateral Account Collateral, the Class D Cash Collateral Account Collateral, the Class A/B/C Reserve Account Collateral and the Class D Reserve Account Collateral.</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Collection Account</w:t>
      </w:r>
      <w:r>
        <w:rPr>
          <w:rFonts w:ascii="Times New Roman" w:cs="Times New Roman" w:eastAsia="Times New Roman" w:hAnsi="Times New Roman"/>
          <w:sz w:val="22"/>
          <w:szCs w:val="22"/>
          <w:color w:val="auto"/>
        </w:rPr>
        <w:t>” is defined in Section 2.1(b).</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Controlled Amortization Period</w:t>
      </w:r>
      <w:r>
        <w:rPr>
          <w:rFonts w:ascii="Times New Roman" w:cs="Times New Roman" w:eastAsia="Times New Roman" w:hAnsi="Times New Roman"/>
          <w:sz w:val="22"/>
          <w:szCs w:val="22"/>
          <w:color w:val="auto"/>
        </w:rPr>
        <w:t>” means the period commencing upon the close of business on November 30, 2027 (or, if such day is not a Business Day, the Business Day immediately preceding such day) and continuing to the earliest of (i) the commencement of the Series 2023-4 Rapid Amortization Period, (ii) the date on which the Series 2023-4 Notes are fully paid and (iii) the termination of the Indenture.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Demand Note</w:t>
      </w:r>
      <w:r>
        <w:rPr>
          <w:rFonts w:ascii="Times New Roman" w:cs="Times New Roman" w:eastAsia="Times New Roman" w:hAnsi="Times New Roman"/>
          <w:sz w:val="22"/>
          <w:szCs w:val="22"/>
          <w:color w:val="auto"/>
        </w:rPr>
        <w:t xml:space="preserve">” means each demand note made by a Demand Note Issuer,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as amended, modified or restated from time to time.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ectPr>
          <w:pgSz w:w="11900" w:h="16838" w:orient="portrait"/>
          <w:cols w:equalWidth="0" w:num="1">
            <w:col w:w="11240"/>
          </w:cols>
          <w:pgMar w:left="320" w:top="1030" w:right="339" w:bottom="1440" w:gutter="0" w:footer="0" w:header="0"/>
        </w:sectPr>
      </w:pPr>
    </w:p>
    <w:bookmarkStart w:id="266" w:name="page267"/>
    <w:bookmarkEnd w:id="266"/>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Demand Note Payment Amount</w:t>
      </w:r>
      <w:r>
        <w:rPr>
          <w:rFonts w:ascii="Times New Roman" w:cs="Times New Roman" w:eastAsia="Times New Roman" w:hAnsi="Times New Roman"/>
          <w:sz w:val="22"/>
          <w:szCs w:val="22"/>
          <w:color w:val="auto"/>
        </w:rPr>
        <w:t xml:space="preserve">” means, as of the Multi-Series Letter of Credit Termination Date, the aggregate amount of all proceeds of demands made on the Series 2023-4 Demand Notes pursuant to Section 2.5(c)(i), (d)(i) or (e)(i) that were deposited into the Series 2023-4 Distribution Account and paid to the Series 2023-4 Noteholders during the one year period ending on the Multi-Series Letter of Credit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2023-4 Demand Note Payment Amount as of the Multi-Series Letter of Credit Termination Date shall equal the Series 2023-4 Demand Note Payment Amount as if it were calculated as of the date of such occurrence.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Deposit Date</w:t>
      </w:r>
      <w:r>
        <w:rPr>
          <w:rFonts w:ascii="Times New Roman" w:cs="Times New Roman" w:eastAsia="Times New Roman" w:hAnsi="Times New Roman"/>
          <w:sz w:val="22"/>
          <w:szCs w:val="22"/>
          <w:color w:val="auto"/>
        </w:rPr>
        <w:t>” is defined in Section 2.2.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Distribution Account</w:t>
      </w:r>
      <w:r>
        <w:rPr>
          <w:rFonts w:ascii="Times New Roman" w:cs="Times New Roman" w:eastAsia="Times New Roman" w:hAnsi="Times New Roman"/>
          <w:sz w:val="22"/>
          <w:szCs w:val="22"/>
          <w:color w:val="auto"/>
        </w:rPr>
        <w:t>” is defined in Section 2.9(a).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Distribution Account Collateral</w:t>
      </w:r>
      <w:r>
        <w:rPr>
          <w:rFonts w:ascii="Times New Roman" w:cs="Times New Roman" w:eastAsia="Times New Roman" w:hAnsi="Times New Roman"/>
          <w:sz w:val="22"/>
          <w:szCs w:val="22"/>
          <w:color w:val="auto"/>
        </w:rPr>
        <w:t>” is defined in Section 2.9(d).</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2023-4 Eligible Letter of Credit Provider</w:t>
      </w:r>
      <w:r>
        <w:rPr>
          <w:rFonts w:ascii="Times New Roman" w:cs="Times New Roman" w:eastAsia="Times New Roman" w:hAnsi="Times New Roman"/>
          <w:sz w:val="21"/>
          <w:szCs w:val="21"/>
          <w:color w:val="auto"/>
        </w:rPr>
        <w:t xml:space="preserve">” 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Person is not a Multi-Series Letter of Credit Provider (or a letter of credit provider under the Series Supplement for any other Series of Notes), then such Person shall not be a Series 2023-4 Eligible Letter of Credit Provider until ABRCF has provided ten (10) days’ prior notice to the Rating Agencies that such Person has been proposed as a Multi-Series Letter of Credit Provider.</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Enhancement</w:t>
      </w:r>
      <w:r>
        <w:rPr>
          <w:rFonts w:ascii="Times New Roman" w:cs="Times New Roman" w:eastAsia="Times New Roman" w:hAnsi="Times New Roman"/>
          <w:sz w:val="22"/>
          <w:szCs w:val="22"/>
          <w:color w:val="auto"/>
        </w:rPr>
        <w:t>” means the Class A/B/C Cash Collateral Account Collateral, the Class D Cash Collateral Account Collateral, the Multi-Series Letters of Credit, the Series 2023-4 Demand Notes, the Class D Overcollateralization Amount and the Class A/B/C Required Reserve Account Amount.</w:t>
      </w:r>
    </w:p>
    <w:p>
      <w:pPr>
        <w:spacing w:after="0" w:line="18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Enhancement Deficiency</w:t>
      </w:r>
      <w:r>
        <w:rPr>
          <w:rFonts w:ascii="Times New Roman" w:cs="Times New Roman" w:eastAsia="Times New Roman" w:hAnsi="Times New Roman"/>
          <w:sz w:val="22"/>
          <w:szCs w:val="22"/>
          <w:color w:val="auto"/>
        </w:rPr>
        <w:t>” means a Class A/B/C Enhancement Deficiency or a Class D Enhancement Deficiency.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Excess Collection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Excess Tesla Percentage</w:t>
      </w:r>
      <w:r>
        <w:rPr>
          <w:rFonts w:ascii="Times New Roman" w:cs="Times New Roman" w:eastAsia="Times New Roman" w:hAnsi="Times New Roman"/>
          <w:sz w:val="22"/>
          <w:szCs w:val="22"/>
          <w:color w:val="auto"/>
        </w:rPr>
        <w:t>” means, as of any date of determination, the greater of (1) zero and (2) the percentage equal to (x) a fraction (expressed as a percentage) equal to the aggregate Net Book Value of all Vehicles manufactured by Tesla and leased under the Leases divided by the aggregate Net Book Value of all Vehicles leased under the Leases minus (y) 15 percentage points.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Expected Final Distribution Date</w:t>
      </w:r>
      <w:r>
        <w:rPr>
          <w:rFonts w:ascii="Times New Roman" w:cs="Times New Roman" w:eastAsia="Times New Roman" w:hAnsi="Times New Roman"/>
          <w:sz w:val="22"/>
          <w:szCs w:val="22"/>
          <w:color w:val="auto"/>
        </w:rPr>
        <w:t>” means the June 2028 Distribution Date.</w:t>
      </w: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ectPr>
          <w:pgSz w:w="11900" w:h="16838" w:orient="portrait"/>
          <w:cols w:equalWidth="0" w:num="1">
            <w:col w:w="11240"/>
          </w:cols>
          <w:pgMar w:left="320" w:top="1030" w:right="339" w:bottom="1440" w:gutter="0" w:footer="0" w:header="0"/>
        </w:sectPr>
      </w:pPr>
    </w:p>
    <w:bookmarkStart w:id="267" w:name="page268"/>
    <w:bookmarkEnd w:id="26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Final Distribution Date</w:t>
      </w:r>
      <w:r>
        <w:rPr>
          <w:rFonts w:ascii="Times New Roman" w:cs="Times New Roman" w:eastAsia="Times New Roman" w:hAnsi="Times New Roman"/>
          <w:sz w:val="22"/>
          <w:szCs w:val="22"/>
          <w:color w:val="auto"/>
        </w:rPr>
        <w:t>” means the June 2029 Distribution Date.</w:t>
      </w:r>
    </w:p>
    <w:p>
      <w:pPr>
        <w:spacing w:after="0" w:line="220" w:lineRule="exact"/>
        <w:rPr>
          <w:sz w:val="20"/>
          <w:szCs w:val="20"/>
          <w:color w:val="auto"/>
        </w:rPr>
      </w:pPr>
    </w:p>
    <w:p>
      <w:pPr>
        <w:jc w:val="both"/>
        <w:ind w:firstLine="1296"/>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2023-4 Interest Period</w:t>
      </w:r>
      <w:r>
        <w:rPr>
          <w:rFonts w:ascii="Times New Roman" w:cs="Times New Roman" w:eastAsia="Times New Roman" w:hAnsi="Times New Roman"/>
          <w:sz w:val="21"/>
          <w:szCs w:val="21"/>
          <w:color w:val="auto"/>
        </w:rPr>
        <w:t>” means a period commencing on and including the 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each calendar month and ending on and including the 19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in the following calendar month;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(x) the initial Series 2023-4 Interest Period with respect to the Class A Notes, the Class B Notes and the Class C Notes commenced on and included the Class A/B/C Notes Closing Date and ended on and included May 19, 2023 and (y) the initial Series 2023-4 Interest Period with respect to the Class D Notes shall commence on and include the Class D Closing Date and shall end on and include March 19, 2025.</w:t>
      </w:r>
    </w:p>
    <w:p>
      <w:pPr>
        <w:spacing w:after="0" w:line="19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Invested Percentage</w:t>
      </w:r>
      <w:r>
        <w:rPr>
          <w:rFonts w:ascii="Times New Roman" w:cs="Times New Roman" w:eastAsia="Times New Roman" w:hAnsi="Times New Roman"/>
          <w:sz w:val="22"/>
          <w:szCs w:val="22"/>
          <w:color w:val="auto"/>
        </w:rPr>
        <w:t>” means, as of any date of determination:</w:t>
      </w:r>
    </w:p>
    <w:p>
      <w:pPr>
        <w:spacing w:after="0" w:line="220" w:lineRule="exact"/>
        <w:rPr>
          <w:sz w:val="20"/>
          <w:szCs w:val="20"/>
          <w:color w:val="auto"/>
        </w:rPr>
      </w:pPr>
    </w:p>
    <w:p>
      <w:pPr>
        <w:jc w:val="both"/>
        <w:ind w:firstLine="1304"/>
        <w:spacing w:after="0" w:line="249" w:lineRule="auto"/>
        <w:tabs>
          <w:tab w:leader="none" w:pos="163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2023-4 Invested Amount and the Class D Overcollateralization Amount, determined during the Series 2023-4 Revolving Period as of the end of the Related Month (or, until the end of the Related Month during which the Class D Notes Closing Date occurs, on the Class D Notes Closing Date), or, during the Series 2023-4 Controlled Amortization Period and the Series 2023-4 Rapid Amortization Period, as of the end of the Series 2023-4 Revolving Period, and the denominator of which shall be the greater of (I) the Aggregate Asset Amount as of the end of the Related Month or, until the end of the initial Related Month, as 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83" w:lineRule="exact"/>
        <w:rPr>
          <w:rFonts w:ascii="Times New Roman" w:cs="Times New Roman" w:eastAsia="Times New Roman" w:hAnsi="Times New Roman"/>
          <w:sz w:val="22"/>
          <w:szCs w:val="22"/>
          <w:color w:val="auto"/>
        </w:rPr>
      </w:pPr>
    </w:p>
    <w:p>
      <w:pPr>
        <w:jc w:val="both"/>
        <w:ind w:firstLine="1304"/>
        <w:spacing w:after="0" w:line="268" w:lineRule="auto"/>
        <w:tabs>
          <w:tab w:leader="none" w:pos="1604"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used with respect to Interest Collections, the percentage equivalent (which percentage shall never exceed 100%) of a fraction, the numerator of which shall be the Accrued Amounts with respect to the Series 2023-4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2023-4 Notes.</w:t>
      </w:r>
    </w:p>
    <w:p>
      <w:pPr>
        <w:spacing w:after="0" w:line="16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Lease Interest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Interest Collections which pursuant to Section 2.2(a), (b), (c) or (d) would have been allocated to the Series 2023-4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2023-4 Accrued Interest Account (excluding any amounts paid into the Series 2023-4 Accrued Interest Account</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bl>
    <w:p>
      <w:pPr>
        <w:sectPr>
          <w:pgSz w:w="11900" w:h="16838" w:orient="portrait"/>
          <w:cols w:equalWidth="0" w:num="1">
            <w:col w:w="11240"/>
          </w:cols>
          <w:pgMar w:left="320" w:top="1030" w:right="339" w:bottom="1440" w:gutter="0" w:footer="0" w:header="0"/>
        </w:sectPr>
      </w:pPr>
    </w:p>
    <w:bookmarkStart w:id="268" w:name="page269"/>
    <w:bookmarkEnd w:id="268"/>
    <w:p>
      <w:pPr>
        <w:jc w:val="both"/>
        <w:spacing w:after="0" w:line="263" w:lineRule="auto"/>
        <w:rPr>
          <w:sz w:val="20"/>
          <w:szCs w:val="20"/>
          <w:color w:val="auto"/>
        </w:rPr>
      </w:pPr>
      <w:r>
        <w:rPr>
          <w:rFonts w:ascii="Times New Roman" w:cs="Times New Roman" w:eastAsia="Times New Roman" w:hAnsi="Times New Roman"/>
          <w:sz w:val="22"/>
          <w:szCs w:val="22"/>
          <w:color w:val="auto"/>
        </w:rPr>
        <w:t>pursuant to the proviso in Sections 2.2(c)(ii) and/or 2.2(d)(ii)) from and excluding the preceding Distribution Date to and including the Business Day immediately preceding such Distribution Date over (2) the Class R Monthly Interest with respect to the Series 2023-4 Interest Period ended on the day preceding such Distribution Date.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Lease Payment Deficit</w:t>
      </w:r>
      <w:r>
        <w:rPr>
          <w:rFonts w:ascii="Times New Roman" w:cs="Times New Roman" w:eastAsia="Times New Roman" w:hAnsi="Times New Roman"/>
          <w:sz w:val="22"/>
          <w:szCs w:val="22"/>
          <w:color w:val="auto"/>
        </w:rPr>
        <w:t>” means either a Series 2023-4 Lease Interest Payment Deficit or a Series 2023-4 Lease Principal Payment Deficit.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Lease Principal Payment Carryover Deficit</w:t>
      </w:r>
      <w:r>
        <w:rPr>
          <w:rFonts w:ascii="Times New Roman" w:cs="Times New Roman" w:eastAsia="Times New Roman" w:hAnsi="Times New Roman"/>
          <w:sz w:val="22"/>
          <w:szCs w:val="22"/>
          <w:color w:val="auto"/>
        </w:rPr>
        <w:t>” means (a) for the initial Distribution Date, zero and</w:t>
      </w:r>
    </w:p>
    <w:p>
      <w:pPr>
        <w:spacing w:after="0" w:line="28" w:lineRule="exact"/>
        <w:rPr>
          <w:sz w:val="20"/>
          <w:szCs w:val="20"/>
          <w:color w:val="auto"/>
        </w:rPr>
      </w:pPr>
    </w:p>
    <w:p>
      <w:pPr>
        <w:jc w:val="both"/>
        <w:ind w:firstLine="8"/>
        <w:spacing w:after="0" w:line="252" w:lineRule="auto"/>
        <w:tabs>
          <w:tab w:leader="none" w:pos="313"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other Distribution Date, the excess of (x) the Series 2023-4 Lease Principal Payment Deficit, if any, on the preceding Distribution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the amount deposited in the Distribution Account on such preceding Distribution Date pursuant to Section 2.5(b) on account of such Series 2023-4 Lease Principal Payment Deficit.</w:t>
      </w:r>
    </w:p>
    <w:p>
      <w:pPr>
        <w:spacing w:after="0" w:line="17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Lease Principal Payment Deficit</w:t>
      </w:r>
      <w:r>
        <w:rPr>
          <w:rFonts w:ascii="Times New Roman" w:cs="Times New Roman" w:eastAsia="Times New Roman" w:hAnsi="Times New Roman"/>
          <w:sz w:val="22"/>
          <w:szCs w:val="22"/>
          <w:color w:val="auto"/>
        </w:rPr>
        <w:t>” means on any Distribution Date, the sum of (a) the Series 2023-4 Monthly Lease Principal Payment Deficit for such Distribution Date and (b) the Series 2023-4 Lease Principal Payment Carryover Deficit for such Distribution Date.</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Limited Liquidation Event of Default</w:t>
      </w:r>
      <w:r>
        <w:rPr>
          <w:rFonts w:ascii="Times New Roman" w:cs="Times New Roman" w:eastAsia="Times New Roman" w:hAnsi="Times New Roman"/>
          <w:sz w:val="22"/>
          <w:szCs w:val="22"/>
          <w:color w:val="auto"/>
        </w:rPr>
        <w:t xml:space="preserve">” means, so long as such event or condition continues, any event or condition of the type specified in clauses (a) through (g) of Article III;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event or condition of the type specified in clauses (a) through (g) of Article III shall not constitute a Series 2023-4 Limited Liquidation Event of Default if the Trustee shall have received the written consent of the Requisite Series 2023-4 Noteholders waiving the occurrence of such Series 2023-4 Limited Liquidation Event of Default. The Trustee shall promptly (but in any event within two (2) days) provide the Rating Agencies with written notice of such waiver.</w:t>
      </w:r>
    </w:p>
    <w:p>
      <w:pPr>
        <w:spacing w:after="0" w:line="195"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Monthly Lease Principal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Principal Collections which pursuant to Section 2.2(a), (b), (c) or (d) would have been allocated to the Series 2023-4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2023-4 Collection Account (without giving effect to any amounts paid into the Series 2023-4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Moody’s Highest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ectPr>
          <w:pgSz w:w="11900" w:h="16838" w:orient="portrait"/>
          <w:cols w:equalWidth="0" w:num="1">
            <w:col w:w="11240"/>
          </w:cols>
          <w:pgMar w:left="320" w:top="1030"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21"/>
          <w:szCs w:val="21"/>
          <w:color w:val="auto"/>
        </w:rPr>
        <w:t>denominator of which is the aggregate Net Book Value of all Vehicles leased under the AESOP I Operating Lease as of such date.</w:t>
      </w:r>
    </w:p>
    <w:p>
      <w:pPr>
        <w:spacing w:after="0" w:line="23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Moody’s Highest Enhancement Rate</w:t>
      </w:r>
      <w:r>
        <w:rPr>
          <w:rFonts w:ascii="Times New Roman" w:cs="Times New Roman" w:eastAsia="Times New Roman" w:hAnsi="Times New Roman"/>
          <w:sz w:val="22"/>
          <w:szCs w:val="22"/>
          <w:color w:val="auto"/>
        </w:rPr>
        <w:t xml:space="preserve">” means, as of any date of determination, the sum of (a) 14.50% (with respect to calculating the Class D Required Enhancement Amount) or 28.35% (with respect to calculating the Class A/B/C Required Enhancement Amount), (b) the greater of (x) the highest, for any calendar month within the preceding 12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Measurement Month Average for the immediately preceding Measurement Month and (y) the highest, for any calendar month within the preceding 3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Market Value Average as of the Determination Date within such calendar month (excluding the Market Value Average for any Determination Date which has not yet occurred) and (c) a percentage equal to the product of (x) the Series 2023-4 Excess Tesla Percentage and (y) 10%.</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Moody’s Intermediate Enhanced Vehicle Percentage</w:t>
      </w:r>
      <w:r>
        <w:rPr>
          <w:rFonts w:ascii="Times New Roman" w:cs="Times New Roman" w:eastAsia="Times New Roman" w:hAnsi="Times New Roman"/>
          <w:sz w:val="22"/>
          <w:szCs w:val="22"/>
          <w:color w:val="auto"/>
        </w:rPr>
        <w:t xml:space="preserve">” means, as of any date of determination,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sum of (a) the Series 2023-4 Moody’s Lowest Enhanced Vehicle Percentage, (b) the Series 2023-4 Moody’s Highest Enhanced Vehicle Percentage and (c) the Series 2023-4 Moody’s Trucks Percentage.</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Moody’s Intermediate Enhancement Rate</w:t>
      </w:r>
      <w:r>
        <w:rPr>
          <w:rFonts w:ascii="Times New Roman" w:cs="Times New Roman" w:eastAsia="Times New Roman" w:hAnsi="Times New Roman"/>
          <w:sz w:val="22"/>
          <w:szCs w:val="22"/>
          <w:color w:val="auto"/>
        </w:rPr>
        <w:t>” means, as of any date of determination, 8.50% (with respect to calculating the Class D Required Enhancement Amount) or 16.25% (with respect to calculating the Class A/B/C Required Enhancement Amount).</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Moody’s Lowest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20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Moody’s Lowest Enhancement Rate</w:t>
      </w:r>
      <w:r>
        <w:rPr>
          <w:rFonts w:ascii="Times New Roman" w:cs="Times New Roman" w:eastAsia="Times New Roman" w:hAnsi="Times New Roman"/>
          <w:sz w:val="22"/>
          <w:szCs w:val="22"/>
          <w:color w:val="auto"/>
        </w:rPr>
        <w:t>” means, as of any date of determination, 5.00% (with respect to calculating the Class D Required Enhancement Amount) or 12.75% (with respect to calculating the Class A/B/C Required Enhancement Amount).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bl>
    <w:p>
      <w:pPr>
        <w:sectPr>
          <w:pgSz w:w="11900" w:h="16838" w:orient="portrait"/>
          <w:cols w:equalWidth="0" w:num="1">
            <w:col w:w="11240"/>
          </w:cols>
          <w:pgMar w:left="320" w:top="1030" w:right="339" w:bottom="1440" w:gutter="0" w:footer="0" w:header="0"/>
        </w:sectPr>
      </w:pPr>
    </w:p>
    <w:bookmarkStart w:id="270" w:name="page271"/>
    <w:bookmarkEnd w:id="270"/>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2023-4 Moody’s Required Enhancement Amount</w:t>
      </w:r>
      <w:r>
        <w:rPr>
          <w:rFonts w:ascii="Times New Roman" w:cs="Times New Roman" w:eastAsia="Times New Roman" w:hAnsi="Times New Roman"/>
          <w:sz w:val="21"/>
          <w:szCs w:val="21"/>
          <w:color w:val="auto"/>
        </w:rPr>
        <w:t>” means, as of any date of determination, the product of</w:t>
      </w:r>
    </w:p>
    <w:p>
      <w:pPr>
        <w:spacing w:after="0" w:line="39" w:lineRule="exact"/>
        <w:rPr>
          <w:sz w:val="20"/>
          <w:szCs w:val="20"/>
          <w:color w:val="auto"/>
        </w:rPr>
      </w:pPr>
    </w:p>
    <w:p>
      <w:pPr>
        <w:jc w:val="both"/>
        <w:ind w:firstLine="8"/>
        <w:spacing w:after="0" w:line="247" w:lineRule="auto"/>
        <w:tabs>
          <w:tab w:leader="none" w:pos="26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Series 2023-4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2023-4 Senior Invested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Series 2023-4 Allocated Cash Amount.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Moody’s Required Enhancement Percentage</w:t>
      </w:r>
      <w:r>
        <w:rPr>
          <w:rFonts w:ascii="Times New Roman" w:cs="Times New Roman" w:eastAsia="Times New Roman" w:hAnsi="Times New Roman"/>
          <w:sz w:val="22"/>
          <w:szCs w:val="22"/>
          <w:color w:val="auto"/>
        </w:rPr>
        <w:t>” means, as of any date of determination, the sum of</w:t>
      </w:r>
    </w:p>
    <w:p>
      <w:pPr>
        <w:spacing w:after="0" w:line="29" w:lineRule="exact"/>
        <w:rPr>
          <w:sz w:val="20"/>
          <w:szCs w:val="20"/>
          <w:color w:val="auto"/>
        </w:rPr>
      </w:pPr>
    </w:p>
    <w:p>
      <w:pPr>
        <w:jc w:val="both"/>
        <w:ind w:firstLine="8"/>
        <w:spacing w:after="0" w:line="258" w:lineRule="auto"/>
        <w:tabs>
          <w:tab w:leader="none" w:pos="268" w:val="left"/>
        </w:tabs>
        <w:numPr>
          <w:ilvl w:val="0"/>
          <w:numId w:val="2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(A) the Series 2023-4 Moody’s Lowest Enhancement Rate as of such date and (B) the Series 2023-4 Moody’s Lowest Enhanced Vehicle Percentage as of such date, (ii) the product of (A) the Series 2023-4 Moody’s Intermediate Enhancement Rate as of such date and (B) the Series 2023-4 Moody’s Intermediate Enhanced Vehicle Percentage as of such date,</w:t>
      </w:r>
    </w:p>
    <w:p>
      <w:pPr>
        <w:spacing w:after="0" w:line="2" w:lineRule="exact"/>
        <w:rPr>
          <w:rFonts w:ascii="Times New Roman" w:cs="Times New Roman" w:eastAsia="Times New Roman" w:hAnsi="Times New Roman"/>
          <w:sz w:val="21"/>
          <w:szCs w:val="21"/>
          <w:color w:val="auto"/>
        </w:rPr>
      </w:pPr>
    </w:p>
    <w:p>
      <w:pPr>
        <w:jc w:val="both"/>
        <w:ind w:firstLine="8"/>
        <w:spacing w:after="0" w:line="245" w:lineRule="auto"/>
        <w:tabs>
          <w:tab w:leader="none" w:pos="381"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Series 2023-4 Moody’s Highest Enhancement Rate as of such date and (B) the Series 2023-4 Moody’s Highest Enhanced Vehicle Percentage as of such date and (iv) the product of (A) the Series 2023-4 Moody’s Trucks Enhancement Rate as of such date and (B) the Series 2023-4 Moody’s Trucks Percentage as of such date.</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Moody’s Trucks Enhancement Rate</w:t>
      </w:r>
      <w:r>
        <w:rPr>
          <w:rFonts w:ascii="Times New Roman" w:cs="Times New Roman" w:eastAsia="Times New Roman" w:hAnsi="Times New Roman"/>
          <w:sz w:val="22"/>
          <w:szCs w:val="22"/>
          <w:color w:val="auto"/>
        </w:rPr>
        <w:t>” means, as of any date of determination, 35.75%.</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Moody’s Trucks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Note Owner</w:t>
      </w:r>
      <w:r>
        <w:rPr>
          <w:rFonts w:ascii="Times New Roman" w:cs="Times New Roman" w:eastAsia="Times New Roman" w:hAnsi="Times New Roman"/>
          <w:sz w:val="22"/>
          <w:szCs w:val="22"/>
          <w:color w:val="auto"/>
        </w:rPr>
        <w:t>” means each beneficial owner of a Series 2023-4 Note.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Noteholder</w:t>
      </w:r>
      <w:r>
        <w:rPr>
          <w:rFonts w:ascii="Times New Roman" w:cs="Times New Roman" w:eastAsia="Times New Roman" w:hAnsi="Times New Roman"/>
          <w:sz w:val="22"/>
          <w:szCs w:val="22"/>
          <w:color w:val="auto"/>
        </w:rPr>
        <w:t>” means any Class A Noteholder, any Class B Noteholder, any Class C Noteholder, any Class D Noteholder or any Class R Noteholder.</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Notes</w:t>
      </w:r>
      <w:r>
        <w:rPr>
          <w:rFonts w:ascii="Times New Roman" w:cs="Times New Roman" w:eastAsia="Times New Roman" w:hAnsi="Times New Roman"/>
          <w:sz w:val="22"/>
          <w:szCs w:val="22"/>
          <w:color w:val="auto"/>
        </w:rPr>
        <w:t>” means, collectively, the Class A Notes, the Class B Notes, the Class C Notes, the Class D Notes, and the Class R Notes.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Past Due Rent Payment</w:t>
      </w:r>
      <w:r>
        <w:rPr>
          <w:rFonts w:ascii="Times New Roman" w:cs="Times New Roman" w:eastAsia="Times New Roman" w:hAnsi="Times New Roman"/>
          <w:sz w:val="22"/>
          <w:szCs w:val="22"/>
          <w:color w:val="auto"/>
        </w:rPr>
        <w:t>” is defined in Section 2.2(g).</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Percentage</w:t>
      </w:r>
      <w:r>
        <w:rPr>
          <w:rFonts w:ascii="Times New Roman" w:cs="Times New Roman" w:eastAsia="Times New Roman" w:hAnsi="Times New Roman"/>
          <w:sz w:val="22"/>
          <w:szCs w:val="22"/>
          <w:color w:val="auto"/>
        </w:rPr>
        <w:t>” means, as of any date of determination, a fraction, expressed as a percentage, the numerator of which is the Series 2023-4 Invested Amount as of such date and the denominator of which is the Aggregate Invested Amount as of such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Principal Allocation</w:t>
      </w:r>
      <w:r>
        <w:rPr>
          <w:rFonts w:ascii="Times New Roman" w:cs="Times New Roman" w:eastAsia="Times New Roman" w:hAnsi="Times New Roman"/>
          <w:sz w:val="22"/>
          <w:szCs w:val="22"/>
          <w:color w:val="auto"/>
        </w:rPr>
        <w:t>” is defined in Section 2.2(a)(ii).</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Rapid Amortization Period</w:t>
      </w:r>
      <w:r>
        <w:rPr>
          <w:rFonts w:ascii="Times New Roman" w:cs="Times New Roman" w:eastAsia="Times New Roman" w:hAnsi="Times New Roman"/>
          <w:sz w:val="22"/>
          <w:szCs w:val="22"/>
          <w:color w:val="auto"/>
        </w:rPr>
        <w:t>” means the period beginning at the close of business on the Business Day immediately preceding the day on which an Amortization Event is deemed to have occurred with respect to the Series 2023-4 Notes and ending upon the earliest</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ectPr>
          <w:pgSz w:w="11900" w:h="16838" w:orient="portrait"/>
          <w:cols w:equalWidth="0" w:num="1">
            <w:col w:w="11240"/>
          </w:cols>
          <w:pgMar w:left="320" w:top="1030" w:right="339" w:bottom="1440" w:gutter="0" w:footer="0" w:header="0"/>
        </w:sectPr>
      </w:pPr>
    </w:p>
    <w:bookmarkStart w:id="271" w:name="page272"/>
    <w:bookmarkEnd w:id="271"/>
    <w:p>
      <w:pPr>
        <w:jc w:val="both"/>
        <w:spacing w:after="0" w:line="271" w:lineRule="auto"/>
        <w:rPr>
          <w:sz w:val="20"/>
          <w:szCs w:val="20"/>
          <w:color w:val="auto"/>
        </w:rPr>
      </w:pPr>
      <w:r>
        <w:rPr>
          <w:rFonts w:ascii="Times New Roman" w:cs="Times New Roman" w:eastAsia="Times New Roman" w:hAnsi="Times New Roman"/>
          <w:sz w:val="22"/>
          <w:szCs w:val="22"/>
          <w:color w:val="auto"/>
        </w:rPr>
        <w:t>to occur of (i) the date on which the Series 2023-4 Notes are fully paid, (ii) the Series 2023-4 Final Distribution Date and (iii) the termination of the Indenture.</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Reimbursement Agreement</w:t>
      </w:r>
      <w:r>
        <w:rPr>
          <w:rFonts w:ascii="Times New Roman" w:cs="Times New Roman" w:eastAsia="Times New Roman" w:hAnsi="Times New Roman"/>
          <w:sz w:val="22"/>
          <w:szCs w:val="22"/>
          <w:color w:val="auto"/>
        </w:rPr>
        <w:t>” means any and each agreement providing for the reimbursement of a Multi-Series Letter of Credit Provider for draws under its Multi-Series Letter of Credit as the same may be amended, supplemented, restated or otherwise modified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Repurchase Amount</w:t>
      </w:r>
      <w:r>
        <w:rPr>
          <w:rFonts w:ascii="Times New Roman" w:cs="Times New Roman" w:eastAsia="Times New Roman" w:hAnsi="Times New Roman"/>
          <w:sz w:val="22"/>
          <w:szCs w:val="22"/>
          <w:color w:val="auto"/>
        </w:rPr>
        <w:t>” is defined in Section 5.1(a).</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Required AESOP I Operating Lease Vehicle Amount</w:t>
      </w:r>
      <w:r>
        <w:rPr>
          <w:rFonts w:ascii="Times New Roman" w:cs="Times New Roman" w:eastAsia="Times New Roman" w:hAnsi="Times New Roman"/>
          <w:sz w:val="22"/>
          <w:szCs w:val="22"/>
          <w:color w:val="auto"/>
        </w:rPr>
        <w:t>” 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Reserve Accounts</w:t>
      </w:r>
      <w:r>
        <w:rPr>
          <w:rFonts w:ascii="Times New Roman" w:cs="Times New Roman" w:eastAsia="Times New Roman" w:hAnsi="Times New Roman"/>
          <w:sz w:val="22"/>
          <w:szCs w:val="22"/>
          <w:color w:val="auto"/>
        </w:rPr>
        <w:t>” means, together, the Class A/B/C Reserve Account and the Class D Reserve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w:t>
      </w:r>
    </w:p>
    <w:p>
      <w:pPr>
        <w:spacing w:after="0" w:line="196"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Revolving Period</w:t>
      </w:r>
      <w:r>
        <w:rPr>
          <w:rFonts w:ascii="Times New Roman" w:cs="Times New Roman" w:eastAsia="Times New Roman" w:hAnsi="Times New Roman"/>
          <w:sz w:val="22"/>
          <w:szCs w:val="22"/>
          <w:color w:val="auto"/>
        </w:rPr>
        <w:t>” means the period from and including the Class A/B/C Notes Closing Date to the earlier of (i) the commencement of the Series 2023-4 Controlled Amortization Period and (ii) the commencement of the Series 2023-4 Rapid Amortization Period.</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Senior Invested Amount</w:t>
      </w:r>
      <w:r>
        <w:rPr>
          <w:rFonts w:ascii="Times New Roman" w:cs="Times New Roman" w:eastAsia="Times New Roman" w:hAnsi="Times New Roman"/>
          <w:sz w:val="22"/>
          <w:szCs w:val="22"/>
          <w:color w:val="auto"/>
        </w:rPr>
        <w:t>” means, on any date, the sum of the Class A Invested Amount on such date, the Class B Invested Amount on such date, the Class C Invested Amount on such date and the Class D Invested Amount on such date.</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Senior Monthly Interest</w:t>
      </w:r>
      <w:r>
        <w:rPr>
          <w:rFonts w:ascii="Times New Roman" w:cs="Times New Roman" w:eastAsia="Times New Roman" w:hAnsi="Times New Roman"/>
          <w:sz w:val="22"/>
          <w:szCs w:val="22"/>
          <w:color w:val="auto"/>
        </w:rPr>
        <w:t>” means, with respect to any Distribution Date, the sum of the Class A Monthly Interest, the Class B Monthly Interest, the Class C Monthly Interest and the Class D Monthly Interest, in each case with respect to the Series 2023-4 Interest Period ended on the day preceding such Distribution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2023-4 Senior Notes</w:t>
      </w:r>
      <w:r>
        <w:rPr>
          <w:rFonts w:ascii="Times New Roman" w:cs="Times New Roman" w:eastAsia="Times New Roman" w:hAnsi="Times New Roman"/>
          <w:sz w:val="21"/>
          <w:szCs w:val="21"/>
          <w:color w:val="auto"/>
        </w:rPr>
        <w:t>” means, collectively, the Class A Notes, the Class B Notes, the Class C Notes and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D Notes.</w:t>
      </w:r>
    </w:p>
    <w:p>
      <w:pPr>
        <w:spacing w:after="0" w:line="20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Shortfall</w:t>
      </w:r>
      <w:r>
        <w:rPr>
          <w:rFonts w:ascii="Times New Roman" w:cs="Times New Roman" w:eastAsia="Times New Roman" w:hAnsi="Times New Roman"/>
          <w:sz w:val="22"/>
          <w:szCs w:val="22"/>
          <w:color w:val="auto"/>
        </w:rPr>
        <w:t>” means, on any Distribution Date, the sum of the Class A Shortfall, the Class B Shortfall, the Class C Shortfall and the Class D Shortfall on such Distribution Date.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Termination Date</w:t>
      </w:r>
      <w:r>
        <w:rPr>
          <w:rFonts w:ascii="Times New Roman" w:cs="Times New Roman" w:eastAsia="Times New Roman" w:hAnsi="Times New Roman"/>
          <w:sz w:val="22"/>
          <w:szCs w:val="22"/>
          <w:color w:val="auto"/>
        </w:rPr>
        <w:t>” means the June 2029 Distribution Date.</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Trustee’s Fees</w:t>
      </w:r>
      <w:r>
        <w:rPr>
          <w:rFonts w:ascii="Times New Roman" w:cs="Times New Roman" w:eastAsia="Times New Roman" w:hAnsi="Times New Roman"/>
          <w:sz w:val="22"/>
          <w:szCs w:val="22"/>
          <w:color w:val="auto"/>
        </w:rPr>
        <w:t xml:space="preserve">” means, for any Distribution Date during the Series 2023-4 Rapid Amortization Period on which there exists a Series 2023-4 Lease Interest Payment Deficit, a portion of the fees payable to the Trustee in an amount equal to the product of (i) the Series 2023-4 Percentage as of the beginning of the Series 2023-4 Interest Period ending on the day preceding such Distribution Date and (ii) the fees owing to the Trustee under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Series 2023-4 Trustee’s Fees in the aggregate for all</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ectPr>
          <w:pgSz w:w="11900" w:h="16838" w:orient="portrait"/>
          <w:cols w:equalWidth="0" w:num="1">
            <w:col w:w="11240"/>
          </w:cols>
          <w:pgMar w:left="320" w:top="1030" w:right="339" w:bottom="1440" w:gutter="0" w:footer="0" w:header="0"/>
        </w:sectPr>
      </w:pPr>
    </w:p>
    <w:bookmarkStart w:id="272" w:name="page273"/>
    <w:bookmarkEnd w:id="272"/>
    <w:p>
      <w:pPr>
        <w:jc w:val="both"/>
        <w:spacing w:after="0" w:line="271" w:lineRule="auto"/>
        <w:rPr>
          <w:sz w:val="20"/>
          <w:szCs w:val="20"/>
          <w:color w:val="auto"/>
        </w:rPr>
      </w:pPr>
      <w:r>
        <w:rPr>
          <w:rFonts w:ascii="Times New Roman" w:cs="Times New Roman" w:eastAsia="Times New Roman" w:hAnsi="Times New Roman"/>
          <w:sz w:val="22"/>
          <w:szCs w:val="22"/>
          <w:color w:val="auto"/>
        </w:rPr>
        <w:t>Distribution Dates shall not exceed 1.1% of the Series 2023-4 Required AESOP I Operating Lease Vehicle Amount as of the last day of the Series 2023-4 Revolving Period.</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2023-5 Notes</w:t>
      </w:r>
      <w:r>
        <w:rPr>
          <w:rFonts w:ascii="Times New Roman" w:cs="Times New Roman" w:eastAsia="Times New Roman" w:hAnsi="Times New Roman"/>
          <w:sz w:val="22"/>
          <w:szCs w:val="22"/>
          <w:color w:val="auto"/>
        </w:rPr>
        <w:t>” means the Series of Notes designated as the Series 2023-5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Notes</w:t>
      </w:r>
      <w:r>
        <w:rPr>
          <w:rFonts w:ascii="Times New Roman" w:cs="Times New Roman" w:eastAsia="Times New Roman" w:hAnsi="Times New Roman"/>
          <w:sz w:val="22"/>
          <w:szCs w:val="22"/>
          <w:color w:val="auto"/>
        </w:rPr>
        <w:t>” means the Series of Notes designated as the Series 2023-6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Notes</w:t>
      </w:r>
      <w:r>
        <w:rPr>
          <w:rFonts w:ascii="Times New Roman" w:cs="Times New Roman" w:eastAsia="Times New Roman" w:hAnsi="Times New Roman"/>
          <w:sz w:val="22"/>
          <w:szCs w:val="22"/>
          <w:color w:val="auto"/>
        </w:rPr>
        <w:t>” means the Series of Notes designated as the Series 2023-7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Notes</w:t>
      </w:r>
      <w:r>
        <w:rPr>
          <w:rFonts w:ascii="Times New Roman" w:cs="Times New Roman" w:eastAsia="Times New Roman" w:hAnsi="Times New Roman"/>
          <w:sz w:val="22"/>
          <w:szCs w:val="22"/>
          <w:color w:val="auto"/>
        </w:rPr>
        <w:t>” means the Series of Notes designated as the Series 2023-8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2024-1 Notes</w:t>
      </w:r>
      <w:r>
        <w:rPr>
          <w:rFonts w:ascii="Times New Roman" w:cs="Times New Roman" w:eastAsia="Times New Roman" w:hAnsi="Times New Roman"/>
          <w:sz w:val="22"/>
          <w:szCs w:val="22"/>
          <w:color w:val="auto"/>
        </w:rPr>
        <w:t>” means the Series of Notes designated as the Series 2024-1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2024-2 Notes</w:t>
      </w:r>
      <w:r>
        <w:rPr>
          <w:rFonts w:ascii="Times New Roman" w:cs="Times New Roman" w:eastAsia="Times New Roman" w:hAnsi="Times New Roman"/>
          <w:sz w:val="22"/>
          <w:szCs w:val="22"/>
          <w:color w:val="auto"/>
        </w:rPr>
        <w:t>” means the Series of Notes designated as the Series 2024-2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2024-3 Notes</w:t>
      </w:r>
      <w:r>
        <w:rPr>
          <w:rFonts w:ascii="Times New Roman" w:cs="Times New Roman" w:eastAsia="Times New Roman" w:hAnsi="Times New Roman"/>
          <w:sz w:val="22"/>
          <w:szCs w:val="22"/>
          <w:color w:val="auto"/>
        </w:rPr>
        <w:t>” means the Series of Notes designated as the Series 2024-3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Notes</w:t>
      </w:r>
      <w:r>
        <w:rPr>
          <w:rFonts w:ascii="Times New Roman" w:cs="Times New Roman" w:eastAsia="Times New Roman" w:hAnsi="Times New Roman"/>
          <w:sz w:val="22"/>
          <w:szCs w:val="22"/>
          <w:color w:val="auto"/>
        </w:rPr>
        <w:t>” means the Series of Notes designated as the Series 2025-1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2025-2 Notes</w:t>
      </w:r>
      <w:r>
        <w:rPr>
          <w:rFonts w:ascii="Times New Roman" w:cs="Times New Roman" w:eastAsia="Times New Roman" w:hAnsi="Times New Roman"/>
          <w:sz w:val="22"/>
          <w:szCs w:val="22"/>
          <w:color w:val="auto"/>
        </w:rPr>
        <w:t>” means the Series of Notes designated as the Series 2025-2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per annum equal to the secured overnight financing rate as administered by the SOFR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or any successor source for the secured overnight financing rate identified as such by the SOFR Administrator from time to time.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(Non-Perfected Lien)</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ectPr>
          <w:pgSz w:w="11900" w:h="16838" w:orient="portrait"/>
          <w:cols w:equalWidth="0" w:num="1">
            <w:col w:w="11240"/>
          </w:cols>
          <w:pgMar w:left="320" w:top="1030" w:right="339" w:bottom="1440" w:gutter="0" w:footer="0" w:header="0"/>
        </w:sectPr>
      </w:pPr>
    </w:p>
    <w:bookmarkStart w:id="273" w:name="page274"/>
    <w:bookmarkEnd w:id="273"/>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(Trucks)</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that ABRCF has determined are required to allow for “medium duty” and “heavy duty” trucks to be considered an “Eligible Vehicle” under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B Note</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C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D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R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Series 2023-4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 Disbursement</w:t>
      </w:r>
      <w:r>
        <w:rPr>
          <w:rFonts w:ascii="Times New Roman" w:cs="Times New Roman" w:eastAsia="Times New Roman" w:hAnsi="Times New Roman"/>
          <w:sz w:val="22"/>
          <w:szCs w:val="22"/>
          <w:color w:val="auto"/>
        </w:rPr>
        <w:t>” means an amount drawn under a Multi-Series Letter of Credit pursuant to a Certificate of Termination Date Demand.</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Disbursement</w:t>
      </w:r>
      <w:r>
        <w:rPr>
          <w:rFonts w:ascii="Times New Roman" w:cs="Times New Roman" w:eastAsia="Times New Roman" w:hAnsi="Times New Roman"/>
          <w:sz w:val="22"/>
          <w:szCs w:val="22"/>
          <w:color w:val="auto"/>
        </w:rPr>
        <w:t>” means an amount drawn under a Multi-Series Letter of Credit pursuant to a Certificate of Termination Demand.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Unpaid Demand Note Disbursement</w:t>
      </w:r>
      <w:r>
        <w:rPr>
          <w:rFonts w:ascii="Times New Roman" w:cs="Times New Roman" w:eastAsia="Times New Roman" w:hAnsi="Times New Roman"/>
          <w:sz w:val="22"/>
          <w:szCs w:val="22"/>
          <w:color w:val="auto"/>
        </w:rPr>
        <w:t>” means an amount drawn under a Multi-Series Letter of Credit pursuant to a Certificate of Unpaid Demand Note Demand.</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Risk Retention Rules</w:t>
      </w:r>
      <w:r>
        <w:rPr>
          <w:rFonts w:ascii="Times New Roman" w:cs="Times New Roman" w:eastAsia="Times New Roman" w:hAnsi="Times New Roman"/>
          <w:sz w:val="22"/>
          <w:szCs w:val="22"/>
          <w:color w:val="auto"/>
        </w:rPr>
        <w:t>” means the federal interagency credit risk retention rules, codified at 17 C.F.R. Part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w:t>
      </w:r>
    </w:p>
    <w:p>
      <w:pPr>
        <w:spacing w:after="0" w:line="20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Treasury Rate</w:t>
      </w:r>
      <w:r>
        <w:rPr>
          <w:rFonts w:ascii="Times New Roman" w:cs="Times New Roman" w:eastAsia="Times New Roman" w:hAnsi="Times New Roman"/>
          <w:sz w:val="22"/>
          <w:szCs w:val="22"/>
          <w:color w:val="auto"/>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ectPr>
          <w:pgSz w:w="11900" w:h="16838" w:orient="portrait"/>
          <w:cols w:equalWidth="0" w:num="1">
            <w:col w:w="11240"/>
          </w:cols>
          <w:pgMar w:left="320" w:top="1030" w:right="339" w:bottom="1440" w:gutter="0" w:footer="0" w:header="0"/>
        </w:sectPr>
      </w:pPr>
    </w:p>
    <w:bookmarkStart w:id="274" w:name="page275"/>
    <w:bookmarkEnd w:id="274"/>
    <w:p>
      <w:pPr>
        <w:jc w:val="both"/>
        <w:ind w:firstLine="1304"/>
        <w:spacing w:after="0" w:line="263" w:lineRule="auto"/>
        <w:tabs>
          <w:tab w:leader="none" w:pos="1791"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calculated by reference to the Series 2023-4 Invested Amount (or any component thereof) on any date shall, unless otherwise stated, be calculated after giving effect to any payment of principal made to the applicable Series 2023-4 Noteholders on such date.</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SERIES 2023-4 ALLOCATIONS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respect to the Series 2023-4 Notes, the following shall apply:</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Establishment of Series 2023-4 Collection Account, Series 2023-4 Excess Collection Account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Series 2023-4 Accrued Interest Account</w:t>
      </w:r>
      <w:r>
        <w:rPr>
          <w:rFonts w:ascii="Times New Roman" w:cs="Times New Roman" w:eastAsia="Times New Roman" w:hAnsi="Times New Roman"/>
          <w:sz w:val="22"/>
          <w:szCs w:val="22"/>
          <w:color w:val="auto"/>
        </w:rPr>
        <w:t>. (a) All Collections allocable to the Series 2023-4 Notes shall be allocated to the Collection Account.</w:t>
      </w:r>
    </w:p>
    <w:p>
      <w:pPr>
        <w:spacing w:after="0" w:line="167" w:lineRule="exact"/>
        <w:rPr>
          <w:sz w:val="20"/>
          <w:szCs w:val="20"/>
          <w:color w:val="auto"/>
        </w:rPr>
      </w:pPr>
    </w:p>
    <w:p>
      <w:pPr>
        <w:jc w:val="both"/>
        <w:ind w:firstLine="1304"/>
        <w:spacing w:after="0" w:line="252" w:lineRule="auto"/>
        <w:tabs>
          <w:tab w:leader="none" w:pos="1768"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created three administrative subaccounts within the Collection Account for the benefit of the Series 2023-4 Noteholders: the Series 2023-4 Collection Account (such sub-account, the “</w:t>
      </w:r>
      <w:r>
        <w:rPr>
          <w:rFonts w:ascii="Times New Roman" w:cs="Times New Roman" w:eastAsia="Times New Roman" w:hAnsi="Times New Roman"/>
          <w:sz w:val="22"/>
          <w:szCs w:val="22"/>
          <w:u w:val="single" w:color="auto"/>
          <w:color w:val="auto"/>
        </w:rPr>
        <w:t>Series 2023-4 Collection Account</w:t>
      </w:r>
      <w:r>
        <w:rPr>
          <w:rFonts w:ascii="Times New Roman" w:cs="Times New Roman" w:eastAsia="Times New Roman" w:hAnsi="Times New Roman"/>
          <w:sz w:val="22"/>
          <w:szCs w:val="22"/>
          <w:color w:val="auto"/>
        </w:rPr>
        <w:t>”), the Series 2023-4 Excess Collection Account (such sub-account, the “</w:t>
      </w:r>
      <w:r>
        <w:rPr>
          <w:rFonts w:ascii="Times New Roman" w:cs="Times New Roman" w:eastAsia="Times New Roman" w:hAnsi="Times New Roman"/>
          <w:sz w:val="22"/>
          <w:szCs w:val="22"/>
          <w:u w:val="single" w:color="auto"/>
          <w:color w:val="auto"/>
        </w:rPr>
        <w:t>Series 2023-4 Excess Collection Account</w:t>
      </w:r>
      <w:r>
        <w:rPr>
          <w:rFonts w:ascii="Times New Roman" w:cs="Times New Roman" w:eastAsia="Times New Roman" w:hAnsi="Times New Roman"/>
          <w:sz w:val="22"/>
          <w:szCs w:val="22"/>
          <w:color w:val="auto"/>
        </w:rPr>
        <w:t>”) and the Series 2023-4 Accrued Interest Account (such sub-account, the “</w:t>
      </w:r>
      <w:r>
        <w:rPr>
          <w:rFonts w:ascii="Times New Roman" w:cs="Times New Roman" w:eastAsia="Times New Roman" w:hAnsi="Times New Roman"/>
          <w:sz w:val="22"/>
          <w:szCs w:val="22"/>
          <w:u w:val="single" w:color="auto"/>
          <w:color w:val="auto"/>
        </w:rPr>
        <w:t>Series 2023-4 Accrued Interest Account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Allocations with Respect to the Series 2023-4 Notes</w:t>
      </w:r>
      <w:r>
        <w:rPr>
          <w:rFonts w:ascii="Times New Roman" w:cs="Times New Roman" w:eastAsia="Times New Roman" w:hAnsi="Times New Roman"/>
          <w:sz w:val="22"/>
          <w:szCs w:val="22"/>
          <w:color w:val="auto"/>
        </w:rPr>
        <w:t>. The net proceeds from the initial sale of the Class A Notes, Class B Notes, Class C Notes and Class R Notes were deposited into the Collection Account on the Class A/B/C Notes Closing Date and the net proceeds from the issuance of Class D Notes and Additional Class R Notes were deposited into the Collection Account on the Class D Notes Closing Date. On each Business Day on which Collections are deposited into the Collection Account (each such date, a “</w:t>
      </w:r>
      <w:r>
        <w:rPr>
          <w:rFonts w:ascii="Times New Roman" w:cs="Times New Roman" w:eastAsia="Times New Roman" w:hAnsi="Times New Roman"/>
          <w:sz w:val="22"/>
          <w:szCs w:val="22"/>
          <w:u w:val="single" w:color="auto"/>
          <w:color w:val="auto"/>
        </w:rPr>
        <w:t>Series 2023-4 Deposit Date</w:t>
      </w:r>
      <w:r>
        <w:rPr>
          <w:rFonts w:ascii="Times New Roman" w:cs="Times New Roman" w:eastAsia="Times New Roman" w:hAnsi="Times New Roman"/>
          <w:sz w:val="22"/>
          <w:szCs w:val="22"/>
          <w:color w:val="auto"/>
        </w:rPr>
        <w:t>”), the Administrator will direct the Trustee in writing pursuant to the Administration Agreement to allocate all amounts deposited into the Collection Account in accordance with the provisions of this Section 2.2.</w:t>
      </w:r>
    </w:p>
    <w:p>
      <w:pPr>
        <w:spacing w:after="0" w:line="180" w:lineRule="exact"/>
        <w:rPr>
          <w:sz w:val="20"/>
          <w:szCs w:val="20"/>
          <w:color w:val="auto"/>
        </w:rPr>
      </w:pPr>
    </w:p>
    <w:p>
      <w:pPr>
        <w:jc w:val="both"/>
        <w:ind w:firstLine="1304"/>
        <w:spacing w:after="0" w:line="256" w:lineRule="auto"/>
        <w:tabs>
          <w:tab w:leader="none" w:pos="1779"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2023-4 Revolving Period</w:t>
      </w:r>
      <w:r>
        <w:rPr>
          <w:rFonts w:ascii="Times New Roman" w:cs="Times New Roman" w:eastAsia="Times New Roman" w:hAnsi="Times New Roman"/>
          <w:sz w:val="22"/>
          <w:szCs w:val="22"/>
          <w:color w:val="auto"/>
        </w:rPr>
        <w:t>. During the Series 2023-4 Revolving Period, the Administrator will direct the Trustee in writing pursuant to the Administration Agreement to allocate, prior to 11:00 a.m. (New York City time) on each Series 2023-4 Deposit Date, all amounts deposited into the Collection Account as set forth below:</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11"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2023-4 Collection Account an amount equal to the Series 2023-4 Invested Percentage (as of such day) of the aggregate amount of Interest Collections on such day. All such amounts allocated to the Series 2023-4 Collection Account shall be further allocated to the Series 2023-4 Accrued Interest Account; and</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86"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2023-4 Excess Collection Account an amount equal to the Series 2023-4 Invested Percentage (as of such day) of the aggregate amount of Principal Collections on such day (for any such day, the “</w:t>
      </w:r>
      <w:r>
        <w:rPr>
          <w:rFonts w:ascii="Times New Roman" w:cs="Times New Roman" w:eastAsia="Times New Roman" w:hAnsi="Times New Roman"/>
          <w:sz w:val="22"/>
          <w:szCs w:val="22"/>
          <w:u w:val="single" w:color="auto"/>
          <w:color w:val="auto"/>
        </w:rPr>
        <w:t>Series 2023-4 Principal Allocation</w:t>
      </w:r>
      <w:r>
        <w:rPr>
          <w:rFonts w:ascii="Times New Roman" w:cs="Times New Roman" w:eastAsia="Times New Roman" w:hAnsi="Times New Roman"/>
          <w:sz w:val="22"/>
          <w:szCs w:val="22"/>
          <w:color w:val="auto"/>
        </w:rPr>
        <w:t>”).</w:t>
      </w: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ectPr>
          <w:pgSz w:w="11900" w:h="16838" w:orient="portrait"/>
          <w:cols w:equalWidth="0" w:num="1">
            <w:col w:w="11240"/>
          </w:cols>
          <w:pgMar w:left="320" w:top="1030" w:right="339" w:bottom="1440" w:gutter="0" w:footer="0" w:header="0"/>
        </w:sectPr>
      </w:pPr>
    </w:p>
    <w:bookmarkStart w:id="275" w:name="page276"/>
    <w:bookmarkEnd w:id="275"/>
    <w:p>
      <w:pPr>
        <w:jc w:val="both"/>
        <w:ind w:left="-80" w:firstLine="1304"/>
        <w:spacing w:after="0" w:line="256" w:lineRule="auto"/>
        <w:tabs>
          <w:tab w:leader="none" w:pos="177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2023-4 Controlled Amortization Period</w:t>
      </w:r>
      <w:r>
        <w:rPr>
          <w:rFonts w:ascii="Times New Roman" w:cs="Times New Roman" w:eastAsia="Times New Roman" w:hAnsi="Times New Roman"/>
          <w:sz w:val="22"/>
          <w:szCs w:val="22"/>
          <w:color w:val="auto"/>
        </w:rPr>
        <w:t>. With respect to the Series 2023-4 Controlled Amortization Period, the Administrator will direct the Trustee in writing pursuant to the Administration Agreement to allocate, prior to 11:00 a.m. (New York City time) on any Series 2023-4 Deposit Date, all amounts deposited into the Collection Account as set forth below:</w:t>
      </w:r>
    </w:p>
    <w:p>
      <w:pPr>
        <w:spacing w:after="0" w:line="176" w:lineRule="exact"/>
        <w:rPr>
          <w:rFonts w:ascii="Times New Roman" w:cs="Times New Roman" w:eastAsia="Times New Roman" w:hAnsi="Times New Roman"/>
          <w:sz w:val="22"/>
          <w:szCs w:val="22"/>
          <w:color w:val="auto"/>
        </w:rPr>
      </w:pPr>
    </w:p>
    <w:p>
      <w:pPr>
        <w:ind w:left="2340" w:hanging="468"/>
        <w:spacing w:after="0"/>
        <w:tabs>
          <w:tab w:leader="none" w:pos="2340" w:val="left"/>
        </w:tabs>
        <w:numPr>
          <w:ilvl w:val="2"/>
          <w:numId w:val="2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2023-4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840" w:hanging="264"/>
        <w:spacing w:after="0"/>
        <w:tabs>
          <w:tab w:leader="none" w:pos="84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2023-4 Accrued Interest Account; and</w:t>
      </w:r>
    </w:p>
    <w:p>
      <w:pPr>
        <w:spacing w:after="0" w:line="195"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467" w:val="left"/>
        </w:tabs>
        <w:numPr>
          <w:ilvl w:val="2"/>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2023-4 Collection Account an amount equal to the Series 2023-4 Principal Allocation for such day, which amount shall be used to make principal payments in respect of the Series 2023-4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2023-4 Excess Collection Account.</w:t>
      </w:r>
    </w:p>
    <w:p>
      <w:pPr>
        <w:spacing w:after="0" w:line="197" w:lineRule="exact"/>
        <w:rPr>
          <w:rFonts w:ascii="Times New Roman" w:cs="Times New Roman" w:eastAsia="Times New Roman" w:hAnsi="Times New Roman"/>
          <w:sz w:val="22"/>
          <w:szCs w:val="22"/>
          <w:color w:val="auto"/>
        </w:rPr>
      </w:pPr>
    </w:p>
    <w:p>
      <w:pPr>
        <w:jc w:val="both"/>
        <w:ind w:left="-80" w:firstLine="1304"/>
        <w:spacing w:after="0" w:line="250" w:lineRule="auto"/>
        <w:tabs>
          <w:tab w:leader="none" w:pos="1726" w:val="left"/>
        </w:tabs>
        <w:numPr>
          <w:ilvl w:val="1"/>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2023-4 Rapid Amortization Period</w:t>
      </w:r>
      <w:r>
        <w:rPr>
          <w:rFonts w:ascii="Times New Roman" w:cs="Times New Roman" w:eastAsia="Times New Roman" w:hAnsi="Times New Roman"/>
          <w:sz w:val="22"/>
          <w:szCs w:val="22"/>
          <w:color w:val="auto"/>
        </w:rPr>
        <w:t>. With respect to the Series 2023-4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2023-4 Deposit Date, all amounts deposited into the Collection Account as set forth below:</w:t>
      </w:r>
    </w:p>
    <w:p>
      <w:pPr>
        <w:spacing w:after="0" w:line="194" w:lineRule="exact"/>
        <w:rPr>
          <w:rFonts w:ascii="Times New Roman" w:cs="Times New Roman" w:eastAsia="Times New Roman" w:hAnsi="Times New Roman"/>
          <w:sz w:val="22"/>
          <w:szCs w:val="22"/>
          <w:color w:val="auto"/>
        </w:rPr>
      </w:pPr>
    </w:p>
    <w:p>
      <w:pPr>
        <w:ind w:left="2340" w:hanging="468"/>
        <w:spacing w:after="0"/>
        <w:tabs>
          <w:tab w:leader="none" w:pos="2340" w:val="left"/>
        </w:tabs>
        <w:numPr>
          <w:ilvl w:val="2"/>
          <w:numId w:val="2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2023-4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840" w:hanging="264"/>
        <w:spacing w:after="0"/>
        <w:tabs>
          <w:tab w:leader="none" w:pos="840"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2023-4 Accrued Interest Account; and</w:t>
      </w:r>
    </w:p>
    <w:p>
      <w:pPr>
        <w:spacing w:after="0" w:line="195"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467" w:val="left"/>
        </w:tabs>
        <w:numPr>
          <w:ilvl w:val="2"/>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2023-4 Collection Account an amount equal to the Series 2023-4 Principal Allocation for such day, which amount shall be used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after the Class A Notes, the Class B Notes, and the Class C Notes have been paid in full, shall be used to make principal payments in respect of the Class D Notes until the Class D Notes have been paid in full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ectPr>
          <w:pgSz w:w="11900" w:h="16838" w:orient="portrait"/>
          <w:cols w:equalWidth="0" w:num="1">
            <w:col w:w="11160"/>
          </w:cols>
          <w:pgMar w:left="400" w:top="1030" w:right="339" w:bottom="1440" w:gutter="0" w:footer="0" w:header="0"/>
        </w:sectPr>
      </w:pPr>
    </w:p>
    <w:bookmarkStart w:id="276" w:name="page277"/>
    <w:bookmarkEnd w:id="276"/>
    <w:p>
      <w:pPr>
        <w:jc w:val="both"/>
        <w:ind w:left="580"/>
        <w:spacing w:after="0" w:line="247" w:lineRule="auto"/>
        <w:rPr>
          <w:sz w:val="20"/>
          <w:szCs w:val="20"/>
          <w:color w:val="auto"/>
        </w:rPr>
      </w:pPr>
      <w:r>
        <w:rPr>
          <w:rFonts w:ascii="Times New Roman" w:cs="Times New Roman" w:eastAsia="Times New Roman" w:hAnsi="Times New Roman"/>
          <w:sz w:val="22"/>
          <w:szCs w:val="22"/>
          <w:color w:val="auto"/>
        </w:rPr>
        <w:t xml:space="preserve">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(A) the Administrator determines that the amount anticipated to be available from Interest Collections allocable to the Series 2023-4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2023-4 Notes during the Related Month equal to the lesser of such insufficiency and the Class A/B/C Enhancement Amount to the Series 2023-4 Accrued Interest Account to be treated as Interest Collections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2023-4 Notes and other amounts available pursuant to Section 2.3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2023-4 Notes during the Related Month equal to the lesser of such insufficiency and the Class D Enhancement Amount to the Series 2023-4 Accrued Interest Account to be treated as Interest Collections on such Distribution Date.</w:t>
      </w:r>
    </w:p>
    <w:p>
      <w:pPr>
        <w:spacing w:after="0" w:line="187" w:lineRule="exact"/>
        <w:rPr>
          <w:sz w:val="20"/>
          <w:szCs w:val="20"/>
          <w:color w:val="auto"/>
        </w:rPr>
      </w:pPr>
    </w:p>
    <w:p>
      <w:pPr>
        <w:jc w:val="both"/>
        <w:ind w:left="-80" w:firstLine="1304"/>
        <w:spacing w:after="0" w:line="253" w:lineRule="auto"/>
        <w:tabs>
          <w:tab w:leader="none" w:pos="1697"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after the Occurrence of an Event of Bankruptcy</w:t>
      </w:r>
      <w:r>
        <w:rPr>
          <w:rFonts w:ascii="Times New Roman" w:cs="Times New Roman" w:eastAsia="Times New Roman" w:hAnsi="Times New Roman"/>
          <w:sz w:val="22"/>
          <w:szCs w:val="22"/>
          <w:color w:val="auto"/>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2023-4 Deposit Date, all amounts attributable to the AESOP I Operating Lease Loan Agreement deposited into the Collection Account as set forth below:</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407"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2023-4 Collection Account an amount equal to the Series 2023-4 AESOP I Operating Lease Vehicle Percentage as of the date of the occurrence of such Event of Bankruptcy of the aggregate amount of Interest Collections made under the AESOP I Operating Lease Loan Agreement for such day. All such amounts allocated to the Series 2023-4 Collection Account shall be further allocated to the Series 2023-4 Accrued Interest Account; and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bl>
    <w:p>
      <w:pPr>
        <w:sectPr>
          <w:pgSz w:w="11900" w:h="16838" w:orient="portrait"/>
          <w:cols w:equalWidth="0" w:num="1">
            <w:col w:w="11160"/>
          </w:cols>
          <w:pgMar w:left="400" w:top="1030" w:right="339" w:bottom="1440" w:gutter="0" w:footer="0" w:header="0"/>
        </w:sectPr>
      </w:pPr>
    </w:p>
    <w:bookmarkStart w:id="277" w:name="page278"/>
    <w:bookmarkEnd w:id="277"/>
    <w:p>
      <w:pPr>
        <w:jc w:val="both"/>
        <w:ind w:left="580" w:firstLine="1292"/>
        <w:spacing w:after="0" w:line="246" w:lineRule="auto"/>
        <w:tabs>
          <w:tab w:leader="none" w:pos="2455"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2023-4 Collection Account an amount equal to the Series 2023-4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(A) the Administrator determines that the amount anticipated to be available from Interest Collections allocable to the Series 2023-4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2023-4 Notes during the Related Month equal to the lesser of such insufficiency and the Class A/B/C Enhancement Amount to the Series 2023-4 Accrued Interest Account to be treated as Interest Collections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2023-4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2023-4 Notes during the Related Month equal to the lesser of such insufficiency and the Class D Enhancement Amount to the Series 2023-4 Accrued Interest Account to be treated as Interest Collections on such Distribution Date.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ectPr>
          <w:pgSz w:w="11900" w:h="16838" w:orient="portrait"/>
          <w:cols w:equalWidth="0" w:num="1">
            <w:col w:w="11160"/>
          </w:cols>
          <w:pgMar w:left="400" w:top="1030" w:right="339" w:bottom="1440" w:gutter="0" w:footer="0" w:header="0"/>
        </w:sectPr>
      </w:pPr>
    </w:p>
    <w:bookmarkStart w:id="278" w:name="page279"/>
    <w:bookmarkEnd w:id="278"/>
    <w:p>
      <w:pPr>
        <w:jc w:val="both"/>
        <w:ind w:left="-8" w:firstLine="1304"/>
        <w:spacing w:after="0" w:line="262" w:lineRule="auto"/>
        <w:tabs>
          <w:tab w:leader="none" w:pos="1933" w:val="left"/>
        </w:tabs>
        <w:numPr>
          <w:ilvl w:val="1"/>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2023-4 Excess Collection Account</w:t>
      </w:r>
      <w:r>
        <w:rPr>
          <w:rFonts w:ascii="Times New Roman" w:cs="Times New Roman" w:eastAsia="Times New Roman" w:hAnsi="Times New Roman"/>
          <w:sz w:val="21"/>
          <w:szCs w:val="21"/>
          <w:color w:val="auto"/>
        </w:rPr>
        <w:t>. Amounts allocated to the Series 2023-4 Excess Collection Account on any Series 2023-4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w:t>
      </w:r>
    </w:p>
    <w:p>
      <w:pPr>
        <w:spacing w:after="0" w:line="1" w:lineRule="exact"/>
        <w:rPr>
          <w:rFonts w:ascii="Times New Roman" w:cs="Times New Roman" w:eastAsia="Times New Roman" w:hAnsi="Times New Roman"/>
          <w:sz w:val="21"/>
          <w:szCs w:val="21"/>
          <w:color w:val="auto"/>
        </w:rPr>
      </w:pPr>
    </w:p>
    <w:p>
      <w:pPr>
        <w:jc w:val="both"/>
        <w:ind w:left="-8" w:firstLine="8"/>
        <w:spacing w:after="0" w:line="246" w:lineRule="auto"/>
        <w:tabs>
          <w:tab w:leader="none" w:pos="31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clauses (x), (y) and (z), that no Amortization Event, Series 2023-4 Enhancement Deficiency or AESOP I Operating Lease Vehicle Deficiency would result therefrom or exist immediately thereafter. Upon the occurrence of an Amortization Event and once a Trust Officer has actual knowledge of the Amortization Event, funds on deposit in the Series 2023-4 Excess Collection Account will be withdrawn by the Trustee, deposited in the Series 2023-4 Collection Account and allocated as Principal Collections to reduce the Series 2023-4 Invested Amount on the immediately succeeding Distribution Date.</w:t>
      </w:r>
    </w:p>
    <w:p>
      <w:pPr>
        <w:spacing w:after="0" w:line="188" w:lineRule="exact"/>
        <w:rPr>
          <w:rFonts w:ascii="Times New Roman" w:cs="Times New Roman" w:eastAsia="Times New Roman" w:hAnsi="Times New Roman"/>
          <w:sz w:val="22"/>
          <w:szCs w:val="22"/>
          <w:color w:val="auto"/>
        </w:rPr>
      </w:pPr>
    </w:p>
    <w:p>
      <w:pPr>
        <w:jc w:val="both"/>
        <w:ind w:left="-8" w:firstLine="1304"/>
        <w:spacing w:after="0" w:line="268" w:lineRule="auto"/>
        <w:tabs>
          <w:tab w:leader="none" w:pos="1814" w:val="left"/>
        </w:tabs>
        <w:numPr>
          <w:ilvl w:val="1"/>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From Other Series</w:t>
      </w:r>
      <w:r>
        <w:rPr>
          <w:rFonts w:ascii="Times New Roman" w:cs="Times New Roman" w:eastAsia="Times New Roman" w:hAnsi="Times New Roman"/>
          <w:sz w:val="21"/>
          <w:szCs w:val="21"/>
          <w:color w:val="auto"/>
        </w:rPr>
        <w:t>. Amounts allocated to other Series of Notes that have been reallocated by ABRCF to the Series 2023-4 Notes (i) during the Series 2023-4 Revolving Period shall be allocated to the Series 2023-4 Excess Collection Account and applied in accordance with Section 2.2(e) and (ii) during the Series 2023-4 Controlled Amortization Period or the Series 2023-4 Rapid Amortization Period shall be allocated to the Series 2023-4 Collection Account and applied in accordance with Section 2.2(b) or 2.2(c), as applicable, to make principal payments in respect of the Series 2023-4 Notes.</w:t>
      </w:r>
    </w:p>
    <w:p>
      <w:pPr>
        <w:spacing w:after="0" w:line="163" w:lineRule="exact"/>
        <w:rPr>
          <w:rFonts w:ascii="Times New Roman" w:cs="Times New Roman" w:eastAsia="Times New Roman" w:hAnsi="Times New Roman"/>
          <w:sz w:val="21"/>
          <w:szCs w:val="21"/>
          <w:color w:val="auto"/>
        </w:rPr>
      </w:pPr>
    </w:p>
    <w:p>
      <w:pPr>
        <w:jc w:val="both"/>
        <w:ind w:left="-8" w:firstLine="1304"/>
        <w:spacing w:after="0" w:line="250" w:lineRule="auto"/>
        <w:tabs>
          <w:tab w:leader="none" w:pos="1850"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Past Due Rent Payments</w:t>
      </w:r>
      <w:r>
        <w:rPr>
          <w:rFonts w:ascii="Times New Roman" w:cs="Times New Roman" w:eastAsia="Times New Roman" w:hAnsi="Times New Roman"/>
          <w:sz w:val="22"/>
          <w:szCs w:val="22"/>
          <w:color w:val="auto"/>
        </w:rPr>
        <w:t>. Notwithstanding the foregoing, if in the case of Section 2.2(a) or (b), after the occurrence of a Series 2023-4 Lease Payment Deficit, the Lessees shall make payments of Monthly Base Rent or other amounts payable by the Lessees under the Leases on or prior to the fifth Business Day after the occurrence of such Series 2023-4 Lease Payment Deficit (a “</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the Administrator shall direct the Trustee in writing pursuant to the Administration Agreement to allocate to the Series 2023-4 Collection Account an amount equal to the Series 2023-4 Invested Percentage as of the date of the occurrence of such Series 2023-4 Lease Payment Deficit of the Collections attributable to such Past Due Rent Payment (the “</w:t>
      </w:r>
      <w:r>
        <w:rPr>
          <w:rFonts w:ascii="Times New Roman" w:cs="Times New Roman" w:eastAsia="Times New Roman" w:hAnsi="Times New Roman"/>
          <w:sz w:val="22"/>
          <w:szCs w:val="22"/>
          <w:u w:val="single" w:color="auto"/>
          <w:color w:val="auto"/>
        </w:rPr>
        <w:t>Series 2023-4 Past Due Rent Payment</w:t>
      </w:r>
      <w:r>
        <w:rPr>
          <w:rFonts w:ascii="Times New Roman" w:cs="Times New Roman" w:eastAsia="Times New Roman" w:hAnsi="Times New Roman"/>
          <w:sz w:val="22"/>
          <w:szCs w:val="22"/>
          <w:color w:val="auto"/>
        </w:rPr>
        <w:t>”). The Administrator shall instruct the Trustee in writing pursuant to the Administration Agreement to withdraw from the Series 2023-4 Collection Account and apply the Series 2023-4 Past Due Rent Payment in the following order:</w:t>
      </w:r>
    </w:p>
    <w:p>
      <w:pPr>
        <w:spacing w:after="0" w:line="179" w:lineRule="exact"/>
        <w:rPr>
          <w:rFonts w:ascii="Times New Roman" w:cs="Times New Roman" w:eastAsia="Times New Roman" w:hAnsi="Times New Roman"/>
          <w:sz w:val="22"/>
          <w:szCs w:val="22"/>
          <w:color w:val="auto"/>
        </w:rPr>
      </w:pPr>
    </w:p>
    <w:p>
      <w:pPr>
        <w:jc w:val="both"/>
        <w:ind w:left="652" w:firstLine="1292"/>
        <w:spacing w:after="0" w:line="252" w:lineRule="auto"/>
        <w:tabs>
          <w:tab w:leader="none" w:pos="2406" w:val="left"/>
        </w:tabs>
        <w:numPr>
          <w:ilvl w:val="2"/>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2023-4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2023-4 Reimbursement Agreement an amount</w:t>
      </w:r>
    </w:p>
    <w:p>
      <w:pPr>
        <w:spacing w:after="0" w:line="233" w:lineRule="exact"/>
        <w:rPr>
          <w:sz w:val="20"/>
          <w:szCs w:val="20"/>
          <w:color w:val="auto"/>
        </w:rPr>
      </w:pPr>
    </w:p>
    <w:tbl>
      <w:tblPr>
        <w:tblLayout w:type="fixed"/>
        <w:tblInd w:w="72"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ectPr>
          <w:pgSz w:w="11900" w:h="16838" w:orient="portrait"/>
          <w:cols w:equalWidth="0" w:num="1">
            <w:col w:w="11232"/>
          </w:cols>
          <w:pgMar w:left="328" w:top="1030" w:right="339" w:bottom="1440" w:gutter="0" w:footer="0" w:header="0"/>
        </w:sectPr>
      </w:pPr>
    </w:p>
    <w:bookmarkStart w:id="279" w:name="page280"/>
    <w:bookmarkEnd w:id="279"/>
    <w:p>
      <w:pPr>
        <w:jc w:val="both"/>
        <w:ind w:left="580"/>
        <w:spacing w:after="0" w:line="263" w:lineRule="auto"/>
        <w:rPr>
          <w:sz w:val="20"/>
          <w:szCs w:val="20"/>
          <w:color w:val="auto"/>
        </w:rPr>
      </w:pPr>
      <w:r>
        <w:rPr>
          <w:rFonts w:ascii="Times New Roman" w:cs="Times New Roman" w:eastAsia="Times New Roman" w:hAnsi="Times New Roman"/>
          <w:sz w:val="22"/>
          <w:szCs w:val="22"/>
          <w:color w:val="auto"/>
        </w:rPr>
        <w:t>equal to the lesser of (x) the unreimbursed amount of such Multi-Series Letter of Credit Provider’s Lease Deficit Disbursement with respect to the Class A/B/C Notes and (y) such Multi-Series Letter of Credit Provider’s Class A/B/C Pro Rata Share of the Series 2023-4 Past Due Rent Payment;</w:t>
      </w:r>
    </w:p>
    <w:p>
      <w:pPr>
        <w:spacing w:after="0" w:line="167" w:lineRule="exact"/>
        <w:rPr>
          <w:sz w:val="20"/>
          <w:szCs w:val="20"/>
          <w:color w:val="auto"/>
        </w:rPr>
      </w:pPr>
    </w:p>
    <w:p>
      <w:pPr>
        <w:jc w:val="both"/>
        <w:ind w:left="580" w:firstLine="1292"/>
        <w:spacing w:after="0" w:line="262" w:lineRule="auto"/>
        <w:tabs>
          <w:tab w:leader="none" w:pos="2399"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2023-4 Lease Payment Deficit resulted in a withdrawal being made from the Class A/B/C Cash Collateral Account, deposit in the Class A/B/C Cash Collateral Account an amount equal to the lesser of (x) the amount of the Series 2023-4 Past Due Rent Payment remaining after any payment pursuant to clause</w:t>
      </w:r>
    </w:p>
    <w:p>
      <w:pPr>
        <w:spacing w:after="0" w:line="2" w:lineRule="exact"/>
        <w:rPr>
          <w:rFonts w:ascii="Times New Roman" w:cs="Times New Roman" w:eastAsia="Times New Roman" w:hAnsi="Times New Roman"/>
          <w:sz w:val="21"/>
          <w:szCs w:val="21"/>
          <w:color w:val="auto"/>
        </w:rPr>
      </w:pPr>
    </w:p>
    <w:p>
      <w:pPr>
        <w:ind w:left="580" w:hanging="4"/>
        <w:spacing w:after="0" w:line="261" w:lineRule="auto"/>
        <w:tabs>
          <w:tab w:leader="none" w:pos="843"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A/B/C Cash Collateral Account on account of such Series 2023-4 Lease Payment Deficit;</w:t>
      </w:r>
    </w:p>
    <w:p>
      <w:pPr>
        <w:spacing w:after="0" w:line="168"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47"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2023-4 Lease Payment Deficit resulted in a withdrawal being made from the Class A/B/C Reserve Account pursuant to Section 2.3(d), deposit in the Class A/B/C Reserve Account an amount equal to the lesser of (x) the amount of the Series 2023-4 Past Due Rent Payment remaining after any payments pursuant to clauses (i) and (ii) above and (y) the excess, if any, of the Class A/B/C Required Reserve Account Amount over the Class A/B/C Available Reserve Account Amount on such day;</w:t>
      </w:r>
    </w:p>
    <w:p>
      <w:pPr>
        <w:spacing w:after="0" w:line="194"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20"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2023-4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2023-4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2023-4 Past Due Rent Payment remaining after any payment pursuant to clauses (i) through (iii) above;</w:t>
      </w:r>
    </w:p>
    <w:p>
      <w:pPr>
        <w:spacing w:after="0" w:line="180" w:lineRule="exact"/>
        <w:rPr>
          <w:rFonts w:ascii="Times New Roman" w:cs="Times New Roman" w:eastAsia="Times New Roman" w:hAnsi="Times New Roman"/>
          <w:sz w:val="22"/>
          <w:szCs w:val="22"/>
          <w:color w:val="auto"/>
        </w:rPr>
      </w:pPr>
    </w:p>
    <w:p>
      <w:pPr>
        <w:jc w:val="both"/>
        <w:ind w:left="580" w:firstLine="1292"/>
        <w:spacing w:after="0" w:line="263" w:lineRule="auto"/>
        <w:tabs>
          <w:tab w:leader="none" w:pos="2389" w:val="left"/>
        </w:tabs>
        <w:numPr>
          <w:ilvl w:val="1"/>
          <w:numId w:val="2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2023-4 Lease Payment Deficit resulted in a withdrawal being made from the Class D Cash Collateral Account, deposit in the Class D Cash Collateral Account an amount equal to the lesser of (x) the amount of the Series 2023-4 Past Due Rent Payment remaining after any payment pursuant to clause (i) through</w:t>
      </w:r>
    </w:p>
    <w:p>
      <w:pPr>
        <w:spacing w:after="0" w:line="1" w:lineRule="exact"/>
        <w:rPr>
          <w:rFonts w:ascii="Times New Roman" w:cs="Times New Roman" w:eastAsia="Times New Roman" w:hAnsi="Times New Roman"/>
          <w:sz w:val="21"/>
          <w:szCs w:val="21"/>
          <w:color w:val="auto"/>
        </w:rPr>
      </w:pPr>
    </w:p>
    <w:p>
      <w:pPr>
        <w:ind w:left="580" w:right="20" w:hanging="4"/>
        <w:spacing w:after="0" w:line="259" w:lineRule="auto"/>
        <w:tabs>
          <w:tab w:leader="none" w:pos="96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D Cash Collateral Account on account of such Series 2023-4 Lease Payment Deficit;</w:t>
      </w:r>
    </w:p>
    <w:p>
      <w:pPr>
        <w:spacing w:after="0" w:line="170"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438"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2023-4 Lease Payment Deficit resulted in a withdrawal being made from the Class D Reserve Account pursuant to Section 2.3(d), deposit in the Class D Reserve Account an amount equal to the lesser of (x) the amount of the Series 2023-4 Past Due Rent Payment remaining after any payments pursuant to clauses (i) through (v) above and (y) the excess, if any, of the Class D Required Reserve Account Amount over the Class D Available Reserve Account Amount on such day;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ectPr>
          <w:pgSz w:w="11900" w:h="16838" w:orient="portrait"/>
          <w:cols w:equalWidth="0" w:num="1">
            <w:col w:w="11160"/>
          </w:cols>
          <w:pgMar w:left="400" w:top="1030" w:right="339" w:bottom="1440" w:gutter="0" w:footer="0" w:header="0"/>
        </w:sectPr>
      </w:pPr>
    </w:p>
    <w:bookmarkStart w:id="280" w:name="page281"/>
    <w:bookmarkEnd w:id="280"/>
    <w:p>
      <w:pPr>
        <w:jc w:val="both"/>
        <w:ind w:left="660" w:firstLine="1292"/>
        <w:spacing w:after="0" w:line="263" w:lineRule="auto"/>
        <w:tabs>
          <w:tab w:leader="none" w:pos="2658"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2023-4 Accrued Interest Account the amount, if any, by which the Series 2023-4 Lease Interest Payment Deficit, if any, relating to such Series 2023-4 Lease Payment Deficit exceeds the amount of the Series 2023-4 Past Due Rent Payment applied pursuant to clauses (i) (vi) above; and</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67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 the remaining amount of the Series 2023-4 Past Due Rent Payment as Principal Collections allocated to the Series 2023-4 Notes in accordance with Section 2.2(a)(ii) or 2.2(b)(ii), as the case may be.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Payments to Noteholders</w:t>
      </w:r>
      <w:r>
        <w:rPr>
          <w:rFonts w:ascii="Times New Roman" w:cs="Times New Roman" w:eastAsia="Times New Roman" w:hAnsi="Times New Roman"/>
          <w:sz w:val="22"/>
          <w:szCs w:val="22"/>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2023-4 Notes.</w:t>
      </w:r>
    </w:p>
    <w:p>
      <w:pPr>
        <w:spacing w:after="0" w:line="179" w:lineRule="exact"/>
        <w:rPr>
          <w:sz w:val="20"/>
          <w:szCs w:val="20"/>
          <w:color w:val="auto"/>
        </w:rPr>
      </w:pPr>
    </w:p>
    <w:p>
      <w:pPr>
        <w:jc w:val="both"/>
        <w:ind w:firstLine="1304"/>
        <w:spacing w:after="0" w:line="260" w:lineRule="auto"/>
        <w:tabs>
          <w:tab w:leader="none" w:pos="1779" w:val="left"/>
        </w:tabs>
        <w:numPr>
          <w:ilvl w:val="1"/>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Note Interest with Respect to the Series 2023-4 Notes</w:t>
      </w:r>
      <w:r>
        <w:rPr>
          <w:rFonts w:ascii="Times New Roman" w:cs="Times New Roman" w:eastAsia="Times New Roman" w:hAnsi="Times New Roman"/>
          <w:sz w:val="21"/>
          <w:szCs w:val="21"/>
          <w:color w:val="auto"/>
        </w:rPr>
        <w:t>. On each Determination Date, the Administrator shall instruct the Trustee and the Paying Agent in writing pursuant to the Administration Agreement as to the amount to be withdrawn and paid pursuant to Section 2.4 from the Series 2023-4 Accrued Interest Account to the extent funds are anticipated to be available from Interest Collections allocable to the Series 2023-4 Notes processed from but not including the preceding Distribution Date through the succeeding Distribution Date in respect of (i) an amount equal to the Class A Monthly Interest for the Series 2023-4 Interest Period ending on the day preceding the related Distribution Date, (ii) an amount equal to the amount of any unpaid Class A Shortfall as of the preceding Distribution Date (together with any accrued interest on such Class A Shortfall),</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79"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Class B Monthly Interest for the Series 2023-4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2023-4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2023-4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2023-4 Interest Period ending on the day preceding the related Distribution Date and (x)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2023-4 Accrued Interest Account and deposit such amounts in the Series 2023-4 Distribution Account. For the avoidance of doubt, no interest shall accrue or be due and payable with respect to the Class C Notes for so long as ABRCF owns 100% of the Class C Notes.</w:t>
      </w:r>
    </w:p>
    <w:p>
      <w:pPr>
        <w:spacing w:after="0" w:line="193" w:lineRule="exact"/>
        <w:rPr>
          <w:rFonts w:ascii="Times New Roman" w:cs="Times New Roman" w:eastAsia="Times New Roman" w:hAnsi="Times New Roman"/>
          <w:sz w:val="22"/>
          <w:szCs w:val="22"/>
          <w:color w:val="auto"/>
        </w:rPr>
      </w:pPr>
    </w:p>
    <w:p>
      <w:pPr>
        <w:ind w:firstLine="1304"/>
        <w:spacing w:after="0" w:line="271" w:lineRule="auto"/>
        <w:tabs>
          <w:tab w:leader="none" w:pos="1966"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 On or before 3:00 p.m. (New York City time) on the Business Day immediately preceding each Distribution Date, the Administrator shall</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bl>
    <w:p>
      <w:pPr>
        <w:sectPr>
          <w:pgSz w:w="11900" w:h="16838" w:orient="portrait"/>
          <w:cols w:equalWidth="0" w:num="1">
            <w:col w:w="11240"/>
          </w:cols>
          <w:pgMar w:left="320" w:top="1030" w:right="339" w:bottom="1440" w:gutter="0" w:footer="0" w:header="0"/>
        </w:sectPr>
      </w:pPr>
    </w:p>
    <w:bookmarkStart w:id="281" w:name="page282"/>
    <w:bookmarkEnd w:id="281"/>
    <w:p>
      <w:pPr>
        <w:spacing w:after="0" w:line="271" w:lineRule="auto"/>
        <w:rPr>
          <w:sz w:val="20"/>
          <w:szCs w:val="20"/>
          <w:color w:val="auto"/>
        </w:rPr>
      </w:pPr>
      <w:r>
        <w:rPr>
          <w:rFonts w:ascii="Times New Roman" w:cs="Times New Roman" w:eastAsia="Times New Roman" w:hAnsi="Times New Roman"/>
          <w:sz w:val="22"/>
          <w:szCs w:val="22"/>
          <w:color w:val="auto"/>
        </w:rPr>
        <w:t xml:space="preserve">notify the Trustee of the amount of any Series 2023-4 Lease Payment Deficit, such notification to be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304"/>
        <w:spacing w:after="0" w:line="257" w:lineRule="auto"/>
        <w:tabs>
          <w:tab w:leader="none" w:pos="1981"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Multi-Series Letters of Credit For Series 2023-4 Lease Interest Payment Deficits</w:t>
      </w:r>
      <w:r>
        <w:rPr>
          <w:rFonts w:ascii="Times New Roman" w:cs="Times New Roman" w:eastAsia="Times New Roman" w:hAnsi="Times New Roman"/>
          <w:sz w:val="22"/>
          <w:szCs w:val="22"/>
          <w:color w:val="auto"/>
        </w:rPr>
        <w:t>. If the Administrator determines on the Business Day immediately preceding any Distribution Date that on such Distribution Date there will exist a Series 2023-4 Lease Interest Payment Deficit, the Administrator shall:</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46" w:lineRule="auto"/>
        <w:tabs>
          <w:tab w:leader="none" w:pos="2388"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 the least of (x) the excess, if any, of such Series 2023-4 Lease Interest Payment Deficit over the sum of (1) the amounts described in clauses (vii) and (viii) of Section 2.3(a) above and (2) during the Series 2023-4 Rapid Amortization Period, the product of the Class D Percentage and the Series 2023-4 Trustee’s Fees for such Distribution Date, (y) the excess, if any, of (A) the sum of (1) the amounts described in clauses (i) through (vi) of Section 2.3(a) above for such Distribution Date and (2) during the Series 2023-4 Rapid Amortization Period, the product of the Class A/B/C Percentage and the Series 2023-4 Trustee’s Fees for such Distribution Date, over (B) the amounts available from the Series 2023-4 Accrued Interest Account and (z) the Class A/B/C Letter of Credit Liquidity Amount or (II) if no Class A Notes, Class B Notes or Class C Notes remain outstanding, the least of (x) such Series 2023-4 Lease Interest Payment Deficit, (y) the excess, if any, of (A) the sum of (1) the amounts described in clauses (i) through (viii) of Section 2.3(a) above for such Distribution Date and (2) during the Series 2023-4 Rapid Amortization Period, the Series 2023-4 Trustee’s Fees for such Distribution Date, over (B) the amounts available from the Series 2023-4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2023-4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2023-4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Multi-Series Letters of Credit; and</w:t>
      </w:r>
    </w:p>
    <w:p>
      <w:pPr>
        <w:spacing w:after="0" w:line="216"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36"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2023-4 Lease Interest Payment Deficit, (y) the excess, if any, of (A) the sum of (1) the amounts described in clauses (vii) and (viii) of Section 2.3(a) above for such</w:t>
      </w: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ectPr>
          <w:pgSz w:w="11900" w:h="16838" w:orient="portrait"/>
          <w:cols w:equalWidth="0" w:num="1">
            <w:col w:w="11240"/>
          </w:cols>
          <w:pgMar w:left="320" w:top="1030" w:right="339" w:bottom="1440" w:gutter="0" w:footer="0" w:header="0"/>
        </w:sectPr>
      </w:pPr>
    </w:p>
    <w:bookmarkStart w:id="282" w:name="page283"/>
    <w:bookmarkEnd w:id="282"/>
    <w:p>
      <w:pPr>
        <w:jc w:val="both"/>
        <w:ind w:left="580"/>
        <w:spacing w:after="0" w:line="248" w:lineRule="auto"/>
        <w:rPr>
          <w:sz w:val="20"/>
          <w:szCs w:val="20"/>
          <w:color w:val="auto"/>
        </w:rPr>
      </w:pPr>
      <w:r>
        <w:rPr>
          <w:rFonts w:ascii="Times New Roman" w:cs="Times New Roman" w:eastAsia="Times New Roman" w:hAnsi="Times New Roman"/>
          <w:sz w:val="22"/>
          <w:szCs w:val="22"/>
          <w:color w:val="auto"/>
        </w:rPr>
        <w:t xml:space="preserve">Distribution Date and (2) during the Series 2023-4 Rapid Amortization Period, the product of the Class D Percentage and the Series 2023-4 Trustee’s Fees for such Distribution Date, over (B) the excess of (1) the sum of (X) the amounts available from the Series 2023-4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2023-4 Rapid Amortization Period, the product of the Class A/B/C Percentage and the Series 2023-4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 Deficit Disbursements to be deposited in the Series 2023-4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D Cash Collateral Account has been established and funded, the Trustee shall withdraw from the Class D Cash Collateral Account and deposit in the Series 2023-4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spacing w:after="0" w:line="183" w:lineRule="exact"/>
        <w:rPr>
          <w:sz w:val="20"/>
          <w:szCs w:val="20"/>
          <w:color w:val="auto"/>
        </w:rPr>
      </w:pPr>
    </w:p>
    <w:p>
      <w:pPr>
        <w:jc w:val="both"/>
        <w:ind w:left="-80" w:firstLine="1304"/>
        <w:spacing w:after="0" w:line="251" w:lineRule="auto"/>
        <w:tabs>
          <w:tab w:leader="none" w:pos="1792"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Withdrawals from Series 2023-4 Reserve Accounts</w:t>
      </w:r>
      <w:r>
        <w:rPr>
          <w:rFonts w:ascii="Times New Roman" w:cs="Times New Roman" w:eastAsia="Times New Roman" w:hAnsi="Times New Roman"/>
          <w:sz w:val="22"/>
          <w:szCs w:val="22"/>
          <w:color w:val="auto"/>
        </w:rPr>
        <w:t xml:space="preserve">. If the Administrator determines on any Distribution Date that the amounts available from the Series 2023-4 Accrued Interest Account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to be drawn under the Multi-Series Letters of Credit and/or withdrawn from the Series 2023-4 Cash Collateral Accounts pursuant to Section 2.3(c) are insufficient to pay the sum of (A) the amounts described in clauses (i) through (x) of Section 2.3(a) above on such Distribution Date and (B) during the Series 2023-4 Rapid Amortization Period, the Series 2023-4 Trustee’s Fees for such Distribution Date, the Administrator shall:</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47" w:lineRule="auto"/>
        <w:tabs>
          <w:tab w:leader="none" w:pos="2328" w:val="left"/>
        </w:tabs>
        <w:numPr>
          <w:ilvl w:val="1"/>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Trustee in writing to withdraw from the Class A/B/C Reserve Account and deposit in the Series 2023-4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2023-4 Rapid Amortization Period, the product of the Class A/B/C Percentage and the Series 2023-4 Trustee’s Fees for such Distribution Date or (II) if no Class A Notes, Class B Notes or Class C Notes remain outstanding, the sum of (1) the amounts described in clauses (i) through (viii) of Section 2.3(a) above with respect to such Distribution Date and (2) during the Series 2023-4 Rapid Amortization Period, the Series 2023-4 Trustee’s Fees for such Distribution Date over (B) the sum of (1) the amounts available from the Series 2023-4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2023-4 Distribution Account; and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ectPr>
          <w:pgSz w:w="11900" w:h="16838" w:orient="portrait"/>
          <w:cols w:equalWidth="0" w:num="1">
            <w:col w:w="11160"/>
          </w:cols>
          <w:pgMar w:left="400" w:top="1030" w:right="339" w:bottom="1440" w:gutter="0" w:footer="0" w:header="0"/>
        </w:sectPr>
      </w:pPr>
    </w:p>
    <w:bookmarkStart w:id="283" w:name="page284"/>
    <w:bookmarkEnd w:id="283"/>
    <w:p>
      <w:pPr>
        <w:jc w:val="both"/>
        <w:ind w:left="660" w:firstLine="1292"/>
        <w:spacing w:after="0" w:line="261" w:lineRule="auto"/>
        <w:tabs>
          <w:tab w:leader="none" w:pos="2538" w:val="left"/>
        </w:tabs>
        <w:numPr>
          <w:ilvl w:val="1"/>
          <w:numId w:val="2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instruct the Trustee in writing to withdraw from the Class D Reserve Account and deposit in the Series 2023-4 Distribution Account on such Distribution Date an amount equal to the lesser of (x) the Class D Available Reserve Account Amount and (y) the excess of (A) the sum of (1) the amounts described in clauses (vii) and (viii) of Section 2.3(a) above with respect to such Distribution Date and (2) during the Series 2023-4 Rapid Amortization Period, the product of the Class D Percentage and the Series 2023-4 Trustee’s Fees for such Distribution Date over (B) the excess with respect to such Distribution Date of (1) the sum of (W) the amounts available from the Series 2023-4 Accrued Interest Account, (X) the amount drawn on the Class A/B/C Letters of Credit (and/or withdrawn from the Class A/B/C Cash Collateral Account) in accordance with 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2023-4 Rapid Amortization Period, the product of the Class A/B/C Percentage and the Series 2023-4 Trustee’s Fees for such Distribution Date. The Trustee shall withdraw such amount from the Class D Reserve Account and deposit such amount in the Series 2023-4 Distribution Account.</w:t>
      </w:r>
    </w:p>
    <w:p>
      <w:pPr>
        <w:spacing w:after="0" w:line="170"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82"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Balance</w:t>
      </w:r>
      <w:r>
        <w:rPr>
          <w:rFonts w:ascii="Times New Roman" w:cs="Times New Roman" w:eastAsia="Times New Roman" w:hAnsi="Times New Roman"/>
          <w:sz w:val="21"/>
          <w:szCs w:val="21"/>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2023-4 Accrued Interest Account and the Series 2023-4 Distribution Account,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drawn under the Multi-Series Letters of Credit and/or withdrawn from the Series 2023-4 Cash Collateral Accounts pursuant to Section 2.3(c)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withdrawn from the Series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2023-4 Reserve Accounts pursuant to Section 2.3(d) as follows:</w:t>
      </w:r>
    </w:p>
    <w:p>
      <w:pPr>
        <w:spacing w:after="0" w:line="195" w:lineRule="exact"/>
        <w:rPr>
          <w:rFonts w:ascii="Times New Roman" w:cs="Times New Roman" w:eastAsia="Times New Roman" w:hAnsi="Times New Roman"/>
          <w:sz w:val="21"/>
          <w:szCs w:val="21"/>
          <w:color w:val="auto"/>
        </w:rPr>
      </w:pPr>
    </w:p>
    <w:p>
      <w:pPr>
        <w:jc w:val="both"/>
        <w:ind w:left="660" w:firstLine="1292"/>
        <w:spacing w:after="0" w:line="248" w:lineRule="auto"/>
        <w:tabs>
          <w:tab w:leader="none" w:pos="2400" w:val="left"/>
        </w:tabs>
        <w:numPr>
          <w:ilvl w:val="1"/>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Distribution Date during the Series 2023-4 Revolving Period or the Series 2023-4 Controlled Amortization Period, (1) first, to the Administrator, an amount equal to the Series 2023-4 Percentage as of the beginning of the Series 2023-4 Interest Period ending on the day preceding such Distribution Date of the portion of the Monthly Administration Fee payable by ABRCF (as specified in clause (iii) of the definition thereof) for such Series 2023-4 Interest Period, (2) second, to the Trustee, an amount equal to the Series 2023-4 Percentage as of the beginning of such Series 2023-4 Interest Period of the fees owing to the Trustee under the Base Indenture for such Series 2023-4 Interest Period, (3) third to pay any Carrying Charges (other than Carrying Charges provided for above) to the Persons to whom such amounts are owed, an amount equal to the Series 2023-4 Percentage as of the beginning of such Series 2023-4 Interest Period of such Carrying Charges (other than Carrying Charges provided for above) for such Series 2023-4 Interest Period and (4) fourth, the balance, if any, shall be withdrawn by the Paying Agent from the Series 2023-4 Collection Account and deposited in the Series 2023-4 Excess Collection Account; and</w:t>
      </w: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bl>
    <w:p>
      <w:pPr>
        <w:sectPr>
          <w:pgSz w:w="11900" w:h="16838" w:orient="portrait"/>
          <w:cols w:equalWidth="0" w:num="1">
            <w:col w:w="11240"/>
          </w:cols>
          <w:pgMar w:left="320" w:top="1030" w:right="339" w:bottom="1440" w:gutter="0" w:footer="0" w:header="0"/>
        </w:sectPr>
      </w:pPr>
    </w:p>
    <w:bookmarkStart w:id="284" w:name="page285"/>
    <w:bookmarkEnd w:id="284"/>
    <w:p>
      <w:pPr>
        <w:jc w:val="both"/>
        <w:ind w:left="580" w:firstLine="1292"/>
        <w:spacing w:after="0" w:line="262" w:lineRule="auto"/>
        <w:tabs>
          <w:tab w:leader="none" w:pos="2500" w:val="left"/>
        </w:tabs>
        <w:numPr>
          <w:ilvl w:val="2"/>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Distribution Date during the Series 2023-4 Rapid Amortization Period, (1) first, to the Trustee, an amount equal to the Series 2023-4 Percentage as of the beginning of such Series 2023-4 Interest Period ending on the day preceding such Distribution Date of the fees owing to the Trustee under the Base Indenture for such Series 2023-4 Interest Period, (2) second, to the Administrator, an amount equal to the Series 2023-4 Percentage as of the beginning of such Series 2023-4 Interest Period of the portion of the Monthly Administration Fee (as specified in clause</w:t>
      </w:r>
    </w:p>
    <w:p>
      <w:pPr>
        <w:spacing w:after="0" w:line="1" w:lineRule="exact"/>
        <w:rPr>
          <w:rFonts w:ascii="Times New Roman" w:cs="Times New Roman" w:eastAsia="Times New Roman" w:hAnsi="Times New Roman"/>
          <w:sz w:val="21"/>
          <w:szCs w:val="21"/>
          <w:color w:val="auto"/>
        </w:rPr>
      </w:pPr>
    </w:p>
    <w:p>
      <w:pPr>
        <w:jc w:val="both"/>
        <w:ind w:left="580" w:hanging="4"/>
        <w:spacing w:after="0" w:line="246" w:lineRule="auto"/>
        <w:tabs>
          <w:tab w:leader="none" w:pos="976"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thereof) payable by ABRCF for such Series 2023-4 Interest Period, (3) third, to pay any Carrying Charges (other than Carrying Charges provided for above) to the Persons to whom such amounts are owed, an amount equal to the Series 2023-4 Percentage as of the beginning of such Series 2023-4 Interest Period of such Carrying Charges (other than Carrying Charges provided for above) for such Series 2023-4 Interest Period and (4) fourth, so long as the Series 2023-4 Invested Amount is greater than the Monthly Total Principal Allocations for the Related Month, an amount equal to the excess of the Series 2023-4 Invested Amount over the Monthly Total Principal Allocations for the Related Month shall be treated as Principal Collections.</w:t>
      </w:r>
    </w:p>
    <w:p>
      <w:pPr>
        <w:spacing w:after="0" w:line="185"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1"/>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Shortfalls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17"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Class A Monthly Interest on any Distribution Date, payments of interest to the Class A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Shortfall</w:t>
      </w:r>
      <w:r>
        <w:rPr>
          <w:rFonts w:ascii="Times New Roman" w:cs="Times New Roman" w:eastAsia="Times New Roman" w:hAnsi="Times New Roman"/>
          <w:sz w:val="22"/>
          <w:szCs w:val="22"/>
          <w:color w:val="auto"/>
        </w:rPr>
        <w:t>”. Interest shall accrue on the Class A Shortfall at the Class A Note Rate.</w:t>
      </w:r>
    </w:p>
    <w:p>
      <w:pPr>
        <w:spacing w:after="0" w:line="194"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23"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B Monthly Interest for the Series 2023-4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Interest shall accrue on the Class B Shortfall at the Class B Note Rate.</w:t>
      </w:r>
    </w:p>
    <w:p>
      <w:pPr>
        <w:spacing w:after="0" w:line="180"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73" w:val="left"/>
        </w:tabs>
        <w:numPr>
          <w:ilvl w:val="2"/>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C Monthly Interest for the Series 2023-4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Interest shall accrue on the Class C Shortfall at the Class C Note Rate.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ectPr>
          <w:pgSz w:w="11900" w:h="16838" w:orient="portrait"/>
          <w:cols w:equalWidth="0" w:num="1">
            <w:col w:w="11160"/>
          </w:cols>
          <w:pgMar w:left="400" w:top="1030" w:right="339" w:bottom="1440" w:gutter="0" w:footer="0" w:header="0"/>
        </w:sectPr>
      </w:pPr>
    </w:p>
    <w:bookmarkStart w:id="285" w:name="page286"/>
    <w:bookmarkEnd w:id="285"/>
    <w:p>
      <w:pPr>
        <w:jc w:val="both"/>
        <w:ind w:left="660" w:firstLine="1292"/>
        <w:spacing w:after="0" w:line="250" w:lineRule="auto"/>
        <w:tabs>
          <w:tab w:leader="none" w:pos="2543"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 of Section 2.3(a) and the Class D Monthly Interest on any Distribution Date, payments of interest to the Class D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D Monthly Interest for the Series 2023-4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Interest shall accrue on the Class D Shortfall at the Class D Note Rate.</w:t>
      </w:r>
    </w:p>
    <w:p>
      <w:pPr>
        <w:spacing w:after="0" w:line="193"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9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(viii) of Section 2.3(a) and the Class R Monthly Interest on any Distribution Date, payments of interest to the Class R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R Monthly Interest for the Series 2023-4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Interest shall accrue on the Class R Shortfall at the Class R Note Rate.</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Payment of Note Interest</w:t>
      </w:r>
      <w:r>
        <w:rPr>
          <w:rFonts w:ascii="Times New Roman" w:cs="Times New Roman" w:eastAsia="Times New Roman" w:hAnsi="Times New Roman"/>
          <w:sz w:val="22"/>
          <w:szCs w:val="22"/>
          <w:color w:val="auto"/>
        </w:rPr>
        <w:t>. (a) On each Distribution Date, subject to Section 9.8 of the Base Indenture, the Paying Agent shall, in accordance with Section 6.1 of the Base Indenture, pay the following amounts in the following order of priority from amounts deposited into the Series 2023-4 Distribution Account pursuant to Section 2.3:</w:t>
      </w:r>
    </w:p>
    <w:p>
      <w:pPr>
        <w:spacing w:after="0" w:line="173" w:lineRule="exact"/>
        <w:rPr>
          <w:sz w:val="20"/>
          <w:szCs w:val="20"/>
          <w:color w:val="auto"/>
        </w:rPr>
      </w:pPr>
    </w:p>
    <w:p>
      <w:pPr>
        <w:ind w:left="2420" w:hanging="468"/>
        <w:spacing w:after="0"/>
        <w:tabs>
          <w:tab w:leader="none" w:pos="242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Class A Noteholders, the amounts due to the Class A Noteholders described in Sections</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 and (ii);</w:t>
      </w:r>
    </w:p>
    <w:p>
      <w:pPr>
        <w:spacing w:after="0" w:line="20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 the Class B Noteholders, the amounts due to the Class B Noteholders described in Sections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2.3(a)(iii) and (iv);</w:t>
      </w:r>
    </w:p>
    <w:p>
      <w:pPr>
        <w:spacing w:after="0" w:line="195" w:lineRule="exact"/>
        <w:rPr>
          <w:rFonts w:ascii="Times New Roman" w:cs="Times New Roman" w:eastAsia="Times New Roman" w:hAnsi="Times New Roman"/>
          <w:sz w:val="21"/>
          <w:szCs w:val="21"/>
          <w:color w:val="auto"/>
        </w:rPr>
      </w:pPr>
    </w:p>
    <w:p>
      <w:pPr>
        <w:ind w:left="2500" w:hanging="548"/>
        <w:spacing w:after="0"/>
        <w:tabs>
          <w:tab w:leader="none" w:pos="2500" w:val="left"/>
        </w:tabs>
        <w:numPr>
          <w:ilvl w:val="0"/>
          <w:numId w:val="2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the Class C Noteholders, the amounts due to the Class C Noteholders described in Sections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2.3(a)(v) and (vi);</w:t>
      </w:r>
    </w:p>
    <w:p>
      <w:pPr>
        <w:spacing w:after="0" w:line="209" w:lineRule="exact"/>
        <w:rPr>
          <w:rFonts w:ascii="Times New Roman" w:cs="Times New Roman" w:eastAsia="Times New Roman" w:hAnsi="Times New Roman"/>
          <w:sz w:val="21"/>
          <w:szCs w:val="21"/>
          <w:color w:val="auto"/>
        </w:rPr>
      </w:pPr>
    </w:p>
    <w:p>
      <w:pPr>
        <w:ind w:left="660" w:firstLine="1292"/>
        <w:spacing w:after="0" w:line="271" w:lineRule="auto"/>
        <w:tabs>
          <w:tab w:leader="none" w:pos="2484"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the Class D Noteholders, the amounts due to the Class D Noteholders described in Sections 2.3(a)(vii) and (viii); and</w:t>
      </w:r>
    </w:p>
    <w:p>
      <w:pPr>
        <w:spacing w:after="0" w:line="157"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Class R Noteholders, the amounts due to the Class R Noteholders described in Sections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2.3(a)(ix) and (x).</w:t>
      </w:r>
    </w:p>
    <w:p>
      <w:pPr>
        <w:spacing w:after="0" w:line="19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Payment of Note Principal</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Monthly Payments During Controlled Amortization Period or Rapid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Amortization Period</w:t>
      </w:r>
      <w:r>
        <w:rPr>
          <w:rFonts w:ascii="Times New Roman" w:cs="Times New Roman" w:eastAsia="Times New Roman" w:hAnsi="Times New Roman"/>
          <w:sz w:val="22"/>
          <w:szCs w:val="22"/>
          <w:color w:val="auto"/>
        </w:rPr>
        <w:t>. On each Determination Date, commencing on the second Determination Date during the Series 2023-4 Controlled Amortization Period or the first Determination Date after the commencement of the Series 2023-4 Rapid Amortization Period, the Administrator shall instruct the Trustee and the Paying Agent in writing</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ectPr>
          <w:pgSz w:w="11900" w:h="16838" w:orient="portrait"/>
          <w:cols w:equalWidth="0" w:num="1">
            <w:col w:w="11240"/>
          </w:cols>
          <w:pgMar w:left="320" w:top="1030" w:right="339" w:bottom="1440" w:gutter="0" w:footer="0" w:header="0"/>
        </w:sectPr>
      </w:pPr>
    </w:p>
    <w:bookmarkStart w:id="286" w:name="page287"/>
    <w:bookmarkEnd w:id="286"/>
    <w:p>
      <w:pPr>
        <w:jc w:val="both"/>
        <w:spacing w:after="0" w:line="264" w:lineRule="auto"/>
        <w:rPr>
          <w:sz w:val="20"/>
          <w:szCs w:val="20"/>
          <w:color w:val="auto"/>
        </w:rPr>
      </w:pPr>
      <w:r>
        <w:rPr>
          <w:rFonts w:ascii="Times New Roman" w:cs="Times New Roman" w:eastAsia="Times New Roman" w:hAnsi="Times New Roman"/>
          <w:sz w:val="21"/>
          <w:szCs w:val="21"/>
          <w:color w:val="auto"/>
        </w:rPr>
        <w:t>pursuant to the Administration Agreement and in accordance with this Section 2.5 as to (1) the amount allocated to the Series 2023-4 Notes during the Related Month pursuant to Section 2.2(b)(ii), (c)(ii) or (d)(ii), as the case may be, (2) any amounts to be drawn on the Series 2023-4 Demand Notes and/or on the Multi-Series Letters of Credit (or withdrawn from the Series 2023-4 Cash Collateral Accounts) pursuant to this Section 2.5 and (3) any amounts to be withdrawn from the Series 2023-4 Reserve Accounts pursuant to this Section 2.5 and deposited into the Series 2023-4 Distribution Account. On the Distribution Date following each such Determination Date, the Trustee shall withdraw the amount allocated to the Series 2023-4 Notes during the Related Month pursuant to Section 2.2(b)(ii), (c)(ii) or (d)(ii), as the case may be, from the Series 2023-4 Collection Account and deposit such amount in the Series 2023-4 Distribution Account, to be paid to the holders of the Series 2023-4 Notes.</w:t>
      </w:r>
    </w:p>
    <w:p>
      <w:pPr>
        <w:spacing w:after="0" w:line="170" w:lineRule="exact"/>
        <w:rPr>
          <w:sz w:val="20"/>
          <w:szCs w:val="20"/>
          <w:color w:val="auto"/>
        </w:rPr>
      </w:pPr>
    </w:p>
    <w:p>
      <w:pPr>
        <w:jc w:val="both"/>
        <w:ind w:firstLine="1304"/>
        <w:spacing w:after="0" w:line="257" w:lineRule="auto"/>
        <w:tabs>
          <w:tab w:leader="none" w:pos="1872"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Draws on Multi-Series Letters of Credit</w:t>
      </w:r>
      <w:r>
        <w:rPr>
          <w:rFonts w:ascii="Times New Roman" w:cs="Times New Roman" w:eastAsia="Times New Roman" w:hAnsi="Times New Roman"/>
          <w:sz w:val="22"/>
          <w:szCs w:val="22"/>
          <w:color w:val="auto"/>
        </w:rPr>
        <w:t>. If the Administrator determines on the Business Day immediately preceding any Distribution Date during the Series 2023-4 Rapid Amortization Period that on such Distribution Date there will exist a Series 2023-4 Lease Principal Payment Deficit, the Administrator shall instruct the Trustee in writing to:</w:t>
      </w:r>
    </w:p>
    <w:p>
      <w:pPr>
        <w:spacing w:after="0" w:line="173" w:lineRule="exact"/>
        <w:rPr>
          <w:sz w:val="20"/>
          <w:szCs w:val="20"/>
          <w:color w:val="auto"/>
        </w:rPr>
      </w:pPr>
    </w:p>
    <w:p>
      <w:pPr>
        <w:jc w:val="both"/>
        <w:ind w:left="660" w:firstLine="644"/>
        <w:spacing w:after="0" w:line="246" w:lineRule="auto"/>
        <w:tabs>
          <w:tab w:leader="none" w:pos="1822"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2023-4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2023-4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2023-4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2023-4 Distribution Account an amount equal to the lesser of (x) the Class A/B/C Cash Collateral Percentage for such date of the lesser of the Series 2023-4 Lease Principal Payment Deficit and the Class A/B/C Principal Deficit Amount for such Distribution Date and (y) the Class A/B/C Available Cash Collateral Account Amount on such date and draw an amount equal to the remainder of such amount on the Multi-Series Letters of Credit that shall be allocable to the Class A/B/C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w:t>
      </w:r>
    </w:p>
    <w:p>
      <w:pPr>
        <w:spacing w:after="0" w:line="26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bl>
    <w:p>
      <w:pPr>
        <w:sectPr>
          <w:pgSz w:w="11900" w:h="16838" w:orient="portrait"/>
          <w:cols w:equalWidth="0" w:num="1">
            <w:col w:w="11240"/>
          </w:cols>
          <w:pgMar w:left="320" w:top="1030" w:right="339" w:bottom="1440" w:gutter="0" w:footer="0" w:header="0"/>
        </w:sectPr>
      </w:pPr>
    </w:p>
    <w:bookmarkStart w:id="287" w:name="page288"/>
    <w:bookmarkEnd w:id="287"/>
    <w:p>
      <w:pPr>
        <w:ind w:left="580"/>
        <w:spacing w:after="0" w:line="271" w:lineRule="auto"/>
        <w:rPr>
          <w:sz w:val="20"/>
          <w:szCs w:val="20"/>
          <w:color w:val="auto"/>
        </w:rPr>
      </w:pPr>
      <w:r>
        <w:rPr>
          <w:rFonts w:ascii="Times New Roman" w:cs="Times New Roman" w:eastAsia="Times New Roman" w:hAnsi="Times New Roman"/>
          <w:sz w:val="22"/>
          <w:szCs w:val="22"/>
          <w:color w:val="auto"/>
        </w:rPr>
        <w:t>in the preceding sentence and (y) the excess, if any, of (A) the Class A/B/C Liquidity Amount on such date over (B) the Class A/B/C Required Liquidity Amount on such date;</w:t>
      </w:r>
    </w:p>
    <w:p>
      <w:pPr>
        <w:spacing w:after="0" w:line="171" w:lineRule="exact"/>
        <w:rPr>
          <w:sz w:val="20"/>
          <w:szCs w:val="20"/>
          <w:color w:val="auto"/>
        </w:rPr>
      </w:pPr>
    </w:p>
    <w:p>
      <w:pPr>
        <w:jc w:val="both"/>
        <w:ind w:left="580" w:firstLine="644"/>
        <w:spacing w:after="0" w:line="259" w:lineRule="auto"/>
        <w:tabs>
          <w:tab w:leader="none" w:pos="1735"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2023-4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2023-4 Lease Principal Payment Deficit over (B) the amount, if any, to be drawn on the 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2023-4 Distribution Account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A/B/C Cash Collateral Account has been established and funded, the Trustee shall withdraw from the Class A/B/C Cash Collateral Account and deposit in the Series 2023-4 Distribution Account an amount equal to the lesser of (x) the Class A/B/C Cash Collateral Percentage for such date of the lesser of (A) the excess of (1) the Series 2023-4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Multi-Series Letters of Credit that shall be allocable to the Class A/B/C Notes;</w:t>
      </w: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jc w:val="both"/>
        <w:ind w:left="580" w:firstLine="644"/>
        <w:spacing w:after="0" w:line="249" w:lineRule="auto"/>
        <w:tabs>
          <w:tab w:leader="none" w:pos="1786"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giving effect to any payments to be made on such Distribution Date, the Class A Notes, the Class B Notes and the Class C Notes will have been paid in full, draw on the Multi-Series Letters of Credit with respect to the Class D Notes, if any, as provided in this clause (iii). Upon receipt of a notice by the Trustee from the Administrator in respect of a Series 2023-4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2023-4 Lease Principal Payment Deficit over (B) the amount, if any, to be drawn on the Multi-Series Letters of Credit with respect to the Class D Notes and/or withdrawn from the Class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ectPr>
          <w:pgSz w:w="11900" w:h="16838" w:orient="portrait"/>
          <w:cols w:equalWidth="0" w:num="1">
            <w:col w:w="11160"/>
          </w:cols>
          <w:pgMar w:left="400" w:top="1030" w:right="339" w:bottom="1440" w:gutter="0" w:footer="0" w:header="0"/>
        </w:sectPr>
      </w:pPr>
    </w:p>
    <w:bookmarkStart w:id="288" w:name="page289"/>
    <w:bookmarkEnd w:id="288"/>
    <w:p>
      <w:pPr>
        <w:jc w:val="both"/>
        <w:ind w:left="580"/>
        <w:spacing w:after="0" w:line="259" w:lineRule="auto"/>
        <w:rPr>
          <w:sz w:val="20"/>
          <w:szCs w:val="20"/>
          <w:color w:val="auto"/>
        </w:rPr>
      </w:pPr>
      <w:r>
        <w:rPr>
          <w:rFonts w:ascii="Times New Roman" w:cs="Times New Roman" w:eastAsia="Times New Roman" w:hAnsi="Times New Roman"/>
          <w:sz w:val="21"/>
          <w:szCs w:val="21"/>
          <w:color w:val="auto"/>
        </w:rPr>
        <w:t xml:space="preserve">A/B/C Cash Collateral Account on such Distribution Date in accordance with Section 2.5(b)(i) and/or (ii), (y) the Class D Principal Deficit Amount for such Distribution Date 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2023-4 Distribution Account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2023-4 Distribution Account an amount equal to the lesser of (x) the Class D Cash Collateral Percentage for such date of the lesser of (A) the excess of (1) the Series 2023-4 Lease Principal Payment 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spacing w:after="0" w:line="184" w:lineRule="exact"/>
        <w:rPr>
          <w:sz w:val="20"/>
          <w:szCs w:val="20"/>
          <w:color w:val="auto"/>
        </w:rPr>
      </w:pPr>
    </w:p>
    <w:p>
      <w:pPr>
        <w:jc w:val="both"/>
        <w:ind w:left="-80" w:firstLine="1304"/>
        <w:spacing w:after="0" w:line="263" w:lineRule="auto"/>
        <w:tabs>
          <w:tab w:leader="none" w:pos="1672"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Distribution Date</w:t>
      </w:r>
      <w:r>
        <w:rPr>
          <w:rFonts w:ascii="Times New Roman" w:cs="Times New Roman" w:eastAsia="Times New Roman" w:hAnsi="Times New Roman"/>
          <w:sz w:val="22"/>
          <w:szCs w:val="22"/>
          <w:color w:val="auto"/>
        </w:rPr>
        <w:t>. Each of the entire Class A Invested Amount, the entire Class B Invested Amount, the entire Class C Invested Amount, the entire Class D Invested Amount and the entire Class R Invested Amount shall be due and payable on the Series 2023-4 Final Distribution Date. In connection therewith:</w:t>
      </w:r>
    </w:p>
    <w:p>
      <w:pPr>
        <w:spacing w:after="0" w:line="167"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417" w:val="left"/>
        </w:tabs>
        <w:numPr>
          <w:ilvl w:val="1"/>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If the amount to be deposited in the Series 2023-4 Distribution Account in accordance with Section 2.5(a) together with any amounts to be deposited therein in accordance with Section 2.5(b) on the Series 2023-4 Final Distribution Date is less than the Series 2023-4 Senior Invested Amount and there are any Multi-Series Letters of Credit on such date, then, prior to 10:00 a.m. (New York City time) on the second Business Day prior to the Series 2023-4 Final Distribution Date, the Administrator shall instruct the Trustee in writing to make a demand (a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xml:space="preserve">”) substantially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on the Demand Note Issuers for payment under the Series 2023-4 Demand Notes in an amount equal to the lesser of (x) such insufficiency and (y) the sum of the Class A/B/C Letter of Credit Amount and the Class D Letter of Credit Amount. The Trustee shall, prior to 12:00 noon (New York City time) on the second Business Day preceding such Series 2023-4 Final Distribution Date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ectPr>
          <w:pgSz w:w="11900" w:h="16838" w:orient="portrait"/>
          <w:cols w:equalWidth="0" w:num="1">
            <w:col w:w="11160"/>
          </w:cols>
          <w:pgMar w:left="400" w:top="1030" w:right="339" w:bottom="1440" w:gutter="0" w:footer="0" w:header="0"/>
        </w:sectPr>
      </w:pPr>
    </w:p>
    <w:bookmarkStart w:id="289" w:name="page290"/>
    <w:bookmarkEnd w:id="289"/>
    <w:p>
      <w:pPr>
        <w:jc w:val="both"/>
        <w:ind w:left="580"/>
        <w:spacing w:after="0" w:line="253" w:lineRule="auto"/>
        <w:rPr>
          <w:sz w:val="20"/>
          <w:szCs w:val="20"/>
          <w:color w:val="auto"/>
        </w:rPr>
      </w:pPr>
      <w:r>
        <w:rPr>
          <w:rFonts w:ascii="Times New Roman" w:cs="Times New Roman" w:eastAsia="Times New Roman" w:hAnsi="Times New Roman"/>
          <w:sz w:val="22"/>
          <w:szCs w:val="22"/>
          <w:color w:val="auto"/>
        </w:rPr>
        <w:t xml:space="preserve">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2023-4 Demand Notes to be deposited into the Series 2023-4 Distribution Account.</w:t>
      </w:r>
    </w:p>
    <w:p>
      <w:pPr>
        <w:spacing w:after="0" w:line="179" w:lineRule="exact"/>
        <w:rPr>
          <w:sz w:val="20"/>
          <w:szCs w:val="20"/>
          <w:color w:val="auto"/>
        </w:rPr>
      </w:pPr>
    </w:p>
    <w:p>
      <w:pPr>
        <w:jc w:val="both"/>
        <w:ind w:left="580" w:firstLine="1292"/>
        <w:spacing w:after="0" w:line="250" w:lineRule="auto"/>
        <w:tabs>
          <w:tab w:leader="none" w:pos="2383"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Draw</w:t>
      </w:r>
      <w:r>
        <w:rPr>
          <w:rFonts w:ascii="Times New Roman" w:cs="Times New Roman" w:eastAsia="Times New Roman" w:hAnsi="Times New Roman"/>
          <w:sz w:val="22"/>
          <w:szCs w:val="22"/>
          <w:color w:val="auto"/>
        </w:rPr>
        <w:t>. In the event that either (x) on or prior to 10:00 a.m. (New York City time) on the Business Day immediately preceding the Series 2023-4 Final Distribution Date a Demand Notice has been transmitted by the Trustee to the Demand Note Issuers pursuant to clause (i) of this Section 2.5(c) and any Demand Note Issuer shall have failed to pay to the Trustee or deposit into the Series 2023-4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2023-4 Final Distribution Date, then, in the case of (x) or (y) the Trustee shall:</w:t>
      </w:r>
    </w:p>
    <w:p>
      <w:pPr>
        <w:spacing w:after="0" w:line="179" w:lineRule="exact"/>
        <w:rPr>
          <w:rFonts w:ascii="Times New Roman" w:cs="Times New Roman" w:eastAsia="Times New Roman" w:hAnsi="Times New Roman"/>
          <w:sz w:val="22"/>
          <w:szCs w:val="22"/>
          <w:color w:val="auto"/>
        </w:rPr>
      </w:pPr>
    </w:p>
    <w:p>
      <w:pPr>
        <w:jc w:val="both"/>
        <w:ind w:left="1880" w:firstLine="640"/>
        <w:spacing w:after="0" w:line="247" w:lineRule="auto"/>
        <w:tabs>
          <w:tab w:leader="none" w:pos="3115"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draw on the Multi-Series Letters of Credit by 12:00 noon (New York City time) on such Business Day an amount allocable to the Class A/B/C Notes equal to the lesser of (a) the amount that the Demand Note Issuers so failed to pay under the Series 2023-4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2023-4 Distribution Account an amount equal to the lesser of (x) the Class A/B/C Cash Collateral Percentage on such Business Day of the amount that the Demand Note Issuers so failed to pay under the Series 2023-4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2023-4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2023-4 Distribution Account; and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ectPr>
          <w:pgSz w:w="11900" w:h="16838" w:orient="portrait"/>
          <w:cols w:equalWidth="0" w:num="1">
            <w:col w:w="11160"/>
          </w:cols>
          <w:pgMar w:left="400" w:top="1030" w:right="339" w:bottom="1440" w:gutter="0" w:footer="0" w:header="0"/>
        </w:sectPr>
      </w:pPr>
    </w:p>
    <w:bookmarkStart w:id="290" w:name="page291"/>
    <w:bookmarkEnd w:id="290"/>
    <w:p>
      <w:pPr>
        <w:jc w:val="both"/>
        <w:ind w:left="1880" w:firstLine="640"/>
        <w:spacing w:after="0" w:line="247" w:lineRule="auto"/>
        <w:tabs>
          <w:tab w:leader="none" w:pos="3115"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draw on the Multi-Series Letters of Credit by 12:00 noon (New York City time) on such Business Day an amount allocable to the Class D Notes equal to the lesser of (a) the excess of (x) the amount that the Demand Note Issuers so failed to pay under the Series 2023-4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 (b) the Class D Letter of Credit Amount on such Business Day by presenting to each Multi-Series Letter of Credit Provider with respect to the Class D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D Cash Collateral Account has been established and funded, the Trustee shall withdraw from the Class D Cash Collateral Account and deposit in the Series 2023-4 Distribution Account an amount equal to the lesser of (x) the Class D Cash Collateral Percentage on such Business Day of the excess of (A) the amount that the Demand Note Issuers so failed to pay under the Series 2023-4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2023-4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2023-4 Distribution Account.</w:t>
      </w:r>
    </w:p>
    <w:p>
      <w:pPr>
        <w:spacing w:after="0" w:line="187" w:lineRule="exact"/>
        <w:rPr>
          <w:rFonts w:ascii="Times New Roman" w:cs="Times New Roman" w:eastAsia="Times New Roman" w:hAnsi="Times New Roman"/>
          <w:sz w:val="22"/>
          <w:szCs w:val="22"/>
          <w:color w:val="auto"/>
        </w:rPr>
      </w:pPr>
    </w:p>
    <w:p>
      <w:pPr>
        <w:jc w:val="both"/>
        <w:ind w:left="580" w:firstLine="1292"/>
        <w:spacing w:after="0" w:line="262" w:lineRule="auto"/>
        <w:tabs>
          <w:tab w:leader="none" w:pos="2416"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 Account Withdrawal</w:t>
      </w:r>
      <w:r>
        <w:rPr>
          <w:rFonts w:ascii="Times New Roman" w:cs="Times New Roman" w:eastAsia="Times New Roman" w:hAnsi="Times New Roman"/>
          <w:sz w:val="21"/>
          <w:szCs w:val="21"/>
          <w:color w:val="auto"/>
        </w:rPr>
        <w:t>. If, after giving effect to the deposit into the Series 2023-4 Distribution Account of the amount to be deposited in accordance with Section 2.5(a) and the amounts described in clauses (i) and (ii) of this Section 2.5(c), the amount to be deposited in the Series 2023-4 Distribution Account with respect to the Series 2023-4 Final Distribution Date is or will be less than the Series 2023-4 Senior Invested Amount, then, prior to 12:00 noon (New York City time) on the second Business Day prior to such Series 2023-4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bl>
    <w:p>
      <w:pPr>
        <w:sectPr>
          <w:pgSz w:w="11900" w:h="16838" w:orient="portrait"/>
          <w:cols w:equalWidth="0" w:num="1">
            <w:col w:w="11160"/>
          </w:cols>
          <w:pgMar w:left="400" w:top="1246" w:right="339" w:bottom="1440" w:gutter="0" w:footer="0" w:header="0"/>
        </w:sectPr>
      </w:pPr>
    </w:p>
    <w:bookmarkStart w:id="291" w:name="page292"/>
    <w:bookmarkEnd w:id="291"/>
    <w:p>
      <w:pPr>
        <w:ind w:left="580"/>
        <w:spacing w:after="0" w:line="271" w:lineRule="auto"/>
        <w:rPr>
          <w:sz w:val="20"/>
          <w:szCs w:val="20"/>
          <w:color w:val="auto"/>
        </w:rPr>
      </w:pPr>
      <w:r>
        <w:rPr>
          <w:rFonts w:ascii="Times New Roman" w:cs="Times New Roman" w:eastAsia="Times New Roman" w:hAnsi="Times New Roman"/>
          <w:sz w:val="22"/>
          <w:szCs w:val="22"/>
          <w:color w:val="auto"/>
        </w:rPr>
        <w:t>remaining insufficiency (after giving effect to any withdrawal from the Class A/B/C Reserve Account) and, in each case, deposit it in the Series 2023-4 Distribution Account on such Series 2023-4 Final Distribution Date.</w:t>
      </w:r>
    </w:p>
    <w:p>
      <w:pPr>
        <w:spacing w:after="0" w:line="171" w:lineRule="exact"/>
        <w:rPr>
          <w:sz w:val="20"/>
          <w:szCs w:val="20"/>
          <w:color w:val="auto"/>
        </w:rPr>
      </w:pPr>
    </w:p>
    <w:p>
      <w:pPr>
        <w:jc w:val="both"/>
        <w:ind w:left="-80" w:firstLine="1304"/>
        <w:spacing w:after="0" w:line="257" w:lineRule="auto"/>
        <w:tabs>
          <w:tab w:leader="none" w:pos="1832"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On each Distribution Date, other than the Series 2023-4 Final Distribution Date, on which the Class A/B/C Principal Deficit Amount is greater than zero, amounts shall be transferred to the Series 2023-4 Distribution Account as follows:</w:t>
      </w:r>
    </w:p>
    <w:p>
      <w:pPr>
        <w:spacing w:after="0" w:line="172"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296"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xml:space="preserve">. If on any Determination Date, the Administrator determines that the Class A/B/C Principal Deficit Amount with respect to the next succeeding Distribution Date will be greater than zero and there are any Multi-Series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2023-4 Demand Note to be deposited into the Series 2023-4 Distribution Account.</w:t>
      </w:r>
    </w:p>
    <w:p>
      <w:pPr>
        <w:spacing w:after="0" w:line="184" w:lineRule="exact"/>
        <w:rPr>
          <w:rFonts w:ascii="Times New Roman" w:cs="Times New Roman" w:eastAsia="Times New Roman" w:hAnsi="Times New Roman"/>
          <w:sz w:val="22"/>
          <w:szCs w:val="22"/>
          <w:color w:val="auto"/>
        </w:rPr>
      </w:pPr>
    </w:p>
    <w:p>
      <w:pPr>
        <w:jc w:val="both"/>
        <w:ind w:left="580" w:firstLine="1292"/>
        <w:spacing w:after="0" w:line="247" w:lineRule="auto"/>
        <w:tabs>
          <w:tab w:leader="none" w:pos="2396"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Draw</w:t>
      </w:r>
      <w:r>
        <w:rPr>
          <w:rFonts w:ascii="Times New Roman" w:cs="Times New Roman" w:eastAsia="Times New Roman" w:hAnsi="Times New Roman"/>
          <w:sz w:val="22"/>
          <w:szCs w:val="22"/>
          <w:color w:val="auto"/>
        </w:rPr>
        <w:t xml:space="preserve">. In the event that either (x) on or prior to 10:00 a.m. (New York City time) on the Business Day prior to such Distribution Date, any Demand Note Issuer shall have failed to pay to the Trustee or deposit into the Series 2023-4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an amount allocable to the Class A/B/C Notes equal to the lesser of (i) Class A/B/C Letter of Credit Amount and (ii) the aggregate amount that the Demand Note Issuers so failed to pay under the Series 2023-4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2023-4 Distribution Account an amount equal to the lesser of (x) the Class A/B/C Cash Collateral Percentage on such Business Day of the aggregate amount that the Demand Note Issuers so failed to pay under the Series 2023-4 Demand Notes (or, the amount that the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ectPr>
          <w:pgSz w:w="11900" w:h="16838" w:orient="portrait"/>
          <w:cols w:equalWidth="0" w:num="1">
            <w:col w:w="11160"/>
          </w:cols>
          <w:pgMar w:left="400" w:top="1030" w:right="339" w:bottom="1440" w:gutter="0" w:footer="0" w:header="0"/>
        </w:sectPr>
      </w:pPr>
    </w:p>
    <w:bookmarkStart w:id="292" w:name="page293"/>
    <w:bookmarkEnd w:id="292"/>
    <w:p>
      <w:pPr>
        <w:jc w:val="both"/>
        <w:ind w:left="580"/>
        <w:spacing w:after="0" w:line="250" w:lineRule="auto"/>
        <w:rPr>
          <w:sz w:val="20"/>
          <w:szCs w:val="20"/>
          <w:color w:val="auto"/>
        </w:rPr>
      </w:pPr>
      <w:r>
        <w:rPr>
          <w:rFonts w:ascii="Times New Roman" w:cs="Times New Roman" w:eastAsia="Times New Roman" w:hAnsi="Times New Roman"/>
          <w:sz w:val="22"/>
          <w:szCs w:val="22"/>
          <w:color w:val="auto"/>
        </w:rPr>
        <w:t>Trustee failed to demand for payment thereunder) and (y) the Class A/B/C Available Cash Collateral Account Amount on such Business Day and draw an amount equal to the remainder of the aggregate amount that the Demand Note Issuers so failed to pay under the Series 2023-4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2023-4 Distribution Account.</w:t>
      </w:r>
    </w:p>
    <w:p>
      <w:pPr>
        <w:spacing w:after="0" w:line="194" w:lineRule="exact"/>
        <w:rPr>
          <w:sz w:val="20"/>
          <w:szCs w:val="20"/>
          <w:color w:val="auto"/>
        </w:rPr>
      </w:pPr>
    </w:p>
    <w:p>
      <w:pPr>
        <w:jc w:val="both"/>
        <w:ind w:left="580" w:firstLine="1292"/>
        <w:spacing w:after="0" w:line="250" w:lineRule="auto"/>
        <w:tabs>
          <w:tab w:leader="none" w:pos="2443" w:val="left"/>
        </w:tabs>
        <w:numPr>
          <w:ilvl w:val="1"/>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Withdrawal</w:t>
      </w:r>
      <w:r>
        <w:rPr>
          <w:rFonts w:ascii="Times New Roman" w:cs="Times New Roman" w:eastAsia="Times New Roman" w:hAnsi="Times New Roman"/>
          <w:sz w:val="22"/>
          <w:szCs w:val="22"/>
          <w:color w:val="auto"/>
        </w:rPr>
        <w:t>.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2023-4 Distribution Account in accordance with clauses (i) and (ii) of this Section 2.5(d) and deposit it in the Series 2023-4 Distribution Account on such Distribution Date.</w:t>
      </w:r>
    </w:p>
    <w:p>
      <w:pPr>
        <w:spacing w:after="0" w:line="180" w:lineRule="exact"/>
        <w:rPr>
          <w:rFonts w:ascii="Times New Roman" w:cs="Times New Roman" w:eastAsia="Times New Roman" w:hAnsi="Times New Roman"/>
          <w:sz w:val="22"/>
          <w:szCs w:val="22"/>
          <w:color w:val="auto"/>
        </w:rPr>
      </w:pPr>
    </w:p>
    <w:p>
      <w:pPr>
        <w:jc w:val="both"/>
        <w:ind w:left="-80" w:firstLine="1304"/>
        <w:spacing w:after="0" w:line="275" w:lineRule="auto"/>
        <w:tabs>
          <w:tab w:leader="none" w:pos="1672"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Principal Deficit Amount</w:t>
      </w:r>
      <w:r>
        <w:rPr>
          <w:rFonts w:ascii="Times New Roman" w:cs="Times New Roman" w:eastAsia="Times New Roman" w:hAnsi="Times New Roman"/>
          <w:sz w:val="21"/>
          <w:szCs w:val="21"/>
          <w:color w:val="auto"/>
        </w:rPr>
        <w:t>. On each Distribution Date, other than the Series 2023-4 Final Distribution Date, on which the Class A Notes, Class B Notes and Class C Notes will have been paid in full and the Class D Principal Deficit Amount is greater than zero, amounts shall be transferred to the Series 2023-4 Distribution Account as follows:</w:t>
      </w:r>
    </w:p>
    <w:p>
      <w:pPr>
        <w:spacing w:after="0" w:line="155" w:lineRule="exact"/>
        <w:rPr>
          <w:rFonts w:ascii="Times New Roman" w:cs="Times New Roman" w:eastAsia="Times New Roman" w:hAnsi="Times New Roman"/>
          <w:sz w:val="21"/>
          <w:szCs w:val="21"/>
          <w:color w:val="auto"/>
        </w:rPr>
      </w:pPr>
    </w:p>
    <w:p>
      <w:pPr>
        <w:jc w:val="both"/>
        <w:ind w:left="580" w:firstLine="1292"/>
        <w:spacing w:after="0" w:line="261" w:lineRule="auto"/>
        <w:tabs>
          <w:tab w:leader="none" w:pos="2390" w:val="left"/>
        </w:tabs>
        <w:numPr>
          <w:ilvl w:val="1"/>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Demand Note Draw</w:t>
      </w:r>
      <w:r>
        <w:rPr>
          <w:rFonts w:ascii="Times New Roman" w:cs="Times New Roman" w:eastAsia="Times New Roman" w:hAnsi="Times New Roman"/>
          <w:sz w:val="21"/>
          <w:szCs w:val="21"/>
          <w:color w:val="auto"/>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2023-4 Demand Note to be deposited into the Series 2023-4 Distribution Account.</w:t>
      </w:r>
    </w:p>
    <w:p>
      <w:pPr>
        <w:spacing w:after="0" w:line="183" w:lineRule="exact"/>
        <w:rPr>
          <w:sz w:val="20"/>
          <w:szCs w:val="20"/>
          <w:color w:val="auto"/>
        </w:rPr>
      </w:pPr>
    </w:p>
    <w:p>
      <w:pPr>
        <w:jc w:val="both"/>
        <w:ind w:left="580" w:firstLine="1292"/>
        <w:spacing w:after="0" w:line="257" w:lineRule="auto"/>
        <w:tabs>
          <w:tab w:leader="none" w:pos="239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Draw</w:t>
      </w:r>
      <w:r>
        <w:rPr>
          <w:rFonts w:ascii="Times New Roman" w:cs="Times New Roman" w:eastAsia="Times New Roman" w:hAnsi="Times New Roman"/>
          <w:sz w:val="22"/>
          <w:szCs w:val="22"/>
          <w:color w:val="auto"/>
        </w:rPr>
        <w:t>. In the event that either (x) on or prior to 10:00 a.m. (New York City time) on the Business Day prior to such Distribution Date, any Demand Note Issuer shall have failed to pay to the Trustee or deposit into the Series 2023-4 Distribution Account the amount specified in such Demand Notice delivered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bl>
    <w:p>
      <w:pPr>
        <w:sectPr>
          <w:pgSz w:w="11900" w:h="16838" w:orient="portrait"/>
          <w:cols w:equalWidth="0" w:num="1">
            <w:col w:w="11160"/>
          </w:cols>
          <w:pgMar w:left="400" w:top="1030" w:right="339" w:bottom="1440" w:gutter="0" w:footer="0" w:header="0"/>
        </w:sectPr>
      </w:pPr>
    </w:p>
    <w:bookmarkStart w:id="293" w:name="page294"/>
    <w:bookmarkEnd w:id="293"/>
    <w:p>
      <w:pPr>
        <w:jc w:val="both"/>
        <w:ind w:left="580"/>
        <w:spacing w:after="0" w:line="247" w:lineRule="auto"/>
        <w:rPr>
          <w:sz w:val="20"/>
          <w:szCs w:val="20"/>
          <w:color w:val="auto"/>
        </w:rPr>
      </w:pPr>
      <w:r>
        <w:rPr>
          <w:rFonts w:ascii="Times New Roman" w:cs="Times New Roman" w:eastAsia="Times New Roman" w:hAnsi="Times New Roman"/>
          <w:sz w:val="22"/>
          <w:szCs w:val="22"/>
          <w:color w:val="auto"/>
        </w:rPr>
        <w:t xml:space="preserve">pursuant to Section 2.5I(i)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 Notes equal to the lesser of (i) Class A/B/C Letter of Credit Amount and (ii) the aggregate amount that the Demand Note Issuers so failed to pay under the Series 2023-4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2023-4 Distribution Account an amount equal to the lesser of (x) the Class A/B/C Cash Collateral Percentage on such Business Day of the aggregate amount that the Demand Note Issuers so failed to pay under the Series 2023-4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2023-4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2023-4 Distribution Account.</w:t>
      </w:r>
    </w:p>
    <w:p>
      <w:pPr>
        <w:spacing w:after="0" w:line="193" w:lineRule="exact"/>
        <w:rPr>
          <w:sz w:val="20"/>
          <w:szCs w:val="20"/>
          <w:color w:val="auto"/>
        </w:rPr>
      </w:pPr>
    </w:p>
    <w:p>
      <w:pPr>
        <w:jc w:val="both"/>
        <w:ind w:left="580" w:firstLine="1292"/>
        <w:spacing w:after="0" w:line="249" w:lineRule="auto"/>
        <w:tabs>
          <w:tab w:leader="none" w:pos="2537" w:val="left"/>
        </w:tabs>
        <w:numPr>
          <w:ilvl w:val="1"/>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Withdrawal</w:t>
      </w:r>
      <w:r>
        <w:rPr>
          <w:rFonts w:ascii="Times New Roman" w:cs="Times New Roman" w:eastAsia="Times New Roman" w:hAnsi="Times New Roman"/>
          <w:sz w:val="22"/>
          <w:szCs w:val="22"/>
          <w:color w:val="auto"/>
        </w:rPr>
        <w:t>. If the amounts to be deposited in the Series 2023-4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2023-4 Distribution Account in accordance with clauses (i) and (ii) of this Section 2.5(e) and deposit it in the Series 2023-4 Distribution Account on such Distribution Date.</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67" w:lineRule="auto"/>
        <w:tabs>
          <w:tab w:leader="none" w:pos="2431" w:val="left"/>
        </w:tabs>
        <w:numPr>
          <w:ilvl w:val="1"/>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 of Credit Draw</w:t>
      </w:r>
      <w:r>
        <w:rPr>
          <w:rFonts w:ascii="Times New Roman" w:cs="Times New Roman" w:eastAsia="Times New Roman" w:hAnsi="Times New Roman"/>
          <w:sz w:val="21"/>
          <w:szCs w:val="21"/>
          <w:color w:val="auto"/>
        </w:rPr>
        <w:t>. In the event that either (x) on or prior to 10:00 a.m. (New York City time) on the Business Day prior to such Distribution Date, any Demand Note Issuer shall have failed to pay to the Trustee or deposit into the Series 2023-4 Distribution Account the amount specified in such Demand Notice in whole or in part or</w:t>
      </w:r>
    </w:p>
    <w:p>
      <w:pPr>
        <w:spacing w:after="0" w:line="1" w:lineRule="exact"/>
        <w:rPr>
          <w:rFonts w:ascii="Times New Roman" w:cs="Times New Roman" w:eastAsia="Times New Roman" w:hAnsi="Times New Roman"/>
          <w:sz w:val="21"/>
          <w:szCs w:val="21"/>
          <w:color w:val="auto"/>
        </w:rPr>
      </w:pPr>
    </w:p>
    <w:p>
      <w:pPr>
        <w:jc w:val="both"/>
        <w:ind w:left="580" w:hanging="4"/>
        <w:spacing w:after="0" w:line="249" w:lineRule="auto"/>
        <w:tabs>
          <w:tab w:leader="none" w:pos="886"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bl>
    <w:p>
      <w:pPr>
        <w:sectPr>
          <w:pgSz w:w="11900" w:h="16838" w:orient="portrait"/>
          <w:cols w:equalWidth="0" w:num="1">
            <w:col w:w="11160"/>
          </w:cols>
          <w:pgMar w:left="400" w:top="1030" w:right="339" w:bottom="1440" w:gutter="0" w:footer="0" w:header="0"/>
        </w:sectPr>
      </w:pPr>
    </w:p>
    <w:bookmarkStart w:id="294" w:name="page295"/>
    <w:bookmarkEnd w:id="294"/>
    <w:p>
      <w:pPr>
        <w:jc w:val="both"/>
        <w:ind w:left="580"/>
        <w:spacing w:after="0" w:line="260" w:lineRule="auto"/>
        <w:rPr>
          <w:sz w:val="20"/>
          <w:szCs w:val="20"/>
          <w:color w:val="auto"/>
        </w:rPr>
      </w:pPr>
      <w:r>
        <w:rPr>
          <w:rFonts w:ascii="Times New Roman" w:cs="Times New Roman" w:eastAsia="Times New Roman" w:hAnsi="Times New Roman"/>
          <w:sz w:val="21"/>
          <w:szCs w:val="21"/>
          <w:color w:val="auto"/>
        </w:rPr>
        <w:t xml:space="preserve">Business Day draw on the Multi-Series Letters of Credit with respect to the Class D Notes, if any, an amount allocable to the Class D Notes equal to the lesser of (i) Class D Letter of Credit Amount and (ii) the excess of (A) the aggregate amount that the Demand Note Issuers so failed to pay under the Series 2023-4 Demand Notes (or, the amount that the Trustee failed to demand for payment thereunder) over (B) the amount deposited into the Series 2023-4 Distribution Account in accordance with Section 2.5(e)(ii) and (iii) above, by presenting to each Multi-Series Letter of Credit Provider with respect to the Class D Notes a draft accompanied by a Certificate of Unpaid Demand Note Demand;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2023-4 Distribution Account an amount equal to the lesser of (x) the Class D Cash Collateral Percentage on such Business Day of the excess of (A) the aggregate amount that the Demand Note Issuers so failed to pay under the Series 2023-4 Demand Notes (or, the amount that the Trustee failed to demand for payment thereunder) over (B) the amount deposited into the Series 2023-4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2023-4 Distribution Account.</w:t>
      </w:r>
    </w:p>
    <w:p>
      <w:pPr>
        <w:spacing w:after="0" w:line="175" w:lineRule="exact"/>
        <w:rPr>
          <w:sz w:val="20"/>
          <w:szCs w:val="20"/>
          <w:color w:val="auto"/>
        </w:rPr>
      </w:pPr>
    </w:p>
    <w:p>
      <w:pPr>
        <w:jc w:val="both"/>
        <w:ind w:left="580" w:firstLine="1292"/>
        <w:spacing w:after="0" w:line="250" w:lineRule="auto"/>
        <w:tabs>
          <w:tab w:leader="none" w:pos="2573"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Reserve Account Withdrawal</w:t>
      </w:r>
      <w:r>
        <w:rPr>
          <w:rFonts w:ascii="Times New Roman" w:cs="Times New Roman" w:eastAsia="Times New Roman" w:hAnsi="Times New Roman"/>
          <w:sz w:val="22"/>
          <w:szCs w:val="22"/>
          <w:color w:val="auto"/>
        </w:rPr>
        <w:t>. If the amounts to be deposited in the Series 2023-4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2023-4 Distribution Account in accordance with clauses (i) through (iv) of this Section 2.5(e) and deposit it in the Series 2023-4 Distribution Account on such Distribution Date.</w:t>
      </w:r>
    </w:p>
    <w:p>
      <w:pPr>
        <w:spacing w:after="0" w:line="186" w:lineRule="exact"/>
        <w:rPr>
          <w:rFonts w:ascii="Times New Roman" w:cs="Times New Roman" w:eastAsia="Times New Roman" w:hAnsi="Times New Roman"/>
          <w:sz w:val="22"/>
          <w:szCs w:val="22"/>
          <w:color w:val="auto"/>
        </w:rPr>
      </w:pPr>
    </w:p>
    <w:p>
      <w:pPr>
        <w:ind w:left="1660" w:hanging="436"/>
        <w:spacing w:after="0"/>
        <w:tabs>
          <w:tab w:leader="none" w:pos="1660"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350"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Notes</w:t>
      </w:r>
      <w:r>
        <w:rPr>
          <w:rFonts w:ascii="Times New Roman" w:cs="Times New Roman" w:eastAsia="Times New Roman" w:hAnsi="Times New Roman"/>
          <w:sz w:val="22"/>
          <w:szCs w:val="22"/>
          <w:color w:val="auto"/>
        </w:rPr>
        <w:t xml:space="preserve">. On each Distribution Date occurring on or after the date a withdrawal is made from the Series 2023-4 Collection Account pursuant to Section 2.5(a) or amounts are deposited in the Series 2023-4 Distribution Account pursuant to Section 2.3(f)(ii),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A Noteholder from the Series 2023-4 Distribution Account the amount deposited therein pursuant to Section 2.5(a), (b), (c) or (d), to the extent necessary to pay the Class A Controlled Distribution Amount during the Series 2023-4 Controlled Amortization Period or to the extent necessary to pay the Class A Invested Amount during the Series 2023-4 Rapid Amortization Period.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bl>
    <w:p>
      <w:pPr>
        <w:sectPr>
          <w:pgSz w:w="11900" w:h="16838" w:orient="portrait"/>
          <w:cols w:equalWidth="0" w:num="1">
            <w:col w:w="11160"/>
          </w:cols>
          <w:pgMar w:left="400" w:top="1030" w:right="339" w:bottom="1440" w:gutter="0" w:footer="0" w:header="0"/>
        </w:sectPr>
      </w:pPr>
    </w:p>
    <w:bookmarkStart w:id="295" w:name="page296"/>
    <w:bookmarkEnd w:id="295"/>
    <w:p>
      <w:pPr>
        <w:jc w:val="both"/>
        <w:ind w:left="580" w:firstLine="1292"/>
        <w:spacing w:after="0" w:line="250" w:lineRule="auto"/>
        <w:tabs>
          <w:tab w:leader="none" w:pos="2396"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Notes</w:t>
      </w:r>
      <w:r>
        <w:rPr>
          <w:rFonts w:ascii="Times New Roman" w:cs="Times New Roman" w:eastAsia="Times New Roman" w:hAnsi="Times New Roman"/>
          <w:sz w:val="22"/>
          <w:szCs w:val="22"/>
          <w:color w:val="auto"/>
        </w:rPr>
        <w:t xml:space="preserve">. On each Distribution Date occurring on or after the date a withdrawal is made from the Series 2023-4 Collection Account pursuant to Section 2.5(a) or amounts are deposited in the Series 2023-4 Distribution Account pursuant to Section 2.3(f)(ii),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B Noteholder from the Series 2023-4 Distribution Account the amount deposited therein pursuant to Section 2.5(a), (b), (c) or (d) less the aggregate amount applied to make the payments required pursuant to Section 2.5(f)(i), to the extent necessary to pay the Class B Controlled Distribution Amount during the Series 2023-4 Controlled Amortization Period or to the extent necessary to pay the Class B Invested Amount during the Series 2023-4 Rapid Amortization Period.</w:t>
      </w:r>
    </w:p>
    <w:p>
      <w:pPr>
        <w:spacing w:after="0" w:line="186"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443"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xml:space="preserve">. On each Distribution Date occurring on or after the date a withdrawal is made from the Series 2023-4 Collection Account pursuant to Section 2.5(a) or amounts are deposited in the Series 2023-4 Distribution Account pursuant to Section 2.3(f)(ii),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C Noteholder from the Series 2023-4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2023-4 Controlled Amortization Period or to the extent necessary to pay the Class C Invested Amount during the Series 2023-4 Rapid Amortization Period.</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31"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On each Distribution Date occurring on or after the date a withdrawal is made from the Series 2023-4 Collection Account pursuant to Section 2.5(a) or amounts are deposited in the Series 2023-4 Distribution Account pursuant to Section 2.3(f)(ii), 2.5(b), (c), (d) or (e)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D Noteholder from the Series 2023-4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2023-4 Controlled Amortization Period or to the extent necessary to pay the Class D Invested Amount during the Series 2023-4 Rapid Amortization Period.</w:t>
      </w:r>
    </w:p>
    <w:p>
      <w:pPr>
        <w:spacing w:after="0" w:line="186"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384"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R Notes</w:t>
      </w:r>
      <w:r>
        <w:rPr>
          <w:rFonts w:ascii="Times New Roman" w:cs="Times New Roman" w:eastAsia="Times New Roman" w:hAnsi="Times New Roman"/>
          <w:sz w:val="22"/>
          <w:szCs w:val="22"/>
          <w:color w:val="auto"/>
        </w:rPr>
        <w:t xml:space="preserve">. On each Distribution Date occurring on or after the date a withdrawal is made from the Series 2023-4 Collection Account pursuant to Section 2.5(a)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R Noteholder from the Series 2023-4 Distribution Account the amount deposited therein pursuant to Section 2.5(a) less the aggregate amount applied to make the payments required pursuant to Section 2.5(f)(i), Section 2.5(f)(ii), Section 2.5(f)(iii) and Section 2.5(f)(iv), to the extent necessary to pay the Class R Controlled Amortization Amount during the Series 2023-4 Controlled Amortization Period or to the extent necessary to pay the Class R Invested Amount during the Series 2023-4 Rapid Amortization Period.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ectPr>
          <w:pgSz w:w="11900" w:h="16838" w:orient="portrait"/>
          <w:cols w:equalWidth="0" w:num="1">
            <w:col w:w="11160"/>
          </w:cols>
          <w:pgMar w:left="400" w:top="1030" w:right="339" w:bottom="1440" w:gutter="0" w:footer="0" w:header="0"/>
        </w:sectPr>
      </w:pPr>
    </w:p>
    <w:bookmarkStart w:id="296" w:name="page297"/>
    <w:bookmarkEnd w:id="296"/>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Administrator’s Failure to Instruct the Trustee to Make a Deposit, Draw or Payment</w:t>
      </w:r>
      <w:r>
        <w:rPr>
          <w:rFonts w:ascii="Times New Roman" w:cs="Times New Roman" w:eastAsia="Times New Roman" w:hAnsi="Times New Roman"/>
          <w:sz w:val="21"/>
          <w:szCs w:val="21"/>
          <w:color w:val="auto"/>
        </w:rPr>
        <w:t xml:space="preserve">. If the Administrator fails to give notice or instructions to make (i) any payment from or deposit into the Collection Account, (ii) any draw on the Series 2023-4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2023-4 Demand Notes or the Multi-Series Letters of Credit, or such withdrawal from such Account, in each case without such notice or instruction from the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7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Series 2023-4 Reserve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Establishment of Class A/B/C Reserve Account</w:t>
      </w:r>
      <w:r>
        <w:rPr>
          <w:rFonts w:ascii="Times New Roman" w:cs="Times New Roman" w:eastAsia="Times New Roman" w:hAnsi="Times New Roman"/>
          <w:sz w:val="21"/>
          <w:szCs w:val="21"/>
          <w:color w:val="auto"/>
        </w:rPr>
        <w:t>. ABRCF has established and shall maintain in the name of the Series 2023-4 Agent for the benefit of the Class A Noteholders, the Class B Noteholders, the Class C Noteholders and the Class D Noteholders, or cause to be established and maintained, an account (the “</w:t>
      </w:r>
      <w:r>
        <w:rPr>
          <w:rFonts w:ascii="Times New Roman" w:cs="Times New Roman" w:eastAsia="Times New Roman" w:hAnsi="Times New Roman"/>
          <w:sz w:val="21"/>
          <w:szCs w:val="21"/>
          <w:u w:val="single" w:color="auto"/>
          <w:color w:val="auto"/>
        </w:rPr>
        <w:t>Class A/B/C Reserve Account</w:t>
      </w:r>
      <w:r>
        <w:rPr>
          <w:rFonts w:ascii="Times New Roman" w:cs="Times New Roman" w:eastAsia="Times New Roman" w:hAnsi="Times New Roman"/>
          <w:sz w:val="21"/>
          <w:szCs w:val="21"/>
          <w:color w:val="auto"/>
        </w:rPr>
        <w:t xml:space="preserve">”), bearing a designation clearly indicating that the funds deposited therein are held for the benefit of the Series 2023-4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w:t>
      </w:r>
    </w:p>
    <w:p>
      <w:pPr>
        <w:spacing w:after="0" w:line="5" w:lineRule="exact"/>
        <w:rPr>
          <w:sz w:val="20"/>
          <w:szCs w:val="20"/>
          <w:color w:val="auto"/>
        </w:rPr>
      </w:pPr>
    </w:p>
    <w:p>
      <w:pPr>
        <w:jc w:val="both"/>
        <w:ind w:firstLine="8"/>
        <w:spacing w:after="0" w:line="246" w:lineRule="auto"/>
        <w:tabs>
          <w:tab w:leader="none" w:pos="426"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2023-4 Agent in writing to transfer all cash and investments from the non-qualifying Class A/B/C Reserve Account into the new Class A/B/C Reserve Account. The Class A/B/C Reserve Account has initially been established with The Bank of New York Mellon Trust Company, N.A.</w:t>
      </w:r>
    </w:p>
    <w:p>
      <w:pPr>
        <w:spacing w:after="0" w:line="188"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66" w:val="left"/>
        </w:tabs>
        <w:numPr>
          <w:ilvl w:val="1"/>
          <w:numId w:val="2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A/B/C Reserve Account</w:t>
      </w:r>
      <w:r>
        <w:rPr>
          <w:rFonts w:ascii="Times New Roman" w:cs="Times New Roman" w:eastAsia="Times New Roman" w:hAnsi="Times New Roman"/>
          <w:sz w:val="21"/>
          <w:szCs w:val="21"/>
          <w:color w:val="auto"/>
        </w:rPr>
        <w:t xml:space="preserve">. The Administrator may instruct the institution maintaining the Class A/B/C Reserve Account to invest funds on deposit in the Class A/B/C Reserve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 on or prior to such Distribution Date;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the case of Permitted Investments held in the Series 2023-4 Reserve Account and so long as any Series 2023-4 Note is rated by Fitch (x) any Permitted Investment set forth in clauses (ii), (iii), (vi) and (vii) of the definition thereof will have a rating of “AA-” or “F1+” by Fitch and</w:t>
      </w:r>
    </w:p>
    <w:p>
      <w:pPr>
        <w:spacing w:after="0" w:line="6" w:lineRule="exact"/>
        <w:rPr>
          <w:rFonts w:ascii="Times New Roman" w:cs="Times New Roman" w:eastAsia="Times New Roman" w:hAnsi="Times New Roman"/>
          <w:sz w:val="21"/>
          <w:szCs w:val="21"/>
          <w:color w:val="auto"/>
        </w:rPr>
      </w:pPr>
    </w:p>
    <w:p>
      <w:pPr>
        <w:ind w:right="2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any Permitted Investment set forth in clause (v) of the definition thereof will either have a rating of “AAAmmf” by Fitch or, if such fund is not</w:t>
      </w:r>
    </w:p>
    <w:p>
      <w:pPr>
        <w:spacing w:after="0" w:line="21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bl>
    <w:p>
      <w:pPr>
        <w:sectPr>
          <w:pgSz w:w="11900" w:h="16838" w:orient="portrait"/>
          <w:cols w:equalWidth="0" w:num="1">
            <w:col w:w="11240"/>
          </w:cols>
          <w:pgMar w:left="320" w:top="1030" w:right="339" w:bottom="1440" w:gutter="0" w:footer="0" w:header="0"/>
        </w:sectPr>
      </w:pPr>
    </w:p>
    <w:bookmarkStart w:id="297" w:name="page298"/>
    <w:bookmarkEnd w:id="297"/>
    <w:p>
      <w:pPr>
        <w:spacing w:after="0" w:line="255" w:lineRule="auto"/>
        <w:rPr>
          <w:sz w:val="20"/>
          <w:szCs w:val="20"/>
          <w:color w:val="auto"/>
        </w:rPr>
      </w:pPr>
      <w:r>
        <w:rPr>
          <w:rFonts w:ascii="Times New Roman" w:cs="Times New Roman" w:eastAsia="Times New Roman" w:hAnsi="Times New Roman"/>
          <w:sz w:val="22"/>
          <w:szCs w:val="22"/>
          <w:color w:val="auto"/>
        </w:rPr>
        <w:t>rated by Fitch, the then highest rating from two nationally recognized investment rating agencies (other than Fitch). All such Permitted Investments will be credited to the Class A/B/C Reserve Account and any such Permitted Investments that constitute</w:t>
      </w:r>
    </w:p>
    <w:p>
      <w:pPr>
        <w:spacing w:after="0" w:line="1" w:lineRule="exact"/>
        <w:rPr>
          <w:sz w:val="20"/>
          <w:szCs w:val="20"/>
          <w:color w:val="auto"/>
        </w:rPr>
      </w:pPr>
    </w:p>
    <w:p>
      <w:pPr>
        <w:jc w:val="both"/>
        <w:ind w:firstLine="8"/>
        <w:spacing w:after="0" w:line="246" w:lineRule="auto"/>
        <w:tabs>
          <w:tab w:leader="none" w:pos="288"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spacing w:after="0" w:line="19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14" w:val="left"/>
        </w:tabs>
        <w:numPr>
          <w:ilvl w:val="1"/>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Class A/B/C Reserve Account</w:t>
      </w:r>
      <w:r>
        <w:rPr>
          <w:rFonts w:ascii="Times New Roman" w:cs="Times New Roman" w:eastAsia="Times New Roman" w:hAnsi="Times New Roman"/>
          <w:sz w:val="22"/>
          <w:szCs w:val="22"/>
          <w:color w:val="auto"/>
        </w:rPr>
        <w:t>. All interest and earnings (net of losses and investment expenses) paid on funds on deposit in the Class A/B/C Reserve Account shall be deemed to be on deposit therein and available for distribution.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04" w:val="left"/>
        </w:tabs>
        <w:numPr>
          <w:ilvl w:val="1"/>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A/B/C Reserve Account Constitutes Additional Collateral for Series 2023-4 Senior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2023-4 Senior Notes, ABRCF hereby grants a security interest in and assigns, pledges, grants, transfers and sets over to the Trustee, for the benefit of the Series 2023-4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A/B/C Reserve Account Collateral</w:t>
      </w:r>
      <w:r>
        <w:rPr>
          <w:rFonts w:ascii="Times New Roman" w:cs="Times New Roman" w:eastAsia="Times New Roman" w:hAnsi="Times New Roman"/>
          <w:sz w:val="21"/>
          <w:szCs w:val="21"/>
          <w:color w:val="auto"/>
        </w:rPr>
        <w:t>”).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2023-4 Noteholders. The Series 2023-4 Agent 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ectPr>
          <w:pgSz w:w="11900" w:h="16838" w:orient="portrait"/>
          <w:cols w:equalWidth="0" w:num="1">
            <w:col w:w="11240"/>
          </w:cols>
          <w:pgMar w:left="320" w:top="1030"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22"/>
          <w:szCs w:val="22"/>
          <w:color w:val="auto"/>
        </w:rPr>
        <w:t>comply with any entitlement order (as defined in Section 8-102(a)(8) of the New York UCC) issued by the Trustee.</w:t>
      </w:r>
    </w:p>
    <w:p>
      <w:pPr>
        <w:spacing w:after="0" w:line="220" w:lineRule="exact"/>
        <w:rPr>
          <w:sz w:val="20"/>
          <w:szCs w:val="20"/>
          <w:color w:val="auto"/>
        </w:rPr>
      </w:pPr>
    </w:p>
    <w:p>
      <w:pPr>
        <w:jc w:val="both"/>
        <w:ind w:firstLine="1304"/>
        <w:spacing w:after="0" w:line="250" w:lineRule="auto"/>
        <w:tabs>
          <w:tab w:leader="none" w:pos="1806"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In the event that the Class A/B/C Reserve Account Surplus on any Distribution Date, after giving effect to all withdrawals from the Class A/B/C Reserve Account, is greater than zero, if no Series 2023-4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spacing w:after="0" w:line="18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28"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Class A/B/C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8"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Reserve Account</w:t>
      </w:r>
      <w:r>
        <w:rPr>
          <w:rFonts w:ascii="Times New Roman" w:cs="Times New Roman" w:eastAsia="Times New Roman" w:hAnsi="Times New Roman"/>
          <w:sz w:val="22"/>
          <w:szCs w:val="22"/>
          <w:color w:val="auto"/>
        </w:rPr>
        <w:t>. ABRCF shall establish and maintain in the name of the Series 2023-4 Agent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2023-4 Agent in writing to transfer all cash and investments from the non-qualifying Class D Reserve Account into the new Class D Reserve Account. Initially, the Class D Reserve Account will be established with The Bank of New York Mellon Trust Company, N.A.</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D Reserve Account</w:t>
      </w:r>
      <w:r>
        <w:rPr>
          <w:rFonts w:ascii="Times New Roman" w:cs="Times New Roman" w:eastAsia="Times New Roman" w:hAnsi="Times New Roman"/>
          <w:sz w:val="22"/>
          <w:szCs w:val="22"/>
          <w:color w:val="auto"/>
        </w:rPr>
        <w:t xml:space="preserve">. The Administrator may instruct the institution maintaining the Class D Reserve Account to invest funds on deposit in the Class D Reserve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bl>
    <w:p>
      <w:pPr>
        <w:sectPr>
          <w:pgSz w:w="11900" w:h="16838" w:orient="portrait"/>
          <w:cols w:equalWidth="0" w:num="1">
            <w:col w:w="11240"/>
          </w:cols>
          <w:pgMar w:left="320" w:top="1030" w:right="339" w:bottom="1440" w:gutter="0" w:footer="0" w:header="0"/>
        </w:sectPr>
      </w:pPr>
    </w:p>
    <w:bookmarkStart w:id="299" w:name="page300"/>
    <w:bookmarkEnd w:id="299"/>
    <w:p>
      <w:pPr>
        <w:jc w:val="both"/>
        <w:spacing w:after="0" w:line="263" w:lineRule="auto"/>
        <w:rPr>
          <w:sz w:val="20"/>
          <w:szCs w:val="20"/>
          <w:color w:val="auto"/>
        </w:rPr>
      </w:pPr>
      <w:r>
        <w:rPr>
          <w:rFonts w:ascii="Times New Roman" w:cs="Times New Roman" w:eastAsia="Times New Roman" w:hAnsi="Times New Roman"/>
          <w:sz w:val="21"/>
          <w:szCs w:val="21"/>
          <w:color w:val="auto"/>
        </w:rPr>
        <w:t>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spacing w:after="0" w:line="170" w:lineRule="exact"/>
        <w:rPr>
          <w:sz w:val="20"/>
          <w:szCs w:val="20"/>
          <w:color w:val="auto"/>
        </w:rPr>
      </w:pPr>
    </w:p>
    <w:p>
      <w:pPr>
        <w:ind w:firstLine="1304"/>
        <w:spacing w:after="0" w:line="295" w:lineRule="auto"/>
        <w:tabs>
          <w:tab w:leader="none" w:pos="1770"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Earnings from Class D Reserve Account</w:t>
      </w:r>
      <w:r>
        <w:rPr>
          <w:rFonts w:ascii="Times New Roman" w:cs="Times New Roman" w:eastAsia="Times New Roman" w:hAnsi="Times New Roman"/>
          <w:sz w:val="21"/>
          <w:szCs w:val="21"/>
          <w:color w:val="auto"/>
        </w:rPr>
        <w:t>. All interest and earnings (net of losses and investment expenses) paid on funds on deposit in the Class D Reserve Account shall be deemed to be on deposit therein and available for distribution.</w:t>
      </w:r>
    </w:p>
    <w:p>
      <w:pPr>
        <w:spacing w:after="0" w:line="135" w:lineRule="exact"/>
        <w:rPr>
          <w:rFonts w:ascii="Times New Roman" w:cs="Times New Roman" w:eastAsia="Times New Roman" w:hAnsi="Times New Roman"/>
          <w:sz w:val="21"/>
          <w:szCs w:val="21"/>
          <w:color w:val="auto"/>
        </w:rPr>
      </w:pPr>
    </w:p>
    <w:p>
      <w:pPr>
        <w:jc w:val="both"/>
        <w:ind w:firstLine="1304"/>
        <w:spacing w:after="0" w:line="259" w:lineRule="auto"/>
        <w:tabs>
          <w:tab w:leader="none" w:pos="1729" w:val="left"/>
        </w:tabs>
        <w:numPr>
          <w:ilvl w:val="1"/>
          <w:numId w:val="2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Reserve Account Constitutes Additional Collateral for Class D Notes</w:t>
      </w:r>
      <w:r>
        <w:rPr>
          <w:rFonts w:ascii="Times New Roman" w:cs="Times New Roman" w:eastAsia="Times New Roman" w:hAnsi="Times New Roman"/>
          <w:sz w:val="21"/>
          <w:szCs w:val="21"/>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w:t>
      </w:r>
    </w:p>
    <w:p>
      <w:pPr>
        <w:spacing w:after="0" w:line="5" w:lineRule="exact"/>
        <w:rPr>
          <w:rFonts w:ascii="Times New Roman" w:cs="Times New Roman" w:eastAsia="Times New Roman" w:hAnsi="Times New Roman"/>
          <w:sz w:val="21"/>
          <w:szCs w:val="21"/>
          <w:color w:val="auto"/>
        </w:rPr>
      </w:pPr>
    </w:p>
    <w:p>
      <w:pPr>
        <w:jc w:val="both"/>
        <w:ind w:firstLine="8"/>
        <w:spacing w:after="0" w:line="247" w:lineRule="auto"/>
        <w:tabs>
          <w:tab w:leader="none" w:pos="259"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(vi) are referred to, collectively, as the “</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2023-4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spacing w:after="0" w:line="184" w:lineRule="exact"/>
        <w:rPr>
          <w:rFonts w:ascii="Times New Roman" w:cs="Times New Roman" w:eastAsia="Times New Roman" w:hAnsi="Times New Roman"/>
          <w:sz w:val="22"/>
          <w:szCs w:val="22"/>
          <w:color w:val="auto"/>
        </w:rPr>
      </w:pPr>
    </w:p>
    <w:p>
      <w:pPr>
        <w:ind w:firstLine="1304"/>
        <w:spacing w:after="0" w:line="271" w:lineRule="auto"/>
        <w:tabs>
          <w:tab w:leader="none" w:pos="1764"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Reserve Account Surplus</w:t>
      </w:r>
      <w:r>
        <w:rPr>
          <w:rFonts w:ascii="Times New Roman" w:cs="Times New Roman" w:eastAsia="Times New Roman" w:hAnsi="Times New Roman"/>
          <w:sz w:val="22"/>
          <w:szCs w:val="22"/>
          <w:color w:val="auto"/>
        </w:rPr>
        <w:t>. In the event that the Class D Reserve Account Surplus on any Distribution Date, after giving effect to all withdrawals from the Class D</w:t>
      </w:r>
    </w:p>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bl>
    <w:p>
      <w:pPr>
        <w:sectPr>
          <w:pgSz w:w="11900" w:h="16838" w:orient="portrait"/>
          <w:cols w:equalWidth="0" w:num="1">
            <w:col w:w="11240"/>
          </w:cols>
          <w:pgMar w:left="320" w:top="1030" w:right="339" w:bottom="1440" w:gutter="0" w:footer="0" w:header="0"/>
        </w:sectPr>
      </w:pPr>
    </w:p>
    <w:bookmarkStart w:id="300" w:name="page301"/>
    <w:bookmarkEnd w:id="300"/>
    <w:p>
      <w:pPr>
        <w:jc w:val="both"/>
        <w:spacing w:after="0" w:line="256" w:lineRule="auto"/>
        <w:rPr>
          <w:sz w:val="20"/>
          <w:szCs w:val="20"/>
          <w:color w:val="auto"/>
        </w:rPr>
      </w:pPr>
      <w:r>
        <w:rPr>
          <w:rFonts w:ascii="Times New Roman" w:cs="Times New Roman" w:eastAsia="Times New Roman" w:hAnsi="Times New Roman"/>
          <w:sz w:val="22"/>
          <w:szCs w:val="22"/>
          <w:color w:val="auto"/>
        </w:rPr>
        <w:t>Reserve Account, is greater than zero, if no Series 2023-4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spacing w:after="0" w:line="176" w:lineRule="exact"/>
        <w:rPr>
          <w:sz w:val="20"/>
          <w:szCs w:val="20"/>
          <w:color w:val="auto"/>
        </w:rPr>
      </w:pPr>
    </w:p>
    <w:p>
      <w:pPr>
        <w:jc w:val="both"/>
        <w:ind w:firstLine="1304"/>
        <w:spacing w:after="0" w:line="256" w:lineRule="auto"/>
        <w:tabs>
          <w:tab w:leader="none" w:pos="1743"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Class D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u w:val="single" w:color="auto"/>
          <w:color w:val="auto"/>
        </w:rPr>
        <w:t>Multi-Series Letters of Credit and Series 2023-4 Cash Collateral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Multi-Series Letters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Credit and Series 2023-4 Cash Collateral Account Constitute Additional Collateral for Series 2023-4 Senior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2023-4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w:t>
      </w:r>
    </w:p>
    <w:p>
      <w:pPr>
        <w:spacing w:after="0" w:line="5" w:lineRule="exact"/>
        <w:rPr>
          <w:sz w:val="20"/>
          <w:szCs w:val="20"/>
          <w:color w:val="auto"/>
        </w:rPr>
      </w:pPr>
    </w:p>
    <w:p>
      <w:pPr>
        <w:jc w:val="both"/>
        <w:ind w:firstLine="8"/>
        <w:spacing w:after="0" w:line="258" w:lineRule="auto"/>
        <w:tabs>
          <w:tab w:leader="none" w:pos="395" w:val="left"/>
        </w:tabs>
        <w:numPr>
          <w:ilvl w:val="0"/>
          <w:numId w:val="2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Class A/B/C Cash Collateral Account Collateral</w:t>
      </w:r>
      <w:r>
        <w:rPr>
          <w:rFonts w:ascii="Times New Roman" w:cs="Times New Roman" w:eastAsia="Times New Roman" w:hAnsi="Times New Roman"/>
          <w:sz w:val="21"/>
          <w:szCs w:val="21"/>
          <w:color w:val="auto"/>
        </w:rPr>
        <w:t>”).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2023-4 Agent hereby agrees (i) to act as the securities 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bl>
    <w:p>
      <w:pPr>
        <w:sectPr>
          <w:pgSz w:w="11900" w:h="16838" w:orient="portrait"/>
          <w:cols w:equalWidth="0" w:num="1">
            <w:col w:w="11240"/>
          </w:cols>
          <w:pgMar w:left="320" w:top="1030" w:right="339" w:bottom="1440" w:gutter="0" w:footer="0" w:header="0"/>
        </w:sectPr>
      </w:pPr>
    </w:p>
    <w:bookmarkStart w:id="301" w:name="page302"/>
    <w:bookmarkEnd w:id="301"/>
    <w:p>
      <w:pPr>
        <w:jc w:val="both"/>
        <w:ind w:left="-80" w:firstLine="1304"/>
        <w:spacing w:after="0" w:line="259" w:lineRule="auto"/>
        <w:tabs>
          <w:tab w:leader="none" w:pos="1711"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Letters of Credit and Class D Cash Collateral Account Constitute Additional Collateral for Class D Notes</w:t>
      </w:r>
      <w:r>
        <w:rPr>
          <w:rFonts w:ascii="Times New Roman" w:cs="Times New Roman" w:eastAsia="Times New Roman" w:hAnsi="Times New Roman"/>
          <w:sz w:val="21"/>
          <w:szCs w:val="21"/>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of Credit related to supporting another Series of Notes);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Class D Cash Collateral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 Collateral</w:t>
      </w:r>
      <w:r>
        <w:rPr>
          <w:rFonts w:ascii="Times New Roman" w:cs="Times New Roman" w:eastAsia="Times New Roman" w:hAnsi="Times New Roman"/>
          <w:sz w:val="21"/>
          <w:szCs w:val="21"/>
          <w:color w:val="auto"/>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2023-4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spacing w:after="0" w:line="189" w:lineRule="exact"/>
        <w:rPr>
          <w:rFonts w:ascii="Times New Roman" w:cs="Times New Roman" w:eastAsia="Times New Roman" w:hAnsi="Times New Roman"/>
          <w:sz w:val="21"/>
          <w:szCs w:val="21"/>
          <w:color w:val="auto"/>
        </w:rPr>
      </w:pPr>
    </w:p>
    <w:p>
      <w:pPr>
        <w:jc w:val="both"/>
        <w:ind w:left="-80" w:firstLine="1304"/>
        <w:spacing w:after="0" w:line="247" w:lineRule="auto"/>
        <w:tabs>
          <w:tab w:leader="none" w:pos="1739"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Expiration Date</w:t>
      </w:r>
      <w:r>
        <w:rPr>
          <w:rFonts w:ascii="Times New Roman" w:cs="Times New Roman" w:eastAsia="Times New Roman" w:hAnsi="Times New Roman"/>
          <w:sz w:val="22"/>
          <w:szCs w:val="22"/>
          <w:color w:val="auto"/>
        </w:rPr>
        <w:t>.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2023-4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bl>
    <w:p>
      <w:pPr>
        <w:sectPr>
          <w:pgSz w:w="11900" w:h="16838" w:orient="portrait"/>
          <w:cols w:equalWidth="0" w:num="1">
            <w:col w:w="11160"/>
          </w:cols>
          <w:pgMar w:left="400" w:top="1030" w:right="339" w:bottom="1440" w:gutter="0" w:footer="0" w:header="0"/>
        </w:sectPr>
      </w:pPr>
    </w:p>
    <w:bookmarkStart w:id="302" w:name="page303"/>
    <w:bookmarkEnd w:id="302"/>
    <w:p>
      <w:pPr>
        <w:jc w:val="both"/>
        <w:spacing w:after="0" w:line="247" w:lineRule="auto"/>
        <w:rPr>
          <w:sz w:val="20"/>
          <w:szCs w:val="20"/>
          <w:color w:val="auto"/>
        </w:rPr>
      </w:pPr>
      <w:r>
        <w:rPr>
          <w:rFonts w:ascii="Times New Roman" w:cs="Times New Roman" w:eastAsia="Times New Roman" w:hAnsi="Times New Roman"/>
          <w:sz w:val="22"/>
          <w:szCs w:val="22"/>
          <w:color w:val="auto"/>
        </w:rPr>
        <w:t>Class A/B/C Notes under each substitute Multi-Series Letter of Credit which has been obtained from a Series 2023-4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Enhancement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2023-4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2023-4 Eligible Letter of Credit Provider and is in full force and effect, on such date, and (y) 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spacing w:after="0" w:line="179" w:lineRule="exact"/>
        <w:rPr>
          <w:sz w:val="20"/>
          <w:szCs w:val="20"/>
          <w:color w:val="auto"/>
        </w:rPr>
      </w:pPr>
    </w:p>
    <w:p>
      <w:pPr>
        <w:jc w:val="both"/>
        <w:ind w:firstLine="1304"/>
        <w:spacing w:after="0" w:line="260" w:lineRule="auto"/>
        <w:tabs>
          <w:tab w:leader="none" w:pos="1899" w:val="left"/>
        </w:tabs>
        <w:numPr>
          <w:ilvl w:val="1"/>
          <w:numId w:val="2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 of Credit Expiration Date</w:t>
      </w:r>
      <w:r>
        <w:rPr>
          <w:rFonts w:ascii="Times New Roman" w:cs="Times New Roman" w:eastAsia="Times New Roman" w:hAnsi="Times New Roman"/>
          <w:sz w:val="21"/>
          <w:szCs w:val="21"/>
          <w:color w:val="auto"/>
        </w:rPr>
        <w:t>.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2023-4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13"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D Notes and available to be drawn under such Multi-Series Letter</w:t>
      </w: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bl>
    <w:p>
      <w:pPr>
        <w:sectPr>
          <w:pgSz w:w="11900" w:h="16838" w:orient="portrait"/>
          <w:cols w:equalWidth="0" w:num="1">
            <w:col w:w="11240"/>
          </w:cols>
          <w:pgMar w:left="320" w:top="1030" w:right="339" w:bottom="1440" w:gutter="0" w:footer="0" w:header="0"/>
        </w:sectPr>
      </w:pPr>
    </w:p>
    <w:bookmarkStart w:id="303" w:name="page304"/>
    <w:bookmarkEnd w:id="303"/>
    <w:p>
      <w:pPr>
        <w:jc w:val="both"/>
        <w:spacing w:after="0" w:line="247" w:lineRule="auto"/>
        <w:rPr>
          <w:sz w:val="20"/>
          <w:szCs w:val="20"/>
          <w:color w:val="auto"/>
        </w:rPr>
      </w:pPr>
      <w:r>
        <w:rPr>
          <w:rFonts w:ascii="Times New Roman" w:cs="Times New Roman" w:eastAsia="Times New Roman" w:hAnsi="Times New Roman"/>
          <w:sz w:val="22"/>
          <w:szCs w:val="22"/>
          <w:color w:val="auto"/>
        </w:rPr>
        <w:t>of Credit but taking into account the amount allocated to the Class D Notes under each substitute Multi-Series Letter of Credit which has been obtained from a Series 2023-4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 (2) Business Days prior to such Multi-Series Letter of Credit Expiration Date of (x) the greater of (A) the excess, if any, of the Class D Required Enhancement Amount over the Class D Enhancement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2023-4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2023-4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spacing w:after="0" w:line="179" w:lineRule="exact"/>
        <w:rPr>
          <w:sz w:val="20"/>
          <w:szCs w:val="20"/>
          <w:color w:val="auto"/>
        </w:rPr>
      </w:pPr>
    </w:p>
    <w:p>
      <w:pPr>
        <w:jc w:val="both"/>
        <w:ind w:firstLine="1304"/>
        <w:spacing w:after="0" w:line="247" w:lineRule="auto"/>
        <w:tabs>
          <w:tab w:leader="none" w:pos="1779"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Multi-Series Letter of Credit Providers</w:t>
      </w:r>
      <w:r>
        <w:rPr>
          <w:rFonts w:ascii="Times New Roman" w:cs="Times New Roman" w:eastAsia="Times New Roman" w:hAnsi="Times New Roman"/>
          <w:sz w:val="22"/>
          <w:szCs w:val="22"/>
          <w:color w:val="auto"/>
        </w:rPr>
        <w:t>.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 Class A/B/C Required Enhancement Amount over the Class A/B/C Enhancement Amount, excluding the available amount allocated to the Class A/B/C Notes under the Multi-Series Letter of Credit issued by such Multi-Series Letter of Credit Provider, on such date, and (B) the excess, if any, of the Class A/B/C Required Liquidity Amount over the Class A/B/C Liquidity Amount, excluding the available amount allocated to the Class A/B/C Notes under such Multi-Series Letter</w:t>
      </w: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ectPr>
          <w:pgSz w:w="11900" w:h="16838" w:orient="portrait"/>
          <w:cols w:equalWidth="0" w:num="1">
            <w:col w:w="11240"/>
          </w:cols>
          <w:pgMar w:left="320" w:top="1030" w:right="339" w:bottom="1440" w:gutter="0" w:footer="0" w:header="0"/>
        </w:sectPr>
      </w:pPr>
    </w:p>
    <w:bookmarkStart w:id="304" w:name="page305"/>
    <w:bookmarkEnd w:id="304"/>
    <w:p>
      <w:pPr>
        <w:jc w:val="both"/>
        <w:spacing w:after="0" w:line="259" w:lineRule="auto"/>
        <w:rPr>
          <w:sz w:val="20"/>
          <w:szCs w:val="20"/>
          <w:color w:val="auto"/>
        </w:rPr>
      </w:pPr>
      <w:r>
        <w:rPr>
          <w:rFonts w:ascii="Times New Roman" w:cs="Times New Roman" w:eastAsia="Times New Roman" w:hAnsi="Times New Roman"/>
          <w:sz w:val="21"/>
          <w:szCs w:val="21"/>
          <w:color w:val="auto"/>
        </w:rPr>
        <w:t>of Credit, on such date, and (ii) 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Amount, excluding the available amount allocated to the Class D Notes under such Multi-Series Letter of Credit, on such date, and (ii) the amount allocated to the Class D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spacing w:after="0" w:line="187" w:lineRule="exact"/>
        <w:rPr>
          <w:sz w:val="20"/>
          <w:szCs w:val="20"/>
          <w:color w:val="auto"/>
        </w:rPr>
      </w:pPr>
    </w:p>
    <w:p>
      <w:pPr>
        <w:jc w:val="both"/>
        <w:ind w:firstLine="1304"/>
        <w:spacing w:after="0" w:line="259" w:lineRule="auto"/>
        <w:tabs>
          <w:tab w:leader="none" w:pos="1768" w:val="left"/>
        </w:tabs>
        <w:numPr>
          <w:ilvl w:val="1"/>
          <w:numId w:val="2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Date Demands on the Multi-Series Letters of Credit</w:t>
      </w:r>
      <w:r>
        <w:rPr>
          <w:rFonts w:ascii="Times New Roman" w:cs="Times New Roman" w:eastAsia="Times New Roman" w:hAnsi="Times New Roman"/>
          <w:sz w:val="21"/>
          <w:szCs w:val="21"/>
          <w:color w:val="auto"/>
        </w:rPr>
        <w:t xml:space="preserve">. Prior to 10:00 a.m. (New York City time) on the Business Day immediately succeeding the Multi-Series Letter of Credit Termination Date, the Administrator shall determine the Series 2023-4 Demand Note Payment Amount, if any, as of the Multi-Series Letter of Credit Termination Date and, if the Series 2023-4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2023-4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Class A/B/C Cash Collateral Account has been established and funded, the Trustee shall draw an amount equal to the product of (a) 100%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Class A/B/C Cash Collateral Percentage and (b) the lesser of the amounts referred to in clause (i) and (ii) on such Business Day on the Multi-Series Letters of Credit, as calculated by the Administrator and provided in writing to the Trustee and (II) on each such Multi-Series Letter of Credit allocable to the Class D Notes equal to the lesser of (i) the excess of</w:t>
      </w:r>
    </w:p>
    <w:p>
      <w:pPr>
        <w:spacing w:after="0" w:line="3" w:lineRule="exact"/>
        <w:rPr>
          <w:rFonts w:ascii="Times New Roman" w:cs="Times New Roman" w:eastAsia="Times New Roman" w:hAnsi="Times New Roman"/>
          <w:sz w:val="21"/>
          <w:szCs w:val="21"/>
          <w:color w:val="auto"/>
        </w:rPr>
      </w:pPr>
    </w:p>
    <w:p>
      <w:pPr>
        <w:jc w:val="both"/>
        <w:ind w:firstLine="8"/>
        <w:spacing w:after="0" w:line="252" w:lineRule="auto"/>
        <w:tabs>
          <w:tab w:leader="none" w:pos="306"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2023-4 Demand Note Payment Amount over (y) the amounts drawn on the Multi-Series Letter of Credit pursuant to this Section 2.8(f) that are allocable to the Class D Notes and (ii) the Class D Letter of Credit Liquidity Amount on the Multi-Series Letters of Credit by presenting to each relevant</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bl>
    <w:p>
      <w:pPr>
        <w:sectPr>
          <w:pgSz w:w="11900" w:h="16838" w:orient="portrait"/>
          <w:cols w:equalWidth="0" w:num="1">
            <w:col w:w="11240"/>
          </w:cols>
          <w:pgMar w:left="320" w:top="1030" w:right="339" w:bottom="1440" w:gutter="0" w:footer="0" w:header="0"/>
        </w:sectPr>
      </w:pPr>
    </w:p>
    <w:bookmarkStart w:id="305" w:name="page306"/>
    <w:bookmarkEnd w:id="305"/>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Class D Cash Collateral Account has been established and funded, the Trustee shall draw an amount equal to the product of (a)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D Cash Collateral Percentage and (b) the lesser of the amounts referred to in clause (i) and (ii) on such Business Day on the Multi-Series Letters of Credit, as calculated by the Administrator and provided in writing to the Trustee.</w:t>
      </w:r>
    </w:p>
    <w:p>
      <w:pPr>
        <w:spacing w:after="0" w:line="181" w:lineRule="exact"/>
        <w:rPr>
          <w:sz w:val="20"/>
          <w:szCs w:val="20"/>
          <w:color w:val="auto"/>
        </w:rPr>
      </w:pPr>
    </w:p>
    <w:p>
      <w:pPr>
        <w:jc w:val="both"/>
        <w:ind w:firstLine="1304"/>
        <w:spacing w:after="0" w:line="249" w:lineRule="auto"/>
        <w:tabs>
          <w:tab w:leader="none" w:pos="1858"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the Multi-Series Letters of Credit</w:t>
      </w:r>
      <w:r>
        <w:rPr>
          <w:rFonts w:ascii="Times New Roman" w:cs="Times New Roman" w:eastAsia="Times New Roman" w:hAnsi="Times New Roman"/>
          <w:sz w:val="22"/>
          <w:szCs w:val="22"/>
          <w:color w:val="auto"/>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spacing w:after="0" w:line="183"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72" w:val="left"/>
        </w:tabs>
        <w:numPr>
          <w:ilvl w:val="0"/>
          <w:numId w:val="2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Establishment of Class A/B/C Cash Collateral Account</w:t>
      </w:r>
      <w:r>
        <w:rPr>
          <w:rFonts w:ascii="Times New Roman" w:cs="Times New Roman" w:eastAsia="Times New Roman" w:hAnsi="Times New Roman"/>
          <w:sz w:val="21"/>
          <w:szCs w:val="21"/>
          <w:color w:val="auto"/>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 w:cs="Times New Roman" w:eastAsia="Times New Roman" w:hAnsi="Times New Roman"/>
          <w:sz w:val="21"/>
          <w:szCs w:val="21"/>
          <w:u w:val="single" w:color="auto"/>
          <w:color w:val="auto"/>
        </w:rPr>
        <w:t>Class A/B/C Cash Collateral Account</w:t>
      </w:r>
      <w:r>
        <w:rPr>
          <w:rFonts w:ascii="Times New Roman" w:cs="Times New Roman" w:eastAsia="Times New Roman" w:hAnsi="Times New Roman"/>
          <w:sz w:val="21"/>
          <w:szCs w:val="21"/>
          <w:color w:val="auto"/>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spacing w:after="0" w:line="179" w:lineRule="exact"/>
        <w:rPr>
          <w:rFonts w:ascii="Times New Roman" w:cs="Times New Roman" w:eastAsia="Times New Roman" w:hAnsi="Times New Roman"/>
          <w:sz w:val="21"/>
          <w:szCs w:val="21"/>
          <w:color w:val="auto"/>
        </w:rPr>
      </w:pPr>
    </w:p>
    <w:p>
      <w:pPr>
        <w:jc w:val="both"/>
        <w:ind w:firstLine="1304"/>
        <w:spacing w:after="0" w:line="257" w:lineRule="auto"/>
        <w:tabs>
          <w:tab w:leader="none" w:pos="1756"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A/B/C Cash Collateral Account</w:t>
      </w:r>
      <w:r>
        <w:rPr>
          <w:rFonts w:ascii="Times New Roman" w:cs="Times New Roman" w:eastAsia="Times New Roman" w:hAnsi="Times New Roman"/>
          <w:sz w:val="22"/>
          <w:szCs w:val="22"/>
          <w:color w:val="auto"/>
        </w:rPr>
        <w:t>. ABRCF may instruct (by standing instructions or otherwise) the institution maintaining the Class A/B/C Cash Collateral Account to invest funds on deposit in the Class A/B/C Cash Collateral Account from</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bl>
    <w:p>
      <w:pPr>
        <w:sectPr>
          <w:pgSz w:w="11900" w:h="16838" w:orient="portrait"/>
          <w:cols w:equalWidth="0" w:num="1">
            <w:col w:w="11240"/>
          </w:cols>
          <w:pgMar w:left="320" w:top="1030" w:right="339" w:bottom="1440" w:gutter="0" w:footer="0" w:header="0"/>
        </w:sectPr>
      </w:pPr>
    </w:p>
    <w:bookmarkStart w:id="306" w:name="page307"/>
    <w:bookmarkEnd w:id="306"/>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in the case of Permitted Investments held in the Class A/B/C Cash Collateral Account and so long as any Class A Note, Class B Note or Class C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spacing w:after="0" w:line="197" w:lineRule="exact"/>
        <w:rPr>
          <w:sz w:val="20"/>
          <w:szCs w:val="20"/>
          <w:color w:val="auto"/>
        </w:rPr>
      </w:pPr>
    </w:p>
    <w:p>
      <w:pPr>
        <w:jc w:val="both"/>
        <w:ind w:firstLine="1304"/>
        <w:spacing w:after="0" w:line="247" w:lineRule="auto"/>
        <w:tabs>
          <w:tab w:leader="none" w:pos="1797"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Cash Collateral Account</w:t>
      </w:r>
      <w:r>
        <w:rPr>
          <w:rFonts w:ascii="Times New Roman" w:cs="Times New Roman" w:eastAsia="Times New Roman" w:hAnsi="Times New Roman"/>
          <w:sz w:val="22"/>
          <w:szCs w:val="22"/>
          <w:color w:val="auto"/>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instruct the Trustee in writing to transfer all cash and investments from the non-qualifying Class D Cash Collateral Account into the new Class D Cash Collateral Account.</w:t>
      </w:r>
    </w:p>
    <w:p>
      <w:pPr>
        <w:spacing w:after="0" w:line="189" w:lineRule="exact"/>
        <w:rPr>
          <w:rFonts w:ascii="Times New Roman" w:cs="Times New Roman" w:eastAsia="Times New Roman" w:hAnsi="Times New Roman"/>
          <w:sz w:val="22"/>
          <w:szCs w:val="22"/>
          <w:color w:val="auto"/>
        </w:rPr>
      </w:pPr>
    </w:p>
    <w:p>
      <w:pPr>
        <w:ind w:firstLine="1304"/>
        <w:spacing w:after="0" w:line="284" w:lineRule="auto"/>
        <w:tabs>
          <w:tab w:leader="none" w:pos="1831"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D Cash Collateral Account</w:t>
      </w:r>
      <w:r>
        <w:rPr>
          <w:rFonts w:ascii="Times New Roman" w:cs="Times New Roman" w:eastAsia="Times New Roman" w:hAnsi="Times New Roman"/>
          <w:sz w:val="22"/>
          <w:szCs w:val="22"/>
          <w:color w:val="auto"/>
        </w:rPr>
        <w:t>. ABRCF may instruct (by standing instructions or otherwise) the institution maintaining the Class D Cash</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bl>
    <w:p>
      <w:pPr>
        <w:sectPr>
          <w:pgSz w:w="11900" w:h="16838" w:orient="portrait"/>
          <w:cols w:equalWidth="0" w:num="1">
            <w:col w:w="11240"/>
          </w:cols>
          <w:pgMar w:left="320" w:top="1030" w:right="339" w:bottom="1440" w:gutter="0" w:footer="0" w:header="0"/>
        </w:sectPr>
      </w:pPr>
    </w:p>
    <w:bookmarkStart w:id="307" w:name="page308"/>
    <w:bookmarkEnd w:id="307"/>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Collateral Account to invest funds on deposit in the Class D Cash Collateral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spacing w:after="0" w:line="183" w:lineRule="exact"/>
        <w:rPr>
          <w:sz w:val="20"/>
          <w:szCs w:val="20"/>
          <w:color w:val="auto"/>
        </w:rPr>
      </w:pPr>
    </w:p>
    <w:p>
      <w:pPr>
        <w:jc w:val="both"/>
        <w:ind w:firstLine="1304"/>
        <w:spacing w:after="0" w:line="257" w:lineRule="auto"/>
        <w:tabs>
          <w:tab w:leader="none" w:pos="1932"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2023-4 Cash Collateral Accounts</w:t>
      </w:r>
      <w:r>
        <w:rPr>
          <w:rFonts w:ascii="Times New Roman" w:cs="Times New Roman" w:eastAsia="Times New Roman" w:hAnsi="Times New Roman"/>
          <w:sz w:val="22"/>
          <w:szCs w:val="22"/>
          <w:color w:val="auto"/>
        </w:rPr>
        <w:t>. All interest and earnings (net of losses and investment expenses) paid on funds on deposit in the Series 2023-4 Cash Collateral Accounts shall be deemed to be on deposit therein and available for distribution.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51"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2023-4 Cash Collateral Account Surplus</w:t>
      </w:r>
      <w:r>
        <w:rPr>
          <w:rFonts w:ascii="Times New Roman" w:cs="Times New Roman" w:eastAsia="Times New Roman" w:hAnsi="Times New Roman"/>
          <w:sz w:val="22"/>
          <w:szCs w:val="22"/>
          <w:color w:val="auto"/>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2023-4 Reimbursement Agreement, for application in accordance with the provisions of the related Series 2023-4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allocable to the Class D Notes with respect to any Multi-Series Letters of Credit under the related Series 2023-4 Reimbursement Agreement, for application in accordance with the provisions of the related Series 2023-4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189" w:lineRule="exact"/>
        <w:rPr>
          <w:rFonts w:ascii="Times New Roman" w:cs="Times New Roman" w:eastAsia="Times New Roman" w:hAnsi="Times New Roman"/>
          <w:sz w:val="22"/>
          <w:szCs w:val="22"/>
          <w:color w:val="auto"/>
        </w:rPr>
      </w:pPr>
    </w:p>
    <w:p>
      <w:pPr>
        <w:jc w:val="both"/>
        <w:ind w:firstLine="1304"/>
        <w:spacing w:after="0" w:line="281" w:lineRule="auto"/>
        <w:tabs>
          <w:tab w:leader="none" w:pos="1966" w:val="left"/>
        </w:tabs>
        <w:numPr>
          <w:ilvl w:val="0"/>
          <w:numId w:val="3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Series 2023-4 Cash Collateral Account</w:t>
      </w:r>
      <w:r>
        <w:rPr>
          <w:rFonts w:ascii="Times New Roman" w:cs="Times New Roman" w:eastAsia="Times New Roman" w:hAnsi="Times New Roman"/>
          <w:sz w:val="21"/>
          <w:szCs w:val="21"/>
          <w:color w:val="auto"/>
        </w:rPr>
        <w:t>. Upon the termination of this Supplement in accordance with its terms, the Trustee, acting in accordance with the written instructions of the Administrator, after the prior payment of all amounts owing to the Series 2023-4 Noteholders and payable from any Series 2023-4 Cash Collateral Account as</w:t>
      </w: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bl>
    <w:p>
      <w:pPr>
        <w:sectPr>
          <w:pgSz w:w="11900" w:h="16838" w:orient="portrait"/>
          <w:cols w:equalWidth="0" w:num="1">
            <w:col w:w="11240"/>
          </w:cols>
          <w:pgMar w:left="320" w:top="1030" w:right="339" w:bottom="1440" w:gutter="0" w:footer="0" w:header="0"/>
        </w:sectPr>
      </w:pPr>
    </w:p>
    <w:bookmarkStart w:id="308" w:name="page309"/>
    <w:bookmarkEnd w:id="308"/>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provided herein, shall (i) withdraw from the Class A/B/C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2023-4 Reimbursement Agreement, for application in accordance with the provisions of the related Series 2023-4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and (ii) withdraw from the Class D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allocable to the Class D Notes with respect to any Multi-Series Letters of Credit under the related Series 2023-4 Reimbursement Agreement, for application in accordance with the provisions of the related Series 2023-4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18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Series 2023-4 Distribution Account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Establishment of Series 2023-4 Distribution Account</w:t>
      </w:r>
      <w:r>
        <w:rPr>
          <w:rFonts w:ascii="Times New Roman" w:cs="Times New Roman" w:eastAsia="Times New Roman" w:hAnsi="Times New Roman"/>
          <w:sz w:val="22"/>
          <w:szCs w:val="22"/>
          <w:color w:val="auto"/>
        </w:rPr>
        <w:t>. ABRCF has established and shall maintain in the name of the Trustee for the benefit of the Series 2023-4 Noteholders, or cause to be established and maintained, an account (the “</w:t>
      </w:r>
      <w:r>
        <w:rPr>
          <w:rFonts w:ascii="Times New Roman" w:cs="Times New Roman" w:eastAsia="Times New Roman" w:hAnsi="Times New Roman"/>
          <w:sz w:val="22"/>
          <w:szCs w:val="22"/>
          <w:u w:val="single" w:color="auto"/>
          <w:color w:val="auto"/>
        </w:rPr>
        <w:t>Series 2023-4 Distribution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Series 2023-4 Noteholders. The Series 2023-4 Distribution Account shall be maintained (i) with a Qualified Institution, or (ii) as a segregated trust account with the corporate trust department of a depository institution or trust company having corporate trust powers and acting as trustee for funds deposited in the Series 2023-4 Distribution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2023-4 Distribution Account with a new Qualified Institution. If the Series 2023-4 Distribution Account is not maintained in accordance with the previous sentence, ABRCF shall establish a new Series 2023-4 Distribution Account, within ten (10) Business Days after obtaining knowledge of such fact, which complies with such sentence, and shall instruct the Series 2023-4 Agent in writing to transfer all cash and investments from the non-qualifying Series 2023-4 Distribution Account into the new Series 2023-4 Distribution Account. The Series 2023-4 Distribution Account has initially been established with The Bank of New York Mellon Trust Company, N.A.</w:t>
      </w:r>
    </w:p>
    <w:p>
      <w:pPr>
        <w:spacing w:after="0" w:line="183" w:lineRule="exact"/>
        <w:rPr>
          <w:sz w:val="20"/>
          <w:szCs w:val="20"/>
          <w:color w:val="auto"/>
        </w:rPr>
      </w:pPr>
    </w:p>
    <w:p>
      <w:pPr>
        <w:jc w:val="both"/>
        <w:ind w:firstLine="1304"/>
        <w:spacing w:after="0" w:line="259" w:lineRule="auto"/>
        <w:tabs>
          <w:tab w:leader="none" w:pos="1858" w:val="left"/>
        </w:tabs>
        <w:numPr>
          <w:ilvl w:val="1"/>
          <w:numId w:val="3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Series 2023-4 Distribution Account</w:t>
      </w:r>
      <w:r>
        <w:rPr>
          <w:rFonts w:ascii="Times New Roman" w:cs="Times New Roman" w:eastAsia="Times New Roman" w:hAnsi="Times New Roman"/>
          <w:sz w:val="21"/>
          <w:szCs w:val="21"/>
          <w:color w:val="auto"/>
        </w:rPr>
        <w:t xml:space="preserve">. The Administrator may instruct the institution maintaining the Series 2023-4 Distribution Account to invest funds on deposit in the Series 2023-4 Distribution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received, unless any Permitted Investment held in the Series 2023-4 Distribution Account is held with the Paying Agent, then such investment may mature on such Distribution Date and such funds shall be available for withdrawal on or prior to such Distribution Date. All such Permitted Investments will be credited to the Series 2023-4 Distribution Account and any such Permitted Investments that constitute (i) physical property (and that is not either a United States security entitlement or a security entitlement) shall be physically delivered to the Trustee;</w:t>
      </w:r>
    </w:p>
    <w:p>
      <w:pPr>
        <w:spacing w:after="0" w:line="4" w:lineRule="exact"/>
        <w:rPr>
          <w:rFonts w:ascii="Times New Roman" w:cs="Times New Roman" w:eastAsia="Times New Roman" w:hAnsi="Times New Roman"/>
          <w:sz w:val="21"/>
          <w:szCs w:val="21"/>
          <w:color w:val="auto"/>
        </w:rPr>
      </w:pPr>
    </w:p>
    <w:p>
      <w:pPr>
        <w:jc w:val="both"/>
        <w:ind w:firstLine="8"/>
        <w:spacing w:after="0" w:line="252" w:lineRule="auto"/>
        <w:tabs>
          <w:tab w:leader="none" w:pos="329"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bl>
    <w:p>
      <w:pPr>
        <w:sectPr>
          <w:pgSz w:w="11900" w:h="16838" w:orient="portrait"/>
          <w:cols w:equalWidth="0" w:num="1">
            <w:col w:w="11240"/>
          </w:cols>
          <w:pgMar w:left="320" w:top="1030" w:right="339" w:bottom="1440" w:gutter="0" w:footer="0" w:header="0"/>
        </w:sectPr>
      </w:pPr>
    </w:p>
    <w:bookmarkStart w:id="309" w:name="page310"/>
    <w:bookmarkEnd w:id="309"/>
    <w:p>
      <w:pPr>
        <w:jc w:val="both"/>
        <w:spacing w:after="0" w:line="251" w:lineRule="auto"/>
        <w:rPr>
          <w:sz w:val="20"/>
          <w:szCs w:val="20"/>
          <w:color w:val="auto"/>
        </w:rPr>
      </w:pPr>
      <w:r>
        <w:rPr>
          <w:rFonts w:ascii="Times New Roman" w:cs="Times New Roman" w:eastAsia="Times New Roman" w:hAnsi="Times New Roman"/>
          <w:sz w:val="22"/>
          <w:szCs w:val="22"/>
          <w:color w:val="auto"/>
        </w:rPr>
        <w:t>Trustee to become the registered holder of such securities. The Trustee shall, at the expense of ABRCF, take such action as is required to maintain the Trustee’s security interest in the Permitted Investments credited to the Series 2023-4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2023-4 Distribution Account shall remain uninvested.</w:t>
      </w:r>
    </w:p>
    <w:p>
      <w:pPr>
        <w:spacing w:after="0" w:line="181" w:lineRule="exact"/>
        <w:rPr>
          <w:sz w:val="20"/>
          <w:szCs w:val="20"/>
          <w:color w:val="auto"/>
        </w:rPr>
      </w:pPr>
    </w:p>
    <w:p>
      <w:pPr>
        <w:jc w:val="both"/>
        <w:ind w:firstLine="1304"/>
        <w:spacing w:after="0" w:line="263" w:lineRule="auto"/>
        <w:tabs>
          <w:tab w:leader="none" w:pos="1819"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2023-4 Distribution Account</w:t>
      </w:r>
      <w:r>
        <w:rPr>
          <w:rFonts w:ascii="Times New Roman" w:cs="Times New Roman" w:eastAsia="Times New Roman" w:hAnsi="Times New Roman"/>
          <w:sz w:val="22"/>
          <w:szCs w:val="22"/>
          <w:color w:val="auto"/>
        </w:rPr>
        <w:t>. All interest and earnings (net of losses and investment expenses) paid on funds on deposit in the Series 2023-4 Distribution Account shall be deemed to be on deposit and available for distribution.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45" w:val="left"/>
        </w:tabs>
        <w:numPr>
          <w:ilvl w:val="0"/>
          <w:numId w:val="3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2023-4 Distribution Account Constitutes Additional Collateral for Series 2023-4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2023-4 Notes, ABRCF hereby grants a security interest in and assigns, pledges, grants, transfers and sets over to the Trustee, for the benefit of the Series 2023-4 Noteholders, all of ABRCF’s right, title and interest in and to the following (whether now or hereafter existing or acquired): (i) the Series 2023-4 Distribution Account, including any security entitlement thereto; (ii) all funds on deposit therein from time to time; (iii) all certificates and instruments, if any, representing or evidencing any or all of the Series 2023-4 Distribution Account or the funds on deposit therein from time to time; (iv) all investments made at any time and from time to time with monies in the Series 2023-4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2023-4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1"/>
          <w:szCs w:val="21"/>
          <w:u w:val="single" w:color="auto"/>
          <w:color w:val="auto"/>
        </w:rPr>
        <w:t>Series 2023-4 Distribution Account Collateral</w:t>
      </w:r>
      <w:r>
        <w:rPr>
          <w:rFonts w:ascii="Times New Roman" w:cs="Times New Roman" w:eastAsia="Times New Roman" w:hAnsi="Times New Roman"/>
          <w:sz w:val="21"/>
          <w:szCs w:val="21"/>
          <w:color w:val="auto"/>
        </w:rPr>
        <w:t>”). The Trustee shall possess all right, title and interest in all funds on deposit from time to time in the Series 2023-4 Distribution Account and in and to all proceeds thereof, and shall be the only person authorized to originate entitlement orders in respect of the Series 2023-4 Distribution Account. The Series 2023-4 Distribution Account Collateral shall be under the sole dominion and control of the Trustee for the benefit of the Series 2023-4 Noteholders. The Series 2023-4 Agent hereby agrees (i) to act as the securities intermediary (as defined in Section 8-102(a)(14) of the New York UCC) with respect to the Series 2023-4 Distribution Account; (ii) that its jurisdiction as securities intermediary is New York, (iii) that each item of property (whether investment property, financial asset, security, instrument or cash) credited to the Series 2023-4 Distribution Account shall be treated as a financial asset (as defined in Section 8-102(a)(9) of the New York UCC) and (iv) to comply with any entitlement order (as defined in Section 8-102(a)(8) of the New York UCC) issued by the Trustee.</w:t>
      </w:r>
    </w:p>
    <w:p>
      <w:pPr>
        <w:spacing w:after="0" w:line="18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Series 2023-4 Accounts Permitted Investments</w:t>
      </w:r>
      <w:r>
        <w:rPr>
          <w:rFonts w:ascii="Times New Roman" w:cs="Times New Roman" w:eastAsia="Times New Roman" w:hAnsi="Times New Roman"/>
          <w:sz w:val="22"/>
          <w:szCs w:val="22"/>
          <w:color w:val="auto"/>
        </w:rPr>
        <w:t>. ABRCF shall not, and shall not permit, funds on deposit in the Series 2023-4 Accounts to be invested in:</w:t>
      </w:r>
    </w:p>
    <w:p>
      <w:pPr>
        <w:spacing w:after="0" w:line="158" w:lineRule="exact"/>
        <w:rPr>
          <w:sz w:val="20"/>
          <w:szCs w:val="20"/>
          <w:color w:val="auto"/>
        </w:rPr>
      </w:pPr>
    </w:p>
    <w:p>
      <w:pPr>
        <w:ind w:left="2440" w:hanging="488"/>
        <w:spacing w:after="0"/>
        <w:tabs>
          <w:tab w:leader="none" w:pos="2440" w:val="left"/>
        </w:tabs>
        <w:numPr>
          <w:ilvl w:val="0"/>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that do not mature at least one (1) Business Day before the next Distribution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bl>
    <w:p>
      <w:pPr>
        <w:sectPr>
          <w:pgSz w:w="11900" w:h="16838" w:orient="portrait"/>
          <w:cols w:equalWidth="0" w:num="1">
            <w:col w:w="11240"/>
          </w:cols>
          <w:pgMar w:left="320" w:top="1030" w:right="339" w:bottom="1440" w:gutter="0" w:footer="0" w:header="0"/>
        </w:sectPr>
      </w:pPr>
    </w:p>
    <w:bookmarkStart w:id="310" w:name="page311"/>
    <w:bookmarkEnd w:id="310"/>
    <w:p>
      <w:pPr>
        <w:ind w:left="2440" w:hanging="488"/>
        <w:spacing w:after="0"/>
        <w:tabs>
          <w:tab w:leader="none" w:pos="244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with a maturity in excess of 360 days;</w:t>
      </w:r>
    </w:p>
    <w:p>
      <w:pPr>
        <w:spacing w:after="0" w:line="21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which is not rated “P-1” by Moody’s;</w:t>
      </w:r>
    </w:p>
    <w:p>
      <w:pPr>
        <w:spacing w:after="0" w:line="233"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or eurodollar time deposits which are not rated at least “P-1” by Moody’s;</w:t>
      </w:r>
    </w:p>
    <w:p>
      <w:pPr>
        <w:spacing w:after="0" w:line="219" w:lineRule="exact"/>
        <w:rPr>
          <w:rFonts w:ascii="Times New Roman" w:cs="Times New Roman" w:eastAsia="Times New Roman" w:hAnsi="Times New Roman"/>
          <w:sz w:val="22"/>
          <w:szCs w:val="22"/>
          <w:color w:val="auto"/>
        </w:rPr>
      </w:pPr>
    </w:p>
    <w:p>
      <w:pPr>
        <w:ind w:left="660" w:firstLine="1292"/>
        <w:spacing w:after="0" w:line="271" w:lineRule="auto"/>
        <w:tabs>
          <w:tab w:leader="none" w:pos="2529"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eurodollar deposits that are not rated “P-1” by Moody’s or that are with financial institutions not organized under the laws of a G-7 nation; or</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501"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instrument or security not otherwise listed in clause (i) through (vi) of the definition of “Permitted Investments” in the Base Indenture.</w:t>
      </w:r>
    </w:p>
    <w:p>
      <w:pPr>
        <w:spacing w:after="0" w:line="17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Series 2023-4 Demand Notes Constitute Additional Collateral for Series 2023-4 Senior Notes</w:t>
      </w:r>
      <w:r>
        <w:rPr>
          <w:rFonts w:ascii="Times New Roman" w:cs="Times New Roman" w:eastAsia="Times New Roman" w:hAnsi="Times New Roman"/>
          <w:sz w:val="22"/>
          <w:szCs w:val="22"/>
          <w:color w:val="auto"/>
        </w:rPr>
        <w:t>. In order to secure and provide for the repayment and payment of the ABRCF Obligations with respect to the Series 2023-4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2023-4 Demand Notes; (ii) all certificates and instruments, if any, representing or evidencing the Series 2023-4 Demand Notes; and</w:t>
      </w:r>
    </w:p>
    <w:p>
      <w:pPr>
        <w:spacing w:after="0" w:line="3" w:lineRule="exact"/>
        <w:rPr>
          <w:sz w:val="20"/>
          <w:szCs w:val="20"/>
          <w:color w:val="auto"/>
        </w:rPr>
      </w:pPr>
    </w:p>
    <w:p>
      <w:pPr>
        <w:jc w:val="both"/>
        <w:ind w:firstLine="8"/>
        <w:spacing w:after="0" w:line="247" w:lineRule="auto"/>
        <w:tabs>
          <w:tab w:leader="none" w:pos="387"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any and all of the foregoing, including, without limitation, cash. On the date hereof, ABRCF shall deliver to the Trustee, for the benefit of the Class A Noteholders, the Class B Noteholders, the Class C Noteholders and the Class D Noteholders, each Series 2023-4 Demand Note, endorsed in blank. The Trustee, for the benefit of the Class A Noteholders, the Class B Noteholders, the Class C Noteholders and the Class D Noteholders, shall be the only Person authorized to make a demand for payments on the Series 2023-4 Demand Notes.</w:t>
      </w:r>
    </w:p>
    <w:p>
      <w:pPr>
        <w:spacing w:after="0" w:line="19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u w:val="single" w:color="auto"/>
          <w:color w:val="auto"/>
        </w:rPr>
        <w:t>Subordination of the Class B Notes, Class C Notes, Class D Notes and the Class R Notes</w:t>
      </w:r>
      <w:r>
        <w:rPr>
          <w:rFonts w:ascii="Times New Roman" w:cs="Times New Roman" w:eastAsia="Times New Roman" w:hAnsi="Times New Roman"/>
          <w:sz w:val="21"/>
          <w:szCs w:val="21"/>
          <w:color w:val="auto"/>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2023-4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2023-4 Rapid Amortization Period or on the Series 2023-4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spacing w:after="0" w:line="178" w:lineRule="exact"/>
        <w:rPr>
          <w:sz w:val="20"/>
          <w:szCs w:val="20"/>
          <w:color w:val="auto"/>
        </w:rPr>
      </w:pPr>
    </w:p>
    <w:p>
      <w:pPr>
        <w:jc w:val="both"/>
        <w:ind w:firstLine="1304"/>
        <w:spacing w:after="0" w:line="263" w:lineRule="auto"/>
        <w:tabs>
          <w:tab w:leader="none" w:pos="1824"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bl>
    <w:p>
      <w:pPr>
        <w:sectPr>
          <w:pgSz w:w="11900" w:h="16838" w:orient="portrait"/>
          <w:cols w:equalWidth="0" w:num="1">
            <w:col w:w="11240"/>
          </w:cols>
          <w:pgMar w:left="320" w:top="1030" w:right="339" w:bottom="1440" w:gutter="0" w:footer="0" w:header="0"/>
        </w:sectPr>
      </w:pPr>
    </w:p>
    <w:bookmarkStart w:id="311" w:name="page312"/>
    <w:bookmarkEnd w:id="311"/>
    <w:p>
      <w:pPr>
        <w:jc w:val="both"/>
        <w:spacing w:after="0" w:line="249" w:lineRule="auto"/>
        <w:rPr>
          <w:sz w:val="20"/>
          <w:szCs w:val="20"/>
          <w:color w:val="auto"/>
        </w:rPr>
      </w:pPr>
      <w:r>
        <w:rPr>
          <w:rFonts w:ascii="Times New Roman" w:cs="Times New Roman" w:eastAsia="Times New Roman" w:hAnsi="Times New Roman"/>
          <w:sz w:val="22"/>
          <w:szCs w:val="22"/>
          <w:color w:val="auto"/>
        </w:rPr>
        <w:t>2.12(b). No payments on account of principal shall be made with respect to the Class C Notes on any Distribution Date during the Series 2023-4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2023-4 Rapid Amortization Period or on the Series 2023-4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spacing w:after="0" w:line="183" w:lineRule="exact"/>
        <w:rPr>
          <w:sz w:val="20"/>
          <w:szCs w:val="20"/>
          <w:color w:val="auto"/>
        </w:rPr>
      </w:pPr>
    </w:p>
    <w:p>
      <w:pPr>
        <w:jc w:val="both"/>
        <w:ind w:firstLine="1304"/>
        <w:spacing w:after="0" w:line="248" w:lineRule="auto"/>
        <w:tabs>
          <w:tab w:leader="none" w:pos="1814"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2023-4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2023-4 Rapid Amortization Period or on the Series 2023-4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spacing w:after="0" w:line="18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30"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2023-4 Controlled Amortization Period or the Series 2023-4 Rapid Amortization Period or on the Series 2023-4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bl>
    <w:p>
      <w:pPr>
        <w:sectPr>
          <w:pgSz w:w="11900" w:h="16838" w:orient="portrait"/>
          <w:cols w:equalWidth="0" w:num="1">
            <w:col w:w="11240"/>
          </w:cols>
          <w:pgMar w:left="320" w:top="1030" w:right="339" w:bottom="1440" w:gutter="0" w:footer="0" w:header="0"/>
        </w:sectPr>
      </w:pPr>
    </w:p>
    <w:bookmarkStart w:id="312" w:name="page313"/>
    <w:bookmarkEnd w:id="312"/>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AMORTIZATION EVENTS</w:t>
      </w:r>
    </w:p>
    <w:p>
      <w:pPr>
        <w:spacing w:after="0" w:line="23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In addition to the Amortization Events set forth in Section 9.1 of the Base Indenture, any of the following shall be an Amortization Event with respect to the Series 2023-4 Notes and collectively shall constitute the Amortization Events set forth in Section 9.1(n) of the Base Indenture with respect to the Series 2023-4 Notes (without notice or other action on the part of the Trustee or any holders of the Series 2023-4 Notes):</w:t>
      </w:r>
    </w:p>
    <w:p>
      <w:pPr>
        <w:spacing w:after="0" w:line="179" w:lineRule="exact"/>
        <w:rPr>
          <w:sz w:val="20"/>
          <w:szCs w:val="20"/>
          <w:color w:val="auto"/>
        </w:rPr>
      </w:pPr>
    </w:p>
    <w:p>
      <w:pPr>
        <w:jc w:val="both"/>
        <w:ind w:firstLine="1304"/>
        <w:spacing w:after="0" w:line="256" w:lineRule="auto"/>
        <w:tabs>
          <w:tab w:leader="none" w:pos="1902"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Series 2023-4 Enhancement Deficiency shall occur and continue for at least two (2)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event or condition shall not be an Amortization Event if during such two (2) Business Day period such Series 2023-4 Enhancement Deficiency shall have been cured in accordance with the terms and conditions of the Indenture and the Related Documents;</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2"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either case, such event or condition shall not be an Amortization Event if during such two Business Day period such insufficiency shall have been cured in accordance with the terms and conditions of the Indenture and the Related Documents;</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1"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Collection Account, the Series 2023-4 Collection Account, the Series 2023-4 Excess Collection Account, the Class A/B/C Reserve Account or the Class D Reserve Account shall be subject to an injunction, estoppel or other stay or a lien (other than liens permitted under the Related Documents);</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76" w:val="left"/>
        </w:tabs>
        <w:numPr>
          <w:ilvl w:val="1"/>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principal of and interest on any Class of the Series 2023-4 Notes is not paid in full on or before the Series 2023-4 Expected Final Distribution Date;</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3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Multi-Series Letter of Credit shall not be in full force and effect for at least two Business Days and either</w:t>
      </w:r>
    </w:p>
    <w:p>
      <w:pPr>
        <w:spacing w:after="0" w:line="39" w:lineRule="exact"/>
        <w:rPr>
          <w:rFonts w:ascii="Times New Roman" w:cs="Times New Roman" w:eastAsia="Times New Roman" w:hAnsi="Times New Roman"/>
          <w:sz w:val="21"/>
          <w:szCs w:val="21"/>
          <w:color w:val="auto"/>
        </w:rPr>
      </w:pPr>
    </w:p>
    <w:p>
      <w:pPr>
        <w:jc w:val="both"/>
        <w:ind w:firstLine="8"/>
        <w:spacing w:after="0" w:line="249" w:lineRule="auto"/>
        <w:tabs>
          <w:tab w:leader="none" w:pos="338" w:val="left"/>
        </w:tabs>
        <w:numPr>
          <w:ilvl w:val="0"/>
          <w:numId w:val="3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Series 2023-4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spacing w:after="0" w:line="181"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39" w:val="left"/>
        </w:tabs>
        <w:numPr>
          <w:ilvl w:val="1"/>
          <w:numId w:val="3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funding of any Series 2023-4 Cash Collateral Account, such Series 2023-4 Cash Collateral Account shall be subject to an injunction, estoppel or other stay or a lien (other than Liens permitted under the Related Documents) for at least two Business Days and either (x) a Series 2023-4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w:t>
      </w:r>
    </w:p>
    <w:p>
      <w:pPr>
        <w:spacing w:after="0" w:line="22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bl>
    <w:p>
      <w:pPr>
        <w:sectPr>
          <w:pgSz w:w="11900" w:h="16838" w:orient="portrait"/>
          <w:cols w:equalWidth="0" w:num="1">
            <w:col w:w="11240"/>
          </w:cols>
          <w:pgMar w:left="320" w:top="1350" w:right="339" w:bottom="1440" w:gutter="0" w:footer="0" w:header="0"/>
        </w:sectPr>
      </w:pPr>
    </w:p>
    <w:bookmarkStart w:id="313" w:name="page314"/>
    <w:bookmarkEnd w:id="313"/>
    <w:p>
      <w:pPr>
        <w:ind w:right="20"/>
        <w:spacing w:after="0" w:line="271" w:lineRule="auto"/>
        <w:rPr>
          <w:sz w:val="20"/>
          <w:szCs w:val="20"/>
          <w:color w:val="auto"/>
        </w:rPr>
      </w:pPr>
      <w:r>
        <w:rPr>
          <w:rFonts w:ascii="Times New Roman" w:cs="Times New Roman" w:eastAsia="Times New Roman" w:hAnsi="Times New Roman"/>
          <w:sz w:val="22"/>
          <w:szCs w:val="22"/>
          <w:color w:val="auto"/>
        </w:rPr>
        <w:t>Liquidity Amount or (z) the Class D Liquidity Amount, excluding therefrom the Class D Available Cash Collateral Account Amount, would be less than the Class D Required Liquidity Amount; and</w:t>
      </w:r>
    </w:p>
    <w:p>
      <w:pPr>
        <w:spacing w:after="0" w:line="171" w:lineRule="exact"/>
        <w:rPr>
          <w:sz w:val="20"/>
          <w:szCs w:val="20"/>
          <w:color w:val="auto"/>
        </w:rPr>
      </w:pPr>
    </w:p>
    <w:p>
      <w:pPr>
        <w:jc w:val="both"/>
        <w:ind w:firstLine="1304"/>
        <w:spacing w:after="0" w:line="248" w:lineRule="auto"/>
        <w:tabs>
          <w:tab w:leader="none" w:pos="1774"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Bankruptcy shall have occurred with respect to any Multi-Series Letter of Credit Provider or any Multi-Series Letter of Credit Provider repudiates its Multi-Series Letter of Credit or refuses to honor a proper draw thereon and either (x) a Series 2023-4 Enhancement Deficiency would result from excluding the Class A/B/C Applicable Multi-Series L/C Amount attributable to such Multi-Series Letter of Credit from the Class A/B/C Enhancement Amount or the Class D Applicable Multi-Series L/C Amount attributable to such Multi-Series Letter of Credit from the Class D Enhancement Amount or (y) 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SERIES 2023-4 NOTES</w:t>
      </w:r>
    </w:p>
    <w:p>
      <w:pPr>
        <w:spacing w:after="0" w:line="23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Restricted Global Series 2023-4 Notes</w:t>
      </w:r>
      <w:r>
        <w:rPr>
          <w:rFonts w:ascii="Times New Roman" w:cs="Times New Roman" w:eastAsia="Times New Roman" w:hAnsi="Times New Roman"/>
          <w:sz w:val="21"/>
          <w:szCs w:val="21"/>
          <w:color w:val="auto"/>
        </w:rPr>
        <w:t>. Each Class of the Series 2023-4 Notes to be issued in the United States will be issued in book-entry form and represented by one or more permanent global Notes in fully registered form without interest coupons (each, a “</w:t>
      </w:r>
      <w:r>
        <w:rPr>
          <w:rFonts w:ascii="Times New Roman" w:cs="Times New Roman" w:eastAsia="Times New Roman" w:hAnsi="Times New Roman"/>
          <w:sz w:val="21"/>
          <w:szCs w:val="21"/>
          <w:u w:val="single" w:color="auto"/>
          <w:color w:val="auto"/>
        </w:rPr>
        <w:t>Restricted Global Class A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B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C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D Note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Restricted Global Class R Note</w:t>
      </w:r>
      <w:r>
        <w:rPr>
          <w:rFonts w:ascii="Times New Roman" w:cs="Times New Roman" w:eastAsia="Times New Roman" w:hAnsi="Times New Roman"/>
          <w:sz w:val="21"/>
          <w:szCs w:val="21"/>
          <w:color w:val="auto"/>
        </w:rPr>
        <w:t>”, as the case may be and collectively, the “</w:t>
      </w:r>
      <w:r>
        <w:rPr>
          <w:rFonts w:ascii="Times New Roman" w:cs="Times New Roman" w:eastAsia="Times New Roman" w:hAnsi="Times New Roman"/>
          <w:sz w:val="21"/>
          <w:szCs w:val="21"/>
          <w:u w:val="single" w:color="auto"/>
          <w:color w:val="auto"/>
        </w:rPr>
        <w:t>Restricted Global Series 2023-4 Notes</w:t>
      </w:r>
      <w:r>
        <w:rPr>
          <w:rFonts w:ascii="Times New Roman" w:cs="Times New Roman" w:eastAsia="Times New Roman" w:hAnsi="Times New Roman"/>
          <w:sz w:val="21"/>
          <w:szCs w:val="21"/>
          <w:color w:val="auto"/>
        </w:rPr>
        <w:t xml:space="preserve">”), substantially in the form set forth in </w:t>
      </w:r>
      <w:r>
        <w:rPr>
          <w:rFonts w:ascii="Times New Roman" w:cs="Times New Roman" w:eastAsia="Times New Roman" w:hAnsi="Times New Roman"/>
          <w:sz w:val="21"/>
          <w:szCs w:val="21"/>
          <w:u w:val="single" w:color="auto"/>
          <w:color w:val="auto"/>
        </w:rPr>
        <w:t>Exhibits A-1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E-1</w:t>
      </w:r>
      <w:r>
        <w:rPr>
          <w:rFonts w:ascii="Times New Roman" w:cs="Times New Roman" w:eastAsia="Times New Roman" w:hAnsi="Times New Roman"/>
          <w:sz w:val="21"/>
          <w:szCs w:val="21"/>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2023-4 Notes represented thereby, with the Trustee as custodian for DTC, and registered in the name of Cede as DTC’s nominee, duly executed by ABRCF and authenticated by the Trustee in the manner set forth in Section 2.4 of the Base Indenture.</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Temporary Global Series 2023-4 Notes; Permanent Global Series 2023-4 Notes</w:t>
      </w:r>
      <w:r>
        <w:rPr>
          <w:rFonts w:ascii="Times New Roman" w:cs="Times New Roman" w:eastAsia="Times New Roman" w:hAnsi="Times New Roman"/>
          <w:sz w:val="22"/>
          <w:szCs w:val="22"/>
          <w:color w:val="auto"/>
        </w:rPr>
        <w:t>. Each Class of the Series 2023-4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Times New Roman" w:cs="Times New Roman" w:eastAsia="Times New Roman" w:hAnsi="Times New Roman"/>
          <w:sz w:val="22"/>
          <w:szCs w:val="22"/>
          <w:u w:val="single" w:color="auto"/>
          <w:color w:val="auto"/>
        </w:rPr>
        <w:t>Temporary Global Class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B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C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D Note</w:t>
      </w:r>
      <w:r>
        <w:rPr>
          <w:rFonts w:ascii="Times New Roman" w:cs="Times New Roman" w:eastAsia="Times New Roman" w:hAnsi="Times New Roman"/>
          <w:sz w:val="22"/>
          <w:szCs w:val="22"/>
          <w:color w:val="auto"/>
        </w:rPr>
        <w:t>” or a “</w:t>
      </w:r>
      <w:r>
        <w:rPr>
          <w:rFonts w:ascii="Times New Roman" w:cs="Times New Roman" w:eastAsia="Times New Roman" w:hAnsi="Times New Roman"/>
          <w:sz w:val="22"/>
          <w:szCs w:val="22"/>
          <w:u w:val="single" w:color="auto"/>
          <w:color w:val="auto"/>
        </w:rPr>
        <w:t>Temporary Global Class R Note</w:t>
      </w:r>
      <w:r>
        <w:rPr>
          <w:rFonts w:ascii="Times New Roman" w:cs="Times New Roman" w:eastAsia="Times New Roman" w:hAnsi="Times New Roman"/>
          <w:sz w:val="22"/>
          <w:szCs w:val="22"/>
          <w:color w:val="auto"/>
        </w:rPr>
        <w:t>”, as the case may be, and collectively, the “</w:t>
      </w:r>
      <w:r>
        <w:rPr>
          <w:rFonts w:ascii="Times New Roman" w:cs="Times New Roman" w:eastAsia="Times New Roman" w:hAnsi="Times New Roman"/>
          <w:sz w:val="22"/>
          <w:szCs w:val="22"/>
          <w:u w:val="single" w:color="auto"/>
          <w:color w:val="auto"/>
        </w:rPr>
        <w:t>Temporary Global Series 2023-4 Notes</w:t>
      </w:r>
      <w:r>
        <w:rPr>
          <w:rFonts w:ascii="Times New Roman" w:cs="Times New Roman" w:eastAsia="Times New Roman" w:hAnsi="Times New Roman"/>
          <w:sz w:val="22"/>
          <w:szCs w:val="22"/>
          <w:color w:val="auto"/>
        </w:rPr>
        <w:t xml:space="preserve"> ”), substantially in the form set forth in </w:t>
      </w:r>
      <w:r>
        <w:rPr>
          <w:rFonts w:ascii="Times New Roman" w:cs="Times New Roman" w:eastAsia="Times New Roman" w:hAnsi="Times New Roman"/>
          <w:sz w:val="22"/>
          <w:szCs w:val="22"/>
          <w:u w:val="single" w:color="auto"/>
          <w:color w:val="auto"/>
        </w:rPr>
        <w:t>Exhibits A-2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E-2</w:t>
      </w:r>
      <w:r>
        <w:rPr>
          <w:rFonts w:ascii="Times New Roman" w:cs="Times New Roman" w:eastAsia="Times New Roman" w:hAnsi="Times New Roman"/>
          <w:sz w:val="22"/>
          <w:szCs w:val="22"/>
          <w:color w:val="auto"/>
        </w:rPr>
        <w:t xml:space="preserve"> which shall be deposited on behalf of the purchasers of such Class of the Series 2023-4 Notes represented thereby with a custodian for, and registered in the name of a nominee of DTC, for the account of Euroclear Bank S.A./N.V., as</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ectPr>
          <w:pgSz w:w="11900" w:h="16838" w:orient="portrait"/>
          <w:cols w:equalWidth="0" w:num="1">
            <w:col w:w="11240"/>
          </w:cols>
          <w:pgMar w:left="320" w:top="1030" w:right="339" w:bottom="1440" w:gutter="0" w:footer="0" w:header="0"/>
        </w:sectPr>
      </w:pPr>
    </w:p>
    <w:bookmarkStart w:id="314" w:name="page315"/>
    <w:bookmarkEnd w:id="314"/>
    <w:p>
      <w:pPr>
        <w:jc w:val="both"/>
        <w:spacing w:after="0" w:line="260" w:lineRule="auto"/>
        <w:rPr>
          <w:sz w:val="20"/>
          <w:szCs w:val="20"/>
          <w:color w:val="auto"/>
        </w:rPr>
      </w:pPr>
      <w:r>
        <w:rPr>
          <w:rFonts w:ascii="Times New Roman" w:cs="Times New Roman" w:eastAsia="Times New Roman" w:hAnsi="Times New Roman"/>
          <w:sz w:val="21"/>
          <w:szCs w:val="21"/>
          <w:color w:val="auto"/>
        </w:rPr>
        <w:t>operator of the Euroclear System, or for Clearstream Banking, société anonyme, duly executed by ABRCF and authenticated by the Trustee in the manner set forth in Section 2.4 of the Base Indenture. Interests in each Temporary Global Series 2023-4 Note will be exchangeable, in whole or in part, for interests in one or more permanent global notes in registered form without interest coupons (each, a “</w:t>
      </w:r>
      <w:r>
        <w:rPr>
          <w:rFonts w:ascii="Times New Roman" w:cs="Times New Roman" w:eastAsia="Times New Roman" w:hAnsi="Times New Roman"/>
          <w:sz w:val="21"/>
          <w:szCs w:val="21"/>
          <w:u w:val="single" w:color="auto"/>
          <w:color w:val="auto"/>
        </w:rPr>
        <w:t>Permanent Global Class A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Permanent Global Class B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Permanent Global Class C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Permanent Global Class D Note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Permanent Global Class R Note</w:t>
      </w:r>
      <w:r>
        <w:rPr>
          <w:rFonts w:ascii="Times New Roman" w:cs="Times New Roman" w:eastAsia="Times New Roman" w:hAnsi="Times New Roman"/>
          <w:sz w:val="21"/>
          <w:szCs w:val="21"/>
          <w:color w:val="auto"/>
        </w:rPr>
        <w:t>”, as the case may be, and collectively, the “</w:t>
      </w:r>
      <w:r>
        <w:rPr>
          <w:rFonts w:ascii="Times New Roman" w:cs="Times New Roman" w:eastAsia="Times New Roman" w:hAnsi="Times New Roman"/>
          <w:sz w:val="21"/>
          <w:szCs w:val="21"/>
          <w:u w:val="single" w:color="auto"/>
          <w:color w:val="auto"/>
        </w:rPr>
        <w:t>Permanent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Global Series 2023-4 Notes</w:t>
      </w:r>
      <w:r>
        <w:rPr>
          <w:rFonts w:ascii="Times New Roman" w:cs="Times New Roman" w:eastAsia="Times New Roman" w:hAnsi="Times New Roman"/>
          <w:sz w:val="21"/>
          <w:szCs w:val="21"/>
          <w:color w:val="auto"/>
        </w:rPr>
        <w:t xml:space="preserve">”), substantially in the form of </w:t>
      </w:r>
      <w:r>
        <w:rPr>
          <w:rFonts w:ascii="Times New Roman" w:cs="Times New Roman" w:eastAsia="Times New Roman" w:hAnsi="Times New Roman"/>
          <w:sz w:val="21"/>
          <w:szCs w:val="21"/>
          <w:u w:val="single" w:color="auto"/>
          <w:color w:val="auto"/>
        </w:rPr>
        <w:t>Exhibits A-3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E-3</w:t>
      </w:r>
      <w:r>
        <w:rPr>
          <w:rFonts w:ascii="Times New Roman" w:cs="Times New Roman" w:eastAsia="Times New Roman" w:hAnsi="Times New Roman"/>
          <w:sz w:val="21"/>
          <w:szCs w:val="21"/>
          <w:color w:val="auto"/>
        </w:rPr>
        <w:t xml:space="preserve"> in accordance with the provisions of such Temporary Global Series 2023-4 Note and the Base Indenture (as modified by this Supplement). Interests in a Permanent Global Series 2023-4 Note will be exchangeable for a definitive Series 2023-4 Note in accordance with the provisions of such Permanent Global Series 2023-4 Note and the Base Indenture (as modified by this Supplement). The Restricted Global Class A Notes, the Temporary Global Class A Notes and the Permanent Global Class A Notes are collectively referred to as the “</w:t>
      </w:r>
      <w:r>
        <w:rPr>
          <w:rFonts w:ascii="Times New Roman" w:cs="Times New Roman" w:eastAsia="Times New Roman" w:hAnsi="Times New Roman"/>
          <w:sz w:val="21"/>
          <w:szCs w:val="21"/>
          <w:u w:val="single" w:color="auto"/>
          <w:color w:val="auto"/>
        </w:rPr>
        <w:t>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A Notes</w:t>
      </w:r>
      <w:r>
        <w:rPr>
          <w:rFonts w:ascii="Times New Roman" w:cs="Times New Roman" w:eastAsia="Times New Roman" w:hAnsi="Times New Roman"/>
          <w:sz w:val="21"/>
          <w:szCs w:val="21"/>
          <w:color w:val="auto"/>
        </w:rPr>
        <w:t>”, the Restricted Global Class B Notes, the Temporary Global Class B Notes and the Permanent Global Class B Notes are collectively referred to as the “</w:t>
      </w:r>
      <w:r>
        <w:rPr>
          <w:rFonts w:ascii="Times New Roman" w:cs="Times New Roman" w:eastAsia="Times New Roman" w:hAnsi="Times New Roman"/>
          <w:sz w:val="21"/>
          <w:szCs w:val="21"/>
          <w:u w:val="single" w:color="auto"/>
          <w:color w:val="auto"/>
        </w:rPr>
        <w:t>Global Class B Notes</w:t>
      </w:r>
      <w:r>
        <w:rPr>
          <w:rFonts w:ascii="Times New Roman" w:cs="Times New Roman" w:eastAsia="Times New Roman" w:hAnsi="Times New Roman"/>
          <w:sz w:val="21"/>
          <w:szCs w:val="21"/>
          <w:color w:val="auto"/>
        </w:rPr>
        <w:t>”, the Restricted Global Class C Notes, the Temporary Global Class C Notes and the Permanent Global Class C Notes are collectively referred to as the “</w:t>
      </w:r>
      <w:r>
        <w:rPr>
          <w:rFonts w:ascii="Times New Roman" w:cs="Times New Roman" w:eastAsia="Times New Roman" w:hAnsi="Times New Roman"/>
          <w:sz w:val="21"/>
          <w:szCs w:val="21"/>
          <w:u w:val="single" w:color="auto"/>
          <w:color w:val="auto"/>
        </w:rPr>
        <w:t>Global Class C Notes</w:t>
      </w:r>
      <w:r>
        <w:rPr>
          <w:rFonts w:ascii="Times New Roman" w:cs="Times New Roman" w:eastAsia="Times New Roman" w:hAnsi="Times New Roman"/>
          <w:sz w:val="21"/>
          <w:szCs w:val="21"/>
          <w:color w:val="auto"/>
        </w:rPr>
        <w:t>”, the Restricted Global Class D Notes, the Temporary Global Class D Notes and the Permanent Global Class D Notes are collectively referred to as the “</w:t>
      </w:r>
      <w:r>
        <w:rPr>
          <w:rFonts w:ascii="Times New Roman" w:cs="Times New Roman" w:eastAsia="Times New Roman" w:hAnsi="Times New Roman"/>
          <w:sz w:val="21"/>
          <w:szCs w:val="21"/>
          <w:u w:val="single" w:color="auto"/>
          <w:color w:val="auto"/>
        </w:rPr>
        <w:t>Global Class D Notes</w:t>
      </w:r>
      <w:r>
        <w:rPr>
          <w:rFonts w:ascii="Times New Roman" w:cs="Times New Roman" w:eastAsia="Times New Roman" w:hAnsi="Times New Roman"/>
          <w:sz w:val="21"/>
          <w:szCs w:val="21"/>
          <w:color w:val="auto"/>
        </w:rPr>
        <w:t>” and the Restricted Global Class R Notes, the Temporary Global Class R Notes and the Permanent Global Class R Notes are collectively referred to as the “</w:t>
      </w:r>
      <w:r>
        <w:rPr>
          <w:rFonts w:ascii="Times New Roman" w:cs="Times New Roman" w:eastAsia="Times New Roman" w:hAnsi="Times New Roman"/>
          <w:sz w:val="21"/>
          <w:szCs w:val="21"/>
          <w:u w:val="single" w:color="auto"/>
          <w:color w:val="auto"/>
        </w:rPr>
        <w:t>Global Class R Notes</w:t>
      </w:r>
      <w:r>
        <w:rPr>
          <w:rFonts w:ascii="Times New Roman" w:cs="Times New Roman" w:eastAsia="Times New Roman" w:hAnsi="Times New Roman"/>
          <w:sz w:val="21"/>
          <w:szCs w:val="21"/>
          <w:color w:val="auto"/>
        </w:rPr>
        <w: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3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(a) The Series 2023-4 Notes shall be subject to repurchase by ABRCF at its option in accordance with Section 6.3 of the Base Indenture on any Distribution Date (any such Distribution Date, a “</w:t>
      </w:r>
      <w:r>
        <w:rPr>
          <w:rFonts w:ascii="Times New Roman" w:cs="Times New Roman" w:eastAsia="Times New Roman" w:hAnsi="Times New Roman"/>
          <w:sz w:val="22"/>
          <w:szCs w:val="22"/>
          <w:u w:val="single" w:color="auto"/>
          <w:color w:val="auto"/>
        </w:rPr>
        <w:t>Clean-up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Repurchase Distribution Date</w:t>
      </w:r>
      <w:r>
        <w:rPr>
          <w:rFonts w:ascii="Times New Roman" w:cs="Times New Roman" w:eastAsia="Times New Roman" w:hAnsi="Times New Roman"/>
          <w:sz w:val="22"/>
          <w:szCs w:val="22"/>
          <w:color w:val="auto"/>
        </w:rPr>
        <w:t>”) after the Series 2023-4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 w:cs="Times New Roman" w:eastAsia="Times New Roman" w:hAnsi="Times New Roman"/>
          <w:sz w:val="22"/>
          <w:szCs w:val="22"/>
          <w:u w:val="single" w:color="auto"/>
          <w:color w:val="auto"/>
        </w:rPr>
        <w:t>Series 2023-4 Repurchase Amount</w:t>
      </w:r>
      <w:r>
        <w:rPr>
          <w:rFonts w:ascii="Times New Roman" w:cs="Times New Roman" w:eastAsia="Times New Roman" w:hAnsi="Times New Roman"/>
          <w:sz w:val="22"/>
          <w:szCs w:val="22"/>
          <w:color w:val="auto"/>
        </w:rPr>
        <w:t xml:space="preserve">”). The repurchase price for any Series 2023-4 Note subject to a Clean-up Repurchase shall equal the aggregate outstanding principal balance of such Series 2023-4 Note (determined after giving effect to any payments of principal and interest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interest on such outstanding principal balance.</w:t>
      </w:r>
    </w:p>
    <w:p>
      <w:pPr>
        <w:spacing w:after="0" w:line="185" w:lineRule="exact"/>
        <w:rPr>
          <w:sz w:val="20"/>
          <w:szCs w:val="20"/>
          <w:color w:val="auto"/>
        </w:rPr>
      </w:pPr>
    </w:p>
    <w:p>
      <w:pPr>
        <w:jc w:val="both"/>
        <w:ind w:firstLine="1304"/>
        <w:spacing w:after="0" w:line="250" w:lineRule="auto"/>
        <w:tabs>
          <w:tab w:leader="none" w:pos="1770"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2023-4 Notes shall also be subject to repurchase at the election of the ABRCF in accordance with Section 6.3 of the Base Indenture, in whole but not in part, on any Distribution Date (any such Distribution Date, an “</w:t>
      </w: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Repurchase Distribution Date</w:t>
      </w:r>
      <w:r>
        <w:rPr>
          <w:rFonts w:ascii="Times New Roman" w:cs="Times New Roman" w:eastAsia="Times New Roman" w:hAnsi="Times New Roman"/>
          <w:sz w:val="22"/>
          <w:szCs w:val="22"/>
          <w:color w:val="auto"/>
        </w:rPr>
        <w:t>”) that occurs prior to the earlier to occur of (x) the commencement of the Series 2023-4 Rapid Amortization Period and (y) the Clean-up Repurchase Distribution Date (any such repurchase, an “</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Class D Notes shall only be subject to such Optional Repurchase in accordance with this clause (b) on and after the earlier of (x) following the Class D Notes Closing Date, the offering and sale of the Class D Notes to one or more third-party investors</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bl>
    <w:p>
      <w:pPr>
        <w:sectPr>
          <w:pgSz w:w="11900" w:h="16838" w:orient="portrait"/>
          <w:cols w:equalWidth="0" w:num="1">
            <w:col w:w="11240"/>
          </w:cols>
          <w:pgMar w:left="320" w:top="1030" w:right="339" w:bottom="1440" w:gutter="0" w:footer="0" w:header="0"/>
        </w:sectPr>
      </w:pPr>
    </w:p>
    <w:bookmarkStart w:id="315" w:name="page316"/>
    <w:bookmarkEnd w:id="315"/>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and (y) the September 2025 Distribution Date. The repurchase price for any Series 2023-4 Note subject to an Optional Repurchase shall equal (1) the aggregate outstanding principal balance of such Series 2023-4 Note (determined after giving effect to any payments made pursuant to Section 2.5(a)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accrued and unpaid interest on such outstanding principal balance (determined after giving effect to any payments made pursuant to Section 2.4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(3) the Make Whole Payment with respect to such Series 2023-4 Note.</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Trustee shall provide to the Series 2023-4 Noteholders, or their designated agent, copies of all information furnished to the Trustee or ABRCF pursuant to the Related Documents, as such information relates to the Series 2023-4 Notes or the Series 2023-4 Collateral.</w:t>
      </w:r>
    </w:p>
    <w:p>
      <w:pPr>
        <w:sectPr>
          <w:pgSz w:w="11900" w:h="16838" w:orient="portrait"/>
          <w:cols w:equalWidth="0" w:num="1">
            <w:col w:w="11240"/>
          </w:cols>
          <w:pgMar w:left="320" w:top="1030" w:right="339" w:bottom="1440" w:gutter="0" w:footer="0" w:header="0"/>
        </w:sectPr>
      </w:pP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5.3.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L-1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L-2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w:t>
      </w: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130188167</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The following exhibits attached hereto supplement the exhibits included in the Base</w:t>
      </w:r>
    </w:p>
    <w:p>
      <w:pPr>
        <w:spacing w:after="0" w:line="200" w:lineRule="exact"/>
        <w:rPr>
          <w:sz w:val="20"/>
          <w:szCs w:val="20"/>
          <w:color w:val="auto"/>
        </w:rPr>
      </w:pPr>
    </w:p>
    <w:p>
      <w:pPr>
        <w:spacing w:after="0" w:line="3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2023-4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2023-4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2023-4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2023-4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2023-4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2023-4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2023-4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2023-4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2023-4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2023-4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2023-4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2023-4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2023-4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2023-4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2023-4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Series 2023-4 Demand Note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Multi-Series Letter of Credit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Lease Payment Deficit Notice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Demand Notice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Supplemental Indenture No. 6 to the Base Indenture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Class A/B/C Form of Amendment to the AESOP I Operating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Class D Form of Amendment to the AESOP I Operating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Class A/B/C Form of Amendment to the Finance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Class D Form of Amendment to the Finance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Operating Lease Loan Agreement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Finance Lease Loan Agreement</w:t>
      </w:r>
    </w:p>
    <w:p>
      <w:pPr>
        <w:spacing w:after="0" w:line="193"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2">
            <w:col w:w="2560" w:space="160"/>
            <w:col w:w="8520"/>
          </w:cols>
          <w:pgMar w:left="320" w:top="1030" w:right="339" w:bottom="1440" w:gutter="0" w:footer="0" w:header="0"/>
          <w:type w:val="continuous"/>
        </w:sectPr>
      </w:pPr>
    </w:p>
    <w:bookmarkStart w:id="316" w:name="page317"/>
    <w:bookmarkEnd w:id="316"/>
    <w:tbl>
      <w:tblPr>
        <w:tblLayout w:type="fixed"/>
        <w:tblInd w:w="1460" w:type="dxa"/>
        <w:tblCellMar>
          <w:top w:w="0" w:type="dxa"/>
          <w:left w:w="0" w:type="dxa"/>
          <w:bottom w:w="0" w:type="dxa"/>
          <w:right w:w="0" w:type="dxa"/>
        </w:tblCellMar>
      </w:tblPr>
      <w:tr>
        <w:trPr>
          <w:trHeight w:val="257"/>
        </w:trPr>
        <w:tc>
          <w:tcPr>
            <w:tcW w:w="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O-1:</w:t>
            </w:r>
          </w:p>
        </w:tc>
        <w:tc>
          <w:tcPr>
            <w:tcW w:w="6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Class A/B/C Form of Amendment to the AESOP II Operating Lease</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Class D Form of Amendment to the AESOP II Operating Lease</w:t>
            </w:r>
          </w:p>
        </w:tc>
        <w:tc>
          <w:tcPr>
            <w:tcW w:w="0" w:type="dxa"/>
            <w:vAlign w:val="bottom"/>
          </w:tcPr>
          <w:p>
            <w:pPr>
              <w:spacing w:after="0" w:line="20" w:lineRule="exact"/>
              <w:rPr>
                <w:sz w:val="1"/>
                <w:szCs w:val="1"/>
                <w:color w:val="auto"/>
              </w:rPr>
            </w:pPr>
          </w:p>
        </w:tc>
      </w:tr>
      <w:tr>
        <w:trPr>
          <w:trHeight w:val="290"/>
        </w:trPr>
        <w:tc>
          <w:tcPr>
            <w:tcW w:w="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O-2:</w:t>
            </w:r>
          </w:p>
        </w:tc>
        <w:tc>
          <w:tcPr>
            <w:tcW w:w="6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Exhibit P:</w:t>
            </w:r>
          </w:p>
        </w:tc>
        <w:tc>
          <w:tcPr>
            <w:tcW w:w="360" w:type="dxa"/>
            <w:vAlign w:val="bottom"/>
          </w:tcPr>
          <w:p>
            <w:pPr>
              <w:spacing w:after="0"/>
              <w:rPr>
                <w:sz w:val="24"/>
                <w:szCs w:val="24"/>
                <w:color w:val="auto"/>
              </w:rPr>
            </w:pPr>
          </w:p>
        </w:tc>
        <w:tc>
          <w:tcPr>
            <w:tcW w:w="6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Form of Amendment to the Master Exchange Agreement</w:t>
            </w: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Form of Amendment to the Escrow Agreement</w:t>
            </w:r>
          </w:p>
        </w:tc>
        <w:tc>
          <w:tcPr>
            <w:tcW w:w="0" w:type="dxa"/>
            <w:vAlign w:val="bottom"/>
          </w:tcPr>
          <w:p>
            <w:pPr>
              <w:spacing w:after="0" w:line="20" w:lineRule="exact"/>
              <w:rPr>
                <w:sz w:val="1"/>
                <w:szCs w:val="1"/>
                <w:color w:val="auto"/>
              </w:rPr>
            </w:pPr>
          </w:p>
        </w:tc>
      </w:tr>
      <w:tr>
        <w:trPr>
          <w:trHeight w:val="291"/>
        </w:trPr>
        <w:tc>
          <w:tcPr>
            <w:tcW w:w="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Q:</w:t>
            </w:r>
          </w:p>
        </w:tc>
        <w:tc>
          <w:tcPr>
            <w:tcW w:w="6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580" w:type="dxa"/>
            <w:vAlign w:val="bottom"/>
            <w:tcBorders>
              <w:left w:val="single" w:sz="8" w:color="auto"/>
            </w:tcBorders>
            <w:gridSpan w:val="2"/>
          </w:tcPr>
          <w:p>
            <w:pPr>
              <w:spacing w:after="0" w:line="20" w:lineRule="exact"/>
              <w:rPr>
                <w:sz w:val="1"/>
                <w:szCs w:val="1"/>
                <w:color w:val="auto"/>
              </w:rPr>
            </w:pPr>
          </w:p>
        </w:tc>
        <w:tc>
          <w:tcPr>
            <w:tcW w:w="66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Form of Amendment to the Administration Agreement</w:t>
            </w:r>
          </w:p>
        </w:tc>
        <w:tc>
          <w:tcPr>
            <w:tcW w:w="0" w:type="dxa"/>
            <w:vAlign w:val="bottom"/>
          </w:tcPr>
          <w:p>
            <w:pPr>
              <w:spacing w:after="0" w:line="20" w:lineRule="exact"/>
              <w:rPr>
                <w:sz w:val="1"/>
                <w:szCs w:val="1"/>
                <w:color w:val="auto"/>
              </w:rPr>
            </w:pPr>
          </w:p>
        </w:tc>
      </w:tr>
      <w:tr>
        <w:trPr>
          <w:trHeight w:val="290"/>
        </w:trPr>
        <w:tc>
          <w:tcPr>
            <w:tcW w:w="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R:</w:t>
            </w:r>
          </w:p>
        </w:tc>
        <w:tc>
          <w:tcPr>
            <w:tcW w:w="6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Form of Amendment to the AESOP II Operating Lease Loan Agreement</w:t>
            </w:r>
          </w:p>
        </w:tc>
        <w:tc>
          <w:tcPr>
            <w:tcW w:w="0" w:type="dxa"/>
            <w:vAlign w:val="bottom"/>
          </w:tcPr>
          <w:p>
            <w:pPr>
              <w:spacing w:after="0" w:line="20" w:lineRule="exact"/>
              <w:rPr>
                <w:sz w:val="1"/>
                <w:szCs w:val="1"/>
                <w:color w:val="auto"/>
              </w:rPr>
            </w:pPr>
          </w:p>
        </w:tc>
      </w:tr>
      <w:tr>
        <w:trPr>
          <w:trHeight w:val="291"/>
        </w:trPr>
        <w:tc>
          <w:tcPr>
            <w:tcW w:w="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S:</w:t>
            </w:r>
          </w:p>
        </w:tc>
        <w:tc>
          <w:tcPr>
            <w:tcW w:w="6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Form of Amendment to the Original AESOP Nominee Agreement</w:t>
            </w:r>
          </w:p>
        </w:tc>
        <w:tc>
          <w:tcPr>
            <w:tcW w:w="0" w:type="dxa"/>
            <w:vAlign w:val="bottom"/>
          </w:tcPr>
          <w:p>
            <w:pPr>
              <w:spacing w:after="0" w:line="20" w:lineRule="exact"/>
              <w:rPr>
                <w:sz w:val="1"/>
                <w:szCs w:val="1"/>
                <w:color w:val="auto"/>
              </w:rPr>
            </w:pPr>
          </w:p>
        </w:tc>
      </w:tr>
      <w:tr>
        <w:trPr>
          <w:trHeight w:val="290"/>
        </w:trPr>
        <w:tc>
          <w:tcPr>
            <w:tcW w:w="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T:</w:t>
            </w:r>
          </w:p>
        </w:tc>
        <w:tc>
          <w:tcPr>
            <w:tcW w:w="6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Form of Amendment to the Disposition Agent Agreement</w:t>
            </w:r>
          </w:p>
        </w:tc>
        <w:tc>
          <w:tcPr>
            <w:tcW w:w="0" w:type="dxa"/>
            <w:vAlign w:val="bottom"/>
          </w:tcPr>
          <w:p>
            <w:pPr>
              <w:spacing w:after="0" w:line="20" w:lineRule="exact"/>
              <w:rPr>
                <w:sz w:val="1"/>
                <w:szCs w:val="1"/>
                <w:color w:val="auto"/>
              </w:rPr>
            </w:pPr>
          </w:p>
        </w:tc>
      </w:tr>
      <w:tr>
        <w:trPr>
          <w:trHeight w:val="291"/>
        </w:trPr>
        <w:tc>
          <w:tcPr>
            <w:tcW w:w="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U:</w:t>
            </w:r>
          </w:p>
        </w:tc>
        <w:tc>
          <w:tcPr>
            <w:tcW w:w="6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00"/>
          </w:tcPr>
          <w:p>
            <w:pPr>
              <w:spacing w:after="0" w:line="20" w:lineRule="exact"/>
              <w:rPr>
                <w:sz w:val="1"/>
                <w:szCs w:val="1"/>
                <w:color w:val="auto"/>
              </w:rPr>
            </w:pPr>
          </w:p>
        </w:tc>
        <w:tc>
          <w:tcPr>
            <w:tcW w:w="580" w:type="dxa"/>
            <w:vAlign w:val="bottom"/>
            <w:tcBorders>
              <w:left w:val="single" w:sz="8" w:color="auto"/>
            </w:tcBorders>
            <w:gridSpan w:val="2"/>
          </w:tcPr>
          <w:p>
            <w:pPr>
              <w:spacing w:after="0" w:line="20" w:lineRule="exact"/>
              <w:rPr>
                <w:sz w:val="1"/>
                <w:szCs w:val="1"/>
                <w:color w:val="auto"/>
              </w:rPr>
            </w:pPr>
          </w:p>
        </w:tc>
        <w:tc>
          <w:tcPr>
            <w:tcW w:w="66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Form of Amendment to the Back-up Administration Agreement</w:t>
            </w:r>
          </w:p>
        </w:tc>
        <w:tc>
          <w:tcPr>
            <w:tcW w:w="0" w:type="dxa"/>
            <w:vAlign w:val="bottom"/>
          </w:tcPr>
          <w:p>
            <w:pPr>
              <w:spacing w:after="0" w:line="20" w:lineRule="exact"/>
              <w:rPr>
                <w:sz w:val="1"/>
                <w:szCs w:val="1"/>
                <w:color w:val="auto"/>
              </w:rPr>
            </w:pPr>
          </w:p>
        </w:tc>
      </w:tr>
      <w:tr>
        <w:trPr>
          <w:trHeight w:val="290"/>
        </w:trPr>
        <w:tc>
          <w:tcPr>
            <w:tcW w:w="14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Exhibit V:</w:t>
            </w:r>
          </w:p>
        </w:tc>
        <w:tc>
          <w:tcPr>
            <w:tcW w:w="6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Ratification of Base Indenture</w:t>
      </w:r>
      <w:r>
        <w:rPr>
          <w:rFonts w:ascii="Times New Roman" w:cs="Times New Roman" w:eastAsia="Times New Roman" w:hAnsi="Times New Roman"/>
          <w:sz w:val="22"/>
          <w:szCs w:val="22"/>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73" w:lineRule="exact"/>
        <w:rPr>
          <w:sz w:val="20"/>
          <w:szCs w:val="20"/>
          <w:color w:val="auto"/>
        </w:rPr>
      </w:pPr>
    </w:p>
    <w:p>
      <w:pPr>
        <w:jc w:val="both"/>
        <w:ind w:firstLine="1296"/>
        <w:spacing w:after="0" w:line="309"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Supplement may be executed in any number of counterparts, each of which so executed shall be deemed to be an original, but all of such counterparts shall together constitute but one and the same instrument.</w:t>
      </w:r>
    </w:p>
    <w:p>
      <w:pPr>
        <w:spacing w:after="0" w:line="12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 shall be construed in accordance with the law of the State of New York, and the obligations, rights and remedies of the parties hereto shall be determined in accordance with such law.</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This Supplement may be modified or amended from time to time in accordance with the terms of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2023-4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 so long as (i) no Amortization Event has occurred and is continuing and (ii) the Rating Agency Consent Condition is met with respect to the outstanding Series 2023-4 Notes (other than the Class R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bl>
    <w:p>
      <w:pPr>
        <w:sectPr>
          <w:pgSz w:w="11900" w:h="16838" w:orient="portrait"/>
          <w:cols w:equalWidth="0" w:num="1">
            <w:col w:w="11240"/>
          </w:cols>
          <w:pgMar w:left="320" w:top="1057" w:right="339" w:bottom="1440" w:gutter="0" w:footer="0" w:header="0"/>
        </w:sectPr>
      </w:pPr>
    </w:p>
    <w:bookmarkStart w:id="317" w:name="page318"/>
    <w:bookmarkEnd w:id="31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defined term, in each case, at any time without the consent of the Class D Noteholders and (B) ABRCF shall be able to modify or amend any Series 2023-4 Maximum Amount at any time with the consent of a Requisite Series 2023-4 Noteholders.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Discharge of Base Indenture</w:t>
      </w:r>
      <w:r>
        <w:rPr>
          <w:rFonts w:ascii="Times New Roman" w:cs="Times New Roman" w:eastAsia="Times New Roman" w:hAnsi="Times New Roman"/>
          <w:sz w:val="22"/>
          <w:szCs w:val="22"/>
          <w:color w:val="auto"/>
        </w:rPr>
        <w:t>. Notwithstanding anything to the contrary contained in the Base Indenture, no discharge of the Indenture pursuant to Section 11.1(b) of the Base Indenture will be effective as to the Series 2023-4 Notes without the consent of the Requisite Series 2023-4 Noteholders.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Notice to Rating Agencies</w:t>
      </w:r>
      <w:r>
        <w:rPr>
          <w:rFonts w:ascii="Times New Roman" w:cs="Times New Roman" w:eastAsia="Times New Roman" w:hAnsi="Times New Roman"/>
          <w:sz w:val="22"/>
          <w:szCs w:val="22"/>
          <w:color w:val="auto"/>
        </w:rPr>
        <w:t>.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Capitalization of ABRCF</w:t>
      </w:r>
      <w:r>
        <w:rPr>
          <w:rFonts w:ascii="Times New Roman" w:cs="Times New Roman" w:eastAsia="Times New Roman" w:hAnsi="Times New Roman"/>
          <w:sz w:val="22"/>
          <w:szCs w:val="22"/>
          <w:color w:val="auto"/>
        </w:rPr>
        <w:t>. ABRCF agrees that on the Class D Notes Closing Date it will have capitalization in an amount equal to or greater than 3% of the sum of (x) the Series 2023-4 Invested Amount and (y) the invested amount of the Series 2010-6 Notes, the Series 2011-4 Notes, the Series 2015-3 Notes, the Series 2020-1 Notes, the Series 2020-2 Notes, the Series 2021-1 Notes, the Series 2021-2 Notes, the Series 2022-1 Notes, the Series 2022-3 Notes, the Series 2022-4 Notes, the Series 2022-5 Notes, the Series 2023-1 Notes, the Series 2023-2 Notes, the Series 2023-3 Notes, the Series 2023-5 Notes, the Series 2023-6 Notes, the Series 2023-7 Notes, the Series 2023-8 Notes, the Series 2024-1 Notes, the Series 2024-2 Notes, the Series 2024-3 Notes, the Series 2025-1 Notes and the Series 2025-2 Notes.</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Required Noteholders</w:t>
      </w:r>
      <w:r>
        <w:rPr>
          <w:rFonts w:ascii="Times New Roman" w:cs="Times New Roman" w:eastAsia="Times New Roman" w:hAnsi="Times New Roman"/>
          <w:sz w:val="22"/>
          <w:szCs w:val="22"/>
          <w:color w:val="auto"/>
        </w:rPr>
        <w:t>. Subject to Section 5.7 above, any action pursuant to Section 5.6, Section 8.13 or Article 9 of the Base Indenture that requires the consent of, or is permissible at the direction of, the Required Noteholders with respect to the Series 2023-4 Notes pursuant to the Base Indenture shall only be allowed with the consent of, or at the direction of, the Required Controlling Class Series 2023-4 Noteholders. Any other action pursuant to any Related Document which requires the consent or approval of, or the waiver by, the Required Noteholders with respect to the Series 2023-4 Notes shall require the consent or approval of, or waiver by, the Requisite Series 2023-4 Noteholders.</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Series 2023-4 Demand Notes</w:t>
      </w:r>
      <w:r>
        <w:rPr>
          <w:rFonts w:ascii="Times New Roman" w:cs="Times New Roman" w:eastAsia="Times New Roman" w:hAnsi="Times New Roman"/>
          <w:sz w:val="22"/>
          <w:szCs w:val="22"/>
          <w:color w:val="auto"/>
        </w:rPr>
        <w:t>. Other than pursuant to a demand thereon pursuant to Section 2.5, ABRCF shall not reduce the amount of the Series 2023-4 Demand Notes or forgive amounts payable thereunder so that the outstanding principal amount of the Series 2023-4 Demand Notes after such reduction or forgiveness is less than the sum of (x) the Class A/B/C Letter of Credit Liquidity Amount plus (y) the Class D Letter of Credit Liquidity Amount. ABRCF shall not agree to any amendment of the Series 2023-4 Demand Notes without first satisfying the Rating Agency Confirmation Condition and the Rating Agency Consent Condition.</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Termination of Supplement</w:t>
      </w:r>
      <w:r>
        <w:rPr>
          <w:rFonts w:ascii="Times New Roman" w:cs="Times New Roman" w:eastAsia="Times New Roman" w:hAnsi="Times New Roman"/>
          <w:sz w:val="22"/>
          <w:szCs w:val="22"/>
          <w:color w:val="auto"/>
        </w:rPr>
        <w:t>. This Supplement shall cease to be of further effect when all outstanding Series 2023-4 Notes theretofore authenticated and issued have been delivered (other than destroyed, lost, or stolen Series 2023-4 Notes which have been replaced or paid) to the Trustee for cancellation, ABRCF has paid all sums payable hereunder, and, if the Series 2023-4 Demand Note Payment Amount on the Multi-Series Letter of Credit Termination</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bl>
    <w:p>
      <w:pPr>
        <w:sectPr>
          <w:pgSz w:w="11900" w:h="16838" w:orient="portrait"/>
          <w:cols w:equalWidth="0" w:num="1">
            <w:col w:w="11240"/>
          </w:cols>
          <w:pgMar w:left="320" w:top="1030" w:right="339" w:bottom="1440" w:gutter="0" w:footer="0" w:header="0"/>
        </w:sectPr>
      </w:pPr>
    </w:p>
    <w:bookmarkStart w:id="318" w:name="page319"/>
    <w:bookmarkEnd w:id="318"/>
    <w:p>
      <w:pPr>
        <w:jc w:val="both"/>
        <w:spacing w:after="0" w:line="271" w:lineRule="auto"/>
        <w:rPr>
          <w:sz w:val="20"/>
          <w:szCs w:val="20"/>
          <w:color w:val="auto"/>
        </w:rPr>
      </w:pPr>
      <w:r>
        <w:rPr>
          <w:rFonts w:ascii="Times New Roman" w:cs="Times New Roman" w:eastAsia="Times New Roman" w:hAnsi="Times New Roman"/>
          <w:sz w:val="22"/>
          <w:szCs w:val="22"/>
          <w:color w:val="auto"/>
        </w:rPr>
        <w:t>Date was greater than zero, all amounts have been withdrawn from the Series 2023-4 Cash Collateral Accounts in accordance with Section 2.8(m).</w:t>
      </w:r>
    </w:p>
    <w:p>
      <w:pPr>
        <w:spacing w:after="0" w:line="17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Noteholder Consent to Certain Amendments</w:t>
      </w:r>
      <w:r>
        <w:rPr>
          <w:rFonts w:ascii="Times New Roman" w:cs="Times New Roman" w:eastAsia="Times New Roman" w:hAnsi="Times New Roman"/>
          <w:sz w:val="22"/>
          <w:szCs w:val="22"/>
          <w:color w:val="auto"/>
        </w:rPr>
        <w:t xml:space="preserve">. (a) Each Series 2023-4 Noteholder, upon any acquisition of a Series 2023-4 Note, will be deemed to agree and consent to (i) the execution by ABRCF of a Supplemental Indenture to the Base Indenture substantially in 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hereto, (ii) the execution of an amendment to the AESOP I Operating Lease substantially in the form of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 xml:space="preserve"> hereto, (iii) the execution of an amendment to the Finance Lease substantially in the form of </w:t>
      </w:r>
      <w:r>
        <w:rPr>
          <w:rFonts w:ascii="Times New Roman" w:cs="Times New Roman" w:eastAsia="Times New Roman" w:hAnsi="Times New Roman"/>
          <w:sz w:val="22"/>
          <w:szCs w:val="22"/>
          <w:u w:val="single" w:color="auto"/>
          <w:color w:val="auto"/>
        </w:rPr>
        <w:t>Exhibit L-1</w:t>
      </w:r>
      <w:r>
        <w:rPr>
          <w:rFonts w:ascii="Times New Roman" w:cs="Times New Roman" w:eastAsia="Times New Roman" w:hAnsi="Times New Roman"/>
          <w:sz w:val="22"/>
          <w:szCs w:val="22"/>
          <w:color w:val="auto"/>
        </w:rPr>
        <w:t xml:space="preserve"> hereto, (iv) the execution of an amendment to the AESOP I Operating Lease Loan Agreement substantially in the form of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hereto, (v) the execution of an amendment to the AESOP I Finance Lease Loan Agreement substantially in the form of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 xml:space="preserve"> hereto, (vi) the execution of an amendment to the AESOP II Operating Lease substantially in the form of </w:t>
      </w:r>
      <w:r>
        <w:rPr>
          <w:rFonts w:ascii="Times New Roman" w:cs="Times New Roman" w:eastAsia="Times New Roman" w:hAnsi="Times New Roman"/>
          <w:sz w:val="22"/>
          <w:szCs w:val="22"/>
          <w:u w:val="single" w:color="auto"/>
          <w:color w:val="auto"/>
        </w:rPr>
        <w:t>Exhibit O-1</w:t>
      </w:r>
      <w:r>
        <w:rPr>
          <w:rFonts w:ascii="Times New Roman" w:cs="Times New Roman" w:eastAsia="Times New Roman" w:hAnsi="Times New Roman"/>
          <w:sz w:val="22"/>
          <w:szCs w:val="22"/>
          <w:color w:val="auto"/>
        </w:rPr>
        <w:t xml:space="preserve"> hereto, (vii) the execution of an amendment to the Master Exchange Agreement substantially in the form of </w:t>
      </w: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 xml:space="preserve"> hereto, (viii) the execution of an amendment to the Escrow Agreement substantially in the form of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hereto, (ix) the execution of an amendment to the Administration Agreement substantially in the form of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 xml:space="preserve"> hereto, (x) the execution of an amendment to the AESOP II Operating Lease Loan Agreement substantially in the form of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xml:space="preserve"> hereto, (xi) the execution of an amendment to the Original AESOP Nominee Agreement substantially in the form of </w:t>
      </w:r>
      <w:r>
        <w:rPr>
          <w:rFonts w:ascii="Times New Roman" w:cs="Times New Roman" w:eastAsia="Times New Roman" w:hAnsi="Times New Roman"/>
          <w:sz w:val="22"/>
          <w:szCs w:val="22"/>
          <w:u w:val="single" w:color="auto"/>
          <w:color w:val="auto"/>
        </w:rPr>
        <w:t>Exhibit T</w:t>
      </w:r>
      <w:r>
        <w:rPr>
          <w:rFonts w:ascii="Times New Roman" w:cs="Times New Roman" w:eastAsia="Times New Roman" w:hAnsi="Times New Roman"/>
          <w:sz w:val="22"/>
          <w:szCs w:val="22"/>
          <w:color w:val="auto"/>
        </w:rPr>
        <w:t xml:space="preserve"> hereto, (xii) the execution of an amendment to the Disposition Agent Agreement substantially in the form of </w:t>
      </w:r>
      <w:r>
        <w:rPr>
          <w:rFonts w:ascii="Times New Roman" w:cs="Times New Roman" w:eastAsia="Times New Roman" w:hAnsi="Times New Roman"/>
          <w:sz w:val="22"/>
          <w:szCs w:val="22"/>
          <w:u w:val="single" w:color="auto"/>
          <w:color w:val="auto"/>
        </w:rPr>
        <w:t>Exhibit U</w:t>
      </w:r>
      <w:r>
        <w:rPr>
          <w:rFonts w:ascii="Times New Roman" w:cs="Times New Roman" w:eastAsia="Times New Roman" w:hAnsi="Times New Roman"/>
          <w:sz w:val="22"/>
          <w:szCs w:val="22"/>
          <w:color w:val="auto"/>
        </w:rPr>
        <w:t xml:space="preserve"> hereto and (xiii) the execution of an amendment to the Back-up Administration Agreement substantially in the form of </w:t>
      </w:r>
      <w:r>
        <w:rPr>
          <w:rFonts w:ascii="Times New Roman" w:cs="Times New Roman" w:eastAsia="Times New Roman" w:hAnsi="Times New Roman"/>
          <w:sz w:val="22"/>
          <w:szCs w:val="22"/>
          <w:u w:val="single" w:color="auto"/>
          <w:color w:val="auto"/>
        </w:rPr>
        <w:t>Exhibit V</w:t>
      </w:r>
      <w:r>
        <w:rPr>
          <w:rFonts w:ascii="Times New Roman" w:cs="Times New Roman" w:eastAsia="Times New Roman" w:hAnsi="Times New Roman"/>
          <w:sz w:val="22"/>
          <w:szCs w:val="22"/>
          <w:color w:val="auto"/>
        </w:rPr>
        <w:t xml:space="preserve"> hereto. Such deemed consent will apply to each proposed amendment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individually, and the failure to adopt any of the amendments set forth therein will not revoke the consent with respect to any other amendment.</w:t>
      </w:r>
    </w:p>
    <w:p>
      <w:pPr>
        <w:spacing w:after="0" w:line="191" w:lineRule="exact"/>
        <w:rPr>
          <w:sz w:val="20"/>
          <w:szCs w:val="20"/>
          <w:color w:val="auto"/>
        </w:rPr>
      </w:pPr>
    </w:p>
    <w:p>
      <w:pPr>
        <w:jc w:val="both"/>
        <w:ind w:firstLine="1304"/>
        <w:spacing w:after="0" w:line="251" w:lineRule="auto"/>
        <w:tabs>
          <w:tab w:leader="none" w:pos="1612" w:val="left"/>
        </w:tabs>
        <w:numPr>
          <w:ilvl w:val="0"/>
          <w:numId w:val="3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Class D Noteholder, upon any acquisition of a Class D Note, will be deemed to agree and consent to (i) the execution of an amendment to the AESOP I Operating Lease substantially in the form of </w:t>
      </w:r>
      <w:r>
        <w:rPr>
          <w:rFonts w:ascii="Times New Roman" w:cs="Times New Roman" w:eastAsia="Times New Roman" w:hAnsi="Times New Roman"/>
          <w:sz w:val="22"/>
          <w:szCs w:val="22"/>
          <w:u w:val="single" w:color="auto"/>
          <w:color w:val="auto"/>
        </w:rPr>
        <w:t>Exhibit K-2</w:t>
      </w:r>
      <w:r>
        <w:rPr>
          <w:rFonts w:ascii="Times New Roman" w:cs="Times New Roman" w:eastAsia="Times New Roman" w:hAnsi="Times New Roman"/>
          <w:sz w:val="22"/>
          <w:szCs w:val="22"/>
          <w:color w:val="auto"/>
        </w:rPr>
        <w:t xml:space="preserve"> hereto, (ii) the execution of an amendment to the Finance Lease substantially in the form of </w:t>
      </w:r>
      <w:r>
        <w:rPr>
          <w:rFonts w:ascii="Times New Roman" w:cs="Times New Roman" w:eastAsia="Times New Roman" w:hAnsi="Times New Roman"/>
          <w:sz w:val="22"/>
          <w:szCs w:val="22"/>
          <w:u w:val="single" w:color="auto"/>
          <w:color w:val="auto"/>
        </w:rPr>
        <w:t>Exhibit L-2</w:t>
      </w:r>
      <w:r>
        <w:rPr>
          <w:rFonts w:ascii="Times New Roman" w:cs="Times New Roman" w:eastAsia="Times New Roman" w:hAnsi="Times New Roman"/>
          <w:sz w:val="22"/>
          <w:szCs w:val="22"/>
          <w:color w:val="auto"/>
        </w:rPr>
        <w:t xml:space="preserve"> hereto and (iii) the execution of an amendment to the AESOP II Operating Lease substantially in the form of </w:t>
      </w:r>
      <w:r>
        <w:rPr>
          <w:rFonts w:ascii="Times New Roman" w:cs="Times New Roman" w:eastAsia="Times New Roman" w:hAnsi="Times New Roman"/>
          <w:sz w:val="22"/>
          <w:szCs w:val="22"/>
          <w:u w:val="single" w:color="auto"/>
          <w:color w:val="auto"/>
        </w:rPr>
        <w:t>Exhibit O-2</w:t>
      </w:r>
      <w:r>
        <w:rPr>
          <w:rFonts w:ascii="Times New Roman" w:cs="Times New Roman" w:eastAsia="Times New Roman" w:hAnsi="Times New Roman"/>
          <w:sz w:val="22"/>
          <w:szCs w:val="22"/>
          <w:color w:val="auto"/>
        </w:rPr>
        <w:t xml:space="preserve"> hereto. Such deemed consent will apply to each proposed amendment set forth in </w:t>
      </w:r>
      <w:r>
        <w:rPr>
          <w:rFonts w:ascii="Times New Roman" w:cs="Times New Roman" w:eastAsia="Times New Roman" w:hAnsi="Times New Roman"/>
          <w:sz w:val="22"/>
          <w:szCs w:val="22"/>
          <w:u w:val="single" w:color="auto"/>
          <w:color w:val="auto"/>
        </w:rPr>
        <w:t>Exhibits K-2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O-2</w:t>
      </w:r>
      <w:r>
        <w:rPr>
          <w:rFonts w:ascii="Times New Roman" w:cs="Times New Roman" w:eastAsia="Times New Roman" w:hAnsi="Times New Roman"/>
          <w:sz w:val="22"/>
          <w:szCs w:val="22"/>
          <w:color w:val="auto"/>
        </w:rPr>
        <w:t xml:space="preserve"> individually, and the failure to adopt any of the amendments set forth therein will not revoke the consent with respect to any other amendment.</w:t>
      </w:r>
    </w:p>
    <w:p>
      <w:pPr>
        <w:spacing w:after="0" w:line="18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[Reserved].Confidential Information</w:t>
      </w:r>
      <w:r>
        <w:rPr>
          <w:rFonts w:ascii="Times New Roman" w:cs="Times New Roman" w:eastAsia="Times New Roman" w:hAnsi="Times New Roman"/>
          <w:sz w:val="22"/>
          <w:szCs w:val="22"/>
          <w:color w:val="auto"/>
        </w:rPr>
        <w:t xml:space="preserve">. (a) The Trustee and each Series 2023-4 Note Owner agrees, by its acceptance and holding of a beneficial interest in a Series 2023-4 Note, to maintain the confidentiality of all Confidential Information in accordance with procedures adopted by the Trustee or such Series 2023-4 Note Owner in good faith to protect confidential information of third parties delivered to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2023-4 Note Owner; (iv) any Person of the type that would be, to such Person’s knowledge, permitted to acquire an interest in the Series 2023-4 Notes in</w:t>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bl>
    <w:p>
      <w:pPr>
        <w:sectPr>
          <w:pgSz w:w="11900" w:h="16838" w:orient="portrait"/>
          <w:cols w:equalWidth="0" w:num="1">
            <w:col w:w="11240"/>
          </w:cols>
          <w:pgMar w:left="320" w:top="1030" w:right="339" w:bottom="1440" w:gutter="0" w:footer="0" w:header="0"/>
        </w:sectPr>
      </w:pPr>
    </w:p>
    <w:bookmarkStart w:id="319" w:name="page320"/>
    <w:bookmarkEnd w:id="319"/>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accordance with the requirements of the Indenture to which such Person sells or offers to sell any such Series 2023-4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2023-4 Notes has occurred and is continuing, to the extent such Person may reasonably determine such delivery and disclosure to be necessary or appropriate in the enforcement or for the protection of the rights and remedies under the Series 2023-4 Notes, the Indenture or any other Related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delivery to any Series 2023-4 Note Owner of any report or information required by the terms of the Indenture to be provided to such Series 2023-4 Note Owner shall not be a violation of this Section 5.16. Each Series 2023-4 Note Owner agrees, by acceptance of a beneficial interest in a Series 2023-4 Note, except as set forth in clauses (v), (vi) and (ix) above, that it shall use the Confidential Information for the sole purpose of making an investment in the Series 2023-4 Notes or administering its investment in the Series 2023-4 Notes. In the event of any required disclosure of the Confidential Information by such Series 2023-4 Note Owner, such Series 2023-4 Note Owner agrees to use reasonable efforts to protect the confidentiality of the Confidential Information.For the purposes of this Section 5.16,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information delivered to the Trustee or any Series 2023-4 Note Owner by or on behalf of ABRCF in connection with and relating to the transactions contemplated by or otherwise pursuant to the Indenture and the Related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term does not include information that: (i) was publicly known or otherwise known to the Trustee or such Series 2023-4 Note Owner prior to the time of such disclosure; (ii) subsequently becomes publicly known through no act or omission by the Trustee, any Series 2023-4 Note Owner or any person acting on behalf of the Trustee or any Series 2023-4 Note Owner; (iii) otherwise is known or becomes known to the Trustee or any Series 2023-4 Note Owner other than (x) through disclosure by ABRCF or (y) as a result of the breach of a fiduciary duty to ABRCF or a contractual duty to ABRCF; or (iv) is allowed to be treated as non-confidential by consent of ABRCF.</w:t>
      </w:r>
    </w:p>
    <w:p>
      <w:pPr>
        <w:spacing w:after="0" w:line="213"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5.18. </w:t>
      </w:r>
      <w:r>
        <w:rPr>
          <w:rFonts w:ascii="Times New Roman" w:cs="Times New Roman" w:eastAsia="Times New Roman" w:hAnsi="Times New Roman"/>
          <w:sz w:val="21"/>
          <w:szCs w:val="21"/>
          <w:u w:val="single" w:color="auto"/>
          <w:color w:val="auto"/>
        </w:rPr>
        <w:t>Further Limitation of Liability</w:t>
      </w:r>
      <w:r>
        <w:rPr>
          <w:rFonts w:ascii="Times New Roman" w:cs="Times New Roman" w:eastAsia="Times New Roman" w:hAnsi="Times New Roman"/>
          <w:sz w:val="21"/>
          <w:szCs w:val="21"/>
          <w:color w:val="auto"/>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w:t>
      </w:r>
    </w:p>
    <w:p>
      <w:pPr>
        <w:spacing w:after="0" w:line="20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bl>
    <w:p>
      <w:pPr>
        <w:sectPr>
          <w:pgSz w:w="11900" w:h="16838" w:orient="portrait"/>
          <w:cols w:equalWidth="0" w:num="1">
            <w:col w:w="11240"/>
          </w:cols>
          <w:pgMar w:left="320" w:top="1030" w:right="339" w:bottom="1440" w:gutter="0" w:footer="0" w:header="0"/>
        </w:sectPr>
      </w:pPr>
    </w:p>
    <w:bookmarkStart w:id="320" w:name="page321"/>
    <w:bookmarkEnd w:id="320"/>
    <w:p>
      <w:pPr>
        <w:jc w:val="both"/>
        <w:spacing w:after="0" w:line="271" w:lineRule="auto"/>
        <w:rPr>
          <w:sz w:val="20"/>
          <w:szCs w:val="20"/>
          <w:color w:val="auto"/>
        </w:rPr>
      </w:pPr>
      <w:r>
        <w:rPr>
          <w:rFonts w:ascii="Times New Roman" w:cs="Times New Roman" w:eastAsia="Times New Roman" w:hAnsi="Times New Roman"/>
          <w:sz w:val="22"/>
          <w:szCs w:val="22"/>
          <w:color w:val="auto"/>
        </w:rPr>
        <w:t>its directors, officers, agents or employees have been advised of the likelihood of such loss or damage and regardless of the form of action.</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Series 2023-4 Agent</w:t>
      </w:r>
      <w:r>
        <w:rPr>
          <w:rFonts w:ascii="Times New Roman" w:cs="Times New Roman" w:eastAsia="Times New Roman" w:hAnsi="Times New Roman"/>
          <w:sz w:val="22"/>
          <w:szCs w:val="22"/>
          <w:color w:val="auto"/>
        </w:rPr>
        <w:t>. The Series 2023-4 Agent shall be entitled to the same rights, benefits, protections, indemnities and immunities hereunder as are granted to the Trustee under the Base Indenture as if set forth fully herein.</w:t>
      </w:r>
    </w:p>
    <w:p>
      <w:pPr>
        <w:spacing w:after="0" w:line="17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 xml:space="preserve">Section 5.21. </w:t>
      </w:r>
      <w:r>
        <w:rPr>
          <w:rFonts w:ascii="Times New Roman" w:cs="Times New Roman" w:eastAsia="Times New Roman" w:hAnsi="Times New Roman"/>
          <w:sz w:val="21"/>
          <w:szCs w:val="21"/>
          <w:u w:val="single" w:color="auto"/>
          <w:color w:val="auto"/>
        </w:rPr>
        <w:t>Waiver of Jury Trial, etc</w:t>
      </w:r>
      <w:r>
        <w:rPr>
          <w:rFonts w:ascii="Times New Roman" w:cs="Times New Roman" w:eastAsia="Times New Roman" w:hAnsi="Times New Roman"/>
          <w:sz w:val="21"/>
          <w:szCs w:val="21"/>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2023-4 NOTES, THE SERIES 2023-4</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DEMAND NOTES, THE MULTI-SERIES LETTER OF CREDIT AND ANY OTHER RELATED DOCUMENTS EXECUTED IN CONNECTION WITH THE ISSUANCE OF THE SERIES 2023-4 NOTES, OR ANY COURSE OF CONDUCT, COURSE OF DEALING, STATEMENTS (WHETHER ORAL OR WRITTEN), OR ACTIONS OF THE PARTIES HERETO. THIS PROVISION IS A MATERIAL INDUCEMENT FOR THE PARTIES HERETO TO ENTER INTO THIS SUPPLEMENT.</w:t>
      </w:r>
    </w:p>
    <w:p>
      <w:pPr>
        <w:spacing w:after="0" w:line="165"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5.22. </w:t>
      </w: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2023-4 NOTES, THE SERIES 2023-4 DEMAND NOTES, THE MULTI-SERIES LETTER OF CREDIT AND ANY OTHER RELATED DOCUMENTS EXECUTED IN CONNECTION WITH THE ISSUANCE OF THE SERIES 2023-4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w:t>
      </w: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bl>
    <w:p>
      <w:pPr>
        <w:sectPr>
          <w:pgSz w:w="11900" w:h="16838" w:orient="portrait"/>
          <w:cols w:equalWidth="0" w:num="1">
            <w:col w:w="11240"/>
          </w:cols>
          <w:pgMar w:left="320" w:top="1030" w:right="339" w:bottom="1440" w:gutter="0" w:footer="0" w:header="0"/>
        </w:sectPr>
      </w:pPr>
    </w:p>
    <w:bookmarkStart w:id="321" w:name="page322"/>
    <w:bookmarkEnd w:id="321"/>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 w:cs="Times New Roman" w:eastAsia="Times New Roman" w:hAnsi="Times New Roman"/>
          <w:sz w:val="21"/>
          <w:szCs w:val="21"/>
          <w:u w:val="single" w:color="auto"/>
          <w:color w:val="auto"/>
        </w:rPr>
        <w:t>FORUM NON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CONVENIENS</w:t>
      </w:r>
      <w:r>
        <w:rPr>
          <w:rFonts w:ascii="Times New Roman" w:cs="Times New Roman" w:eastAsia="Times New Roman" w:hAnsi="Times New Roman"/>
          <w:sz w:val="21"/>
          <w:szCs w:val="21"/>
          <w:color w:val="auto"/>
        </w:rPr>
        <w:t xml:space="preserve"> OR OTHERWISE. NOTHING CONTAINED HEREIN SHALL PRECLUDE ANY PARTY HERETO FROM BRINGING AN ACTION OR PROCEEDING ARISING OUT OF OR RELATING TO THIS SUPPLEMENT, THE SERIES 2023-4 NOTES, THE SERIES 2023-4 DEMAND NOTES, THE MULTI-SERIES LETTER OF CREDIT AND ANY OTHER RELATED DOCUMENTS EXECUTED IN CONNECTION WITH THE ISSUANCE OF THE SERIES 2023-4 NOTES IN ANY OTHER COUNTRY, STATE OR PLACE HAVING JURISDICTION OVER SUCH ACTION OR PROCEEDING.</w:t>
      </w:r>
    </w:p>
    <w:p>
      <w:pPr>
        <w:spacing w:after="0" w:line="170"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5.23.</w:t>
      </w:r>
      <w:r>
        <w:rPr>
          <w:sz w:val="20"/>
          <w:szCs w:val="20"/>
          <w:color w:val="auto"/>
        </w:rPr>
        <w:tab/>
      </w:r>
      <w:r>
        <w:rPr>
          <w:rFonts w:ascii="Times New Roman" w:cs="Times New Roman" w:eastAsia="Times New Roman" w:hAnsi="Times New Roman"/>
          <w:sz w:val="21"/>
          <w:szCs w:val="21"/>
          <w:u w:val="single" w:color="auto"/>
          <w:color w:val="auto"/>
        </w:rPr>
        <w:t>Additional Terms of the Series 2023-4 Notes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760" w:hanging="456"/>
        <w:spacing w:after="0"/>
        <w:tabs>
          <w:tab w:leader="none" w:pos="1760" w:val="left"/>
        </w:tabs>
        <w:numPr>
          <w:ilvl w:val="0"/>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this Supplement and the Series 2023-4 Notes:</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41" w:val="left"/>
        </w:tabs>
        <w:numPr>
          <w:ilvl w:val="1"/>
          <w:numId w:val="3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Opinion of Counsel set forth in </w:t>
      </w:r>
      <w:r>
        <w:rPr>
          <w:rFonts w:ascii="Times New Roman" w:cs="Times New Roman" w:eastAsia="Times New Roman" w:hAnsi="Times New Roman"/>
          <w:sz w:val="22"/>
          <w:szCs w:val="22"/>
          <w:u w:val="single" w:color="auto"/>
          <w:color w:val="auto"/>
        </w:rPr>
        <w:t>Section 2.2(f)(i)(x)</w:t>
      </w:r>
      <w:r>
        <w:rPr>
          <w:rFonts w:ascii="Times New Roman" w:cs="Times New Roman" w:eastAsia="Times New Roman" w:hAnsi="Times New Roman"/>
          <w:sz w:val="22"/>
          <w:szCs w:val="22"/>
          <w:color w:val="auto"/>
        </w:rPr>
        <w:t xml:space="preserve"> of the Base Indenture shall not be required with respect to the Class C Notes and the Class R Notes. The Opinion of Counsel set forth in </w:t>
      </w:r>
      <w:r>
        <w:rPr>
          <w:rFonts w:ascii="Times New Roman" w:cs="Times New Roman" w:eastAsia="Times New Roman" w:hAnsi="Times New Roman"/>
          <w:sz w:val="22"/>
          <w:szCs w:val="22"/>
          <w:u w:val="single" w:color="auto"/>
          <w:color w:val="auto"/>
        </w:rPr>
        <w:t>Section 2.2(f)(i)(y)</w:t>
      </w:r>
      <w:r>
        <w:rPr>
          <w:rFonts w:ascii="Times New Roman" w:cs="Times New Roman" w:eastAsia="Times New Roman" w:hAnsi="Times New Roman"/>
          <w:sz w:val="22"/>
          <w:szCs w:val="22"/>
          <w:color w:val="auto"/>
        </w:rPr>
        <w:t xml:space="preserve"> of the Base Indenture shall not be required with respect to the Class C Notes and the Class R Notes for any Series issued after the date hereof.</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68" w:lineRule="auto"/>
        <w:tabs>
          <w:tab w:leader="none" w:pos="2513" w:val="left"/>
        </w:tabs>
        <w:numPr>
          <w:ilvl w:val="1"/>
          <w:numId w:val="3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130188167</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ectPr>
          <w:pgSz w:w="11900" w:h="16838" w:orient="portrait"/>
          <w:cols w:equalWidth="0" w:num="1">
            <w:col w:w="11240"/>
          </w:cols>
          <w:pgMar w:left="320" w:top="1030" w:right="339" w:bottom="1440" w:gutter="0" w:footer="0" w:header="0"/>
        </w:sectPr>
      </w:pPr>
    </w:p>
    <w:bookmarkStart w:id="322" w:name="page323"/>
    <w:bookmarkEnd w:id="322"/>
    <w:p>
      <w:pPr>
        <w:spacing w:after="0" w:line="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ABRCF and the Trustee have caused this Supplement to be duly executed by their respective officers thereunto duly authorized as of the day and year first above written.</w:t>
      </w:r>
    </w:p>
    <w:p>
      <w:pPr>
        <w:spacing w:after="0" w:line="18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(AESOP) LLC</w:t>
      </w:r>
    </w:p>
    <w:p>
      <w:pPr>
        <w:spacing w:after="0" w:line="200" w:lineRule="exact"/>
        <w:rPr>
          <w:sz w:val="20"/>
          <w:szCs w:val="20"/>
          <w:color w:val="auto"/>
        </w:rPr>
      </w:pPr>
    </w:p>
    <w:p>
      <w:pPr>
        <w:spacing w:after="0" w:line="34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-160020</wp:posOffset>
            </wp:positionV>
            <wp:extent cx="23399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130188167</w:t>
      </w:r>
    </w:p>
    <w:p>
      <w:pPr>
        <w:sectPr>
          <w:pgSz w:w="11900" w:h="16838" w:orient="portrait"/>
          <w:cols w:equalWidth="0" w:num="1">
            <w:col w:w="11220"/>
          </w:cols>
          <w:pgMar w:left="320" w:top="1440" w:right="359" w:bottom="1440" w:gutter="0" w:footer="0" w:header="0"/>
        </w:sectPr>
      </w:pPr>
    </w:p>
    <w:bookmarkStart w:id="323" w:name="page324"/>
    <w:bookmarkEnd w:id="323"/>
    <w:p>
      <w:pPr>
        <w:spacing w:after="0" w:line="251"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spacing w:after="0" w:line="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COMPANY, N.A., as Trustee</w:t>
      </w:r>
    </w:p>
    <w:p>
      <w:pPr>
        <w:spacing w:after="0" w:line="27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Andrew Kolesar</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Andrew Kolesar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Agent</w:t>
      </w:r>
    </w:p>
    <w:p>
      <w:pPr>
        <w:spacing w:after="0" w:line="200" w:lineRule="exact"/>
        <w:rPr>
          <w:sz w:val="20"/>
          <w:szCs w:val="20"/>
          <w:color w:val="auto"/>
        </w:rPr>
      </w:pPr>
    </w:p>
    <w:p>
      <w:pPr>
        <w:spacing w:after="0" w:line="34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ind w:left="7420"/>
        <w:spacing w:after="0" w:line="221" w:lineRule="auto"/>
        <w:rPr>
          <w:sz w:val="20"/>
          <w:szCs w:val="20"/>
          <w:color w:val="auto"/>
        </w:rPr>
      </w:pPr>
      <w:r>
        <w:rPr>
          <w:rFonts w:ascii="Times New Roman" w:cs="Times New Roman" w:eastAsia="Times New Roman" w:hAnsi="Times New Roman"/>
          <w:sz w:val="22"/>
          <w:szCs w:val="22"/>
          <w:color w:val="auto"/>
        </w:rPr>
        <w:t>COMPANY, N.A., as Series 2023-4</w:t>
      </w:r>
    </w:p>
    <w:p>
      <w:pPr>
        <w:ind w:left="7420"/>
        <w:spacing w:after="0"/>
        <w:rPr>
          <w:sz w:val="20"/>
          <w:szCs w:val="20"/>
          <w:color w:val="auto"/>
        </w:rPr>
      </w:pPr>
      <w:r>
        <w:rPr>
          <w:rFonts w:ascii="Times New Roman" w:cs="Times New Roman" w:eastAsia="Times New Roman" w:hAnsi="Times New Roman"/>
          <w:sz w:val="22"/>
          <w:szCs w:val="22"/>
          <w:color w:val="auto"/>
        </w:rPr>
        <w:t>Agent</w:t>
      </w:r>
    </w:p>
    <w:p>
      <w:pPr>
        <w:spacing w:after="0" w:line="2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Andrew Kolesar</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Andrew Kolesar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130188167</w:t>
      </w:r>
    </w:p>
    <w:p>
      <w:pPr>
        <w:sectPr>
          <w:pgSz w:w="11900" w:h="16838" w:orient="portrait"/>
          <w:cols w:equalWidth="0" w:num="1">
            <w:col w:w="10640"/>
          </w:cols>
          <w:pgMar w:left="400" w:top="1440" w:right="859" w:bottom="1440" w:gutter="0" w:footer="0" w:header="0"/>
        </w:sectPr>
      </w:pPr>
    </w:p>
    <w:bookmarkStart w:id="324" w:name="page325"/>
    <w:bookmarkEnd w:id="324"/>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365"/>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SERIES 2023-4 ALLOCATIONS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98"/>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Establishment of Series 2023-4 Collection Account, Series 2023-4 Excess Collection Account and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2023-4 Accrued Interest Account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Allocations with Respect to the Series 2023-4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Payments to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Interest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Principal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2.6.</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Administrator’s Failure to Instruct the Trustee to Make a Deposit, Draw or</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2023-4 Reserve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Multi-Series Letters of Credit and Series 2023-4 Cash Collateral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2023-4 Distribution Account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2023-4 Accounts Permitted Investments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2.11.</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Series 2023-4 Demand Notes Constitute Additional Collateral for Series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2023-4 Senior Notes</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Subordination of the Class B Notes, Class C Notes, Class D Notes and the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Class R 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AMORTIZATION EVENTS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FORM OF SERIES 2023-4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Restricted Global Series 2023-4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4.2.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Temporary Global Series 2023-4 Notes; Permanent Global Series 2023-4</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GENERAL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Optional Repurchase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Ratification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Counterparts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Discharge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 to Rating Agencies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Capitalization of ABRCF</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Required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2023-4 Demand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of Supplement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Noteholder Consent to Certain 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Confidential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8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AMERICAS 130188167</w:t>
      </w:r>
    </w:p>
    <w:p>
      <w:pPr>
        <w:sectPr>
          <w:pgSz w:w="11900" w:h="16838" w:orient="portrait"/>
          <w:cols w:equalWidth="0" w:num="1">
            <w:col w:w="11220"/>
          </w:cols>
          <w:pgMar w:left="340" w:top="126" w:right="339" w:bottom="1440" w:gutter="0" w:footer="0" w:header="0"/>
          <w:type w:val="continuous"/>
        </w:sectPr>
      </w:pPr>
    </w:p>
    <w:bookmarkStart w:id="325" w:name="page326"/>
    <w:bookmarkEnd w:id="325"/>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5.18.</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Further Limitation of Liability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5.19.</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2023-4 Agent</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5.20.</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Force Majeure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5.21.</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Waiver of Jury Trial, etc</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5.22.</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Submission to Jurisdiction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5.23.</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Terms of the Series 2023-4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130188167</w:t>
      </w:r>
    </w:p>
    <w:p>
      <w:pPr>
        <w:sectPr>
          <w:pgSz w:w="11900" w:h="16838" w:orient="portrait"/>
          <w:cols w:equalWidth="0" w:num="1">
            <w:col w:w="11160"/>
          </w:cols>
          <w:pgMar w:left="400" w:top="369" w:right="339" w:bottom="1440" w:gutter="0" w:footer="0" w:header="0"/>
        </w:sectPr>
      </w:pPr>
    </w:p>
    <w:bookmarkStart w:id="326" w:name="page327"/>
    <w:bookmarkEnd w:id="326"/>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BANK OF NEW YORK MELLON TRUST COMPANY, N.A.,</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Trustee and Series 2023-6 Agent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SERIES 2023-6 SUPPLEMENT</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June 10, 2025</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to</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2023-6 5.81% Rental Car Asset Backed Notes, Class A</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2023-6 6.40% Rental Car Asset Backed Notes, Class B</w:t>
      </w:r>
    </w:p>
    <w:p>
      <w:pPr>
        <w:spacing w:after="0" w:line="1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2023-6 7.03% Rental Car Asset Backed Notes, Class C</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2023-6 7.37% Rental Car Asset Backed Notes, Class D</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Series 2023-6 8.969% Rental Car Asset Backed Notes, Class 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130188168</w:t>
      </w:r>
    </w:p>
    <w:p>
      <w:pPr>
        <w:sectPr>
          <w:pgSz w:w="11900" w:h="16838" w:orient="portrait"/>
          <w:cols w:equalWidth="0" w:num="1">
            <w:col w:w="11160"/>
          </w:cols>
          <w:pgMar w:left="400" w:top="122" w:right="339" w:bottom="1440" w:gutter="0" w:footer="0" w:header="0"/>
        </w:sectPr>
      </w:pPr>
    </w:p>
    <w:bookmarkStart w:id="327" w:name="page328"/>
    <w:bookmarkEnd w:id="327"/>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SECOND AMENDED AND RESTATED SERIES 2023-6 SUPPLEMENT, dated as of June 10, 2025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THE BANK OF NEW YORK MELLON TRUST COMPANY, N.A. (formerly known as The Bank of New York), as agent (in such capacity, the “</w:t>
      </w:r>
      <w:r>
        <w:rPr>
          <w:rFonts w:ascii="Times New Roman" w:cs="Times New Roman" w:eastAsia="Times New Roman" w:hAnsi="Times New Roman"/>
          <w:sz w:val="22"/>
          <w:szCs w:val="22"/>
          <w:u w:val="single" w:color="auto"/>
          <w:color w:val="auto"/>
        </w:rPr>
        <w:t>Series 2023-6 Agent</w:t>
      </w:r>
      <w:r>
        <w:rPr>
          <w:rFonts w:ascii="Times New Roman" w:cs="Times New Roman" w:eastAsia="Times New Roman" w:hAnsi="Times New Roman"/>
          <w:sz w:val="22"/>
          <w:szCs w:val="22"/>
          <w:color w:val="auto"/>
        </w:rPr>
        <w:t>”) for the benefit of the Series 2023-6 Noteholders,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WHEREAS, ABRCF and the Trustee entered into the Series 2023-6 Supplement, dated June 1, 2023 (the “</w:t>
      </w:r>
      <w:r>
        <w:rPr>
          <w:rFonts w:ascii="Times New Roman" w:cs="Times New Roman" w:eastAsia="Times New Roman" w:hAnsi="Times New Roman"/>
          <w:sz w:val="22"/>
          <w:szCs w:val="22"/>
          <w:u w:val="single" w:color="auto"/>
          <w:color w:val="auto"/>
        </w:rPr>
        <w:t>Prior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on June 1, 2023, ABRCF issued its Series 2023-6 5.81% Rental Car Asset Backed Notes, Class A, its Series 2023-6 6.40% Rental Car Asset Backed Notes, Class B, its Series 2023-6 7.03% Rental Car Asset Backed Notes, Class C, and its Series 2023-6 8.969% Rental Car Asset Backed Notes, Class R under the Prior Supplement;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and the Trustee entered into the Amended and Restated Series 2023-6 Supplement, dated January 31, 2025 (the “</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in accordance with Section 5.15 of the Prior Supplement, on January 31, 2025, ABRCF issued its Series 2023-6 8.03% Rental Car Asset Backed Notes, Class D and additional Class R Notes (the “</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on the Class D Notes Closing Date and amended and restated the Prior Supplement in its entirety as set out in the Prior A&amp;R Supplement;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 5.7 of the Prior A&amp;R Supplement permits ABRCF to make certain amendments to the Prior A&amp;R Supplement in connection with the re-marketing and/or offering and sale of the Class D Notes, subject, in each case to certain conditions set forth therein;</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desires to re-market and/or sell the Class D Notes on the date hereof (the “</w:t>
      </w: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Sale Date</w:t>
      </w:r>
      <w:r>
        <w:rPr>
          <w:rFonts w:ascii="Times New Roman" w:cs="Times New Roman" w:eastAsia="Times New Roman" w:hAnsi="Times New Roman"/>
          <w:sz w:val="22"/>
          <w:szCs w:val="22"/>
          <w:color w:val="auto"/>
        </w:rPr>
        <w:t>”); and</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in connection with the re-marketing and/or offering and sale of the Class D Notes and in accordance with Section 5.7 of the Prior A&amp;R Supplement, the Prior A&amp;R Supplement is amended and restated on the Class D Notes Sale Date in its entirety as set forth herein;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1030" w:right="33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2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There was created a Series of Notes issued pursuant to the Base Indenture and the Prior Supplement, and such Series of Notes was designated generally as the “Series 2023-6 Rental Car Asset Backed Notes”. The Series 2023-6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On the Class A/B/C Notes Closing Date, ABRCF issued (i) one tranche of Class A Notes designated as the “Series 2023-6 5.81% Rental Car Asset Backed Notes, Class A”, (ii) one tranche of Class B Notes designated as the “Series 2023-6 6.40% Rental Car Asset Backed Notes, Class B”, (iii) one tranche of Class C Notes designated as the “Series 2023-6 7.03% Rental Car Asset Backed Notes, Class C” and (iv) one tranche of Class R Notes designated the “Series 2023-6 8.969% Rental Car Asset Backed Notes, Class R”.</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On the Class D Notes Closing Date, ABRCF issued (i) one tranche of Class D Notes designated as the “Series 2023-6 8.03% Rental Car Asset Backed Notes, Class D” and (ii) the Additional Class R Notes.</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On the Class D Notes Sale Date, ABRCF shall re-market the Class D Notes and such Class D Notes will be designated as the “Series 2023-6 7.37% Rental Car Asset Backed Notes, Class D”.</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The Class A Notes, Class B Notes, Class C Notes, Class D Notes and Class R Notes collectively, constitute the Series 2023-6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w:t>
      </w:r>
    </w:p>
    <w:p>
      <w:pPr>
        <w:spacing w:after="0" w:line="181"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The proceeds from the sale of the Class A Notes, Class B Notes, Class C Notes and Class R Notes were deposited in the Collection Account and were deemed to be Principal Collections, and the proceeds from the sale of the Class D Notes and the Additional Class R Notes were deposited in the Collection Account and were deemed to be Principal Collections.</w:t>
      </w:r>
    </w:p>
    <w:p>
      <w:pPr>
        <w:spacing w:after="0" w:line="15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Series 2023-6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1134" w:right="339" w:bottom="1440" w:gutter="0" w:footer="0" w:header="0"/>
        </w:sectPr>
      </w:pPr>
    </w:p>
    <w:bookmarkStart w:id="329" w:name="page330"/>
    <w:bookmarkEnd w:id="329"/>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jc w:val="both"/>
        <w:ind w:firstLine="1304"/>
        <w:spacing w:after="0" w:line="251" w:lineRule="auto"/>
        <w:tabs>
          <w:tab w:leader="none" w:pos="1821"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2023-6 Notes and not to any other Series of Notes issued by ABRCF. In the event that a term used herein shall be defined both herein and in the Base Indenture, the definition of such term herein shall govern.</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4"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words and phrases shall have the following meanings with respect to the Series 2023-6 Notes and the definitions of such terms are applicable to the singular as well as the plural form of such terms and to the masculine as well as the feminine and neuter genders of such terms: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means Avis Budget Car Rental, LLC.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is defined in the preamble hereto.</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Net Book Value</w:t>
      </w:r>
      <w:r>
        <w:rPr>
          <w:rFonts w:ascii="Times New Roman" w:cs="Times New Roman" w:eastAsia="Times New Roman" w:hAnsi="Times New Roman"/>
          <w:sz w:val="22"/>
          <w:szCs w:val="22"/>
          <w:color w:val="auto"/>
        </w:rPr>
        <w:t>” means, as of any date of determination, with respect to each Adjusted Program Vehicle as of such date, the product of 0.965 and the Net Book Value of such Adjusted Program Vehicle as of such date.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Distribution Date</w:t>
      </w:r>
      <w:r>
        <w:rPr>
          <w:rFonts w:ascii="Times New Roman" w:cs="Times New Roman" w:eastAsia="Times New Roman" w:hAnsi="Times New Roman"/>
          <w:sz w:val="22"/>
          <w:szCs w:val="22"/>
          <w:color w:val="auto"/>
        </w:rPr>
        <w:t>” means each Distribution Date occurring after the later of (i) the Optional Repurchase Distribution Date and (ii) the first Distribution Date occurring during the Series 2023-6 Controlled Amortization Period.</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a Sunday or (b) a day on which banking institutions in New York City or in the city in which the corporate trust office of the Trustee is located are authorized or obligated by law or executive order to close.</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Lease Deficit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Date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Unpaid Demand Note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means a class of the Series 2023-6 Notes, which may be the Class A Notes, the Class B Notes, the Class C Notes, the Class D Notes or the Class R Notes.</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1350" w:right="339" w:bottom="1440" w:gutter="0" w:footer="0" w:header="0"/>
        </w:sectPr>
      </w:pPr>
    </w:p>
    <w:bookmarkStart w:id="330" w:name="page331"/>
    <w:bookmarkEnd w:id="330"/>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Carryover Controlled Amortization Amount</w:t>
      </w:r>
      <w:r>
        <w:rPr>
          <w:rFonts w:ascii="Times New Roman" w:cs="Times New Roman" w:eastAsia="Times New Roman" w:hAnsi="Times New Roman"/>
          <w:sz w:val="22"/>
          <w:szCs w:val="22"/>
          <w:color w:val="auto"/>
        </w:rPr>
        <w:t xml:space="preserve">” means, with respect to any Related Month during the Series 2023-6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2023-6 Controlled Amortization Period, the Class A Carryover Controlled Amortization Amount shall be zero.</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Amortization Amount</w:t>
      </w:r>
      <w:r>
        <w:rPr>
          <w:rFonts w:ascii="Times New Roman" w:cs="Times New Roman" w:eastAsia="Times New Roman" w:hAnsi="Times New Roman"/>
          <w:sz w:val="22"/>
          <w:szCs w:val="22"/>
          <w:color w:val="auto"/>
        </w:rPr>
        <w:t>” means, with respect to any Related Month during the Series 2023-6 Controlled Amortization Period, $69,432,000.00.</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Distribution Amount</w:t>
      </w:r>
      <w:r>
        <w:rPr>
          <w:rFonts w:ascii="Times New Roman" w:cs="Times New Roman" w:eastAsia="Times New Roman" w:hAnsi="Times New Roman"/>
          <w:sz w:val="22"/>
          <w:szCs w:val="22"/>
          <w:color w:val="auto"/>
        </w:rPr>
        <w:t>” means, with respect to any Related Month during the Series 2023-6 Controlled Amortization Period, an amount equal to the sum of the Class A Controlled Amortization Amount and any Class A Carryover Controlled Amortization Amount for such Related Month.</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Initial Invested Amount</w:t>
      </w:r>
      <w:r>
        <w:rPr>
          <w:rFonts w:ascii="Times New Roman" w:cs="Times New Roman" w:eastAsia="Times New Roman" w:hAnsi="Times New Roman"/>
          <w:sz w:val="22"/>
          <w:szCs w:val="22"/>
          <w:color w:val="auto"/>
        </w:rPr>
        <w:t>” means the aggregate initial principal amount of the Class A Notes, which is $416,592,000.00.</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Invested Amount</w:t>
      </w:r>
      <w:r>
        <w:rPr>
          <w:rFonts w:ascii="Times New Roman" w:cs="Times New Roman" w:eastAsia="Times New Roman" w:hAnsi="Times New Roman"/>
          <w:sz w:val="22"/>
          <w:szCs w:val="22"/>
          <w:color w:val="auto"/>
        </w:rPr>
        <w:t xml:space="preserve">” means, when used with respect to any date, an amount equal to (a) the Class A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A Noteholders on or prior to such date.</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means, with respect to (i) the initial Series 2023-6 Interest Period, an amount equal to $1,277,433.08 and (ii) any other Series 2023-6 Interest Period, an amount equal to the product of (A) one-twelfth of the Class A Note Rate and (B) the Class A Invested Amount on the first day of such Series 2023-6 Interest Period, after giving effect to any principal payments made on such date.</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w:t>
      </w:r>
      <w:r>
        <w:rPr>
          <w:rFonts w:ascii="Times New Roman" w:cs="Times New Roman" w:eastAsia="Times New Roman" w:hAnsi="Times New Roman"/>
          <w:sz w:val="22"/>
          <w:szCs w:val="22"/>
          <w:color w:val="auto"/>
        </w:rPr>
        <w:t xml:space="preserve">” means any one of the Series 2023-6 5.81% Rental Car Asset Backed Notes, Class A,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 Definitive Class A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 Rate</w:t>
      </w:r>
      <w:r>
        <w:rPr>
          <w:rFonts w:ascii="Times New Roman" w:cs="Times New Roman" w:eastAsia="Times New Roman" w:hAnsi="Times New Roman"/>
          <w:sz w:val="22"/>
          <w:szCs w:val="22"/>
          <w:color w:val="auto"/>
        </w:rPr>
        <w:t>” means 5.81% per annum.</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Noteholder</w:t>
      </w:r>
      <w:r>
        <w:rPr>
          <w:rFonts w:ascii="Times New Roman" w:cs="Times New Roman" w:eastAsia="Times New Roman" w:hAnsi="Times New Roman"/>
          <w:sz w:val="22"/>
          <w:szCs w:val="22"/>
          <w:color w:val="auto"/>
        </w:rPr>
        <w:t>” means the Person in whose name a Class A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Shortfall</w:t>
      </w:r>
      <w:r>
        <w:rPr>
          <w:rFonts w:ascii="Times New Roman" w:cs="Times New Roman" w:eastAsia="Times New Roman" w:hAnsi="Times New Roman"/>
          <w:sz w:val="22"/>
          <w:szCs w:val="22"/>
          <w:color w:val="auto"/>
        </w:rPr>
        <w:t>” has the meaning set forth in Section 2.3(g)(i).</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Applicable Multi-Series L/C Amount</w:t>
      </w:r>
      <w:r>
        <w:rPr>
          <w:rFonts w:ascii="Times New Roman" w:cs="Times New Roman" w:eastAsia="Times New Roman" w:hAnsi="Times New Roman"/>
          <w:sz w:val="22"/>
          <w:szCs w:val="22"/>
          <w:color w:val="auto"/>
        </w:rPr>
        <w:t xml:space="preserve">” means, as of any date of determination, an amount equal to the sum, for each Multi-Series Letter of Credit, of (1) the aggregate amount allocable to the Class A/B/C Notes and available to be drawn on such date under 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A/B/C Required Liquidity Amount divided by “Required Liquidity Amount” for each applicable Series for which such Multi-Series Letter of Credit is providing credit enhancement.</w:t>
      </w: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ectPr>
          <w:pgSz w:w="11900" w:h="16838" w:orient="portrait"/>
          <w:cols w:equalWidth="0" w:num="1">
            <w:col w:w="11240"/>
          </w:cols>
          <w:pgMar w:left="320" w:top="1030" w:right="339" w:bottom="1440" w:gutter="0" w:footer="0" w:header="0"/>
        </w:sectPr>
      </w:pPr>
    </w:p>
    <w:bookmarkStart w:id="331" w:name="page332"/>
    <w:bookmarkEnd w:id="331"/>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Cash Collateral Account Amount</w:t>
      </w:r>
      <w:r>
        <w:rPr>
          <w:rFonts w:ascii="Times New Roman" w:cs="Times New Roman" w:eastAsia="Times New Roman" w:hAnsi="Times New Roman"/>
          <w:sz w:val="22"/>
          <w:szCs w:val="22"/>
          <w:color w:val="auto"/>
        </w:rPr>
        <w:t>” means, as of any date of determination, the amount on deposit in the Class A/B/C Cash Collateral Account (after giving effect to any deposits thereto and withdrawals and releases therefrom on such date).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Reserve Account Amount</w:t>
      </w:r>
      <w:r>
        <w:rPr>
          <w:rFonts w:ascii="Times New Roman" w:cs="Times New Roman" w:eastAsia="Times New Roman" w:hAnsi="Times New Roman"/>
          <w:sz w:val="22"/>
          <w:szCs w:val="22"/>
          <w:color w:val="auto"/>
        </w:rPr>
        <w:t>” means, as of any date of determination, the amount on deposit in the Class A/B/C Reserve Account (after giving effect to any deposits thereto and withdrawals and releases therefrom on such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w:t>
      </w:r>
      <w:r>
        <w:rPr>
          <w:rFonts w:ascii="Times New Roman" w:cs="Times New Roman" w:eastAsia="Times New Roman" w:hAnsi="Times New Roman"/>
          <w:sz w:val="22"/>
          <w:szCs w:val="22"/>
          <w:color w:val="auto"/>
        </w:rPr>
        <w:t>” is defined in Section 2.8(h).</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Collateral</w:t>
      </w:r>
      <w:r>
        <w:rPr>
          <w:rFonts w:ascii="Times New Roman" w:cs="Times New Roman" w:eastAsia="Times New Roman" w:hAnsi="Times New Roman"/>
          <w:sz w:val="22"/>
          <w:szCs w:val="22"/>
          <w:color w:val="auto"/>
        </w:rPr>
        <w:t>” is defined in Section 2.8(a).</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Surplus</w:t>
      </w:r>
      <w:r>
        <w:rPr>
          <w:rFonts w:ascii="Times New Roman" w:cs="Times New Roman" w:eastAsia="Times New Roman" w:hAnsi="Times New Roman"/>
          <w:sz w:val="22"/>
          <w:szCs w:val="22"/>
          <w:color w:val="auto"/>
        </w:rPr>
        <w:t xml:space="preserve">” 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2023-6 Reserve Accounts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A/B/C Cash Collateral Account Surplus shall mean the excess, if any, of (x) the Class A/B/C Available Cash Collateral Account Amount over (y) the Series 2023-6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w:t>
      </w:r>
    </w:p>
    <w:p>
      <w:pPr>
        <w:spacing w:after="0" w:line="18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Amount</w:t>
      </w:r>
      <w:r>
        <w:rPr>
          <w:rFonts w:ascii="Times New Roman" w:cs="Times New Roman" w:eastAsia="Times New Roman" w:hAnsi="Times New Roman"/>
          <w:sz w:val="22"/>
          <w:szCs w:val="22"/>
          <w:color w:val="auto"/>
        </w:rPr>
        <w:t>” 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2023-6 Collection Account (not including amounts allocable to the Series 2023-6 Accrued Interest Account) and the Series 2023-6 Excess Collection Account as of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Deficiency</w:t>
      </w:r>
      <w:r>
        <w:rPr>
          <w:rFonts w:ascii="Times New Roman" w:cs="Times New Roman" w:eastAsia="Times New Roman" w:hAnsi="Times New Roman"/>
          <w:sz w:val="22"/>
          <w:szCs w:val="22"/>
          <w:color w:val="auto"/>
        </w:rPr>
        <w:t>” means, on any date of determination, the amount by which the Class A/B/C Enhancement Amount is less than the Class A/B/C Required Enhancement Amount as of such date.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and the Class C Invested Amount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240"/>
          </w:cols>
          <w:pgMar w:left="320" w:top="1030" w:right="339" w:bottom="1440" w:gutter="0" w:footer="0" w:header="0"/>
        </w:sectPr>
      </w:pPr>
    </w:p>
    <w:bookmarkStart w:id="332" w:name="page333"/>
    <w:bookmarkEnd w:id="332"/>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Amount</w:t>
      </w:r>
      <w:r>
        <w:rPr>
          <w:rFonts w:ascii="Times New Roman" w:cs="Times New Roman" w:eastAsia="Times New Roman" w:hAnsi="Times New Roman"/>
          <w:sz w:val="22"/>
          <w:szCs w:val="22"/>
          <w:color w:val="auto"/>
        </w:rPr>
        <w:t>” 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2023-6 Demand Notes on such date.</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Liquidity Amount</w:t>
      </w:r>
      <w:r>
        <w:rPr>
          <w:rFonts w:ascii="Times New Roman" w:cs="Times New Roman" w:eastAsia="Times New Roman" w:hAnsi="Times New Roman"/>
          <w:sz w:val="22"/>
          <w:szCs w:val="22"/>
          <w:color w:val="auto"/>
        </w:rPr>
        <w:t>” 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Liquidity Amount</w:t>
      </w:r>
      <w:r>
        <w:rPr>
          <w:rFonts w:ascii="Times New Roman" w:cs="Times New Roman" w:eastAsia="Times New Roman" w:hAnsi="Times New Roman"/>
          <w:sz w:val="22"/>
          <w:szCs w:val="22"/>
          <w:color w:val="auto"/>
        </w:rPr>
        <w:t>” means, as of any date of determination, the sum of (a) the Class A/B/C Letter of Credit Liquidity Amount on such date and (b) the Class A/B/C Available Reserve Account Amount on such date.</w:t>
      </w:r>
    </w:p>
    <w:p>
      <w:pPr>
        <w:spacing w:after="0" w:line="17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Maximum Amounts</w:t>
      </w:r>
      <w:r>
        <w:rPr>
          <w:rFonts w:ascii="Times New Roman" w:cs="Times New Roman" w:eastAsia="Times New Roman" w:hAnsi="Times New Roman"/>
          <w:sz w:val="21"/>
          <w:szCs w:val="21"/>
          <w:color w:val="auto"/>
        </w:rPr>
        <w:t>” means, collectively, the Series 2023-6 Maximum Jaguar Amount, Series 2023-6 Maximum Tesla Amount, the Series 2023-6 Maximum Land Rover Amount, the Series 2023-6 Maximum Mitsubishi Amount, the Series 2023-6 Maximum Isuzu Amount, the Series 2023-6 Maximum Subaru Amount, the Series 2023-6 Maximum Hyundai Amount, the Series 2023-6 Maximum Kia Amount, the Series 2023-6 Maximum Suzuki Amount, the Series 2023-6 Maximum Specified States Amount (if applicable), the Series 2023-6 Maximum Non-Perfected Vehicle Amount, the Series 2023-6 Maximum Non-Eligible Manufacturer Amount and the Series 2023-6 Maximum Medium/Heavy Duty Truck Amount.</w:t>
      </w:r>
    </w:p>
    <w:p>
      <w:pPr>
        <w:spacing w:after="0" w:line="16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40"/>
          </w:cols>
          <w:pgMar w:left="320" w:top="1030" w:right="339" w:bottom="1440" w:gutter="0" w:footer="0" w:header="0"/>
        </w:sectPr>
      </w:pPr>
    </w:p>
    <w:bookmarkStart w:id="333" w:name="page334"/>
    <w:bookmarkEnd w:id="333"/>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Notes Closing Date</w:t>
      </w:r>
      <w:r>
        <w:rPr>
          <w:rFonts w:ascii="Times New Roman" w:cs="Times New Roman" w:eastAsia="Times New Roman" w:hAnsi="Times New Roman"/>
          <w:sz w:val="22"/>
          <w:szCs w:val="22"/>
          <w:color w:val="auto"/>
        </w:rPr>
        <w:t>” means June 1, 2023.</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Overcollateralization Amount</w:t>
      </w:r>
      <w:r>
        <w:rPr>
          <w:rFonts w:ascii="Times New Roman" w:cs="Times New Roman" w:eastAsia="Times New Roman" w:hAnsi="Times New Roman"/>
          <w:sz w:val="22"/>
          <w:szCs w:val="22"/>
          <w:color w:val="auto"/>
        </w:rPr>
        <w:t>” means, the excess, if any of (x) the Series 2023-6 AESOP I Operating Lease Loan Agreement Borrowing Base as of such date over (y) the sum of the Class A Invested Amount, the Class B Invested Amount and the Class C Invested Amount, in each case, as of such date.</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Percentage</w:t>
      </w:r>
      <w:r>
        <w:rPr>
          <w:rFonts w:ascii="Times New Roman" w:cs="Times New Roman" w:eastAsia="Times New Roman" w:hAnsi="Times New Roman"/>
          <w:sz w:val="22"/>
          <w:szCs w:val="22"/>
          <w:color w:val="auto"/>
        </w:rPr>
        <w:t>” 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2023-6 Invested Amount and the Class D Required Overcollateralization Amount and (ii) as of any other date of determination, 0%.</w:t>
      </w:r>
    </w:p>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xml:space="preserve">” 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2023-6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bl>
    <w:p>
      <w:pPr>
        <w:sectPr>
          <w:pgSz w:w="11900" w:h="16838" w:orient="portrait"/>
          <w:cols w:equalWidth="0" w:num="1">
            <w:col w:w="11240"/>
          </w:cols>
          <w:pgMar w:left="320" w:top="1030" w:right="339" w:bottom="1440" w:gutter="0" w:footer="0" w:header="0"/>
        </w:sectPr>
      </w:pPr>
    </w:p>
    <w:bookmarkStart w:id="334" w:name="page335"/>
    <w:bookmarkEnd w:id="334"/>
    <w:p>
      <w:pPr>
        <w:jc w:val="both"/>
        <w:spacing w:after="0" w:line="253" w:lineRule="auto"/>
        <w:rPr>
          <w:sz w:val="20"/>
          <w:szCs w:val="20"/>
          <w:color w:val="auto"/>
        </w:rPr>
      </w:pPr>
      <w:r>
        <w:rPr>
          <w:rFonts w:ascii="Times New Roman" w:cs="Times New Roman" w:eastAsia="Times New Roman" w:hAnsi="Times New Roman"/>
          <w:sz w:val="22"/>
          <w:szCs w:val="22"/>
          <w:color w:val="auto"/>
        </w:rPr>
        <w:t>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2023-6 AESOP I Operating Lease Loan Agreement Borrowing Base on such date and (2) the lesser of (a) the Class A/B/C Liquidity Amount on such date and (b) the Class A/B/C Required Liquidity Amount on such date.</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Pro Rata Share</w:t>
      </w:r>
      <w:r>
        <w:rPr>
          <w:rFonts w:ascii="Times New Roman" w:cs="Times New Roman" w:eastAsia="Times New Roman" w:hAnsi="Times New Roman"/>
          <w:sz w:val="21"/>
          <w:szCs w:val="21"/>
          <w:color w:val="auto"/>
        </w:rPr>
        <w:t xml:space="preserve">” 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available amount allocated to the Class A/B/C Notes under all Multi-Series Letters of Credit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calculation shall not in any manner reduce the undersigned’s actual liability in respect of any failure to pay any demand under the Multi-Series Letter of Credit).</w:t>
      </w:r>
    </w:p>
    <w:p>
      <w:pPr>
        <w:spacing w:after="0" w:line="17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Enhancement Amount</w:t>
      </w:r>
      <w:r>
        <w:rPr>
          <w:rFonts w:ascii="Times New Roman" w:cs="Times New Roman" w:eastAsia="Times New Roman" w:hAnsi="Times New Roman"/>
          <w:sz w:val="22"/>
          <w:szCs w:val="22"/>
          <w:color w:val="auto"/>
        </w:rPr>
        <w:t>” means, as of any date of determination, the sum, without duplication, of (i) the Series 2023-6 Moody’s Required Enhancement Amount as of such date, (ii) the Series 2023-6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2023-6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2023-6 AESOP I Operating Lease Vehicle Percentage as of the immediately preceding Business Day of the excess, if any, of the aggregate Net Book Value of all Vehicles manufactured by Subaru and leased under the Leases as of such date over the Series 2023-6 Maximum Subaru Amount as of such date, (v) the Series 2023-6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2023-6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2023-6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2023-6 AESOP I Operating Lease</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bl>
    <w:p>
      <w:pPr>
        <w:sectPr>
          <w:pgSz w:w="11900" w:h="16838" w:orient="portrait"/>
          <w:cols w:equalWidth="0" w:num="1">
            <w:col w:w="11240"/>
          </w:cols>
          <w:pgMar w:left="320" w:top="1030" w:right="339" w:bottom="1440" w:gutter="0" w:footer="0" w:header="0"/>
        </w:sectPr>
      </w:pPr>
    </w:p>
    <w:bookmarkStart w:id="335" w:name="page336"/>
    <w:bookmarkEnd w:id="335"/>
    <w:p>
      <w:pPr>
        <w:jc w:val="both"/>
        <w:spacing w:after="0" w:line="247" w:lineRule="auto"/>
        <w:rPr>
          <w:sz w:val="20"/>
          <w:szCs w:val="20"/>
          <w:color w:val="auto"/>
        </w:rPr>
      </w:pPr>
      <w:r>
        <w:rPr>
          <w:rFonts w:ascii="Times New Roman" w:cs="Times New Roman" w:eastAsia="Times New Roman" w:hAnsi="Times New Roman"/>
          <w:sz w:val="22"/>
          <w:szCs w:val="22"/>
          <w:color w:val="auto"/>
        </w:rPr>
        <w:t>Vehicle Percentage as of the immediately preceding Business Day of the excess, if any, of the aggregate Net Book Value of all Vehicles manufactured by Tesla and leased under the Leases as of such date over the Class A/B/C Maximum Tesla Amount as of such date, (ix) the Series 2023-6 AESOP I Operating Lease Vehicle Percentage as of the immediately preceding Business Day of the excess, if any, of the aggregate Net Book Value of all Vehicles manufactured by Land Rover and leased under the Leases as of such date over the Class A/B/C Maximum Land Rover Amount as of such date, (x) the Series 2023-6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2023-6 AESOP I Operating Lease 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2023-6 Maximum Non-Perfected Vehicle Amount (as applicable) as of such date, (xii) the Series 2023-6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2023-6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spacing w:after="0" w:line="19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Liquidity Amount</w:t>
      </w:r>
      <w:r>
        <w:rPr>
          <w:rFonts w:ascii="Times New Roman" w:cs="Times New Roman" w:eastAsia="Times New Roman" w:hAnsi="Times New Roman"/>
          <w:sz w:val="22"/>
          <w:szCs w:val="22"/>
          <w:color w:val="auto"/>
        </w:rPr>
        <w:t>” means, as of any date of determination, an amount equal to the product of 3.75% and the Class A/B/C Senior Invested Amount as of such date.</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Required Overcollateralization Amount</w:t>
      </w:r>
      <w:r>
        <w:rPr>
          <w:rFonts w:ascii="Times New Roman" w:cs="Times New Roman" w:eastAsia="Times New Roman" w:hAnsi="Times New Roman"/>
          <w:sz w:val="21"/>
          <w:szCs w:val="21"/>
          <w:color w:val="auto"/>
        </w:rPr>
        <w:t>” means, as of any date of determination, the excess, if any, of the Class A/B/C Required Enhancement Amount over the sum of (i) the Class A/B/C Letter of Credit Amount as of such date,</w:t>
      </w:r>
    </w:p>
    <w:p>
      <w:pPr>
        <w:spacing w:after="0" w:line="2" w:lineRule="exact"/>
        <w:rPr>
          <w:sz w:val="20"/>
          <w:szCs w:val="20"/>
          <w:color w:val="auto"/>
        </w:rPr>
      </w:pPr>
    </w:p>
    <w:p>
      <w:pPr>
        <w:jc w:val="both"/>
        <w:ind w:firstLine="8"/>
        <w:spacing w:after="0" w:line="251" w:lineRule="auto"/>
        <w:tabs>
          <w:tab w:leader="none" w:pos="325" w:val="left"/>
        </w:tabs>
        <w:numPr>
          <w:ilvl w:val="0"/>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A/B/C Available Reserve Account Amount on such date and (iii) the amount of cash and Permitted Investments on deposit in the Series 2023-6 Collection Account (not including amounts allocable to the Series 2023-6 Accrued Interest Account) and the Series 2023-6 Excess Collection Account on such date.</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Reserve Account Amount</w:t>
      </w:r>
      <w:r>
        <w:rPr>
          <w:rFonts w:ascii="Times New Roman" w:cs="Times New Roman" w:eastAsia="Times New Roman" w:hAnsi="Times New Roman"/>
          <w:sz w:val="22"/>
          <w:szCs w:val="22"/>
          <w:color w:val="auto"/>
        </w:rPr>
        <w:t>” 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2023-6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2023-6 Notes) as of such date.</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bl>
    <w:p>
      <w:pPr>
        <w:sectPr>
          <w:pgSz w:w="11900" w:h="16838" w:orient="portrait"/>
          <w:cols w:equalWidth="0" w:num="1">
            <w:col w:w="11240"/>
          </w:cols>
          <w:pgMar w:left="320" w:top="1030" w:right="339" w:bottom="1440" w:gutter="0" w:footer="0" w:header="0"/>
        </w:sectPr>
      </w:pPr>
    </w:p>
    <w:bookmarkStart w:id="336" w:name="page337"/>
    <w:bookmarkEnd w:id="33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w:t>
      </w:r>
      <w:r>
        <w:rPr>
          <w:rFonts w:ascii="Times New Roman" w:cs="Times New Roman" w:eastAsia="Times New Roman" w:hAnsi="Times New Roman"/>
          <w:sz w:val="22"/>
          <w:szCs w:val="22"/>
          <w:color w:val="auto"/>
        </w:rPr>
        <w:t>” is defined in Section 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Collateral</w:t>
      </w:r>
      <w:r>
        <w:rPr>
          <w:rFonts w:ascii="Times New Roman" w:cs="Times New Roman" w:eastAsia="Times New Roman" w:hAnsi="Times New Roman"/>
          <w:sz w:val="22"/>
          <w:szCs w:val="22"/>
          <w:color w:val="auto"/>
        </w:rPr>
        <w:t>” is defined in Section 2.7(d).</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means, with respect to any Distribution Date, the excess, if any, of the Class A/B/C Available Reserve Account Amount over the Class A/B/C Required Reserve Account Amount on such Distribution Date.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Carryover Controlled Amortization Amount</w:t>
      </w:r>
      <w:r>
        <w:rPr>
          <w:rFonts w:ascii="Times New Roman" w:cs="Times New Roman" w:eastAsia="Times New Roman" w:hAnsi="Times New Roman"/>
          <w:sz w:val="22"/>
          <w:szCs w:val="22"/>
          <w:color w:val="auto"/>
        </w:rPr>
        <w:t xml:space="preserve">” means, with respect to any Related Month during the Series 2023-6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2023-6 Controlled Amortization Period, the Class B Carryover Controlled Amortization Amount shall be zero.</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Amortization Amount</w:t>
      </w:r>
      <w:r>
        <w:rPr>
          <w:rFonts w:ascii="Times New Roman" w:cs="Times New Roman" w:eastAsia="Times New Roman" w:hAnsi="Times New Roman"/>
          <w:sz w:val="22"/>
          <w:szCs w:val="22"/>
          <w:color w:val="auto"/>
        </w:rPr>
        <w:t>” means, (i) with respect to any Related Month during the Series 2023-6 Controlled Amortization Period other than the Related Month immediately preceding the Series 2023-6 Expected Final Distribution Date, $11,089,833.33 and (ii) with respect to the Related Month immediately preceding the Series 2023-6 Expected Final Distribution Date, $11,089,833.35.</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Distribution Amount</w:t>
      </w:r>
      <w:r>
        <w:rPr>
          <w:rFonts w:ascii="Times New Roman" w:cs="Times New Roman" w:eastAsia="Times New Roman" w:hAnsi="Times New Roman"/>
          <w:sz w:val="22"/>
          <w:szCs w:val="22"/>
          <w:color w:val="auto"/>
        </w:rPr>
        <w:t>” means, with respect to any Related Month during the Series 2023-6 Controlled Amortization Period, an amount equal to the sum of the Class B Controlled Amortization Amount and any Class B Carryover Controlled Amortization Amount for such Related Month.</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Initial Invested Amount</w:t>
      </w:r>
      <w:r>
        <w:rPr>
          <w:rFonts w:ascii="Times New Roman" w:cs="Times New Roman" w:eastAsia="Times New Roman" w:hAnsi="Times New Roman"/>
          <w:sz w:val="22"/>
          <w:szCs w:val="22"/>
          <w:color w:val="auto"/>
        </w:rPr>
        <w:t>” means the aggregate initial principal amount of the Class B Notes, which is $66,539,000.00.</w:t>
      </w:r>
    </w:p>
    <w:p>
      <w:pPr>
        <w:spacing w:after="0" w:line="14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Invested Amount</w:t>
      </w:r>
      <w:r>
        <w:rPr>
          <w:rFonts w:ascii="Times New Roman" w:cs="Times New Roman" w:eastAsia="Times New Roman" w:hAnsi="Times New Roman"/>
          <w:sz w:val="22"/>
          <w:szCs w:val="22"/>
          <w:color w:val="auto"/>
        </w:rPr>
        <w:t xml:space="preserve">” means, when used with respect to any date, an amount equal to (a) the Class B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B Noteholders on or prior to such date.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Monthly Interest</w:t>
      </w:r>
      <w:r>
        <w:rPr>
          <w:rFonts w:ascii="Times New Roman" w:cs="Times New Roman" w:eastAsia="Times New Roman" w:hAnsi="Times New Roman"/>
          <w:sz w:val="22"/>
          <w:szCs w:val="22"/>
          <w:color w:val="auto"/>
        </w:rPr>
        <w:t>” means, with respect to (i) the initial Series 2023-6 Interest Period, an amount equal to $224,753.96 and (ii) any other Series 2023-6 Interest Period, an amount equal to the product of (A) one-twelfth of the Class B Note Rate and (B) the Class B Invested Amount on the first day of such Series 2023-6 Interest Period, after giving effect to any principal payments made on such date.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w:t>
      </w:r>
      <w:r>
        <w:rPr>
          <w:rFonts w:ascii="Times New Roman" w:cs="Times New Roman" w:eastAsia="Times New Roman" w:hAnsi="Times New Roman"/>
          <w:sz w:val="22"/>
          <w:szCs w:val="22"/>
          <w:color w:val="auto"/>
        </w:rPr>
        <w:t xml:space="preserve">” means any one of the Series 2023-6 6.40% Rental Car Asset Backed Notes, Class B,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Definitive Class B Notes shall have such insertions and deletions as are necessary to give effect to the provisions of Section 2.18 of the Base Indenture.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Rate</w:t>
      </w:r>
      <w:r>
        <w:rPr>
          <w:rFonts w:ascii="Times New Roman" w:cs="Times New Roman" w:eastAsia="Times New Roman" w:hAnsi="Times New Roman"/>
          <w:sz w:val="22"/>
          <w:szCs w:val="22"/>
          <w:color w:val="auto"/>
        </w:rPr>
        <w:t>” means 6.40%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bl>
    <w:p>
      <w:pPr>
        <w:sectPr>
          <w:pgSz w:w="11900" w:h="16838" w:orient="portrait"/>
          <w:cols w:equalWidth="0" w:num="1">
            <w:col w:w="11240"/>
          </w:cols>
          <w:pgMar w:left="320" w:top="1030" w:right="339" w:bottom="1440" w:gutter="0" w:footer="0" w:header="0"/>
        </w:sectPr>
      </w:pPr>
    </w:p>
    <w:bookmarkStart w:id="337" w:name="page338"/>
    <w:bookmarkEnd w:id="33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w:t>
      </w:r>
      <w:r>
        <w:rPr>
          <w:rFonts w:ascii="Times New Roman" w:cs="Times New Roman" w:eastAsia="Times New Roman" w:hAnsi="Times New Roman"/>
          <w:sz w:val="22"/>
          <w:szCs w:val="22"/>
          <w:color w:val="auto"/>
        </w:rPr>
        <w:t>” means the Person in whose name a Class B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has the meaning set forth in Section 2.3(g)(ii).</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Carryover Controlled Amortization Amount</w:t>
      </w:r>
      <w:r>
        <w:rPr>
          <w:rFonts w:ascii="Times New Roman" w:cs="Times New Roman" w:eastAsia="Times New Roman" w:hAnsi="Times New Roman"/>
          <w:sz w:val="22"/>
          <w:szCs w:val="22"/>
          <w:color w:val="auto"/>
        </w:rPr>
        <w:t xml:space="preserve">” means, with respect to any Related Month during the Series 2023-6 Controlled Amortization Period, the amount, if any, by which the portion of the Monthly Total Principal Allocation paid to the Class C Noteholders pursuant to Section 2.5(f)(iii) for the previous Related Month was less than the Class C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2023-6 Controlled Amortization Period, the Class C Carryover Controlled Amortization Amount shall be zero.</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Amortization Amount</w:t>
      </w:r>
      <w:r>
        <w:rPr>
          <w:rFonts w:ascii="Times New Roman" w:cs="Times New Roman" w:eastAsia="Times New Roman" w:hAnsi="Times New Roman"/>
          <w:sz w:val="22"/>
          <w:szCs w:val="22"/>
          <w:color w:val="auto"/>
        </w:rPr>
        <w:t>” means, (i) with respect to any Related Month during the Series 2023-6 Controlled Amortization Period other than the Related Month immediately preceding the Series 2023-6 Expected Final Distribution Date, $7,144,833.33 and (ii) with respect to the Related Month immediately preceding the Series 2023-6 Expected Final Distribution Date, $7,144,833.35.</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Distribution Amount</w:t>
      </w:r>
      <w:r>
        <w:rPr>
          <w:rFonts w:ascii="Times New Roman" w:cs="Times New Roman" w:eastAsia="Times New Roman" w:hAnsi="Times New Roman"/>
          <w:sz w:val="22"/>
          <w:szCs w:val="22"/>
          <w:color w:val="auto"/>
        </w:rPr>
        <w:t>” means, with respect to any Related Month during the Series 2023-6 Controlled Amortization Period, an amount equal to the sum of the Class C Controlled Amortization Amount and any Class C Carryover Controlled Amortization Amount for such Related Month.</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Initial Invested Amount</w:t>
      </w:r>
      <w:r>
        <w:rPr>
          <w:rFonts w:ascii="Times New Roman" w:cs="Times New Roman" w:eastAsia="Times New Roman" w:hAnsi="Times New Roman"/>
          <w:sz w:val="22"/>
          <w:szCs w:val="22"/>
          <w:color w:val="auto"/>
        </w:rPr>
        <w:t>” means the aggregate initial principal amount of the Class C Notes, which is $42,869,000.00.</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Invested Amount</w:t>
      </w:r>
      <w:r>
        <w:rPr>
          <w:rFonts w:ascii="Times New Roman" w:cs="Times New Roman" w:eastAsia="Times New Roman" w:hAnsi="Times New Roman"/>
          <w:sz w:val="22"/>
          <w:szCs w:val="22"/>
          <w:color w:val="auto"/>
        </w:rPr>
        <w:t xml:space="preserve">” means, when used with respect to any date, an amount equal to (a) the Class C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C Noteholders on or prior to such date.</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w:t>
      </w:r>
      <w:r>
        <w:rPr>
          <w:rFonts w:ascii="Times New Roman" w:cs="Times New Roman" w:eastAsia="Times New Roman" w:hAnsi="Times New Roman"/>
          <w:sz w:val="22"/>
          <w:szCs w:val="22"/>
          <w:color w:val="auto"/>
        </w:rPr>
        <w:t>” means, (A) for so long as ABRCF owns 100% of the Class C Notes, $0 and (B) if ABRCF owns less than 100% of the Class C Notes, with respect to (i) the initial Series 2023-6 Interest Period, an amount equal to $159,055.90 and (ii) any other Series 2023-6 Interest Period, an amount equal to the product of (A) one-twelfth of the Class C Note Rate and (B) the Class C Invested Amount on the first day of such Series 2023-6 Interest Period, after giving effect to any principal payments made on such date.</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w:t>
      </w:r>
      <w:r>
        <w:rPr>
          <w:rFonts w:ascii="Times New Roman" w:cs="Times New Roman" w:eastAsia="Times New Roman" w:hAnsi="Times New Roman"/>
          <w:sz w:val="22"/>
          <w:szCs w:val="22"/>
          <w:color w:val="auto"/>
        </w:rPr>
        <w:t xml:space="preserve">” means any one of the Series 2023-6 7.03% Rental Car Asset Backed Notes, Class C,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Definitive Class C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means 7.03%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the Person in whose name a Class C Note is registered in the Note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ectPr>
          <w:pgSz w:w="11900" w:h="16838" w:orient="portrait"/>
          <w:cols w:equalWidth="0" w:num="1">
            <w:col w:w="11240"/>
          </w:cols>
          <w:pgMar w:left="320" w:top="1030" w:right="339" w:bottom="1440" w:gutter="0" w:footer="0" w:header="0"/>
        </w:sectPr>
      </w:pPr>
    </w:p>
    <w:bookmarkStart w:id="338" w:name="page339"/>
    <w:bookmarkEnd w:id="33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has the meaning set forth in Section 2.3(g)(iii).</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Applicable Multi-Series L/C Amount</w:t>
      </w:r>
      <w:r>
        <w:rPr>
          <w:rFonts w:ascii="Times New Roman" w:cs="Times New Roman" w:eastAsia="Times New Roman" w:hAnsi="Times New Roman"/>
          <w:sz w:val="22"/>
          <w:szCs w:val="22"/>
          <w:color w:val="auto"/>
        </w:rPr>
        <w:t xml:space="preserve">” means, as of any date of determination, an amount equal to the sum, for each Multi-Series Letter of Credit, of (1) the aggregate amount allocable to the Class D Notes and available to be drawn on such date under 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D Required Liquidity Amount divided by “Required Liquidity Amount” for each applicable Series for which such Multi-Series Letter of Credit is providing credit enhancement.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Cash Collateral Account Amount</w:t>
      </w:r>
      <w:r>
        <w:rPr>
          <w:rFonts w:ascii="Times New Roman" w:cs="Times New Roman" w:eastAsia="Times New Roman" w:hAnsi="Times New Roman"/>
          <w:sz w:val="22"/>
          <w:szCs w:val="22"/>
          <w:color w:val="auto"/>
        </w:rPr>
        <w:t>” means, as of any date of determination, the amount on deposit in the Class D Cash Collateral Account (after giving effect to any deposits thereto and withdrawals and releases therefrom on such date).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Reserve Account Amount</w:t>
      </w:r>
      <w:r>
        <w:rPr>
          <w:rFonts w:ascii="Times New Roman" w:cs="Times New Roman" w:eastAsia="Times New Roman" w:hAnsi="Times New Roman"/>
          <w:sz w:val="22"/>
          <w:szCs w:val="22"/>
          <w:color w:val="auto"/>
        </w:rPr>
        <w:t>” means, as of any date of determination, the amount on deposit in the Class D Reserve Account (after giving effect to any deposits thereto and withdrawals and releases therefrom on such date).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Carryover Controlled Amortization Amount</w:t>
      </w:r>
      <w:r>
        <w:rPr>
          <w:rFonts w:ascii="Times New Roman" w:cs="Times New Roman" w:eastAsia="Times New Roman" w:hAnsi="Times New Roman"/>
          <w:sz w:val="22"/>
          <w:szCs w:val="22"/>
          <w:color w:val="auto"/>
        </w:rPr>
        <w:t xml:space="preserve">” means, with respect to any Related Month during the Series 2023-6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2023-6 Controlled Amortization Period, the Class D Carryover Controlled Amortization Amount shall be zero.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is defined in Section 2.8(j).</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 Surplus</w:t>
      </w:r>
      <w:r>
        <w:rPr>
          <w:rFonts w:ascii="Times New Roman" w:cs="Times New Roman" w:eastAsia="Times New Roman" w:hAnsi="Times New Roman"/>
          <w:sz w:val="22"/>
          <w:szCs w:val="22"/>
          <w:color w:val="auto"/>
        </w:rPr>
        <w:t xml:space="preserve">” 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D Cash Collateral Account Surplus shall mean the excess, if any, of (x) the Class D Available Cash Collateral Account Amount over (y) the Series 2023-6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A/B/C Cash Collateral Account Amount.</w:t>
      </w:r>
    </w:p>
    <w:p>
      <w:pPr>
        <w:spacing w:after="0" w:line="18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D Available Cash Collateral Account Amount as of such date and the denominator of which is the Class D Letter of Credit Liquidity Amount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bl>
    <w:p>
      <w:pPr>
        <w:sectPr>
          <w:pgSz w:w="11900" w:h="16838" w:orient="portrait"/>
          <w:cols w:equalWidth="0" w:num="1">
            <w:col w:w="11240"/>
          </w:cols>
          <w:pgMar w:left="320" w:top="1030" w:right="339" w:bottom="1440" w:gutter="0" w:footer="0" w:header="0"/>
        </w:sectPr>
      </w:pPr>
    </w:p>
    <w:bookmarkStart w:id="339" w:name="page340"/>
    <w:bookmarkEnd w:id="339"/>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Amortization Amount</w:t>
      </w:r>
      <w:r>
        <w:rPr>
          <w:rFonts w:ascii="Times New Roman" w:cs="Times New Roman" w:eastAsia="Times New Roman" w:hAnsi="Times New Roman"/>
          <w:sz w:val="22"/>
          <w:szCs w:val="22"/>
          <w:color w:val="auto"/>
        </w:rPr>
        <w:t>” means, with respect to any Related Month during the Series 2023-6 Controlled Amortization Period, $11,955,000.00.</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Distribution Amount</w:t>
      </w:r>
      <w:r>
        <w:rPr>
          <w:rFonts w:ascii="Times New Roman" w:cs="Times New Roman" w:eastAsia="Times New Roman" w:hAnsi="Times New Roman"/>
          <w:sz w:val="22"/>
          <w:szCs w:val="22"/>
          <w:color w:val="auto"/>
        </w:rPr>
        <w:t>” means, with respect to any Related Month during the Series 2023-6 Controlled Amortization Period, an amount equal to the sum of the Class D Controlled Amortization Amount and any Class D Carryover Controlled Amortization Amount for such Related Month.</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Amount</w:t>
      </w:r>
      <w:r>
        <w:rPr>
          <w:rFonts w:ascii="Times New Roman" w:cs="Times New Roman" w:eastAsia="Times New Roman" w:hAnsi="Times New Roman"/>
          <w:sz w:val="22"/>
          <w:szCs w:val="22"/>
          <w:color w:val="auto"/>
        </w:rPr>
        <w:t>” 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2023-6 Collection Account (not including amounts allocable to the Series 2023-6 Accrued Interest Account) and the Series 2023-6 Excess Collection Account as of such date.</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Deficiency</w:t>
      </w:r>
      <w:r>
        <w:rPr>
          <w:rFonts w:ascii="Times New Roman" w:cs="Times New Roman" w:eastAsia="Times New Roman" w:hAnsi="Times New Roman"/>
          <w:sz w:val="22"/>
          <w:szCs w:val="22"/>
          <w:color w:val="auto"/>
        </w:rPr>
        <w:t>” means, on any date of determination, the amount by which the Class D Enhancement Amount is less than the Class D Required Enhancement Amount as of such date.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Initial Invested Amount</w:t>
      </w:r>
      <w:r>
        <w:rPr>
          <w:rFonts w:ascii="Times New Roman" w:cs="Times New Roman" w:eastAsia="Times New Roman" w:hAnsi="Times New Roman"/>
          <w:sz w:val="22"/>
          <w:szCs w:val="22"/>
          <w:color w:val="auto"/>
        </w:rPr>
        <w:t>” means the aggregate initial principal amount of the Class D Notes, which is $71,730,000.00.</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Invested Amount</w:t>
      </w:r>
      <w:r>
        <w:rPr>
          <w:rFonts w:ascii="Times New Roman" w:cs="Times New Roman" w:eastAsia="Times New Roman" w:hAnsi="Times New Roman"/>
          <w:sz w:val="22"/>
          <w:szCs w:val="22"/>
          <w:color w:val="auto"/>
        </w:rPr>
        <w:t xml:space="preserve">” means, when used with respect to any date, an amount equal to (a) the Class D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D Noteholders on or prior to such date.</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Letter of Credit Amount</w:t>
      </w:r>
      <w:r>
        <w:rPr>
          <w:rFonts w:ascii="Times New Roman" w:cs="Times New Roman" w:eastAsia="Times New Roman" w:hAnsi="Times New Roman"/>
          <w:sz w:val="21"/>
          <w:szCs w:val="21"/>
          <w:color w:val="auto"/>
        </w:rPr>
        <w:t>” 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2023-6 Demand Notes on such date.</w:t>
      </w:r>
    </w:p>
    <w:p>
      <w:pPr>
        <w:spacing w:after="0" w:line="16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Letter of Credit Liquidity Amount</w:t>
      </w:r>
      <w:r>
        <w:rPr>
          <w:rFonts w:ascii="Times New Roman" w:cs="Times New Roman" w:eastAsia="Times New Roman" w:hAnsi="Times New Roman"/>
          <w:sz w:val="22"/>
          <w:szCs w:val="22"/>
          <w:color w:val="auto"/>
        </w:rPr>
        <w:t>” 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 Collateral Account has been established and funded pursuant to Section 2.8, the Class D Available Cash Collateral Account Amount on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Liquidity Amount</w:t>
      </w:r>
      <w:r>
        <w:rPr>
          <w:rFonts w:ascii="Times New Roman" w:cs="Times New Roman" w:eastAsia="Times New Roman" w:hAnsi="Times New Roman"/>
          <w:sz w:val="22"/>
          <w:szCs w:val="22"/>
          <w:color w:val="auto"/>
        </w:rPr>
        <w:t>” means, as of any date of determination, the sum of (a) the Class D Letter of Credit Liquidity Amount on such date and (b) the Class D Available Reserve Account Amount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bl>
    <w:p>
      <w:pPr>
        <w:sectPr>
          <w:pgSz w:w="11900" w:h="16838" w:orient="portrait"/>
          <w:cols w:equalWidth="0" w:num="1">
            <w:col w:w="11240"/>
          </w:cols>
          <w:pgMar w:left="320" w:top="1030" w:right="339" w:bottom="1440" w:gutter="0" w:footer="0" w:header="0"/>
        </w:sectPr>
      </w:pPr>
    </w:p>
    <w:bookmarkStart w:id="340" w:name="page341"/>
    <w:bookmarkEnd w:id="340"/>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Amounts</w:t>
      </w:r>
      <w:r>
        <w:rPr>
          <w:rFonts w:ascii="Times New Roman" w:cs="Times New Roman" w:eastAsia="Times New Roman" w:hAnsi="Times New Roman"/>
          <w:sz w:val="22"/>
          <w:szCs w:val="22"/>
          <w:color w:val="auto"/>
        </w:rPr>
        <w:t>” means, collectively,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and the Class D Maximum Medium/Heavy Duty Truck Amount.</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4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ectPr>
          <w:pgSz w:w="11900" w:h="16838" w:orient="portrait"/>
          <w:cols w:equalWidth="0" w:num="1">
            <w:col w:w="11240"/>
          </w:cols>
          <w:pgMar w:left="320" w:top="1030" w:right="339" w:bottom="1440" w:gutter="0" w:footer="0" w:header="0"/>
        </w:sectPr>
      </w:pPr>
    </w:p>
    <w:bookmarkStart w:id="341" w:name="page342"/>
    <w:bookmarkEnd w:id="341"/>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7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Monthly Interest</w:t>
      </w:r>
      <w:r>
        <w:rPr>
          <w:rFonts w:ascii="Times New Roman" w:cs="Times New Roman" w:eastAsia="Times New Roman" w:hAnsi="Times New Roman"/>
          <w:sz w:val="22"/>
          <w:szCs w:val="22"/>
          <w:color w:val="auto"/>
        </w:rPr>
        <w:t>” means, with respect to (i) the initial Series 2023-6 Interest Period for the Class D Notes, following the Class D Notes Closing Date, an amount equal to $799,989, (ii) the initial Series 2023-6 Interest Period for the Class D Notes from the Class D Notes Sale Date to and including June 20, 2025, an amount equal to $146,847.25 and (iii) any other Series 2023-6 Interest Period, an amount equal to the product of (A) one-twelfth of the Class D Note Rate and (B) the Class D Invested Amount on the first day of such Series 2023-6 Interest Period, after giving effect to any principal payments made on such date.</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w:t>
      </w:r>
      <w:r>
        <w:rPr>
          <w:rFonts w:ascii="Times New Roman" w:cs="Times New Roman" w:eastAsia="Times New Roman" w:hAnsi="Times New Roman"/>
          <w:sz w:val="22"/>
          <w:szCs w:val="22"/>
          <w:color w:val="auto"/>
        </w:rPr>
        <w:t xml:space="preserve">” means any one of the Series 2023-6 7.37% Rental Car Asset Backed Notes, Class D,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Definitive Class D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Owner</w:t>
      </w:r>
      <w:r>
        <w:rPr>
          <w:rFonts w:ascii="Times New Roman" w:cs="Times New Roman" w:eastAsia="Times New Roman" w:hAnsi="Times New Roman"/>
          <w:sz w:val="22"/>
          <w:szCs w:val="22"/>
          <w:color w:val="auto"/>
        </w:rPr>
        <w:t>” means each beneficial owner of a Class D Note.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Rate</w:t>
      </w:r>
      <w:r>
        <w:rPr>
          <w:rFonts w:ascii="Times New Roman" w:cs="Times New Roman" w:eastAsia="Times New Roman" w:hAnsi="Times New Roman"/>
          <w:sz w:val="22"/>
          <w:szCs w:val="22"/>
          <w:color w:val="auto"/>
        </w:rPr>
        <w:t>” means 7.37%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Noteholder</w:t>
      </w:r>
      <w:r>
        <w:rPr>
          <w:rFonts w:ascii="Times New Roman" w:cs="Times New Roman" w:eastAsia="Times New Roman" w:hAnsi="Times New Roman"/>
          <w:sz w:val="22"/>
          <w:szCs w:val="22"/>
          <w:color w:val="auto"/>
        </w:rPr>
        <w:t>” means the Person in whose name a Class D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Closing Date</w:t>
      </w:r>
      <w:r>
        <w:rPr>
          <w:rFonts w:ascii="Times New Roman" w:cs="Times New Roman" w:eastAsia="Times New Roman" w:hAnsi="Times New Roman"/>
          <w:sz w:val="22"/>
          <w:szCs w:val="22"/>
          <w:color w:val="auto"/>
        </w:rPr>
        <w:t>” means January 31, 2025.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Sale Date</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Overcollateralization Amount</w:t>
      </w:r>
      <w:r>
        <w:rPr>
          <w:rFonts w:ascii="Times New Roman" w:cs="Times New Roman" w:eastAsia="Times New Roman" w:hAnsi="Times New Roman"/>
          <w:sz w:val="22"/>
          <w:szCs w:val="22"/>
          <w:color w:val="auto"/>
        </w:rPr>
        <w:t>” means, the excess, if any of (x) the Series 2023-6 AESOP I Operating Lease Loan Agreement Borrowing Base as of such date over (y) the Series 2023-6 Invested Amount as of such date.</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Percentage</w:t>
      </w:r>
      <w:r>
        <w:rPr>
          <w:rFonts w:ascii="Times New Roman" w:cs="Times New Roman" w:eastAsia="Times New Roman" w:hAnsi="Times New Roman"/>
          <w:sz w:val="22"/>
          <w:szCs w:val="22"/>
          <w:color w:val="auto"/>
        </w:rPr>
        <w:t>” means, as of any date of determination, a percentage equal to the excess, if any, of (x) 100% over (y) the Class A/B/C Percentage as of such date.</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Principal Deficit Amount</w:t>
      </w:r>
      <w:r>
        <w:rPr>
          <w:rFonts w:ascii="Times New Roman" w:cs="Times New Roman" w:eastAsia="Times New Roman" w:hAnsi="Times New Roman"/>
          <w:sz w:val="22"/>
          <w:szCs w:val="22"/>
          <w:color w:val="auto"/>
        </w:rPr>
        <w:t xml:space="preserve">” means, as of any date of determination, the excess, if any, of (i) the Class D Invested Amount on such date (after giving effect to the distribution of the Monthly Total Principal Allocation for the Related Month if such date is a Distribution Date) over (ii) the Series 2023-6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2023-6 AESOP I Operating Lease Loan</w:t>
      </w:r>
    </w:p>
    <w:p>
      <w:pPr>
        <w:spacing w:after="0" w:line="200" w:lineRule="exact"/>
        <w:rPr>
          <w:sz w:val="20"/>
          <w:szCs w:val="20"/>
          <w:color w:val="auto"/>
        </w:r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ectPr>
          <w:pgSz w:w="11900" w:h="16838" w:orient="portrait"/>
          <w:cols w:equalWidth="0" w:num="1">
            <w:col w:w="11240"/>
          </w:cols>
          <w:pgMar w:left="320" w:top="1030" w:right="339" w:bottom="1440" w:gutter="0" w:footer="0" w:header="0"/>
        </w:sectPr>
      </w:pPr>
    </w:p>
    <w:bookmarkStart w:id="342" w:name="page343"/>
    <w:bookmarkEnd w:id="342"/>
    <w:p>
      <w:pPr>
        <w:jc w:val="both"/>
        <w:spacing w:after="0" w:line="271" w:lineRule="auto"/>
        <w:rPr>
          <w:sz w:val="20"/>
          <w:szCs w:val="20"/>
          <w:color w:val="auto"/>
        </w:rPr>
      </w:pPr>
      <w:r>
        <w:rPr>
          <w:rFonts w:ascii="Times New Roman" w:cs="Times New Roman" w:eastAsia="Times New Roman" w:hAnsi="Times New Roman"/>
          <w:sz w:val="22"/>
          <w:szCs w:val="22"/>
          <w:color w:val="auto"/>
        </w:rPr>
        <w:t>Agreement Borrowing Base on such date and (2) the lesser of (a) the Class D Liquidity Amount on such date and (b) the Class D Required Liquidity Amount on such date.</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Pro Rata Share</w:t>
      </w:r>
      <w:r>
        <w:rPr>
          <w:rFonts w:ascii="Times New Roman" w:cs="Times New Roman" w:eastAsia="Times New Roman" w:hAnsi="Times New Roman"/>
          <w:sz w:val="22"/>
          <w:szCs w:val="22"/>
          <w:color w:val="auto"/>
        </w:rPr>
        <w:t xml:space="preserve">” means, with respect to any Multi-Series Letter of Credit Provider as of any date, the fraction (expressed as a percentage) obtained by dividing (A) the available amount allocated to the Class D Notes under such Multi-Series Letter of Credit Provider’s Multi-Series Letter of Credit as of such date by (B) an amount equal to the aggregate available amount allocated to the Class D Notes under all Multi-Series Letters of Credit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calculation shall not in any manner reduce the undersigned’s actual liability in respect of any failure to pay any demand under the Multi-Series Letter of Credit).</w:t>
      </w:r>
    </w:p>
    <w:p>
      <w:pPr>
        <w:spacing w:after="0" w:line="18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Enhancement Amount</w:t>
      </w:r>
      <w:r>
        <w:rPr>
          <w:rFonts w:ascii="Times New Roman" w:cs="Times New Roman" w:eastAsia="Times New Roman" w:hAnsi="Times New Roman"/>
          <w:sz w:val="22"/>
          <w:szCs w:val="22"/>
          <w:color w:val="auto"/>
        </w:rPr>
        <w:t>” means an amount equal to, as of any date of determination, the sum (without duplication) of (i) the applicable Series 2023-6 Moody’s Required Enhancement Amount as of such date, (ii) the Series 2023-6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2023-6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2023-6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2023-6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2023-6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2023-6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2023-6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2023-6 AESOP I Operating Lease Vehicle Percentage as of the immediately preceding Business Day of the excess, if any, of the aggregate Net Book</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bl>
    <w:p>
      <w:pPr>
        <w:sectPr>
          <w:pgSz w:w="11900" w:h="16838" w:orient="portrait"/>
          <w:cols w:equalWidth="0" w:num="1">
            <w:col w:w="11240"/>
          </w:cols>
          <w:pgMar w:left="320" w:top="1030" w:right="339" w:bottom="1440" w:gutter="0" w:footer="0" w:header="0"/>
        </w:sectPr>
      </w:pPr>
    </w:p>
    <w:bookmarkStart w:id="343" w:name="page344"/>
    <w:bookmarkEnd w:id="343"/>
    <w:p>
      <w:pPr>
        <w:jc w:val="both"/>
        <w:spacing w:after="0" w:line="260" w:lineRule="auto"/>
        <w:rPr>
          <w:sz w:val="20"/>
          <w:szCs w:val="20"/>
          <w:color w:val="auto"/>
        </w:rPr>
      </w:pPr>
      <w:r>
        <w:rPr>
          <w:rFonts w:ascii="Times New Roman" w:cs="Times New Roman" w:eastAsia="Times New Roman" w:hAnsi="Times New Roman"/>
          <w:sz w:val="21"/>
          <w:szCs w:val="21"/>
          <w:color w:val="auto"/>
        </w:rPr>
        <w:t>Value of all Vehicles manufactured by Land Rover and leased under the Leases as of such date over the Class D Maximum Land Rover Amount as of such date, (x) the Series 2023-6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2023-6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2023-6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2023-6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spacing w:after="0" w:line="18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Liquidity Amount</w:t>
      </w:r>
      <w:r>
        <w:rPr>
          <w:rFonts w:ascii="Times New Roman" w:cs="Times New Roman" w:eastAsia="Times New Roman" w:hAnsi="Times New Roman"/>
          <w:sz w:val="22"/>
          <w:szCs w:val="22"/>
          <w:color w:val="auto"/>
        </w:rPr>
        <w:t>” means an amount equal to the product of 5.50% and the Class D Invested Amount as of such date.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Overcollateralization Amount</w:t>
      </w:r>
      <w:r>
        <w:rPr>
          <w:rFonts w:ascii="Times New Roman" w:cs="Times New Roman" w:eastAsia="Times New Roman" w:hAnsi="Times New Roman"/>
          <w:sz w:val="22"/>
          <w:szCs w:val="22"/>
          <w:color w:val="auto"/>
        </w:rPr>
        <w:t>” 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 Permitted Investments on deposit in the Series 2023-6 Collection Account (not including amounts allocable to the Series 2023-6 Accrued Interest Account) and the Series 2023-6 Excess Collection Account on such date.</w:t>
      </w:r>
    </w:p>
    <w:p>
      <w:pPr>
        <w:spacing w:after="0" w:line="19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Reserve Account Amount</w:t>
      </w:r>
      <w:r>
        <w:rPr>
          <w:rFonts w:ascii="Times New Roman" w:cs="Times New Roman" w:eastAsia="Times New Roman" w:hAnsi="Times New Roman"/>
          <w:sz w:val="22"/>
          <w:szCs w:val="22"/>
          <w:color w:val="auto"/>
        </w:rPr>
        <w:t>” 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2023-6 Notes) as of such date.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w:t>
      </w:r>
      <w:r>
        <w:rPr>
          <w:rFonts w:ascii="Times New Roman" w:cs="Times New Roman" w:eastAsia="Times New Roman" w:hAnsi="Times New Roman"/>
          <w:sz w:val="22"/>
          <w:szCs w:val="22"/>
          <w:color w:val="auto"/>
        </w:rPr>
        <w:t>” is defined in Section 2.7(g).</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is defined in Section 2.7(j).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ectPr>
          <w:pgSz w:w="11900" w:h="16838" w:orient="portrait"/>
          <w:cols w:equalWidth="0" w:num="1">
            <w:col w:w="11240"/>
          </w:cols>
          <w:pgMar w:left="320" w:top="1030" w:right="339" w:bottom="1440" w:gutter="0" w:footer="0" w:header="0"/>
        </w:sectPr>
      </w:pPr>
    </w:p>
    <w:bookmarkStart w:id="344" w:name="page345"/>
    <w:bookmarkEnd w:id="344"/>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Surplus</w:t>
      </w:r>
      <w:r>
        <w:rPr>
          <w:rFonts w:ascii="Times New Roman" w:cs="Times New Roman" w:eastAsia="Times New Roman" w:hAnsi="Times New Roman"/>
          <w:sz w:val="22"/>
          <w:szCs w:val="22"/>
          <w:color w:val="auto"/>
        </w:rPr>
        <w:t>” means, with respect to any Distribution Date, the excess, if any, of the Class D Available Reserve Account Amount over the Class D Required Reserve Account Amount on such Distribution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has the meaning set forth in Section 2.3(g)(iv).</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Controlled Amortization Amount</w:t>
      </w:r>
      <w:r>
        <w:rPr>
          <w:rFonts w:ascii="Times New Roman" w:cs="Times New Roman" w:eastAsia="Times New Roman" w:hAnsi="Times New Roman"/>
          <w:sz w:val="22"/>
          <w:szCs w:val="22"/>
          <w:color w:val="auto"/>
        </w:rPr>
        <w:t>” means, (i) with respect to any Related Month during the Series 2023-6 Controlled Amortization Period other than the Related Month immediately preceding the Series 2023-6 Expected Final Distribution Date, $0 and (ii) with respect to the Related Month immediately preceding the Series 2023-6 Expected Final Distribution Date, $33,000,000.00.</w:t>
      </w:r>
    </w:p>
    <w:p>
      <w:pPr>
        <w:spacing w:after="0" w:line="19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Initial Invested Amount</w:t>
      </w:r>
      <w:r>
        <w:rPr>
          <w:rFonts w:ascii="Times New Roman" w:cs="Times New Roman" w:eastAsia="Times New Roman" w:hAnsi="Times New Roman"/>
          <w:sz w:val="22"/>
          <w:szCs w:val="22"/>
          <w:color w:val="auto"/>
        </w:rPr>
        <w:t>” means the aggregate initial principal amount of the Class R Notes, which is $33,000,000.00.</w:t>
      </w:r>
    </w:p>
    <w:p>
      <w:pPr>
        <w:spacing w:after="0" w:line="158"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Invested Amount</w:t>
      </w:r>
      <w:r>
        <w:rPr>
          <w:rFonts w:ascii="Times New Roman" w:cs="Times New Roman" w:eastAsia="Times New Roman" w:hAnsi="Times New Roman"/>
          <w:sz w:val="22"/>
          <w:szCs w:val="22"/>
          <w:color w:val="auto"/>
        </w:rPr>
        <w:t xml:space="preserve">” means, when used with respect to any date, an amount equal to (a) the Class R Initial Invested Amount plus (b) the aggregate principal amount of any Additional Class R Notes issued on or prior to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amount of principal payments made to Class R Noteholders on or prior to such date.</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Monthly Interest</w:t>
      </w:r>
      <w:r>
        <w:rPr>
          <w:rFonts w:ascii="Times New Roman" w:cs="Times New Roman" w:eastAsia="Times New Roman" w:hAnsi="Times New Roman"/>
          <w:sz w:val="21"/>
          <w:szCs w:val="21"/>
          <w:color w:val="auto"/>
        </w:rPr>
        <w:t>” means, with respect to (i) the initial Series 2023-6 Interest Period, an amount equal to $137,275.53, (ii) the initial Series 2023-6 Interest Period following the Class D Notes Closing Date, an amount equal to $49,828 and (iii) any other Series 2023-6 Interest Period, an amount equal to the product of (A) one-twelfth of the Class R Note Rate and</w:t>
      </w:r>
    </w:p>
    <w:p>
      <w:pPr>
        <w:spacing w:after="0" w:line="1" w:lineRule="exact"/>
        <w:rPr>
          <w:sz w:val="20"/>
          <w:szCs w:val="20"/>
          <w:color w:val="auto"/>
        </w:rPr>
      </w:pPr>
    </w:p>
    <w:p>
      <w:pPr>
        <w:ind w:firstLine="8"/>
        <w:spacing w:after="0" w:line="248" w:lineRule="auto"/>
        <w:tabs>
          <w:tab w:leader="none" w:pos="375"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R Invested Amount on the first day of such Series 2023-6 Interest Period, after giving effect to any principal payments made on such date.</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w:t>
      </w:r>
      <w:r>
        <w:rPr>
          <w:rFonts w:ascii="Times New Roman" w:cs="Times New Roman" w:eastAsia="Times New Roman" w:hAnsi="Times New Roman"/>
          <w:sz w:val="22"/>
          <w:szCs w:val="22"/>
          <w:color w:val="auto"/>
        </w:rPr>
        <w:t xml:space="preserve">” means any one of the Series 2023-6 8.969% Rental Car Asset Backed Notes, Class R,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Definitive Class R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 Rate</w:t>
      </w:r>
      <w:r>
        <w:rPr>
          <w:rFonts w:ascii="Times New Roman" w:cs="Times New Roman" w:eastAsia="Times New Roman" w:hAnsi="Times New Roman"/>
          <w:sz w:val="22"/>
          <w:szCs w:val="22"/>
          <w:color w:val="auto"/>
        </w:rPr>
        <w:t>” means 8.969%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Noteholder</w:t>
      </w:r>
      <w:r>
        <w:rPr>
          <w:rFonts w:ascii="Times New Roman" w:cs="Times New Roman" w:eastAsia="Times New Roman" w:hAnsi="Times New Roman"/>
          <w:sz w:val="22"/>
          <w:szCs w:val="22"/>
          <w:color w:val="auto"/>
        </w:rPr>
        <w:t>” means the Person in whose name a Class R Note is registered in the Note Register.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has the meaning set forth in Section 2.3(g)(v).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w:t>
      </w:r>
      <w:r>
        <w:rPr>
          <w:rFonts w:ascii="Times New Roman" w:cs="Times New Roman" w:eastAsia="Times New Roman" w:hAnsi="Times New Roman"/>
          <w:sz w:val="22"/>
          <w:szCs w:val="22"/>
          <w:color w:val="auto"/>
        </w:rPr>
        <w:t>” means any optional repurchase pursuant to Section 5.1(a).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 Distribution Date</w:t>
      </w:r>
      <w:r>
        <w:rPr>
          <w:rFonts w:ascii="Times New Roman" w:cs="Times New Roman" w:eastAsia="Times New Roman" w:hAnsi="Times New Roman"/>
          <w:sz w:val="22"/>
          <w:szCs w:val="22"/>
          <w:color w:val="auto"/>
        </w:rPr>
        <w:t>” has the meaning set forth in Section 5.1(a).</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Confirmation Condition</w:t>
      </w:r>
      <w:r>
        <w:rPr>
          <w:rFonts w:ascii="Times New Roman" w:cs="Times New Roman" w:eastAsia="Times New Roman" w:hAnsi="Times New Roman"/>
          <w:sz w:val="22"/>
          <w:szCs w:val="22"/>
          <w:color w:val="auto"/>
        </w:rPr>
        <w:t>” means, with respect to any Bankrupt Manufacturer which is a debtor in Chapter 11 Proceedings, a condition that shall be satisfied upon the bankruptcy court having competent jurisdiction over such Chapter 11 Proceedings issuing an order that</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ectPr>
          <w:pgSz w:w="11900" w:h="16838" w:orient="portrait"/>
          <w:cols w:equalWidth="0" w:num="1">
            <w:col w:w="11240"/>
          </w:cols>
          <w:pgMar w:left="320" w:top="1030" w:right="339" w:bottom="1440" w:gutter="0" w:footer="0" w:header="0"/>
        </w:sectPr>
      </w:pPr>
    </w:p>
    <w:bookmarkStart w:id="345" w:name="page346"/>
    <w:bookmarkEnd w:id="345"/>
    <w:p>
      <w:pPr>
        <w:jc w:val="both"/>
        <w:spacing w:after="0" w:line="242" w:lineRule="auto"/>
        <w:rPr>
          <w:sz w:val="20"/>
          <w:szCs w:val="20"/>
          <w:color w:val="auto"/>
        </w:rPr>
      </w:pPr>
      <w:r>
        <w:rPr>
          <w:rFonts w:ascii="Times New Roman" w:cs="Times New Roman" w:eastAsia="Times New Roman" w:hAnsi="Times New Roman"/>
          <w:sz w:val="22"/>
          <w:szCs w:val="22"/>
          <w:color w:val="auto"/>
        </w:rPr>
        <w:t xml:space="preserve">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the foregoing, the Confirmation Condition shall be deemed satisfied until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initial filing in respect of such Chapter 11 Proceedings.</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Note Issuer</w:t>
      </w:r>
      <w:r>
        <w:rPr>
          <w:rFonts w:ascii="Times New Roman" w:cs="Times New Roman" w:eastAsia="Times New Roman" w:hAnsi="Times New Roman"/>
          <w:sz w:val="22"/>
          <w:szCs w:val="22"/>
          <w:color w:val="auto"/>
        </w:rPr>
        <w:t>” means each issuer of a Series 2023-6 Demand Note.</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Disbursement</w:t>
      </w:r>
      <w:r>
        <w:rPr>
          <w:rFonts w:ascii="Times New Roman" w:cs="Times New Roman" w:eastAsia="Times New Roman" w:hAnsi="Times New Roman"/>
          <w:sz w:val="22"/>
          <w:szCs w:val="22"/>
          <w:color w:val="auto"/>
        </w:rPr>
        <w:t>” means any Lease Deficit Disbursement, any Unpaid Demand Note Disbursement, any Termination Date Disbursement or any Termination Disbursement under a Multi-Series Letter of Credit, or any combination thereof, as the context may require.</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Value</w:t>
      </w:r>
      <w:r>
        <w:rPr>
          <w:rFonts w:ascii="Times New Roman" w:cs="Times New Roman" w:eastAsia="Times New Roman" w:hAnsi="Times New Roman"/>
          <w:sz w:val="22"/>
          <w:szCs w:val="22"/>
          <w:color w:val="auto"/>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Guide</w:t>
      </w:r>
      <w:r>
        <w:rPr>
          <w:rFonts w:ascii="Times New Roman" w:cs="Times New Roman" w:eastAsia="Times New Roman" w:hAnsi="Times New Roman"/>
          <w:sz w:val="22"/>
          <w:szCs w:val="22"/>
          <w:color w:val="auto"/>
        </w:rPr>
        <w:t>” means the Black Book Official Finance/Lease Guide.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A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B Notes</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C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D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R Notes</w:t>
      </w:r>
      <w:r>
        <w:rPr>
          <w:rFonts w:ascii="Times New Roman" w:cs="Times New Roman" w:eastAsia="Times New Roman" w:hAnsi="Times New Roman"/>
          <w:sz w:val="22"/>
          <w:szCs w:val="22"/>
          <w:color w:val="auto"/>
        </w:rPr>
        <w:t>” is defined in Section 4.2.</w:t>
      </w: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ectPr>
          <w:pgSz w:w="11900" w:h="16838" w:orient="portrait"/>
          <w:cols w:equalWidth="0" w:num="1">
            <w:col w:w="11240"/>
          </w:cols>
          <w:pgMar w:left="320" w:top="1030" w:right="339" w:bottom="1440" w:gutter="0" w:footer="0" w:header="0"/>
        </w:sectPr>
      </w:pPr>
    </w:p>
    <w:bookmarkStart w:id="346" w:name="page347"/>
    <w:bookmarkEnd w:id="346"/>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Deficit Disbursement</w:t>
      </w:r>
      <w:r>
        <w:rPr>
          <w:rFonts w:ascii="Times New Roman" w:cs="Times New Roman" w:eastAsia="Times New Roman" w:hAnsi="Times New Roman"/>
          <w:sz w:val="22"/>
          <w:szCs w:val="22"/>
          <w:color w:val="auto"/>
        </w:rPr>
        <w:t>” means an amount drawn under a Multi-Series Letter of Credit pursuant to a Certificate of Lease Deficit Demand.</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 Whole Payment</w:t>
      </w:r>
      <w:r>
        <w:rPr>
          <w:rFonts w:ascii="Times New Roman" w:cs="Times New Roman" w:eastAsia="Times New Roman" w:hAnsi="Times New Roman"/>
          <w:sz w:val="22"/>
          <w:szCs w:val="22"/>
          <w:color w:val="auto"/>
        </w:rPr>
        <w:t xml:space="preserve">” means, with respect to any Series 2023-6 Note on any Optional Repurchase Distribution Date,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with respect to such Series 2023-6 Note of the excess, if any, of (x) the sum of the Discounted Values for each Remaining Distribution Amount with respect to each Applicable Distribution Date over (y) the Series 2023-6 Invested Amount as of such Optional Repurchase Distribution Date (determined after giving effect to any payments made pursuant to Section 2.5(a) on such Distribution Date).</w:t>
      </w:r>
    </w:p>
    <w:p>
      <w:pPr>
        <w:spacing w:after="0" w:line="19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Market Value Average</w:t>
      </w:r>
      <w:r>
        <w:rPr>
          <w:rFonts w:ascii="Times New Roman" w:cs="Times New Roman" w:eastAsia="Times New Roman" w:hAnsi="Times New Roman"/>
          <w:sz w:val="21"/>
          <w:szCs w:val="21"/>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Total Principal Allocation</w:t>
      </w:r>
      <w:r>
        <w:rPr>
          <w:rFonts w:ascii="Times New Roman" w:cs="Times New Roman" w:eastAsia="Times New Roman" w:hAnsi="Times New Roman"/>
          <w:sz w:val="22"/>
          <w:szCs w:val="22"/>
          <w:color w:val="auto"/>
        </w:rPr>
        <w:t>” means for any Related Month the sum of all Series 2023-6 Principal Allocations with respect to such Related Month.</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 Excluded Manufacturer Amount</w:t>
      </w:r>
      <w:r>
        <w:rPr>
          <w:rFonts w:ascii="Times New Roman" w:cs="Times New Roman" w:eastAsia="Times New Roman" w:hAnsi="Times New Roman"/>
          <w:sz w:val="21"/>
          <w:szCs w:val="21"/>
          <w:color w:val="auto"/>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w:t>
      </w:r>
    </w:p>
    <w:p>
      <w:pPr>
        <w:spacing w:after="0" w:line="2" w:lineRule="exact"/>
        <w:rPr>
          <w:sz w:val="20"/>
          <w:szCs w:val="20"/>
          <w:color w:val="auto"/>
        </w:rPr>
      </w:pPr>
    </w:p>
    <w:p>
      <w:pPr>
        <w:jc w:val="both"/>
        <w:ind w:firstLine="8"/>
        <w:spacing w:after="0" w:line="245" w:lineRule="auto"/>
        <w:tabs>
          <w:tab w:leader="none" w:pos="367"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Excluded Manufacturer Receivable Specified Percentage</w:t>
      </w:r>
      <w:r>
        <w:rPr>
          <w:rFonts w:ascii="Times New Roman" w:cs="Times New Roman" w:eastAsia="Times New Roman" w:hAnsi="Times New Roman"/>
          <w:sz w:val="22"/>
          <w:szCs w:val="22"/>
          <w:color w:val="auto"/>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2023-6 Noteholders with respect to such Moody’s Non-Investment Grade Manufacturer;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as of the Class A/B/C Notes Closing Date the Moody’s Excluded Manufacturer Receivable Specified</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bl>
    <w:p>
      <w:pPr>
        <w:sectPr>
          <w:pgSz w:w="11900" w:h="16838" w:orient="portrait"/>
          <w:cols w:equalWidth="0" w:num="1">
            <w:col w:w="11240"/>
          </w:cols>
          <w:pgMar w:left="320" w:top="1030" w:right="339" w:bottom="1440" w:gutter="0" w:footer="0" w:header="0"/>
        </w:sectPr>
      </w:pPr>
    </w:p>
    <w:bookmarkStart w:id="347" w:name="page348"/>
    <w:bookmarkEnd w:id="347"/>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Percentage for each Moody’s Non-Investment Grade Manufacturer shall be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initial Moody’s Excluded Manufacturer Receivable Specified Percentage with respect to any Manufacturer that becomes a Moody’s Non-Investment Grade Manufacturer after the Class A/B/C Notes Closing Date shall be 100%.</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Non-Investment Grade Manufacturer</w:t>
      </w:r>
      <w:r>
        <w:rPr>
          <w:rFonts w:ascii="Times New Roman" w:cs="Times New Roman" w:eastAsia="Times New Roman" w:hAnsi="Times New Roman"/>
          <w:sz w:val="22"/>
          <w:szCs w:val="22"/>
          <w:color w:val="auto"/>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spacing w:after="0" w:line="18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Turnback Vehicle Specified Percentage</w:t>
      </w:r>
      <w:r>
        <w:rPr>
          <w:rFonts w:ascii="Times New Roman" w:cs="Times New Roman" w:eastAsia="Times New Roman" w:hAnsi="Times New Roman"/>
          <w:sz w:val="22"/>
          <w:szCs w:val="22"/>
          <w:color w:val="auto"/>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following such downgrade.</w:t>
      </w:r>
    </w:p>
    <w:p>
      <w:pPr>
        <w:spacing w:after="0" w:line="1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w:t>
      </w:r>
      <w:r>
        <w:rPr>
          <w:rFonts w:ascii="Times New Roman" w:cs="Times New Roman" w:eastAsia="Times New Roman" w:hAnsi="Times New Roman"/>
          <w:sz w:val="22"/>
          <w:szCs w:val="22"/>
          <w:color w:val="auto"/>
        </w:rPr>
        <w:t xml:space="preserve">” means an irrevocable letter of credit, if any,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issued by a Series 2023-6 Eligible Letter of Credit Provider in favor of the Trustee for the benefit, in whole or in part, of the Series 2023-6 Noteholders (provided that a Multi-Series Letter of Credit may also benefit Noteholders of certain other Series).</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Expiration Date</w:t>
      </w:r>
      <w:r>
        <w:rPr>
          <w:rFonts w:ascii="Times New Roman" w:cs="Times New Roman" w:eastAsia="Times New Roman" w:hAnsi="Times New Roman"/>
          <w:sz w:val="22"/>
          <w:szCs w:val="22"/>
          <w:color w:val="auto"/>
        </w:rPr>
        <w:t>” means, with respect to any Multi-Series Letter of Credit, the expiration date set forth in such Multi-Series Letter of Credit, as such date may be extended in accordance with the terms of such Multi-Series Letter of Credit.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Provider</w:t>
      </w:r>
      <w:r>
        <w:rPr>
          <w:rFonts w:ascii="Times New Roman" w:cs="Times New Roman" w:eastAsia="Times New Roman" w:hAnsi="Times New Roman"/>
          <w:sz w:val="22"/>
          <w:szCs w:val="22"/>
          <w:color w:val="auto"/>
        </w:rPr>
        <w:t>” means any issuer of any Multi-Series Letter of Credit.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Termination Date</w:t>
      </w:r>
      <w:r>
        <w:rPr>
          <w:rFonts w:ascii="Times New Roman" w:cs="Times New Roman" w:eastAsia="Times New Roman" w:hAnsi="Times New Roman"/>
          <w:sz w:val="22"/>
          <w:szCs w:val="22"/>
          <w:color w:val="auto"/>
        </w:rPr>
        <w:t>” means the first to occur of (a) the date on which the Series 2023-6 Notes are fully paid and (b) the Series 2023-6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ectPr>
          <w:pgSz w:w="11900" w:h="16838" w:orient="portrait"/>
          <w:cols w:equalWidth="0" w:num="1">
            <w:col w:w="11240"/>
          </w:cols>
          <w:pgMar w:left="320" w:top="1030" w:right="339" w:bottom="1440" w:gutter="0" w:footer="0" w:header="0"/>
        </w:sectPr>
      </w:pPr>
    </w:p>
    <w:bookmarkStart w:id="348" w:name="page349"/>
    <w:bookmarkEnd w:id="34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Delivery Condition</w:t>
      </w:r>
      <w:r>
        <w:rPr>
          <w:rFonts w:ascii="Times New Roman" w:cs="Times New Roman" w:eastAsia="Times New Roman" w:hAnsi="Times New Roman"/>
          <w:sz w:val="22"/>
          <w:szCs w:val="22"/>
          <w:color w:val="auto"/>
        </w:rPr>
        <w:t>” means a condition that shall be satisfied if, on or prior to the Offering Memorandum Related Date, ABRCF delivers to BofA Securities, Inc. an agreed-upon undated preliminary offering memorandum in customary form consistent with ABRCF’s past Notes offerings for the offering of Notes by ABRCF that provides for the offering and sale of the Class D Notes and contains information, including the applicable financial and statistical information, as of a date reasonably recent to the Offering Memorandum Related Date.</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Related Date</w:t>
      </w:r>
      <w:r>
        <w:rPr>
          <w:rFonts w:ascii="Times New Roman" w:cs="Times New Roman" w:eastAsia="Times New Roman" w:hAnsi="Times New Roman"/>
          <w:sz w:val="22"/>
          <w:szCs w:val="22"/>
          <w:color w:val="auto"/>
        </w:rPr>
        <w:t>” means, solely if the Offering Memorandum Delivery Condition is not satisfied, the date which is six weeks following the Class D Notes Closing Date (or such longer period as mutually agreed upon among ABRCF, ABCR and BofA Securities, Inc.).</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 Distribution Date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is defined in Section 2.2(g).</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B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C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D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R Note</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Series 2023-6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Pre-Preference Period Demand Note Payments</w:t>
      </w:r>
      <w:r>
        <w:rPr>
          <w:rFonts w:ascii="Times New Roman" w:cs="Times New Roman" w:eastAsia="Times New Roman" w:hAnsi="Times New Roman"/>
          <w:sz w:val="21"/>
          <w:szCs w:val="21"/>
          <w:color w:val="auto"/>
        </w:rPr>
        <w:t xml:space="preserve">” means, as of any date of determination, the aggregate amount of all proceeds of demands made on the Series 2023-6 Demand Notes included in the Series 2023-6 Demand Note Payment Amount as of the Multi-Series Letter of Credit Termination Date that were paid by the Demand Note Issuers more than one year before such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 Event of Bankruptcy (or the occurrence of an event described in clause</w:t>
      </w:r>
    </w:p>
    <w:p>
      <w:pPr>
        <w:spacing w:after="0" w:line="2" w:lineRule="exact"/>
        <w:rPr>
          <w:sz w:val="20"/>
          <w:szCs w:val="20"/>
          <w:color w:val="auto"/>
        </w:rPr>
      </w:pPr>
    </w:p>
    <w:p>
      <w:pPr>
        <w:jc w:val="both"/>
        <w:ind w:firstLine="8"/>
        <w:spacing w:after="0" w:line="262" w:lineRule="auto"/>
        <w:tabs>
          <w:tab w:leader="none" w:pos="307" w:val="left"/>
        </w:tabs>
        <w:numPr>
          <w:ilvl w:val="0"/>
          <w:numId w:val="3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ectPr>
          <w:pgSz w:w="11900" w:h="16838" w:orient="portrait"/>
          <w:cols w:equalWidth="0" w:num="1">
            <w:col w:w="11240"/>
          </w:cols>
          <w:pgMar w:left="320" w:top="1030" w:right="339" w:bottom="1440" w:gutter="0" w:footer="0" w:header="0"/>
        </w:sectPr>
      </w:pPr>
    </w:p>
    <w:bookmarkStart w:id="349" w:name="page350"/>
    <w:bookmarkEnd w:id="349"/>
    <w:p>
      <w:pPr>
        <w:jc w:val="both"/>
        <w:spacing w:after="0" w:line="271" w:lineRule="auto"/>
        <w:rPr>
          <w:sz w:val="20"/>
          <w:szCs w:val="20"/>
          <w:color w:val="auto"/>
        </w:rPr>
      </w:pPr>
      <w:r>
        <w:rPr>
          <w:rFonts w:ascii="Times New Roman" w:cs="Times New Roman" w:eastAsia="Times New Roman" w:hAnsi="Times New Roman"/>
          <w:sz w:val="22"/>
          <w:szCs w:val="22"/>
          <w:color w:val="auto"/>
        </w:rPr>
        <w:t>Pre-Preference Period Demand Note Payments as of any date after the conclusion or dismissal of such proceedings shall equal the Series 2023-6 Demand Note Payment Amount as of the date of the conclusion or dismissal of such proceedings.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Yield</w:t>
      </w:r>
      <w:r>
        <w:rPr>
          <w:rFonts w:ascii="Times New Roman" w:cs="Times New Roman" w:eastAsia="Times New Roman" w:hAnsi="Times New Roman"/>
          <w:sz w:val="22"/>
          <w:szCs w:val="22"/>
          <w:color w:val="auto"/>
        </w:rPr>
        <w:t>” means, with respect to any Remaining Distribution Amount, the sum of (i) 0.25% and (ii) the greater of (x) 0% and (y) the U.S. Treasury Rate with respect to such Remaining Distribution Amount.</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Distribution Amount</w:t>
      </w:r>
      <w:r>
        <w:rPr>
          <w:rFonts w:ascii="Times New Roman" w:cs="Times New Roman" w:eastAsia="Times New Roman" w:hAnsi="Times New Roman"/>
          <w:sz w:val="22"/>
          <w:szCs w:val="22"/>
          <w:color w:val="auto"/>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July 2028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July 2028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July 2028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July 2028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spacing w:after="0" w:line="19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Controlling Class Series 2023-6 Noteholders</w:t>
      </w:r>
      <w:r>
        <w:rPr>
          <w:rFonts w:ascii="Times New Roman" w:cs="Times New Roman" w:eastAsia="Times New Roman" w:hAnsi="Times New Roman"/>
          <w:sz w:val="22"/>
          <w:szCs w:val="22"/>
          <w:color w:val="auto"/>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2023-6 Notes</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ectPr>
          <w:pgSz w:w="11900" w:h="16838" w:orient="portrait"/>
          <w:cols w:equalWidth="0" w:num="1">
            <w:col w:w="11240"/>
          </w:cols>
          <w:pgMar w:left="320" w:top="1030" w:right="339" w:bottom="1440" w:gutter="0" w:footer="0" w:header="0"/>
        </w:sectPr>
      </w:pPr>
    </w:p>
    <w:bookmarkStart w:id="350" w:name="page351"/>
    <w:bookmarkEnd w:id="350"/>
    <w:p>
      <w:pPr>
        <w:jc w:val="both"/>
        <w:spacing w:after="0" w:line="256" w:lineRule="auto"/>
        <w:rPr>
          <w:sz w:val="20"/>
          <w:szCs w:val="20"/>
          <w:color w:val="auto"/>
        </w:rPr>
      </w:pPr>
      <w:r>
        <w:rPr>
          <w:rFonts w:ascii="Times New Roman" w:cs="Times New Roman" w:eastAsia="Times New Roman" w:hAnsi="Times New Roman"/>
          <w:sz w:val="22"/>
          <w:szCs w:val="22"/>
          <w:color w:val="auto"/>
        </w:rPr>
        <w:t>held by ABCR or any Affiliate of ABCR unless ABCR or such Affiliate is the sole Series 2023-6 Noteholder) and (v) if no Class A Notes, Class B Notes, Class C Notes or Class D Notes are outstanding, Class R Noteholders holding more than 50% Class R Invested Amount (excluding, for the purpose of making any of the foregoing calculations, any Series 2023-6 Notes held by ABCR or any Affiliate of ABCR unless ABCR or such Affiliate is the sole Series 2023-6 Noteholder).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Series 2023-6 Noteholders</w:t>
      </w:r>
      <w:r>
        <w:rPr>
          <w:rFonts w:ascii="Times New Roman" w:cs="Times New Roman" w:eastAsia="Times New Roman" w:hAnsi="Times New Roman"/>
          <w:sz w:val="22"/>
          <w:szCs w:val="22"/>
          <w:color w:val="auto"/>
        </w:rPr>
        <w:t>” means Series 2023-6 Noteholders holding, in the aggregate, more than 50% of the Series 2023-6 Invested Amount (excluding, for the purpose of making the foregoing calculation (x) for all purposes, any Series 2023-6 Notes held by ABCR or any Affiliate of ABCR unless ABCR is the sole Series 2023-6 Noteholder and (y) for so long as any Class A Notes, the Class B Notes, or the Class C Notes are outstanding, any Class D Notes).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A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B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C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D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R Note</w:t>
      </w:r>
      <w:r>
        <w:rPr>
          <w:rFonts w:ascii="Times New Roman" w:cs="Times New Roman" w:eastAsia="Times New Roman" w:hAnsi="Times New Roman"/>
          <w:sz w:val="22"/>
          <w:szCs w:val="22"/>
          <w:color w:val="auto"/>
        </w:rPr>
        <w:t>” is defined in Section 4.1.</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Series 2023-6 Notes</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Selected Fleet Market Value</w:t>
      </w:r>
      <w:r>
        <w:rPr>
          <w:rFonts w:ascii="Times New Roman" w:cs="Times New Roman" w:eastAsia="Times New Roman" w:hAnsi="Times New Roman"/>
          <w:sz w:val="21"/>
          <w:szCs w:val="21"/>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the Finance Guide is not being published, the Market Value of such</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bl>
    <w:p>
      <w:pPr>
        <w:sectPr>
          <w:pgSz w:w="11900" w:h="16838" w:orient="portrait"/>
          <w:cols w:equalWidth="0" w:num="1">
            <w:col w:w="11240"/>
          </w:cols>
          <w:pgMar w:left="320" w:top="1030" w:right="339" w:bottom="1440" w:gutter="0" w:footer="0" w:header="0"/>
        </w:sectPr>
      </w:pPr>
    </w:p>
    <w:bookmarkStart w:id="351" w:name="page352"/>
    <w:bookmarkEnd w:id="351"/>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2010-6 Notes</w:t>
      </w:r>
      <w:r>
        <w:rPr>
          <w:rFonts w:ascii="Times New Roman" w:cs="Times New Roman" w:eastAsia="Times New Roman" w:hAnsi="Times New Roman"/>
          <w:sz w:val="22"/>
          <w:szCs w:val="22"/>
          <w:color w:val="auto"/>
        </w:rPr>
        <w:t>” means the Series of Notes designated as the Series 2010-6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2011-4 Notes</w:t>
      </w:r>
      <w:r>
        <w:rPr>
          <w:rFonts w:ascii="Times New Roman" w:cs="Times New Roman" w:eastAsia="Times New Roman" w:hAnsi="Times New Roman"/>
          <w:sz w:val="22"/>
          <w:szCs w:val="22"/>
          <w:color w:val="auto"/>
        </w:rPr>
        <w:t>” means the Series of Notes designated as the Series 2011-4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2015-3 Notes</w:t>
      </w:r>
      <w:r>
        <w:rPr>
          <w:rFonts w:ascii="Times New Roman" w:cs="Times New Roman" w:eastAsia="Times New Roman" w:hAnsi="Times New Roman"/>
          <w:sz w:val="22"/>
          <w:szCs w:val="22"/>
          <w:color w:val="auto"/>
        </w:rPr>
        <w:t>” means the Series of Notes designated as the Series 2015-3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2020-1 Notes</w:t>
      </w:r>
      <w:r>
        <w:rPr>
          <w:rFonts w:ascii="Times New Roman" w:cs="Times New Roman" w:eastAsia="Times New Roman" w:hAnsi="Times New Roman"/>
          <w:sz w:val="22"/>
          <w:szCs w:val="22"/>
          <w:color w:val="auto"/>
        </w:rPr>
        <w:t>” means the Series of Notes designated as the Series 2020-1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2020-2 Notes</w:t>
      </w:r>
      <w:r>
        <w:rPr>
          <w:rFonts w:ascii="Times New Roman" w:cs="Times New Roman" w:eastAsia="Times New Roman" w:hAnsi="Times New Roman"/>
          <w:sz w:val="22"/>
          <w:szCs w:val="22"/>
          <w:color w:val="auto"/>
        </w:rPr>
        <w:t>” means the Series of Notes designated as the Series 2020-2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2021-1 Notes</w:t>
      </w:r>
      <w:r>
        <w:rPr>
          <w:rFonts w:ascii="Times New Roman" w:cs="Times New Roman" w:eastAsia="Times New Roman" w:hAnsi="Times New Roman"/>
          <w:sz w:val="22"/>
          <w:szCs w:val="22"/>
          <w:color w:val="auto"/>
        </w:rPr>
        <w:t>” means the Series of Notes designated as the Series 2021-1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2021-2 Notes</w:t>
      </w:r>
      <w:r>
        <w:rPr>
          <w:rFonts w:ascii="Times New Roman" w:cs="Times New Roman" w:eastAsia="Times New Roman" w:hAnsi="Times New Roman"/>
          <w:sz w:val="22"/>
          <w:szCs w:val="22"/>
          <w:color w:val="auto"/>
        </w:rPr>
        <w:t>” means the Series of Notes designated as the Series 2021-2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2022-1 Notes</w:t>
      </w:r>
      <w:r>
        <w:rPr>
          <w:rFonts w:ascii="Times New Roman" w:cs="Times New Roman" w:eastAsia="Times New Roman" w:hAnsi="Times New Roman"/>
          <w:sz w:val="22"/>
          <w:szCs w:val="22"/>
          <w:color w:val="auto"/>
        </w:rPr>
        <w:t>” means the Series of Notes designated as the Series 2022-1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2022-3 Notes</w:t>
      </w:r>
      <w:r>
        <w:rPr>
          <w:rFonts w:ascii="Times New Roman" w:cs="Times New Roman" w:eastAsia="Times New Roman" w:hAnsi="Times New Roman"/>
          <w:sz w:val="22"/>
          <w:szCs w:val="22"/>
          <w:color w:val="auto"/>
        </w:rPr>
        <w:t>” means the Series of Notes designated as the Series 2022-3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2022-4 Notes</w:t>
      </w:r>
      <w:r>
        <w:rPr>
          <w:rFonts w:ascii="Times New Roman" w:cs="Times New Roman" w:eastAsia="Times New Roman" w:hAnsi="Times New Roman"/>
          <w:sz w:val="22"/>
          <w:szCs w:val="22"/>
          <w:color w:val="auto"/>
        </w:rPr>
        <w:t>” means the Series of Notes designated as the Series 2022-4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Notes</w:t>
      </w:r>
      <w:r>
        <w:rPr>
          <w:rFonts w:ascii="Times New Roman" w:cs="Times New Roman" w:eastAsia="Times New Roman" w:hAnsi="Times New Roman"/>
          <w:sz w:val="22"/>
          <w:szCs w:val="22"/>
          <w:color w:val="auto"/>
        </w:rPr>
        <w:t>” means the Series of Notes designated as the Series 2022-5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Notes</w:t>
      </w:r>
      <w:r>
        <w:rPr>
          <w:rFonts w:ascii="Times New Roman" w:cs="Times New Roman" w:eastAsia="Times New Roman" w:hAnsi="Times New Roman"/>
          <w:sz w:val="22"/>
          <w:szCs w:val="22"/>
          <w:color w:val="auto"/>
        </w:rPr>
        <w:t>” means the Series of Notes designated as the Series 2023-1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Notes</w:t>
      </w:r>
      <w:r>
        <w:rPr>
          <w:rFonts w:ascii="Times New Roman" w:cs="Times New Roman" w:eastAsia="Times New Roman" w:hAnsi="Times New Roman"/>
          <w:sz w:val="22"/>
          <w:szCs w:val="22"/>
          <w:color w:val="auto"/>
        </w:rPr>
        <w:t>” means the Series of Notes designated as the Series 2023-2 Notes.</w:t>
      </w:r>
    </w:p>
    <w:p>
      <w:pPr>
        <w:spacing w:after="0" w:line="200" w:lineRule="exact"/>
        <w:rPr>
          <w:sz w:val="20"/>
          <w:szCs w:val="20"/>
          <w:color w:val="auto"/>
        </w:rPr>
      </w:pP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ectPr>
          <w:pgSz w:w="11900" w:h="16838" w:orient="portrait"/>
          <w:cols w:equalWidth="0" w:num="1">
            <w:col w:w="11240"/>
          </w:cols>
          <w:pgMar w:left="320" w:top="1030" w:right="339" w:bottom="1440" w:gutter="0" w:footer="0" w:header="0"/>
        </w:sectPr>
      </w:pPr>
    </w:p>
    <w:bookmarkStart w:id="352" w:name="page353"/>
    <w:bookmarkEnd w:id="352"/>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2023-3 Notes</w:t>
      </w:r>
      <w:r>
        <w:rPr>
          <w:rFonts w:ascii="Times New Roman" w:cs="Times New Roman" w:eastAsia="Times New Roman" w:hAnsi="Times New Roman"/>
          <w:sz w:val="22"/>
          <w:szCs w:val="22"/>
          <w:color w:val="auto"/>
        </w:rPr>
        <w:t>” means the Series of Notes designated as the Series 2023-3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Notes</w:t>
      </w:r>
      <w:r>
        <w:rPr>
          <w:rFonts w:ascii="Times New Roman" w:cs="Times New Roman" w:eastAsia="Times New Roman" w:hAnsi="Times New Roman"/>
          <w:sz w:val="22"/>
          <w:szCs w:val="22"/>
          <w:color w:val="auto"/>
        </w:rPr>
        <w:t>” means the Series of Notes designated as the Series 2023-4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2023-5 Notes</w:t>
      </w:r>
      <w:r>
        <w:rPr>
          <w:rFonts w:ascii="Times New Roman" w:cs="Times New Roman" w:eastAsia="Times New Roman" w:hAnsi="Times New Roman"/>
          <w:sz w:val="22"/>
          <w:szCs w:val="22"/>
          <w:color w:val="auto"/>
        </w:rPr>
        <w:t>” means the Series of Notes designated as the Series 2023-5 Notes.</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Accounts</w:t>
      </w:r>
      <w:r>
        <w:rPr>
          <w:rFonts w:ascii="Times New Roman" w:cs="Times New Roman" w:eastAsia="Times New Roman" w:hAnsi="Times New Roman"/>
          <w:sz w:val="22"/>
          <w:szCs w:val="22"/>
          <w:color w:val="auto"/>
        </w:rPr>
        <w:t>” means each of the Series 2023-6 Distribution Account, the Class A/B/C Reserve Account, the Class D Reserve Account, the Series 2023-6 Collection Account, the Series 2023-6 Excess Collection Account and the Series 2023-6 Accrued Interest Account.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Accrued Interest Account</w:t>
      </w:r>
      <w:r>
        <w:rPr>
          <w:rFonts w:ascii="Times New Roman" w:cs="Times New Roman" w:eastAsia="Times New Roman" w:hAnsi="Times New Roman"/>
          <w:sz w:val="22"/>
          <w:szCs w:val="22"/>
          <w:color w:val="auto"/>
        </w:rPr>
        <w:t>” is defined in Section 2.1(b).</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AESOP I Operating Lease Loan Agreement Borrowing Base</w:t>
      </w:r>
      <w:r>
        <w:rPr>
          <w:rFonts w:ascii="Times New Roman" w:cs="Times New Roman" w:eastAsia="Times New Roman" w:hAnsi="Times New Roman"/>
          <w:sz w:val="22"/>
          <w:szCs w:val="22"/>
          <w:color w:val="auto"/>
        </w:rPr>
        <w:t xml:space="preserve">” means, as of any date of determination, the product of (a) the Series 2023-6 AESOP I Operating Lease Vehicle Percentage as of such date and (b) the excess of (i) the AESOP I Operating Lease Loan Agreement Borrowing Base as of such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Moody’s Excluded Manufacturer Amount as of such date.</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AESOP I Operating Lease Vehicle Percentage</w:t>
      </w:r>
      <w:r>
        <w:rPr>
          <w:rFonts w:ascii="Times New Roman" w:cs="Times New Roman" w:eastAsia="Times New Roman" w:hAnsi="Times New Roman"/>
          <w:sz w:val="22"/>
          <w:szCs w:val="22"/>
          <w:color w:val="auto"/>
        </w:rPr>
        <w:t>” means, as of any date of determination, a fraction, expressed as a percentage (which percentage shall never exceed 100%), the numerator of which is the Series 2023-6 Required AESOP I Operating Lease Vehicle Amount as of such date and the denominator of which is the sum of the Required AESOP I Operating Lease Vehicle Amounts for all Series of Notes as of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Agent</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Allocated Cash Amount</w:t>
      </w:r>
      <w:r>
        <w:rPr>
          <w:rFonts w:ascii="Times New Roman" w:cs="Times New Roman" w:eastAsia="Times New Roman" w:hAnsi="Times New Roman"/>
          <w:sz w:val="22"/>
          <w:szCs w:val="22"/>
          <w:color w:val="auto"/>
        </w:rPr>
        <w:t>” means, as of any date of determination, an amount equal to (x) all cash on deposit in the Collection Account as of such date times (y) the Series 2023-6 Invested Percentage (calculated with respect to Principal Collections) as of such date.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Cash Collateral Accounts</w:t>
      </w:r>
      <w:r>
        <w:rPr>
          <w:rFonts w:ascii="Times New Roman" w:cs="Times New Roman" w:eastAsia="Times New Roman" w:hAnsi="Times New Roman"/>
          <w:sz w:val="22"/>
          <w:szCs w:val="22"/>
          <w:color w:val="auto"/>
        </w:rPr>
        <w:t>” means, together, the Class A/B/C Cash Collateral Account and the Class D Cash Collateral Account.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Collateral</w:t>
      </w:r>
      <w:r>
        <w:rPr>
          <w:rFonts w:ascii="Times New Roman" w:cs="Times New Roman" w:eastAsia="Times New Roman" w:hAnsi="Times New Roman"/>
          <w:sz w:val="22"/>
          <w:szCs w:val="22"/>
          <w:color w:val="auto"/>
        </w:rPr>
        <w:t>” means the Collateral, the Multi-Series Letters of Credit, each Series 2023-6 Demand Note, the Series 2023-6 Distribution Account Collateral, the Class A/B/C Cash Collateral Account Collateral, the Class D Cash Collateral Account Collateral, the Class A/B/C Reserve Account Collateral and the Class D Reserve Account Collateral.</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Collection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Controlled Amortization Period</w:t>
      </w:r>
      <w:r>
        <w:rPr>
          <w:rFonts w:ascii="Times New Roman" w:cs="Times New Roman" w:eastAsia="Times New Roman" w:hAnsi="Times New Roman"/>
          <w:sz w:val="22"/>
          <w:szCs w:val="22"/>
          <w:color w:val="auto"/>
        </w:rPr>
        <w:t>” means the period commencing upon the close of business on May 31, 2028 (or, if such day is not a Business Day, the Business Day immediately preceding such day) and continuing to the earliest of (i) the commencement of</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ectPr>
          <w:pgSz w:w="11900" w:h="16838" w:orient="portrait"/>
          <w:cols w:equalWidth="0" w:num="1">
            <w:col w:w="11240"/>
          </w:cols>
          <w:pgMar w:left="320" w:top="1030" w:right="339" w:bottom="1440" w:gutter="0" w:footer="0" w:header="0"/>
        </w:sectPr>
      </w:pPr>
    </w:p>
    <w:bookmarkStart w:id="353" w:name="page354"/>
    <w:bookmarkEnd w:id="353"/>
    <w:p>
      <w:pPr>
        <w:jc w:val="both"/>
        <w:spacing w:after="0" w:line="271" w:lineRule="auto"/>
        <w:rPr>
          <w:sz w:val="20"/>
          <w:szCs w:val="20"/>
          <w:color w:val="auto"/>
        </w:rPr>
      </w:pPr>
      <w:r>
        <w:rPr>
          <w:rFonts w:ascii="Times New Roman" w:cs="Times New Roman" w:eastAsia="Times New Roman" w:hAnsi="Times New Roman"/>
          <w:sz w:val="22"/>
          <w:szCs w:val="22"/>
          <w:color w:val="auto"/>
        </w:rPr>
        <w:t>the Series 2023-6 Rapid Amortization Period, (ii) the date on which the Series 2023-6 Notes are fully paid and (iii) the termination of the Indenture.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Demand Note</w:t>
      </w:r>
      <w:r>
        <w:rPr>
          <w:rFonts w:ascii="Times New Roman" w:cs="Times New Roman" w:eastAsia="Times New Roman" w:hAnsi="Times New Roman"/>
          <w:sz w:val="22"/>
          <w:szCs w:val="22"/>
          <w:color w:val="auto"/>
        </w:rPr>
        <w:t xml:space="preserve">” means each demand note made by a Demand Note Issuer,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as amended, modified or restated from time to time.</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Demand Note Payment Amount</w:t>
      </w:r>
      <w:r>
        <w:rPr>
          <w:rFonts w:ascii="Times New Roman" w:cs="Times New Roman" w:eastAsia="Times New Roman" w:hAnsi="Times New Roman"/>
          <w:sz w:val="22"/>
          <w:szCs w:val="22"/>
          <w:color w:val="auto"/>
        </w:rPr>
        <w:t xml:space="preserve">” means, as of the Multi-Series Letter of Credit Termination Date, the aggregate amount of all proceeds of demands made on the Series 2023-6 Demand Notes pursuant to Section 2.5(c)(i), (d)(i) or (e)(i) that were deposited into the Series 2023-6 Distribution Account and paid to the Series 2023-6 Noteholders during the one year period ending on the Multi-Series Letter of Credit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2023-6 Demand Note Payment Amount as of the Multi-Series Letter of Credit Termination Date shall equal the Series 2023-6 Demand Note Payment Amount as if it were calculated as of the date of such occurrence.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Deposit Date</w:t>
      </w:r>
      <w:r>
        <w:rPr>
          <w:rFonts w:ascii="Times New Roman" w:cs="Times New Roman" w:eastAsia="Times New Roman" w:hAnsi="Times New Roman"/>
          <w:sz w:val="22"/>
          <w:szCs w:val="22"/>
          <w:color w:val="auto"/>
        </w:rPr>
        <w:t>” is defined in Section 2.2.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Distribution Account</w:t>
      </w:r>
      <w:r>
        <w:rPr>
          <w:rFonts w:ascii="Times New Roman" w:cs="Times New Roman" w:eastAsia="Times New Roman" w:hAnsi="Times New Roman"/>
          <w:sz w:val="22"/>
          <w:szCs w:val="22"/>
          <w:color w:val="auto"/>
        </w:rPr>
        <w:t>” is defined in Section 2.9(a).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Distribution Account Collateral</w:t>
      </w:r>
      <w:r>
        <w:rPr>
          <w:rFonts w:ascii="Times New Roman" w:cs="Times New Roman" w:eastAsia="Times New Roman" w:hAnsi="Times New Roman"/>
          <w:sz w:val="22"/>
          <w:szCs w:val="22"/>
          <w:color w:val="auto"/>
        </w:rPr>
        <w:t>” is defined in Section 2.9(d).</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2023-6 Eligible Letter of Credit Provider</w:t>
      </w:r>
      <w:r>
        <w:rPr>
          <w:rFonts w:ascii="Times New Roman" w:cs="Times New Roman" w:eastAsia="Times New Roman" w:hAnsi="Times New Roman"/>
          <w:sz w:val="21"/>
          <w:szCs w:val="21"/>
          <w:color w:val="auto"/>
        </w:rPr>
        <w:t xml:space="preserve">” 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Person is not a Multi-Series Letter of Credit Provider (or a letter of credit provider under the Series Supplement for any other Series of Notes), then such Person shall not be a Series 2023-6 Eligible Letter of Credit Provider until ABRCF has provided ten (10) days’ prior notice to the Rating Agencies that such Person has been proposed as a Multi-Series Letter of Credit Provider.</w:t>
      </w:r>
    </w:p>
    <w:p>
      <w:pPr>
        <w:spacing w:after="0" w:line="17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Enhancement</w:t>
      </w:r>
      <w:r>
        <w:rPr>
          <w:rFonts w:ascii="Times New Roman" w:cs="Times New Roman" w:eastAsia="Times New Roman" w:hAnsi="Times New Roman"/>
          <w:sz w:val="22"/>
          <w:szCs w:val="22"/>
          <w:color w:val="auto"/>
        </w:rPr>
        <w:t>” means the Class A/B/C Cash Collateral Account Collateral, the Class D Cash Collateral Account Collateral, the Multi-Series Letters of Credit, the Series 2023-6 Demand Notes, the Class D Overcollateralization Amount and the Class A/B/C Required Reserve Account Amount.</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Enhancement Deficiency</w:t>
      </w:r>
      <w:r>
        <w:rPr>
          <w:rFonts w:ascii="Times New Roman" w:cs="Times New Roman" w:eastAsia="Times New Roman" w:hAnsi="Times New Roman"/>
          <w:sz w:val="22"/>
          <w:szCs w:val="22"/>
          <w:color w:val="auto"/>
        </w:rPr>
        <w:t>” means a Class A/B/C Enhancement Deficiency or a Class D Enhancement Deficiency.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Excess Collection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Excess Tesla Percentage</w:t>
      </w:r>
      <w:r>
        <w:rPr>
          <w:rFonts w:ascii="Times New Roman" w:cs="Times New Roman" w:eastAsia="Times New Roman" w:hAnsi="Times New Roman"/>
          <w:sz w:val="22"/>
          <w:szCs w:val="22"/>
          <w:color w:val="auto"/>
        </w:rPr>
        <w:t>” means, as of any date of determination, the greater of (1) zero and (2) the percentage equal to (x) a fraction (expressed as a percentage)</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ectPr>
          <w:pgSz w:w="11900" w:h="16838" w:orient="portrait"/>
          <w:cols w:equalWidth="0" w:num="1">
            <w:col w:w="11240"/>
          </w:cols>
          <w:pgMar w:left="320" w:top="1030" w:right="339" w:bottom="1440" w:gutter="0" w:footer="0" w:header="0"/>
        </w:sectPr>
      </w:pPr>
    </w:p>
    <w:bookmarkStart w:id="354" w:name="page355"/>
    <w:bookmarkEnd w:id="354"/>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equal to the aggregate Net Book Value of all Vehicles manufactured by Tesla and leased under the Leases divided by the aggregate Net Book Value of all Vehicles leased under the Leases minus (y) 15 percentage points.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Expected Final Distribution Date</w:t>
      </w:r>
      <w:r>
        <w:rPr>
          <w:rFonts w:ascii="Times New Roman" w:cs="Times New Roman" w:eastAsia="Times New Roman" w:hAnsi="Times New Roman"/>
          <w:sz w:val="22"/>
          <w:szCs w:val="22"/>
          <w:color w:val="auto"/>
        </w:rPr>
        <w:t>” means the December 2028 Distribution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Final Distribution Date</w:t>
      </w:r>
      <w:r>
        <w:rPr>
          <w:rFonts w:ascii="Times New Roman" w:cs="Times New Roman" w:eastAsia="Times New Roman" w:hAnsi="Times New Roman"/>
          <w:sz w:val="22"/>
          <w:szCs w:val="22"/>
          <w:color w:val="auto"/>
        </w:rPr>
        <w:t>” means the December 2029 Distribution Date.</w:t>
      </w:r>
    </w:p>
    <w:p>
      <w:pPr>
        <w:spacing w:after="0" w:line="214"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2023-6 Interest Period</w:t>
      </w:r>
      <w:r>
        <w:rPr>
          <w:rFonts w:ascii="Times New Roman" w:cs="Times New Roman" w:eastAsia="Times New Roman" w:hAnsi="Times New Roman"/>
          <w:sz w:val="21"/>
          <w:szCs w:val="21"/>
          <w:color w:val="auto"/>
        </w:rPr>
        <w:t>” means a period commencing on and including the 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each calendar month and ending on and including the 19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in the following calendar month;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(x) the initial Series 2023-6 Interest Period with respect to the Class A Notes, the Class B Notes and the Class C Notes commenced on and included the Class A/B/C Notes Closing Date and ended on and included June 19, 2023 and (y) the initial Series 2023-6 Interest Period with respect to the Class D Notes shall commence on and include the Class D Closing Date and shall end on and include March 19, 2025.</w:t>
      </w:r>
    </w:p>
    <w:p>
      <w:pPr>
        <w:spacing w:after="0" w:line="19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Invested Percentage</w:t>
      </w:r>
      <w:r>
        <w:rPr>
          <w:rFonts w:ascii="Times New Roman" w:cs="Times New Roman" w:eastAsia="Times New Roman" w:hAnsi="Times New Roman"/>
          <w:sz w:val="22"/>
          <w:szCs w:val="22"/>
          <w:color w:val="auto"/>
        </w:rPr>
        <w:t>” means, as of any date of determination:</w:t>
      </w:r>
    </w:p>
    <w:p>
      <w:pPr>
        <w:spacing w:after="0" w:line="233" w:lineRule="exact"/>
        <w:rPr>
          <w:sz w:val="20"/>
          <w:szCs w:val="20"/>
          <w:color w:val="auto"/>
        </w:rPr>
      </w:pPr>
    </w:p>
    <w:p>
      <w:pPr>
        <w:jc w:val="both"/>
        <w:ind w:firstLine="1304"/>
        <w:spacing w:after="0" w:line="247" w:lineRule="auto"/>
        <w:tabs>
          <w:tab w:leader="none" w:pos="1630"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2023-6 Invested Amount and the Class D Overcollateralization Amount, determined during the Series 2023-6 Revolving Period as of the end of the Related Month (or, until the end of the Related Month during which the Class D Notes Closing Date occurs, on the Class D Notes Closing Date), or, during the Series 2023-6 Controlled Amortization Period and the Series 2023-6 Rapid Amortization Period, as of the end of the Series 2023-6 Revolving Period, and the denominator of which shall be the greater of (I) the Aggregate Asset Amount as of the end of the Related Month or, until the end of the initial Related Month, as 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20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604"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Interest Collections, the percentage equivalent (which percentage shall never exceed 100%) of a fraction, the numerator of which shall be the Accrued Amounts with respect to the Series 2023-6 Notes on such date of determination, and the denominator of which shall be the aggregate Accrued Amounts with respect to all Series of Notes on such date of determination. For so long as ABRCF owns 100% of the Class C Notes, the accrued</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bl>
    <w:p>
      <w:pPr>
        <w:sectPr>
          <w:pgSz w:w="11900" w:h="16838" w:orient="portrait"/>
          <w:cols w:equalWidth="0" w:num="1">
            <w:col w:w="11240"/>
          </w:cols>
          <w:pgMar w:left="320" w:top="1030" w:right="339" w:bottom="1440" w:gutter="0" w:footer="0" w:header="0"/>
        </w:sectPr>
      </w:pPr>
    </w:p>
    <w:bookmarkStart w:id="355" w:name="page356"/>
    <w:bookmarkEnd w:id="355"/>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and unpaid interest with respect to the Class C Notes shall be $0 for purposes of calculating the Accrued Amounts with respect to the Series 2023-6 Notes.</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Lease Interest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Interest Collections which pursuant to Section 2.2(a), (b), (c) or (d) would have been allocated to the Series 2023-6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2023-6 Accrued Interest Account (excluding any amounts paid into the Series 2023-6 Accrued Interest Account pursuant to the proviso in Sections 2.2(c)(ii) and/or 2.2(d)(ii)) from and excluding the preceding Distribution Date to and including the Business Day immediately preceding such Distribution Date over (2) the Class R Monthly Interest with respect to the Series 2023-6 Interest Period ended on the day preceding such Distribution Date.</w:t>
      </w:r>
    </w:p>
    <w:p>
      <w:pPr>
        <w:spacing w:after="0" w:line="185"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Lease Payment Deficit</w:t>
      </w:r>
      <w:r>
        <w:rPr>
          <w:rFonts w:ascii="Times New Roman" w:cs="Times New Roman" w:eastAsia="Times New Roman" w:hAnsi="Times New Roman"/>
          <w:sz w:val="22"/>
          <w:szCs w:val="22"/>
          <w:color w:val="auto"/>
        </w:rPr>
        <w:t>” means either a Series 2023-6 Lease Interest Payment Deficit or a Series 2023-6 Lease Principal Payment Deficit.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Lease Principal Payment Carryover Deficit</w:t>
      </w:r>
      <w:r>
        <w:rPr>
          <w:rFonts w:ascii="Times New Roman" w:cs="Times New Roman" w:eastAsia="Times New Roman" w:hAnsi="Times New Roman"/>
          <w:sz w:val="22"/>
          <w:szCs w:val="22"/>
          <w:color w:val="auto"/>
        </w:rPr>
        <w:t>” means (a) for the initial Distribution Date, zero and</w:t>
      </w:r>
    </w:p>
    <w:p>
      <w:pPr>
        <w:spacing w:after="0" w:line="28" w:lineRule="exact"/>
        <w:rPr>
          <w:sz w:val="20"/>
          <w:szCs w:val="20"/>
          <w:color w:val="auto"/>
        </w:rPr>
      </w:pPr>
    </w:p>
    <w:p>
      <w:pPr>
        <w:jc w:val="both"/>
        <w:ind w:firstLine="8"/>
        <w:spacing w:after="0" w:line="245" w:lineRule="auto"/>
        <w:tabs>
          <w:tab w:leader="none" w:pos="313" w:val="left"/>
        </w:tabs>
        <w:numPr>
          <w:ilvl w:val="0"/>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other Distribution Date, the excess of (x) the Series 2023-6 Lease Principal Payment Deficit, if any, on the preceding Distribution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the amount deposited in the Distribution Account on such preceding Distribution Date pursuant to Section 2.5(b) on account of such Series 2023-6 Lease Principal Payment Deficit.</w:t>
      </w:r>
    </w:p>
    <w:p>
      <w:pPr>
        <w:spacing w:after="0" w:line="18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Lease Principal Payment Deficit</w:t>
      </w:r>
      <w:r>
        <w:rPr>
          <w:rFonts w:ascii="Times New Roman" w:cs="Times New Roman" w:eastAsia="Times New Roman" w:hAnsi="Times New Roman"/>
          <w:sz w:val="22"/>
          <w:szCs w:val="22"/>
          <w:color w:val="auto"/>
        </w:rPr>
        <w:t>” means on any Distribution Date, the sum of (a) the Series 2023-6 Monthly Lease Principal Payment Deficit for such Distribution Date and (b) the Series 2023-6 Lease Principal Payment Carryover Deficit for such Distribution Date.</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Limited Liquidation Event of Default</w:t>
      </w:r>
      <w:r>
        <w:rPr>
          <w:rFonts w:ascii="Times New Roman" w:cs="Times New Roman" w:eastAsia="Times New Roman" w:hAnsi="Times New Roman"/>
          <w:sz w:val="22"/>
          <w:szCs w:val="22"/>
          <w:color w:val="auto"/>
        </w:rPr>
        <w:t xml:space="preserve">” means, so long as such event or condition continues, any event or condition of the type specified in clauses (a) through (g) of Article III;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event or condition of the type specified in clauses (a) through (g) of Article III shall not constitute a Series 2023-6 Limited Liquidation Event of Default if the Trustee shall have received the written consent of the Requisite Series 2023-6 Noteholders waiving the occurrence of such Series 2023-6 Limited Liquidation Event of Default. The Trustee shall promptly (but in any event within two (2) days) provide the Rating Agencies with written notice of such waiver.</w:t>
      </w:r>
    </w:p>
    <w:p>
      <w:pPr>
        <w:spacing w:after="0" w:line="18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2023-6 Monthly Lease Principal Payment Deficit</w:t>
      </w:r>
      <w:r>
        <w:rPr>
          <w:rFonts w:ascii="Times New Roman" w:cs="Times New Roman" w:eastAsia="Times New Roman" w:hAnsi="Times New Roman"/>
          <w:sz w:val="21"/>
          <w:szCs w:val="21"/>
          <w:color w:val="auto"/>
        </w:rPr>
        <w:t>” means, on any Distribution Date, an amount equal to the excess, if any, of (1) the excess, if any, of (a) the aggregate amount of Principal Collections which pursuant to Section 2.2(a), (b), (c) or (d) would have been allocated to the Series 2023-6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2023-6 Collection Account (without giving effect to any amounts paid into the Series 2023-6 Accrued Interest</w:t>
      </w:r>
    </w:p>
    <w:p>
      <w:pPr>
        <w:spacing w:after="0" w:line="200" w:lineRule="exact"/>
        <w:rPr>
          <w:sz w:val="20"/>
          <w:szCs w:val="20"/>
          <w:color w:val="auto"/>
        </w:rPr>
      </w:pP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ectPr>
          <w:pgSz w:w="11900" w:h="16838" w:orient="portrait"/>
          <w:cols w:equalWidth="0" w:num="1">
            <w:col w:w="11240"/>
          </w:cols>
          <w:pgMar w:left="320" w:top="1030" w:right="339" w:bottom="1440" w:gutter="0" w:footer="0" w:header="0"/>
        </w:sectPr>
      </w:pPr>
    </w:p>
    <w:bookmarkStart w:id="356" w:name="page357"/>
    <w:bookmarkEnd w:id="356"/>
    <w:p>
      <w:pPr>
        <w:jc w:val="both"/>
        <w:spacing w:after="0" w:line="263" w:lineRule="auto"/>
        <w:rPr>
          <w:sz w:val="20"/>
          <w:szCs w:val="20"/>
          <w:color w:val="auto"/>
        </w:rPr>
      </w:pPr>
      <w:r>
        <w:rPr>
          <w:rFonts w:ascii="Times New Roman" w:cs="Times New Roman" w:eastAsia="Times New Roman" w:hAnsi="Times New Roman"/>
          <w:sz w:val="22"/>
          <w:szCs w:val="22"/>
          <w:color w:val="auto"/>
        </w:rPr>
        <w:t>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Moody’s Highest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Moody’s Highest Enhancement Rate</w:t>
      </w:r>
      <w:r>
        <w:rPr>
          <w:rFonts w:ascii="Times New Roman" w:cs="Times New Roman" w:eastAsia="Times New Roman" w:hAnsi="Times New Roman"/>
          <w:sz w:val="22"/>
          <w:szCs w:val="22"/>
          <w:color w:val="auto"/>
        </w:rPr>
        <w:t xml:space="preserve">” means, as of any date of determination, the sum of (a) 14.25% (with respect to calculating the Class D Required Enhancement Amount) or 27.65% (with respect to calculating the Class A/B/C Required Enhancement Amount), (b) the greater of (x) the highest, for any calendar month within the preceding 12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Measurement Month Average for the immediately preceding Measurement Month and (y) the highest, for any calendar month within the preceding 3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Market Value Average as of the Determination Date within such calendar month (excluding the Market Value Average for any Determination Date which has not yet occurred) and (c) a percentage equal to the product of (x) the Series 2023-6 Excess Tesla Percentage and (y) 10%.</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Moody’s Intermediate Enhanced Vehicle Percentage</w:t>
      </w:r>
      <w:r>
        <w:rPr>
          <w:rFonts w:ascii="Times New Roman" w:cs="Times New Roman" w:eastAsia="Times New Roman" w:hAnsi="Times New Roman"/>
          <w:sz w:val="22"/>
          <w:szCs w:val="22"/>
          <w:color w:val="auto"/>
        </w:rPr>
        <w:t xml:space="preserve">” means, as of any date of determination,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sum of (a) the Series 2023-6 Moody’s Lowest Enhanced Vehicle Percentage, (b) the Series 2023-6 Moody’s Highest Enhanced Vehicle Percentage and (c) the Series 2023-6 Moody’s Trucks Percentage.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Moody’s Intermediate Enhancement Rate</w:t>
      </w:r>
      <w:r>
        <w:rPr>
          <w:rFonts w:ascii="Times New Roman" w:cs="Times New Roman" w:eastAsia="Times New Roman" w:hAnsi="Times New Roman"/>
          <w:sz w:val="22"/>
          <w:szCs w:val="22"/>
          <w:color w:val="auto"/>
        </w:rPr>
        <w:t>” means, as of any date of determination, 8.50% (with respect to calculating the Class D Required Enhancement Amount) or 16.25% (with respect to calculating the Class A/B/C Required Enhancement Amount).</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Moody’s Lowest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w:t>
      </w:r>
    </w:p>
    <w:p>
      <w:pPr>
        <w:spacing w:after="0" w:line="200" w:lineRule="exact"/>
        <w:rPr>
          <w:sz w:val="20"/>
          <w:szCs w:val="20"/>
          <w:color w:val="auto"/>
        </w:r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bl>
    <w:p>
      <w:pPr>
        <w:sectPr>
          <w:pgSz w:w="11900" w:h="16838" w:orient="portrait"/>
          <w:cols w:equalWidth="0" w:num="1">
            <w:col w:w="11240"/>
          </w:cols>
          <w:pgMar w:left="320" w:top="1030" w:right="339" w:bottom="1440" w:gutter="0" w:footer="0" w:header="0"/>
        </w:sectPr>
      </w:pPr>
    </w:p>
    <w:bookmarkStart w:id="357" w:name="page358"/>
    <w:bookmarkEnd w:id="357"/>
    <w:p>
      <w:pPr>
        <w:jc w:val="both"/>
        <w:spacing w:after="0" w:line="256" w:lineRule="auto"/>
        <w:rPr>
          <w:sz w:val="20"/>
          <w:szCs w:val="20"/>
          <w:color w:val="auto"/>
        </w:rPr>
      </w:pPr>
      <w:r>
        <w:rPr>
          <w:rFonts w:ascii="Times New Roman" w:cs="Times New Roman" w:eastAsia="Times New Roman" w:hAnsi="Times New Roman"/>
          <w:sz w:val="22"/>
          <w:szCs w:val="22"/>
          <w:color w:val="auto"/>
        </w:rPr>
        <w:t>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Moody’s Lowest Enhancement Rate</w:t>
      </w:r>
      <w:r>
        <w:rPr>
          <w:rFonts w:ascii="Times New Roman" w:cs="Times New Roman" w:eastAsia="Times New Roman" w:hAnsi="Times New Roman"/>
          <w:sz w:val="22"/>
          <w:szCs w:val="22"/>
          <w:color w:val="auto"/>
        </w:rPr>
        <w:t>” means, as of any date of determination, 5.00% (with respect to calculating the Class D Required Enhancement Amount) or 12.75% (with respect to calculating the Class A/B/C Required Enhancement Amount).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2023-6 Moody’s Required Enhancement Amount</w:t>
      </w:r>
      <w:r>
        <w:rPr>
          <w:rFonts w:ascii="Times New Roman" w:cs="Times New Roman" w:eastAsia="Times New Roman" w:hAnsi="Times New Roman"/>
          <w:sz w:val="21"/>
          <w:szCs w:val="21"/>
          <w:color w:val="auto"/>
        </w:rPr>
        <w:t>” means, as of any date of determination, the product of</w:t>
      </w:r>
    </w:p>
    <w:p>
      <w:pPr>
        <w:spacing w:after="0" w:line="39" w:lineRule="exact"/>
        <w:rPr>
          <w:sz w:val="20"/>
          <w:szCs w:val="20"/>
          <w:color w:val="auto"/>
        </w:rPr>
      </w:pPr>
    </w:p>
    <w:p>
      <w:pPr>
        <w:jc w:val="both"/>
        <w:ind w:firstLine="8"/>
        <w:spacing w:after="0" w:line="244" w:lineRule="auto"/>
        <w:tabs>
          <w:tab w:leader="none" w:pos="265" w:val="left"/>
        </w:tabs>
        <w:numPr>
          <w:ilvl w:val="0"/>
          <w:numId w:val="3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Series 2023-6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2023-6 Senior Invested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Series 2023-6 Allocated Cash Amount.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Moody’s Required Enhancement Percentage</w:t>
      </w:r>
      <w:r>
        <w:rPr>
          <w:rFonts w:ascii="Times New Roman" w:cs="Times New Roman" w:eastAsia="Times New Roman" w:hAnsi="Times New Roman"/>
          <w:sz w:val="22"/>
          <w:szCs w:val="22"/>
          <w:color w:val="auto"/>
        </w:rPr>
        <w:t>” means, as of any date of determination, the sum of</w:t>
      </w:r>
    </w:p>
    <w:p>
      <w:pPr>
        <w:spacing w:after="0" w:line="28" w:lineRule="exact"/>
        <w:rPr>
          <w:sz w:val="20"/>
          <w:szCs w:val="20"/>
          <w:color w:val="auto"/>
        </w:rPr>
      </w:pPr>
    </w:p>
    <w:p>
      <w:pPr>
        <w:jc w:val="both"/>
        <w:ind w:firstLine="8"/>
        <w:spacing w:after="0" w:line="254" w:lineRule="auto"/>
        <w:tabs>
          <w:tab w:leader="none" w:pos="268" w:val="left"/>
        </w:tabs>
        <w:numPr>
          <w:ilvl w:val="0"/>
          <w:numId w:val="3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(A) the Series 2023-6 Moody’s Lowest Enhancement Rate as of such date and (B) the Series 2023-6 Moody’s Lowest Enhanced Vehicle Percentage as of such date, (ii) the product of (A) the Series 2023-6 Moody’s Intermediate Enhancement Rate as of such date and (B) the Series 2023-6 Moody’s Intermediate Enhanced Vehicle Percentage as of such date,</w:t>
      </w:r>
    </w:p>
    <w:p>
      <w:pPr>
        <w:spacing w:after="0" w:line="2" w:lineRule="exact"/>
        <w:rPr>
          <w:rFonts w:ascii="Times New Roman" w:cs="Times New Roman" w:eastAsia="Times New Roman" w:hAnsi="Times New Roman"/>
          <w:sz w:val="21"/>
          <w:szCs w:val="21"/>
          <w:color w:val="auto"/>
        </w:rPr>
      </w:pPr>
    </w:p>
    <w:p>
      <w:pPr>
        <w:jc w:val="both"/>
        <w:ind w:firstLine="8"/>
        <w:spacing w:after="0" w:line="252" w:lineRule="auto"/>
        <w:tabs>
          <w:tab w:leader="none" w:pos="381" w:val="left"/>
        </w:tabs>
        <w:numPr>
          <w:ilvl w:val="0"/>
          <w:numId w:val="3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Series 2023-6 Moody’s Highest Enhancement Rate as of such date and (B) the Series 2023-6 Moody’s Highest Enhanced Vehicle Percentage as of such date and (iv) the product of (A) the Series 2023-6 Moody’s Trucks Enhancement Rate as of such date and (B) the Series 2023-6 Moody’s Trucks Percentage as of such date.</w:t>
      </w:r>
    </w:p>
    <w:p>
      <w:pPr>
        <w:spacing w:after="0" w:line="1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Moody’s Trucks Enhancement Rate</w:t>
      </w:r>
      <w:r>
        <w:rPr>
          <w:rFonts w:ascii="Times New Roman" w:cs="Times New Roman" w:eastAsia="Times New Roman" w:hAnsi="Times New Roman"/>
          <w:sz w:val="22"/>
          <w:szCs w:val="22"/>
          <w:color w:val="auto"/>
        </w:rPr>
        <w:t>” means, as of any date of determination, 35.80%.</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Moody’s Trucks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Note Owner</w:t>
      </w:r>
      <w:r>
        <w:rPr>
          <w:rFonts w:ascii="Times New Roman" w:cs="Times New Roman" w:eastAsia="Times New Roman" w:hAnsi="Times New Roman"/>
          <w:sz w:val="22"/>
          <w:szCs w:val="22"/>
          <w:color w:val="auto"/>
        </w:rPr>
        <w:t>” means each beneficial owner of a Series 2023-6 Note.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Noteholder</w:t>
      </w:r>
      <w:r>
        <w:rPr>
          <w:rFonts w:ascii="Times New Roman" w:cs="Times New Roman" w:eastAsia="Times New Roman" w:hAnsi="Times New Roman"/>
          <w:sz w:val="22"/>
          <w:szCs w:val="22"/>
          <w:color w:val="auto"/>
        </w:rPr>
        <w:t>” means any Class A Noteholder, any Class B Noteholder, any Class C Noteholder, any Class D Noteholder or any Class R Noteholder.</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Notes</w:t>
      </w:r>
      <w:r>
        <w:rPr>
          <w:rFonts w:ascii="Times New Roman" w:cs="Times New Roman" w:eastAsia="Times New Roman" w:hAnsi="Times New Roman"/>
          <w:sz w:val="22"/>
          <w:szCs w:val="22"/>
          <w:color w:val="auto"/>
        </w:rPr>
        <w:t>” means, collectively, the Class A Notes, the Class B Notes, the Class C Notes, the Class D Notes, and the Class R Notes.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Past Due Rent Payment</w:t>
      </w:r>
      <w:r>
        <w:rPr>
          <w:rFonts w:ascii="Times New Roman" w:cs="Times New Roman" w:eastAsia="Times New Roman" w:hAnsi="Times New Roman"/>
          <w:sz w:val="22"/>
          <w:szCs w:val="22"/>
          <w:color w:val="auto"/>
        </w:rPr>
        <w:t>” is defined in Section 2.2(g).</w:t>
      </w: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ectPr>
          <w:pgSz w:w="11900" w:h="16838" w:orient="portrait"/>
          <w:cols w:equalWidth="0" w:num="1">
            <w:col w:w="11240"/>
          </w:cols>
          <w:pgMar w:left="320" w:top="1030" w:right="339" w:bottom="1440" w:gutter="0" w:footer="0" w:header="0"/>
        </w:sectPr>
      </w:pPr>
    </w:p>
    <w:bookmarkStart w:id="358" w:name="page359"/>
    <w:bookmarkEnd w:id="358"/>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Percentage</w:t>
      </w:r>
      <w:r>
        <w:rPr>
          <w:rFonts w:ascii="Times New Roman" w:cs="Times New Roman" w:eastAsia="Times New Roman" w:hAnsi="Times New Roman"/>
          <w:sz w:val="22"/>
          <w:szCs w:val="22"/>
          <w:color w:val="auto"/>
        </w:rPr>
        <w:t>” means, as of any date of determination, a fraction, expressed as a percentage, the numerator of which is the Series 2023-6 Invested Amount as of such date and the denominator of which is the Aggregate Invested Amount as of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Principal Allocation</w:t>
      </w:r>
      <w:r>
        <w:rPr>
          <w:rFonts w:ascii="Times New Roman" w:cs="Times New Roman" w:eastAsia="Times New Roman" w:hAnsi="Times New Roman"/>
          <w:sz w:val="22"/>
          <w:szCs w:val="22"/>
          <w:color w:val="auto"/>
        </w:rPr>
        <w:t>” is defined in Section 2.2(a)(ii).</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Rapid Amortization Period</w:t>
      </w:r>
      <w:r>
        <w:rPr>
          <w:rFonts w:ascii="Times New Roman" w:cs="Times New Roman" w:eastAsia="Times New Roman" w:hAnsi="Times New Roman"/>
          <w:sz w:val="22"/>
          <w:szCs w:val="22"/>
          <w:color w:val="auto"/>
        </w:rPr>
        <w:t>” means the period beginning at the close of business on the Business Day immediately preceding the day on which an Amortization Event is deemed to have occurred with respect to the Series 2023-6 Notes and ending upon the earliest to occur of (i) the date on which the Series 2023-6 Notes are fully paid, (ii) the Series 2023-6 Final Distribution Date and (iii) the termination of the Indenture.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Reimbursement Agreement</w:t>
      </w:r>
      <w:r>
        <w:rPr>
          <w:rFonts w:ascii="Times New Roman" w:cs="Times New Roman" w:eastAsia="Times New Roman" w:hAnsi="Times New Roman"/>
          <w:sz w:val="22"/>
          <w:szCs w:val="22"/>
          <w:color w:val="auto"/>
        </w:rPr>
        <w:t>” means any and each agreement providing for the reimbursement of a Multi-Series Letter of Credit Provider for draws under its Multi-Series Letter of Credit as the same may be amended, supplemented, restated or otherwise modified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Repurchase Amount</w:t>
      </w:r>
      <w:r>
        <w:rPr>
          <w:rFonts w:ascii="Times New Roman" w:cs="Times New Roman" w:eastAsia="Times New Roman" w:hAnsi="Times New Roman"/>
          <w:sz w:val="22"/>
          <w:szCs w:val="22"/>
          <w:color w:val="auto"/>
        </w:rPr>
        <w:t>” is defined in Section 5.1(a).</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Required AESOP I Operating Lease Vehicle Amount</w:t>
      </w:r>
      <w:r>
        <w:rPr>
          <w:rFonts w:ascii="Times New Roman" w:cs="Times New Roman" w:eastAsia="Times New Roman" w:hAnsi="Times New Roman"/>
          <w:sz w:val="22"/>
          <w:szCs w:val="22"/>
          <w:color w:val="auto"/>
        </w:rPr>
        <w:t>” 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Reserve Accounts</w:t>
      </w:r>
      <w:r>
        <w:rPr>
          <w:rFonts w:ascii="Times New Roman" w:cs="Times New Roman" w:eastAsia="Times New Roman" w:hAnsi="Times New Roman"/>
          <w:sz w:val="22"/>
          <w:szCs w:val="22"/>
          <w:color w:val="auto"/>
        </w:rPr>
        <w:t>” means, together, the Class A/B/C Reserve Account and the Class D Reserve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w:t>
      </w:r>
    </w:p>
    <w:p>
      <w:pPr>
        <w:spacing w:after="0" w:line="20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Revolving Period</w:t>
      </w:r>
      <w:r>
        <w:rPr>
          <w:rFonts w:ascii="Times New Roman" w:cs="Times New Roman" w:eastAsia="Times New Roman" w:hAnsi="Times New Roman"/>
          <w:sz w:val="22"/>
          <w:szCs w:val="22"/>
          <w:color w:val="auto"/>
        </w:rPr>
        <w:t>” means the period from and including the Class A/B/C Notes Closing Date to the earlier of (i) the commencement of the Series 2023-6 Controlled Amortization Period and (ii) the commencement of the Series 2023-6 Rapid Amortization Period.</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Senior Invested Amount</w:t>
      </w:r>
      <w:r>
        <w:rPr>
          <w:rFonts w:ascii="Times New Roman" w:cs="Times New Roman" w:eastAsia="Times New Roman" w:hAnsi="Times New Roman"/>
          <w:sz w:val="22"/>
          <w:szCs w:val="22"/>
          <w:color w:val="auto"/>
        </w:rPr>
        <w:t>” means, on any date, the sum of the Class A Invested Amount on such date, the Class B Invested Amount on such date, the Class C Invested Amount on such date and the Class D Invested Amount on such date.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Senior Monthly Interest</w:t>
      </w:r>
      <w:r>
        <w:rPr>
          <w:rFonts w:ascii="Times New Roman" w:cs="Times New Roman" w:eastAsia="Times New Roman" w:hAnsi="Times New Roman"/>
          <w:sz w:val="22"/>
          <w:szCs w:val="22"/>
          <w:color w:val="auto"/>
        </w:rPr>
        <w:t>” means, with respect to any Distribution Date, the sum of the Class A Monthly Interest, the Class B Monthly Interest, the Class C Monthly Interest and the Class D Monthly Interest, in each case with respect to the Series 2023-6 Interest Period ended on the day preceding such Distribution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2023-6 Senior Notes</w:t>
      </w:r>
      <w:r>
        <w:rPr>
          <w:rFonts w:ascii="Times New Roman" w:cs="Times New Roman" w:eastAsia="Times New Roman" w:hAnsi="Times New Roman"/>
          <w:sz w:val="21"/>
          <w:szCs w:val="21"/>
          <w:color w:val="auto"/>
        </w:rPr>
        <w:t>” means, collectively, the Class A Notes, the Class B Notes, the Class C Notes and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D Notes.</w:t>
      </w:r>
    </w:p>
    <w:p>
      <w:pPr>
        <w:spacing w:after="0" w:line="20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Shortfall</w:t>
      </w:r>
      <w:r>
        <w:rPr>
          <w:rFonts w:ascii="Times New Roman" w:cs="Times New Roman" w:eastAsia="Times New Roman" w:hAnsi="Times New Roman"/>
          <w:sz w:val="22"/>
          <w:szCs w:val="22"/>
          <w:color w:val="auto"/>
        </w:rPr>
        <w:t>” means, on any Distribution Date, the sum of the Class A Shortfall, the Class B Shortfall, the Class C Shortfall and the Class D Shortfall on such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ectPr>
          <w:pgSz w:w="11900" w:h="16838" w:orient="portrait"/>
          <w:cols w:equalWidth="0" w:num="1">
            <w:col w:w="11240"/>
          </w:cols>
          <w:pgMar w:left="320" w:top="1030" w:right="339" w:bottom="1440" w:gutter="0" w:footer="0" w:header="0"/>
        </w:sectPr>
      </w:pPr>
    </w:p>
    <w:bookmarkStart w:id="359" w:name="page360"/>
    <w:bookmarkEnd w:id="35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Termination Date</w:t>
      </w:r>
      <w:r>
        <w:rPr>
          <w:rFonts w:ascii="Times New Roman" w:cs="Times New Roman" w:eastAsia="Times New Roman" w:hAnsi="Times New Roman"/>
          <w:sz w:val="22"/>
          <w:szCs w:val="22"/>
          <w:color w:val="auto"/>
        </w:rPr>
        <w:t>” means the December 2029 Distribution Date.</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Trustee’s Fees</w:t>
      </w:r>
      <w:r>
        <w:rPr>
          <w:rFonts w:ascii="Times New Roman" w:cs="Times New Roman" w:eastAsia="Times New Roman" w:hAnsi="Times New Roman"/>
          <w:sz w:val="22"/>
          <w:szCs w:val="22"/>
          <w:color w:val="auto"/>
        </w:rPr>
        <w:t xml:space="preserve">” means, for any Distribution Date during the Series 2023-6 Rapid Amortization Period on which there exists a Series 2023-6 Lease Interest Payment Deficit, a portion of the fees payable to the Trustee in an amount equal to the product of (i) the Series 2023-6 Percentage as of the beginning of the Series 2023-6 Interest Period ending on the day preceding such Distribution Date and (ii) the fees owing to the Trustee under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Series 2023-6 Trustee’s Fees in the aggregate for all Distribution Dates shall not exceed 1.1% of the Series 2023-6 Required AESOP I Operating Lease Vehicle Amount as of the last day of the Series 2023-6 Revolving Period.</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Notes</w:t>
      </w:r>
      <w:r>
        <w:rPr>
          <w:rFonts w:ascii="Times New Roman" w:cs="Times New Roman" w:eastAsia="Times New Roman" w:hAnsi="Times New Roman"/>
          <w:sz w:val="22"/>
          <w:szCs w:val="22"/>
          <w:color w:val="auto"/>
        </w:rPr>
        <w:t>” means the Series of Notes designated as the Series 2023-7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Notes</w:t>
      </w:r>
      <w:r>
        <w:rPr>
          <w:rFonts w:ascii="Times New Roman" w:cs="Times New Roman" w:eastAsia="Times New Roman" w:hAnsi="Times New Roman"/>
          <w:sz w:val="22"/>
          <w:szCs w:val="22"/>
          <w:color w:val="auto"/>
        </w:rPr>
        <w:t>” means the Series of Notes designated as the Series 2023-8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2024-1 Notes</w:t>
      </w:r>
      <w:r>
        <w:rPr>
          <w:rFonts w:ascii="Times New Roman" w:cs="Times New Roman" w:eastAsia="Times New Roman" w:hAnsi="Times New Roman"/>
          <w:sz w:val="22"/>
          <w:szCs w:val="22"/>
          <w:color w:val="auto"/>
        </w:rPr>
        <w:t>” means the Series of Notes designated as the Series 2024-1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2024-2 Notes</w:t>
      </w:r>
      <w:r>
        <w:rPr>
          <w:rFonts w:ascii="Times New Roman" w:cs="Times New Roman" w:eastAsia="Times New Roman" w:hAnsi="Times New Roman"/>
          <w:sz w:val="22"/>
          <w:szCs w:val="22"/>
          <w:color w:val="auto"/>
        </w:rPr>
        <w:t>” means the Series of Notes designated as the Series 2024-2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2024-3 Notes</w:t>
      </w:r>
      <w:r>
        <w:rPr>
          <w:rFonts w:ascii="Times New Roman" w:cs="Times New Roman" w:eastAsia="Times New Roman" w:hAnsi="Times New Roman"/>
          <w:sz w:val="22"/>
          <w:szCs w:val="22"/>
          <w:color w:val="auto"/>
        </w:rPr>
        <w:t>” means the Series of Notes designated as the Series 2024-3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Notes</w:t>
      </w:r>
      <w:r>
        <w:rPr>
          <w:rFonts w:ascii="Times New Roman" w:cs="Times New Roman" w:eastAsia="Times New Roman" w:hAnsi="Times New Roman"/>
          <w:sz w:val="22"/>
          <w:szCs w:val="22"/>
          <w:color w:val="auto"/>
        </w:rPr>
        <w:t>” means the Series of Notes designated as the Series 2025-1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2025-2 Notes</w:t>
      </w:r>
      <w:r>
        <w:rPr>
          <w:rFonts w:ascii="Times New Roman" w:cs="Times New Roman" w:eastAsia="Times New Roman" w:hAnsi="Times New Roman"/>
          <w:sz w:val="22"/>
          <w:szCs w:val="22"/>
          <w:color w:val="auto"/>
        </w:rPr>
        <w:t>” means the Series of Notes designated as the Series 2025-2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per annum equal to the secured overnight financing rate as administered by the SOFR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or any successor source for the secured overnight financing rate identified as such by the SOFR Administrator from time to time.</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(Non-Perfected Lien)</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that ABRCF has determined are required to remove the limitations in the Related Documents related to Vehicles titled in Ohio, Oklahoma and Nebraska (the liens on which are not</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ectPr>
          <w:pgSz w:w="11900" w:h="16838" w:orient="portrait"/>
          <w:cols w:equalWidth="0" w:num="1">
            <w:col w:w="11240"/>
          </w:cols>
          <w:pgMar w:left="320" w:top="1030" w:right="339" w:bottom="1440" w:gutter="0" w:footer="0" w:header="0"/>
        </w:sectPr>
      </w:pPr>
    </w:p>
    <w:bookmarkStart w:id="360" w:name="page361"/>
    <w:bookmarkEnd w:id="360"/>
    <w:p>
      <w:pPr>
        <w:jc w:val="both"/>
        <w:spacing w:after="0" w:line="271" w:lineRule="auto"/>
        <w:rPr>
          <w:sz w:val="20"/>
          <w:szCs w:val="20"/>
          <w:color w:val="auto"/>
        </w:rPr>
      </w:pPr>
      <w:r>
        <w:rPr>
          <w:rFonts w:ascii="Times New Roman" w:cs="Times New Roman" w:eastAsia="Times New Roman" w:hAnsi="Times New Roman"/>
          <w:sz w:val="22"/>
          <w:szCs w:val="22"/>
          <w:color w:val="auto"/>
        </w:rPr>
        <w:t>perfected) and replace such references with limitations that would allow a limited amount of Vehicles titled anywhere in the United States to be subject to liens that are not perfected.</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(Trucks)</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that ABRCF has determined are required to allow for “medium duty” and “heavy duty” trucks to be considered an “Eligible Vehicle” under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is defined in the preamble hereto.</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B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C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D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R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Series 2023-6 Notes</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 Disbursement</w:t>
      </w:r>
      <w:r>
        <w:rPr>
          <w:rFonts w:ascii="Times New Roman" w:cs="Times New Roman" w:eastAsia="Times New Roman" w:hAnsi="Times New Roman"/>
          <w:sz w:val="22"/>
          <w:szCs w:val="22"/>
          <w:color w:val="auto"/>
        </w:rPr>
        <w:t>” means an amount drawn under a Multi-Series Letter of Credit pursuant to a Certificate of Termination Date Demand.</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Disbursement</w:t>
      </w:r>
      <w:r>
        <w:rPr>
          <w:rFonts w:ascii="Times New Roman" w:cs="Times New Roman" w:eastAsia="Times New Roman" w:hAnsi="Times New Roman"/>
          <w:sz w:val="22"/>
          <w:szCs w:val="22"/>
          <w:color w:val="auto"/>
        </w:rPr>
        <w:t>” means an amount drawn under a Multi-Series Letter of Credit pursuant to a Certificate of Termination Demand.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is defined in the recitals hereto.</w:t>
      </w:r>
    </w:p>
    <w:p>
      <w:pPr>
        <w:spacing w:after="0" w:line="23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Unpaid Demand Note Disbursement</w:t>
      </w:r>
      <w:r>
        <w:rPr>
          <w:rFonts w:ascii="Times New Roman" w:cs="Times New Roman" w:eastAsia="Times New Roman" w:hAnsi="Times New Roman"/>
          <w:sz w:val="22"/>
          <w:szCs w:val="22"/>
          <w:color w:val="auto"/>
        </w:rPr>
        <w:t>” means an amount drawn under a Multi-Series Letter of Credit pursuant to a Certificate of Unpaid Demand Note Demand.</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Risk Retention Rules</w:t>
      </w:r>
      <w:r>
        <w:rPr>
          <w:rFonts w:ascii="Times New Roman" w:cs="Times New Roman" w:eastAsia="Times New Roman" w:hAnsi="Times New Roman"/>
          <w:sz w:val="22"/>
          <w:szCs w:val="22"/>
          <w:color w:val="auto"/>
        </w:rPr>
        <w:t>” means the federal interagency credit risk retention rules, codified at 17 C.F.R. Part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Treasury Rate</w:t>
      </w:r>
      <w:r>
        <w:rPr>
          <w:rFonts w:ascii="Times New Roman" w:cs="Times New Roman" w:eastAsia="Times New Roman" w:hAnsi="Times New Roman"/>
          <w:sz w:val="22"/>
          <w:szCs w:val="22"/>
          <w:color w:val="auto"/>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ectPr>
          <w:pgSz w:w="11900" w:h="16838" w:orient="portrait"/>
          <w:cols w:equalWidth="0" w:num="1">
            <w:col w:w="11240"/>
          </w:cols>
          <w:pgMar w:left="320" w:top="1030" w:right="339" w:bottom="1440" w:gutter="0" w:footer="0" w:header="0"/>
        </w:sectPr>
      </w:pPr>
    </w:p>
    <w:bookmarkStart w:id="361" w:name="page362"/>
    <w:bookmarkEnd w:id="361"/>
    <w:p>
      <w:pPr>
        <w:ind w:right="20"/>
        <w:spacing w:after="0" w:line="271" w:lineRule="auto"/>
        <w:rPr>
          <w:sz w:val="20"/>
          <w:szCs w:val="20"/>
          <w:color w:val="auto"/>
        </w:rPr>
      </w:pPr>
      <w:r>
        <w:rPr>
          <w:rFonts w:ascii="Times New Roman" w:cs="Times New Roman" w:eastAsia="Times New Roman" w:hAnsi="Times New Roman"/>
          <w:sz w:val="22"/>
          <w:szCs w:val="22"/>
          <w:color w:val="auto"/>
        </w:rPr>
        <w:t>Amount (or, if such maturity is unavailable, such rate shall be determined by linear interpolation using the U.S. Treasury rates with the two closest maturities to such period).</w:t>
      </w:r>
    </w:p>
    <w:p>
      <w:pPr>
        <w:spacing w:after="0" w:line="171" w:lineRule="exact"/>
        <w:rPr>
          <w:sz w:val="20"/>
          <w:szCs w:val="20"/>
          <w:color w:val="auto"/>
        </w:rPr>
      </w:pPr>
    </w:p>
    <w:p>
      <w:pPr>
        <w:jc w:val="both"/>
        <w:ind w:firstLine="1304"/>
        <w:spacing w:after="0" w:line="257" w:lineRule="auto"/>
        <w:tabs>
          <w:tab w:leader="none" w:pos="1791"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calculated by reference to the Series 2023-6 Invested Amount (or any component thereof) on any date shall, unless otherwise stated, be calculated after giving effect to any payment of principal made to the applicable Series 2023-6 Noteholders on such date.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SERIES 2023-6 ALLOCATIONS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respect to the Series 2023-6 Notes, the following shall apply:</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Establishment of Series 2023-6 Collection Account, Series 2023-6 Excess Collection Account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Series 2023-6 Accrued Interest Account</w:t>
      </w:r>
      <w:r>
        <w:rPr>
          <w:rFonts w:ascii="Times New Roman" w:cs="Times New Roman" w:eastAsia="Times New Roman" w:hAnsi="Times New Roman"/>
          <w:sz w:val="22"/>
          <w:szCs w:val="22"/>
          <w:color w:val="auto"/>
        </w:rPr>
        <w:t>. (a) All Collections allocable to the Series 2023-6 Notes shall be allocated to the Collection Account.</w:t>
      </w:r>
    </w:p>
    <w:p>
      <w:pPr>
        <w:spacing w:after="0" w:line="173" w:lineRule="exact"/>
        <w:rPr>
          <w:sz w:val="20"/>
          <w:szCs w:val="20"/>
          <w:color w:val="auto"/>
        </w:rPr>
      </w:pPr>
    </w:p>
    <w:p>
      <w:pPr>
        <w:jc w:val="both"/>
        <w:ind w:firstLine="1304"/>
        <w:spacing w:after="0" w:line="256" w:lineRule="auto"/>
        <w:tabs>
          <w:tab w:leader="none" w:pos="1768" w:val="left"/>
        </w:tabs>
        <w:numPr>
          <w:ilvl w:val="0"/>
          <w:numId w:val="3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created three administrative subaccounts within the Collection Account for the benefit of the Series 2023-6 Noteholders: the Series 2023-6 Collection Account (such sub-account, the “</w:t>
      </w:r>
      <w:r>
        <w:rPr>
          <w:rFonts w:ascii="Times New Roman" w:cs="Times New Roman" w:eastAsia="Times New Roman" w:hAnsi="Times New Roman"/>
          <w:sz w:val="22"/>
          <w:szCs w:val="22"/>
          <w:u w:val="single" w:color="auto"/>
          <w:color w:val="auto"/>
        </w:rPr>
        <w:t>Series 2023-6 Collection Account</w:t>
      </w:r>
      <w:r>
        <w:rPr>
          <w:rFonts w:ascii="Times New Roman" w:cs="Times New Roman" w:eastAsia="Times New Roman" w:hAnsi="Times New Roman"/>
          <w:sz w:val="22"/>
          <w:szCs w:val="22"/>
          <w:color w:val="auto"/>
        </w:rPr>
        <w:t>”), the Series 2023-6 Excess Collection Account (such sub-account, the “</w:t>
      </w:r>
      <w:r>
        <w:rPr>
          <w:rFonts w:ascii="Times New Roman" w:cs="Times New Roman" w:eastAsia="Times New Roman" w:hAnsi="Times New Roman"/>
          <w:sz w:val="22"/>
          <w:szCs w:val="22"/>
          <w:u w:val="single" w:color="auto"/>
          <w:color w:val="auto"/>
        </w:rPr>
        <w:t>Series 2023-6 Excess Collection Account</w:t>
      </w:r>
      <w:r>
        <w:rPr>
          <w:rFonts w:ascii="Times New Roman" w:cs="Times New Roman" w:eastAsia="Times New Roman" w:hAnsi="Times New Roman"/>
          <w:sz w:val="22"/>
          <w:szCs w:val="22"/>
          <w:color w:val="auto"/>
        </w:rPr>
        <w:t>”) and the Series 2023-6 Accrued Interest Account (such sub-account, the “</w:t>
      </w:r>
      <w:r>
        <w:rPr>
          <w:rFonts w:ascii="Times New Roman" w:cs="Times New Roman" w:eastAsia="Times New Roman" w:hAnsi="Times New Roman"/>
          <w:sz w:val="22"/>
          <w:szCs w:val="22"/>
          <w:u w:val="single" w:color="auto"/>
          <w:color w:val="auto"/>
        </w:rPr>
        <w:t>Series 2023-6 Accrued Interest Account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Allocations with Respect to the Series 2023-6 Notes</w:t>
      </w:r>
      <w:r>
        <w:rPr>
          <w:rFonts w:ascii="Times New Roman" w:cs="Times New Roman" w:eastAsia="Times New Roman" w:hAnsi="Times New Roman"/>
          <w:sz w:val="22"/>
          <w:szCs w:val="22"/>
          <w:color w:val="auto"/>
        </w:rPr>
        <w:t>. The net proceeds from the initial sale of the Class A Notes, Class B Notes, Class C Notes and Class R Notes were deposited into the Collection Account on the Class A/B/C Notes Closing Date and the net proceeds from the issuance of Class D Notes and Additional Class R Notes were deposited into the Collection Account on the Class D Notes Closing Date. On each Business Day on which Collections are deposited into the Collection Account (each such date, a “</w:t>
      </w:r>
      <w:r>
        <w:rPr>
          <w:rFonts w:ascii="Times New Roman" w:cs="Times New Roman" w:eastAsia="Times New Roman" w:hAnsi="Times New Roman"/>
          <w:sz w:val="22"/>
          <w:szCs w:val="22"/>
          <w:u w:val="single" w:color="auto"/>
          <w:color w:val="auto"/>
        </w:rPr>
        <w:t>Series 2023-6 Deposit Date</w:t>
      </w:r>
      <w:r>
        <w:rPr>
          <w:rFonts w:ascii="Times New Roman" w:cs="Times New Roman" w:eastAsia="Times New Roman" w:hAnsi="Times New Roman"/>
          <w:sz w:val="22"/>
          <w:szCs w:val="22"/>
          <w:color w:val="auto"/>
        </w:rPr>
        <w:t>”), the Administrator will direct the Trustee in writing pursuant to the Administration Agreement to allocate all amounts deposited into the Collection Account in accordance with the provisions of this Section 2.2.</w:t>
      </w:r>
    </w:p>
    <w:p>
      <w:pPr>
        <w:spacing w:after="0" w:line="180" w:lineRule="exact"/>
        <w:rPr>
          <w:sz w:val="20"/>
          <w:szCs w:val="20"/>
          <w:color w:val="auto"/>
        </w:rPr>
      </w:pPr>
    </w:p>
    <w:p>
      <w:pPr>
        <w:jc w:val="both"/>
        <w:ind w:firstLine="1304"/>
        <w:spacing w:after="0" w:line="256" w:lineRule="auto"/>
        <w:tabs>
          <w:tab w:leader="none" w:pos="1779"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2023-6 Revolving Period</w:t>
      </w:r>
      <w:r>
        <w:rPr>
          <w:rFonts w:ascii="Times New Roman" w:cs="Times New Roman" w:eastAsia="Times New Roman" w:hAnsi="Times New Roman"/>
          <w:sz w:val="22"/>
          <w:szCs w:val="22"/>
          <w:color w:val="auto"/>
        </w:rPr>
        <w:t>. During the Series 2023-6 Revolving Period, the Administrator will direct the Trustee in writing pursuant to the Administration Agreement to allocate, prior to 11:00 a.m. (New York City time) on each Series 2023-6 Deposit Date, all amounts deposited into the Collection Account as set forth below:</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11"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2023-6 Collection Account an amount equal to the Series 2023-6 Invested Percentage (as of such day) of the aggregate amount of Interest Collections on such day. All such amounts allocated to the Series 2023-6 Collection Account shall be further allocated to the Series 2023-6 Accrued Interest Account; and</w:t>
      </w:r>
    </w:p>
    <w:p>
      <w:pPr>
        <w:spacing w:after="0" w:line="186" w:lineRule="exact"/>
        <w:rPr>
          <w:rFonts w:ascii="Times New Roman" w:cs="Times New Roman" w:eastAsia="Times New Roman" w:hAnsi="Times New Roman"/>
          <w:sz w:val="22"/>
          <w:szCs w:val="22"/>
          <w:color w:val="auto"/>
        </w:rPr>
      </w:pPr>
    </w:p>
    <w:p>
      <w:pPr>
        <w:ind w:left="660" w:right="20" w:firstLine="1292"/>
        <w:spacing w:after="0" w:line="271" w:lineRule="auto"/>
        <w:tabs>
          <w:tab w:leader="none" w:pos="2586"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2023-6 Excess Collection Account an amount equal to the Series 2023-6 Invested Percentage (as of such day) of the aggregate amount of</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ectPr>
          <w:pgSz w:w="11900" w:h="16838" w:orient="portrait"/>
          <w:cols w:equalWidth="0" w:num="1">
            <w:col w:w="11240"/>
          </w:cols>
          <w:pgMar w:left="320" w:top="1030" w:right="339" w:bottom="1440" w:gutter="0" w:footer="0" w:header="0"/>
        </w:sectPr>
      </w:pPr>
    </w:p>
    <w:bookmarkStart w:id="362" w:name="page363"/>
    <w:bookmarkEnd w:id="362"/>
    <w:p>
      <w:pPr>
        <w:ind w:left="580"/>
        <w:spacing w:after="0"/>
        <w:rPr>
          <w:sz w:val="20"/>
          <w:szCs w:val="20"/>
          <w:color w:val="auto"/>
        </w:rPr>
      </w:pPr>
      <w:r>
        <w:rPr>
          <w:rFonts w:ascii="Times New Roman" w:cs="Times New Roman" w:eastAsia="Times New Roman" w:hAnsi="Times New Roman"/>
          <w:sz w:val="22"/>
          <w:szCs w:val="22"/>
          <w:color w:val="auto"/>
        </w:rPr>
        <w:t>Principal Collections on such day (for any such day, the “</w:t>
      </w:r>
      <w:r>
        <w:rPr>
          <w:rFonts w:ascii="Times New Roman" w:cs="Times New Roman" w:eastAsia="Times New Roman" w:hAnsi="Times New Roman"/>
          <w:sz w:val="22"/>
          <w:szCs w:val="22"/>
          <w:u w:val="single" w:color="auto"/>
          <w:color w:val="auto"/>
        </w:rPr>
        <w:t>Series 2023-6 Principal Allocation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80" w:firstLine="1304"/>
        <w:spacing w:after="0" w:line="256" w:lineRule="auto"/>
        <w:tabs>
          <w:tab w:leader="none" w:pos="1778" w:val="left"/>
        </w:tabs>
        <w:numPr>
          <w:ilvl w:val="1"/>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2023-6 Controlled Amortization Period</w:t>
      </w:r>
      <w:r>
        <w:rPr>
          <w:rFonts w:ascii="Times New Roman" w:cs="Times New Roman" w:eastAsia="Times New Roman" w:hAnsi="Times New Roman"/>
          <w:sz w:val="22"/>
          <w:szCs w:val="22"/>
          <w:color w:val="auto"/>
        </w:rPr>
        <w:t>. With respect to the Series 2023-6 Controlled Amortization Period, the Administrator will direct the Trustee in writing pursuant to the Administration Agreement to allocate, prior to 11:00 a.m. (New York City time) on any Series 2023-6 Deposit Date, all amounts deposited into the Collection Account as set forth below:</w:t>
      </w:r>
    </w:p>
    <w:p>
      <w:pPr>
        <w:spacing w:after="0" w:line="176" w:lineRule="exact"/>
        <w:rPr>
          <w:rFonts w:ascii="Times New Roman" w:cs="Times New Roman" w:eastAsia="Times New Roman" w:hAnsi="Times New Roman"/>
          <w:sz w:val="22"/>
          <w:szCs w:val="22"/>
          <w:color w:val="auto"/>
        </w:rPr>
      </w:pPr>
    </w:p>
    <w:p>
      <w:pPr>
        <w:ind w:left="2340" w:hanging="468"/>
        <w:spacing w:after="0"/>
        <w:tabs>
          <w:tab w:leader="none" w:pos="2340" w:val="left"/>
        </w:tabs>
        <w:numPr>
          <w:ilvl w:val="2"/>
          <w:numId w:val="3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2023-6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840" w:hanging="264"/>
        <w:spacing w:after="0"/>
        <w:tabs>
          <w:tab w:leader="none" w:pos="840" w:val="left"/>
        </w:tabs>
        <w:numPr>
          <w:ilvl w:val="0"/>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2023-6 Accrued Interest Account; and</w:t>
      </w:r>
    </w:p>
    <w:p>
      <w:pPr>
        <w:spacing w:after="0" w:line="209"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467" w:val="left"/>
        </w:tabs>
        <w:numPr>
          <w:ilvl w:val="2"/>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2023-6 Collection Account an amount equal to the Series 2023-6 Principal Allocation for such day, which amount shall be used to make principal payments in respect of the Series 2023-6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2023-6 Excess Collection Account.</w:t>
      </w:r>
    </w:p>
    <w:p>
      <w:pPr>
        <w:spacing w:after="0" w:line="184" w:lineRule="exact"/>
        <w:rPr>
          <w:rFonts w:ascii="Times New Roman" w:cs="Times New Roman" w:eastAsia="Times New Roman" w:hAnsi="Times New Roman"/>
          <w:sz w:val="22"/>
          <w:szCs w:val="22"/>
          <w:color w:val="auto"/>
        </w:rPr>
      </w:pPr>
    </w:p>
    <w:p>
      <w:pPr>
        <w:jc w:val="both"/>
        <w:ind w:left="-80" w:firstLine="1304"/>
        <w:spacing w:after="0" w:line="253" w:lineRule="auto"/>
        <w:tabs>
          <w:tab w:leader="none" w:pos="1726"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2023-6 Rapid Amortization Period</w:t>
      </w:r>
      <w:r>
        <w:rPr>
          <w:rFonts w:ascii="Times New Roman" w:cs="Times New Roman" w:eastAsia="Times New Roman" w:hAnsi="Times New Roman"/>
          <w:sz w:val="22"/>
          <w:szCs w:val="22"/>
          <w:color w:val="auto"/>
        </w:rPr>
        <w:t>. With respect to the Series 2023-6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2023-6 Deposit Date, all amounts deposited into the Collection Account as set forth below:</w:t>
      </w:r>
    </w:p>
    <w:p>
      <w:pPr>
        <w:spacing w:after="0" w:line="178" w:lineRule="exact"/>
        <w:rPr>
          <w:rFonts w:ascii="Times New Roman" w:cs="Times New Roman" w:eastAsia="Times New Roman" w:hAnsi="Times New Roman"/>
          <w:sz w:val="22"/>
          <w:szCs w:val="22"/>
          <w:color w:val="auto"/>
        </w:rPr>
      </w:pPr>
    </w:p>
    <w:p>
      <w:pPr>
        <w:ind w:left="2340" w:hanging="468"/>
        <w:spacing w:after="0"/>
        <w:tabs>
          <w:tab w:leader="none" w:pos="2340" w:val="left"/>
        </w:tabs>
        <w:numPr>
          <w:ilvl w:val="2"/>
          <w:numId w:val="3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2023-6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840" w:hanging="264"/>
        <w:spacing w:after="0"/>
        <w:tabs>
          <w:tab w:leader="none" w:pos="840" w:val="left"/>
        </w:tabs>
        <w:numPr>
          <w:ilvl w:val="0"/>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2023-6 Accrued Interest Account; and</w:t>
      </w:r>
    </w:p>
    <w:p>
      <w:pPr>
        <w:spacing w:after="0" w:line="195" w:lineRule="exact"/>
        <w:rPr>
          <w:rFonts w:ascii="Times New Roman" w:cs="Times New Roman" w:eastAsia="Times New Roman" w:hAnsi="Times New Roman"/>
          <w:sz w:val="22"/>
          <w:szCs w:val="22"/>
          <w:color w:val="auto"/>
        </w:rPr>
      </w:pPr>
    </w:p>
    <w:p>
      <w:pPr>
        <w:jc w:val="both"/>
        <w:ind w:left="580" w:firstLine="1292"/>
        <w:spacing w:after="0" w:line="251" w:lineRule="auto"/>
        <w:tabs>
          <w:tab w:leader="none" w:pos="2467" w:val="left"/>
        </w:tabs>
        <w:numPr>
          <w:ilvl w:val="2"/>
          <w:numId w:val="3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2023-6 Collection Account an amount equal to the Series 2023-6 Principal Allocation for such day, which amount shall be used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ectPr>
          <w:pgSz w:w="11900" w:h="16838" w:orient="portrait"/>
          <w:cols w:equalWidth="0" w:num="1">
            <w:col w:w="11160"/>
          </w:cols>
          <w:pgMar w:left="400" w:top="1030" w:right="339" w:bottom="1440" w:gutter="0" w:footer="0" w:header="0"/>
        </w:sectPr>
      </w:pPr>
    </w:p>
    <w:bookmarkStart w:id="363" w:name="page364"/>
    <w:bookmarkEnd w:id="363"/>
    <w:p>
      <w:pPr>
        <w:jc w:val="both"/>
        <w:ind w:left="580"/>
        <w:spacing w:after="0" w:line="260" w:lineRule="auto"/>
        <w:rPr>
          <w:sz w:val="20"/>
          <w:szCs w:val="20"/>
          <w:color w:val="auto"/>
        </w:rPr>
      </w:pPr>
      <w:r>
        <w:rPr>
          <w:rFonts w:ascii="Times New Roman" w:cs="Times New Roman" w:eastAsia="Times New Roman" w:hAnsi="Times New Roman"/>
          <w:sz w:val="21"/>
          <w:szCs w:val="21"/>
          <w:color w:val="auto"/>
        </w:rPr>
        <w:t>until the Class C Notes have been paid in full, and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on any Determination Date (A) the Administrator determines that the amount anticipated to be available from Interest Collections allocable to the Series 2023-6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w:t>
      </w:r>
    </w:p>
    <w:p>
      <w:pPr>
        <w:spacing w:after="0" w:line="4" w:lineRule="exact"/>
        <w:rPr>
          <w:sz w:val="20"/>
          <w:szCs w:val="20"/>
          <w:color w:val="auto"/>
        </w:rPr>
      </w:pPr>
    </w:p>
    <w:p>
      <w:pPr>
        <w:jc w:val="both"/>
        <w:ind w:left="580" w:hanging="4"/>
        <w:spacing w:after="0" w:line="246" w:lineRule="auto"/>
        <w:tabs>
          <w:tab w:leader="none" w:pos="928"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2023-6 Notes during the Related Month equal to the lesser of such insufficiency and the Class A/B/C Enhancement Amount to the Series 2023-6 Accrued Interest Account to be treated as Interest Collections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2023-6 Notes and other amounts available pursuant to Section 2.3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2023-6 Notes during the Related Month equal to the lesser of such insufficiency and the Class D Enhancement Amount to the Series 2023-6 Accrued Interest Account to be treated as Interest Collections on such Distribution Date.</w:t>
      </w:r>
    </w:p>
    <w:p>
      <w:pPr>
        <w:spacing w:after="0" w:line="184" w:lineRule="exact"/>
        <w:rPr>
          <w:rFonts w:ascii="Times New Roman" w:cs="Times New Roman" w:eastAsia="Times New Roman" w:hAnsi="Times New Roman"/>
          <w:sz w:val="22"/>
          <w:szCs w:val="22"/>
          <w:color w:val="auto"/>
        </w:rPr>
      </w:pPr>
    </w:p>
    <w:p>
      <w:pPr>
        <w:jc w:val="both"/>
        <w:ind w:left="-80" w:firstLine="1304"/>
        <w:spacing w:after="0" w:line="253" w:lineRule="auto"/>
        <w:tabs>
          <w:tab w:leader="none" w:pos="1697" w:val="left"/>
        </w:tabs>
        <w:numPr>
          <w:ilvl w:val="1"/>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after the Occurrence of an Event of Bankruptcy</w:t>
      </w:r>
      <w:r>
        <w:rPr>
          <w:rFonts w:ascii="Times New Roman" w:cs="Times New Roman" w:eastAsia="Times New Roman" w:hAnsi="Times New Roman"/>
          <w:sz w:val="22"/>
          <w:szCs w:val="22"/>
          <w:color w:val="auto"/>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2023-6 Deposit Date, all amounts attributable to the AESOP I Operating Lease Loan Agreement deposited into the Collection Account as set forth below:</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63" w:lineRule="auto"/>
        <w:tabs>
          <w:tab w:leader="none" w:pos="2407" w:val="left"/>
        </w:tabs>
        <w:numPr>
          <w:ilvl w:val="2"/>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2023-6 Collection Account an amount equal to the Series 2023-6 AESOP I Operating Lease Vehicle Percentage as of the date of the occurrence of such Event of Bankruptcy of the aggregate amount of Interest Collections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bl>
    <w:p>
      <w:pPr>
        <w:sectPr>
          <w:pgSz w:w="11900" w:h="16838" w:orient="portrait"/>
          <w:cols w:equalWidth="0" w:num="1">
            <w:col w:w="11160"/>
          </w:cols>
          <w:pgMar w:left="400" w:top="1026" w:right="339" w:bottom="1440" w:gutter="0" w:footer="0" w:header="0"/>
        </w:sectPr>
      </w:pPr>
    </w:p>
    <w:bookmarkStart w:id="364" w:name="page365"/>
    <w:bookmarkEnd w:id="364"/>
    <w:p>
      <w:pPr>
        <w:ind w:left="580" w:right="20"/>
        <w:spacing w:after="0" w:line="271" w:lineRule="auto"/>
        <w:rPr>
          <w:sz w:val="20"/>
          <w:szCs w:val="20"/>
          <w:color w:val="auto"/>
        </w:rPr>
      </w:pPr>
      <w:r>
        <w:rPr>
          <w:rFonts w:ascii="Times New Roman" w:cs="Times New Roman" w:eastAsia="Times New Roman" w:hAnsi="Times New Roman"/>
          <w:sz w:val="22"/>
          <w:szCs w:val="22"/>
          <w:color w:val="auto"/>
        </w:rPr>
        <w:t>made under the AESOP I Operating Lease Loan Agreement for such day. All such amounts allocated to the Series 2023-6 Collection Account shall be further allocated to the Series 2023-6 Accrued Interest Account; and</w:t>
      </w:r>
    </w:p>
    <w:p>
      <w:pPr>
        <w:spacing w:after="0" w:line="171" w:lineRule="exact"/>
        <w:rPr>
          <w:sz w:val="20"/>
          <w:szCs w:val="20"/>
          <w:color w:val="auto"/>
        </w:rPr>
      </w:pPr>
    </w:p>
    <w:p>
      <w:pPr>
        <w:jc w:val="both"/>
        <w:ind w:left="580" w:firstLine="1292"/>
        <w:spacing w:after="0" w:line="246" w:lineRule="auto"/>
        <w:tabs>
          <w:tab w:leader="none" w:pos="2455"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2023-6 Collection Account an amount equal to the Series 2023-6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(A) the Administrator determines that the amount anticipated to be available from Interest Collections allocable to the Series 2023-6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2023-6 Notes during the Related Month equal to the lesser of such insufficiency and the Class A/B/C Enhancement Amount to the Series 2023-6 Accrued Interest Account to be treated as Interest Collections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2023-6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ectPr>
          <w:pgSz w:w="11900" w:h="16838" w:orient="portrait"/>
          <w:cols w:equalWidth="0" w:num="1">
            <w:col w:w="11160"/>
          </w:cols>
          <w:pgMar w:left="400" w:top="1030" w:right="339" w:bottom="1440" w:gutter="0" w:footer="0" w:header="0"/>
        </w:sectPr>
      </w:pPr>
    </w:p>
    <w:bookmarkStart w:id="365" w:name="page366"/>
    <w:bookmarkEnd w:id="365"/>
    <w:p>
      <w:pPr>
        <w:ind w:left="652"/>
        <w:spacing w:after="0" w:line="271" w:lineRule="auto"/>
        <w:rPr>
          <w:sz w:val="20"/>
          <w:szCs w:val="20"/>
          <w:color w:val="auto"/>
        </w:rPr>
      </w:pPr>
      <w:r>
        <w:rPr>
          <w:rFonts w:ascii="Times New Roman" w:cs="Times New Roman" w:eastAsia="Times New Roman" w:hAnsi="Times New Roman"/>
          <w:sz w:val="22"/>
          <w:szCs w:val="22"/>
          <w:color w:val="auto"/>
        </w:rPr>
        <w:t>Series 2023-6 Notes during the Related Month equal to the lesser of such insufficiency and the Class D Enhancement Amount to the Series 2023-6 Accrued Interest Account to be treated as Interest Collections on such Distribution Date.</w:t>
      </w:r>
    </w:p>
    <w:p>
      <w:pPr>
        <w:spacing w:after="0" w:line="171" w:lineRule="exact"/>
        <w:rPr>
          <w:sz w:val="20"/>
          <w:szCs w:val="20"/>
          <w:color w:val="auto"/>
        </w:rPr>
      </w:pPr>
    </w:p>
    <w:p>
      <w:pPr>
        <w:jc w:val="both"/>
        <w:ind w:left="-8" w:firstLine="1304"/>
        <w:spacing w:after="0" w:line="260" w:lineRule="auto"/>
        <w:tabs>
          <w:tab w:leader="none" w:pos="1933" w:val="left"/>
        </w:tabs>
        <w:numPr>
          <w:ilvl w:val="1"/>
          <w:numId w:val="3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2023-6 Excess Collection Account</w:t>
      </w:r>
      <w:r>
        <w:rPr>
          <w:rFonts w:ascii="Times New Roman" w:cs="Times New Roman" w:eastAsia="Times New Roman" w:hAnsi="Times New Roman"/>
          <w:sz w:val="21"/>
          <w:szCs w:val="21"/>
          <w:color w:val="auto"/>
        </w:rPr>
        <w:t>. Amounts allocated to the Series 2023-6 Excess Collection Account on any Series 2023-6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w:t>
      </w:r>
    </w:p>
    <w:p>
      <w:pPr>
        <w:jc w:val="both"/>
        <w:ind w:left="-8" w:firstLine="8"/>
        <w:spacing w:after="0" w:line="246" w:lineRule="auto"/>
        <w:tabs>
          <w:tab w:leader="none" w:pos="310"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clauses (x), (y) and (z), that no Amortization Event, Series 2023-6 Enhancement Deficiency or AESOP I Operating Lease Vehicle Deficiency would result therefrom or exist immediately thereafter. Upon the occurrence of an Amortization Event and once a Trust Officer has actual knowledge of the Amortization Event, funds on deposit in the Series 2023-6 Excess Collection Account will be withdrawn by the Trustee, deposited in the Series 2023-6 Collection Account and allocated as Principal Collections to reduce the Series 2023-6 Invested Amount on the immediately succeeding Distribution Date.</w:t>
      </w:r>
    </w:p>
    <w:p>
      <w:pPr>
        <w:spacing w:after="0" w:line="199" w:lineRule="exact"/>
        <w:rPr>
          <w:rFonts w:ascii="Times New Roman" w:cs="Times New Roman" w:eastAsia="Times New Roman" w:hAnsi="Times New Roman"/>
          <w:sz w:val="22"/>
          <w:szCs w:val="22"/>
          <w:color w:val="auto"/>
        </w:rPr>
      </w:pPr>
    </w:p>
    <w:p>
      <w:pPr>
        <w:jc w:val="both"/>
        <w:ind w:left="-8" w:firstLine="1304"/>
        <w:spacing w:after="0" w:line="265" w:lineRule="auto"/>
        <w:tabs>
          <w:tab w:leader="none" w:pos="1814" w:val="left"/>
        </w:tabs>
        <w:numPr>
          <w:ilvl w:val="1"/>
          <w:numId w:val="3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From Other Series</w:t>
      </w:r>
      <w:r>
        <w:rPr>
          <w:rFonts w:ascii="Times New Roman" w:cs="Times New Roman" w:eastAsia="Times New Roman" w:hAnsi="Times New Roman"/>
          <w:sz w:val="21"/>
          <w:szCs w:val="21"/>
          <w:color w:val="auto"/>
        </w:rPr>
        <w:t>. Amounts allocated to other Series of Notes that have been reallocated by ABRCF to the Series 2023-6 Notes (i) during the Series 2023-6 Revolving Period shall be allocated to the Series 2023-6 Excess Collection Account and applied in accordance with Section 2.2(e) and (ii) during the Series 2023-6 Controlled Amortization Period or the Series 2023-6 Rapid Amortization Period shall be allocated to the Series 2023-6 Collection Account and applied in accordance with Section 2.2(b) or 2.2(c), as applicable, to make principal payments in respect of the Series 2023-6 Notes.</w:t>
      </w:r>
    </w:p>
    <w:p>
      <w:pPr>
        <w:spacing w:after="0" w:line="178" w:lineRule="exact"/>
        <w:rPr>
          <w:rFonts w:ascii="Times New Roman" w:cs="Times New Roman" w:eastAsia="Times New Roman" w:hAnsi="Times New Roman"/>
          <w:sz w:val="21"/>
          <w:szCs w:val="21"/>
          <w:color w:val="auto"/>
        </w:rPr>
      </w:pPr>
    </w:p>
    <w:p>
      <w:pPr>
        <w:jc w:val="both"/>
        <w:ind w:left="-8" w:firstLine="1304"/>
        <w:spacing w:after="0" w:line="248" w:lineRule="auto"/>
        <w:tabs>
          <w:tab w:leader="none" w:pos="1850" w:val="left"/>
        </w:tabs>
        <w:numPr>
          <w:ilvl w:val="1"/>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Past Due Rent Payments</w:t>
      </w:r>
      <w:r>
        <w:rPr>
          <w:rFonts w:ascii="Times New Roman" w:cs="Times New Roman" w:eastAsia="Times New Roman" w:hAnsi="Times New Roman"/>
          <w:sz w:val="22"/>
          <w:szCs w:val="22"/>
          <w:color w:val="auto"/>
        </w:rPr>
        <w:t>. Notwithstanding the foregoing, if in the case of Section 2.2(a) or (b), after the occurrence of a Series 2023-6 Lease Payment Deficit, the Lessees shall make payments of Monthly Base Rent or other amounts payable by the Lessees under the Leases on or prior to the fifth Business Day after the occurrence of such Series 2023-6 Lease Payment Deficit (a “</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the Administrator shall direct the Trustee in writing pursuant to the Administration Agreement to allocate to the Series 2023-6 Collection Account an amount equal to the Series 2023-6 Invested Percentage as of the date of the occurrence of such Series 2023-6 Lease Payment Deficit of the Collections attributable to such Past Due Rent Payment (the “</w:t>
      </w:r>
      <w:r>
        <w:rPr>
          <w:rFonts w:ascii="Times New Roman" w:cs="Times New Roman" w:eastAsia="Times New Roman" w:hAnsi="Times New Roman"/>
          <w:sz w:val="22"/>
          <w:szCs w:val="22"/>
          <w:u w:val="single" w:color="auto"/>
          <w:color w:val="auto"/>
        </w:rPr>
        <w:t>Series 2023-6 Past Due Rent Payment</w:t>
      </w:r>
      <w:r>
        <w:rPr>
          <w:rFonts w:ascii="Times New Roman" w:cs="Times New Roman" w:eastAsia="Times New Roman" w:hAnsi="Times New Roman"/>
          <w:sz w:val="22"/>
          <w:szCs w:val="22"/>
          <w:color w:val="auto"/>
        </w:rPr>
        <w:t>”). The Administrator shall instruct the Trustee in writing pursuant to the Administration Agreement to withdraw from the Series 2023-6 Collection Account and apply the Series 2023-6 Past Due Rent Payment in the following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72"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ectPr>
          <w:pgSz w:w="11900" w:h="16838" w:orient="portrait"/>
          <w:cols w:equalWidth="0" w:num="1">
            <w:col w:w="11232"/>
          </w:cols>
          <w:pgMar w:left="328" w:top="1030" w:right="339" w:bottom="1440" w:gutter="0" w:footer="0" w:header="0"/>
        </w:sectPr>
      </w:pPr>
    </w:p>
    <w:bookmarkStart w:id="366" w:name="page367"/>
    <w:bookmarkEnd w:id="366"/>
    <w:p>
      <w:pPr>
        <w:jc w:val="both"/>
        <w:ind w:left="580" w:firstLine="1292"/>
        <w:spacing w:after="0" w:line="250" w:lineRule="auto"/>
        <w:tabs>
          <w:tab w:leader="none" w:pos="2334"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2023-6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2023-6 Reimbursement Agreement an amount equal to the lesser of (x) the unreimbursed amount of such Multi-Series Letter of Credit Provider’s Lease Deficit Disbursement with respect to the Class A/B/C Notes and (y) such Multi-Series Letter of Credit Provider’s Class A/B/C Pro Rata Share of the Series 2023-6 Past Due Rent Payment;</w:t>
      </w:r>
    </w:p>
    <w:p>
      <w:pPr>
        <w:spacing w:after="0" w:line="193" w:lineRule="exact"/>
        <w:rPr>
          <w:rFonts w:ascii="Times New Roman" w:cs="Times New Roman" w:eastAsia="Times New Roman" w:hAnsi="Times New Roman"/>
          <w:sz w:val="22"/>
          <w:szCs w:val="22"/>
          <w:color w:val="auto"/>
        </w:rPr>
      </w:pPr>
    </w:p>
    <w:p>
      <w:pPr>
        <w:jc w:val="both"/>
        <w:ind w:left="580" w:firstLine="1292"/>
        <w:spacing w:after="0" w:line="262" w:lineRule="auto"/>
        <w:tabs>
          <w:tab w:leader="none" w:pos="2399" w:val="left"/>
        </w:tabs>
        <w:numPr>
          <w:ilvl w:val="1"/>
          <w:numId w:val="3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2023-6 Lease Payment Deficit resulted in a withdrawal being made from the Class A/B/C Cash Collateral Account, deposit in the Class A/B/C Cash Collateral Account an amount equal to the lesser of (x) the amount of the Series 2023-6 Past Due Rent Payment remaining after any payment pursuant to clause</w:t>
      </w:r>
    </w:p>
    <w:p>
      <w:pPr>
        <w:spacing w:after="0" w:line="2" w:lineRule="exact"/>
        <w:rPr>
          <w:rFonts w:ascii="Times New Roman" w:cs="Times New Roman" w:eastAsia="Times New Roman" w:hAnsi="Times New Roman"/>
          <w:sz w:val="21"/>
          <w:szCs w:val="21"/>
          <w:color w:val="auto"/>
        </w:rPr>
      </w:pPr>
    </w:p>
    <w:p>
      <w:pPr>
        <w:ind w:left="580" w:hanging="4"/>
        <w:spacing w:after="0" w:line="248" w:lineRule="auto"/>
        <w:tabs>
          <w:tab w:leader="none" w:pos="843" w:val="left"/>
        </w:tabs>
        <w:numPr>
          <w:ilvl w:val="0"/>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A/B/C Cash Collateral Account on account of such Series 2023-6 Lease Payment Deficit;</w:t>
      </w:r>
    </w:p>
    <w:p>
      <w:pPr>
        <w:spacing w:after="0" w:line="182"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447"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2023-6 Lease Payment Deficit resulted in a withdrawal being made from the Class A/B/C Reserve Account pursuant to Section 2.3(d), deposit in the Class A/B/C Reserve Account an amount equal to the lesser of (x) the amount of the Series 2023-6 Past Due Rent Payment remaining after any payments pursuant to clauses (i) and (ii) above and (y) the excess, if any, of the Class A/B/C Required Reserve Account Amount over the Class A/B/C Available Reserve Account Amount on such day;</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52" w:lineRule="auto"/>
        <w:tabs>
          <w:tab w:leader="none" w:pos="2420" w:val="left"/>
        </w:tabs>
        <w:numPr>
          <w:ilvl w:val="1"/>
          <w:numId w:val="3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2023-6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2023-6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2023-6 Past Due Rent Payment remaining after any payment pursuant to clauses (i) through (iii) above;</w:t>
      </w:r>
    </w:p>
    <w:p>
      <w:pPr>
        <w:spacing w:after="0" w:line="179" w:lineRule="exact"/>
        <w:rPr>
          <w:rFonts w:ascii="Times New Roman" w:cs="Times New Roman" w:eastAsia="Times New Roman" w:hAnsi="Times New Roman"/>
          <w:sz w:val="22"/>
          <w:szCs w:val="22"/>
          <w:color w:val="auto"/>
        </w:rPr>
      </w:pPr>
    </w:p>
    <w:p>
      <w:pPr>
        <w:jc w:val="both"/>
        <w:ind w:left="580" w:firstLine="1292"/>
        <w:spacing w:after="0" w:line="262" w:lineRule="auto"/>
        <w:tabs>
          <w:tab w:leader="none" w:pos="2389" w:val="left"/>
        </w:tabs>
        <w:numPr>
          <w:ilvl w:val="1"/>
          <w:numId w:val="3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2023-6 Lease Payment Deficit resulted in a withdrawal being made from the Class D Cash Collateral Account, deposit in the Class D Cash Collateral Account an amount equal to the lesser of (x) the amount of the Series 2023-6 Past Due Rent Payment remaining after any payment pursuant to clause (i) through</w:t>
      </w:r>
    </w:p>
    <w:p>
      <w:pPr>
        <w:spacing w:after="0" w:line="2" w:lineRule="exact"/>
        <w:rPr>
          <w:rFonts w:ascii="Times New Roman" w:cs="Times New Roman" w:eastAsia="Times New Roman" w:hAnsi="Times New Roman"/>
          <w:sz w:val="21"/>
          <w:szCs w:val="21"/>
          <w:color w:val="auto"/>
        </w:rPr>
      </w:pPr>
    </w:p>
    <w:p>
      <w:pPr>
        <w:ind w:left="580" w:right="20" w:hanging="4"/>
        <w:spacing w:after="0" w:line="248" w:lineRule="auto"/>
        <w:tabs>
          <w:tab w:leader="none" w:pos="966"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D Cash Collateral Account on account of such Series 2023-6 Lease Payment Deficit;</w:t>
      </w:r>
    </w:p>
    <w:p>
      <w:pPr>
        <w:spacing w:after="0" w:line="195" w:lineRule="exact"/>
        <w:rPr>
          <w:rFonts w:ascii="Times New Roman" w:cs="Times New Roman" w:eastAsia="Times New Roman" w:hAnsi="Times New Roman"/>
          <w:sz w:val="22"/>
          <w:szCs w:val="22"/>
          <w:color w:val="auto"/>
        </w:rPr>
      </w:pPr>
    </w:p>
    <w:p>
      <w:pPr>
        <w:jc w:val="both"/>
        <w:ind w:left="580" w:firstLine="1292"/>
        <w:spacing w:after="0" w:line="257" w:lineRule="auto"/>
        <w:tabs>
          <w:tab w:leader="none" w:pos="2438"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2023-6 Lease Payment Deficit resulted in a withdrawal being made from the Class D Reserve Account pursuant to Section 2.3(d), deposit in the Class D Reserve Account an amount equal to the lesser of (x) the amount of the Series 2023-6 Past Due Rent Payment remaining after any payments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ectPr>
          <w:pgSz w:w="11900" w:h="16838" w:orient="portrait"/>
          <w:cols w:equalWidth="0" w:num="1">
            <w:col w:w="11160"/>
          </w:cols>
          <w:pgMar w:left="400" w:top="1030" w:right="339" w:bottom="1440" w:gutter="0" w:footer="0" w:header="0"/>
        </w:sectPr>
      </w:pPr>
    </w:p>
    <w:bookmarkStart w:id="367" w:name="page368"/>
    <w:bookmarkEnd w:id="367"/>
    <w:p>
      <w:pPr>
        <w:ind w:left="660"/>
        <w:spacing w:after="0" w:line="271" w:lineRule="auto"/>
        <w:rPr>
          <w:sz w:val="20"/>
          <w:szCs w:val="20"/>
          <w:color w:val="auto"/>
        </w:rPr>
      </w:pPr>
      <w:r>
        <w:rPr>
          <w:rFonts w:ascii="Times New Roman" w:cs="Times New Roman" w:eastAsia="Times New Roman" w:hAnsi="Times New Roman"/>
          <w:sz w:val="22"/>
          <w:szCs w:val="22"/>
          <w:color w:val="auto"/>
        </w:rPr>
        <w:t>pursuant to clauses (i) through (v) above and (y) the excess, if any, of the Class D Required Reserve Account Amount over the Class D Available Reserve Account Amount on such day;</w:t>
      </w:r>
    </w:p>
    <w:p>
      <w:pPr>
        <w:spacing w:after="0" w:line="171" w:lineRule="exact"/>
        <w:rPr>
          <w:sz w:val="20"/>
          <w:szCs w:val="20"/>
          <w:color w:val="auto"/>
        </w:rPr>
      </w:pPr>
    </w:p>
    <w:p>
      <w:pPr>
        <w:jc w:val="both"/>
        <w:ind w:left="660" w:firstLine="1292"/>
        <w:spacing w:after="0" w:line="257" w:lineRule="auto"/>
        <w:tabs>
          <w:tab w:leader="none" w:pos="2658"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2023-6 Accrued Interest Account the amount, if any, by which the Series 2023-6 Lease Interest Payment Deficit, if any, relating to such Series 2023-6 Lease Payment Deficit exceeds the amount of the Series 2023-6 Past Due Rent Payment applied pursuant to clauses (i) (vi) above; and</w:t>
      </w:r>
    </w:p>
    <w:p>
      <w:pPr>
        <w:spacing w:after="0" w:line="172" w:lineRule="exact"/>
        <w:rPr>
          <w:rFonts w:ascii="Times New Roman" w:cs="Times New Roman" w:eastAsia="Times New Roman" w:hAnsi="Times New Roman"/>
          <w:sz w:val="22"/>
          <w:szCs w:val="22"/>
          <w:color w:val="auto"/>
        </w:rPr>
      </w:pPr>
    </w:p>
    <w:p>
      <w:pPr>
        <w:ind w:left="660" w:firstLine="1292"/>
        <w:spacing w:after="0" w:line="271" w:lineRule="auto"/>
        <w:tabs>
          <w:tab w:leader="none" w:pos="2670" w:val="left"/>
        </w:tabs>
        <w:numPr>
          <w:ilvl w:val="0"/>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 the remaining amount of the Series 2023-6 Past Due Rent Payment as Principal Collections allocated to the Series 2023-6 Notes in accordance with Section 2.2(a)(ii) or 2.2(b)(ii), as the case may be.</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Payments to Noteholders</w:t>
      </w:r>
      <w:r>
        <w:rPr>
          <w:rFonts w:ascii="Times New Roman" w:cs="Times New Roman" w:eastAsia="Times New Roman" w:hAnsi="Times New Roman"/>
          <w:sz w:val="22"/>
          <w:szCs w:val="22"/>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2023-6 Notes.</w:t>
      </w:r>
    </w:p>
    <w:p>
      <w:pPr>
        <w:spacing w:after="0" w:line="181" w:lineRule="exact"/>
        <w:rPr>
          <w:sz w:val="20"/>
          <w:szCs w:val="20"/>
          <w:color w:val="auto"/>
        </w:rPr>
      </w:pPr>
    </w:p>
    <w:p>
      <w:pPr>
        <w:jc w:val="both"/>
        <w:ind w:firstLine="1304"/>
        <w:spacing w:after="0" w:line="262" w:lineRule="auto"/>
        <w:tabs>
          <w:tab w:leader="none" w:pos="1779" w:val="left"/>
        </w:tabs>
        <w:numPr>
          <w:ilvl w:val="1"/>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Note Interest with Respect to the Series 2023-6 Notes</w:t>
      </w:r>
      <w:r>
        <w:rPr>
          <w:rFonts w:ascii="Times New Roman" w:cs="Times New Roman" w:eastAsia="Times New Roman" w:hAnsi="Times New Roman"/>
          <w:sz w:val="21"/>
          <w:szCs w:val="21"/>
          <w:color w:val="auto"/>
        </w:rPr>
        <w:t>. On each Determination Date, the Administrator shall instruct the Trustee and the Paying Agent in writing pursuant to the Administration Agreement as to the amount to be withdrawn and paid pursuant to Section 2.4 from the Series 2023-6 Accrued Interest Account to the extent funds are anticipated to be available from Interest Collections allocable to the Series 2023-6 Notes processed from but not including the preceding Distribution Date through the succeeding Distribution Date in respect of (i) an amount equal to the Class A Monthly Interest for the Series 2023-6 Interest Period ending on the day preceding the related Distribution Date, (ii) an amount equal to the amount of any unpaid Class A Shortfall as of the preceding Distribution Date (together with any accrued interest on such Class A Shortfall),</w:t>
      </w:r>
    </w:p>
    <w:p>
      <w:pPr>
        <w:spacing w:after="0" w:line="1" w:lineRule="exact"/>
        <w:rPr>
          <w:rFonts w:ascii="Times New Roman" w:cs="Times New Roman" w:eastAsia="Times New Roman" w:hAnsi="Times New Roman"/>
          <w:sz w:val="21"/>
          <w:szCs w:val="21"/>
          <w:color w:val="auto"/>
        </w:rPr>
      </w:pPr>
    </w:p>
    <w:p>
      <w:pPr>
        <w:jc w:val="both"/>
        <w:ind w:firstLine="8"/>
        <w:spacing w:after="0" w:line="258" w:lineRule="auto"/>
        <w:tabs>
          <w:tab w:leader="none" w:pos="379" w:val="left"/>
        </w:tabs>
        <w:numPr>
          <w:ilvl w:val="0"/>
          <w:numId w:val="3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Class B Monthly Interest for the Series 2023-6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2023-6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2023-6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2023-6 Interest Period ending on the day preceding the related Distribution Date and (x)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2023-6 Accrued Interest Account and deposit such amounts in the Series 2023-6 Distribution Account.</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bl>
    <w:p>
      <w:pPr>
        <w:sectPr>
          <w:pgSz w:w="11900" w:h="16838" w:orient="portrait"/>
          <w:cols w:equalWidth="0" w:num="1">
            <w:col w:w="11240"/>
          </w:cols>
          <w:pgMar w:left="320" w:top="1030" w:right="339" w:bottom="1440" w:gutter="0" w:footer="0" w:header="0"/>
        </w:sectPr>
      </w:pPr>
    </w:p>
    <w:bookmarkStart w:id="368" w:name="page369"/>
    <w:bookmarkEnd w:id="368"/>
    <w:p>
      <w:pPr>
        <w:spacing w:after="0" w:line="271" w:lineRule="auto"/>
        <w:rPr>
          <w:sz w:val="20"/>
          <w:szCs w:val="20"/>
          <w:color w:val="auto"/>
        </w:rPr>
      </w:pPr>
      <w:r>
        <w:rPr>
          <w:rFonts w:ascii="Times New Roman" w:cs="Times New Roman" w:eastAsia="Times New Roman" w:hAnsi="Times New Roman"/>
          <w:sz w:val="22"/>
          <w:szCs w:val="22"/>
          <w:color w:val="auto"/>
        </w:rPr>
        <w:t>For the avoidance of doubt, no interest shall accrue or be due and payable with respect to the Class C Notes for so long as ABRCF owns 100% of the Class C Notes.</w:t>
      </w:r>
    </w:p>
    <w:p>
      <w:pPr>
        <w:spacing w:after="0" w:line="171" w:lineRule="exact"/>
        <w:rPr>
          <w:sz w:val="20"/>
          <w:szCs w:val="20"/>
          <w:color w:val="auto"/>
        </w:rPr>
      </w:pPr>
    </w:p>
    <w:p>
      <w:pPr>
        <w:jc w:val="both"/>
        <w:ind w:firstLine="1304"/>
        <w:spacing w:after="0" w:line="257" w:lineRule="auto"/>
        <w:tabs>
          <w:tab w:leader="none" w:pos="1966"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 xml:space="preserve">. On or before 3:00 p.m. (New York City time) on the Business Day immediately preceding each Distribution Date, the Administrator shall notify the Trustee of the amount of any Series 2023-6 Lease Payment Deficit, such notification to be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81"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Multi-Series Letters of Credit For Series 2023-6 Lease Interest Payment Deficits</w:t>
      </w:r>
      <w:r>
        <w:rPr>
          <w:rFonts w:ascii="Times New Roman" w:cs="Times New Roman" w:eastAsia="Times New Roman" w:hAnsi="Times New Roman"/>
          <w:sz w:val="22"/>
          <w:szCs w:val="22"/>
          <w:color w:val="auto"/>
        </w:rPr>
        <w:t>. If the Administrator determines on the Business Day immediately preceding any Distribution Date that on such Distribution Date there will exist a Series 2023-6 Lease Interest Payment Deficit, the Administrator shall:</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46" w:lineRule="auto"/>
        <w:tabs>
          <w:tab w:leader="none" w:pos="2388" w:val="left"/>
        </w:tabs>
        <w:numPr>
          <w:ilvl w:val="1"/>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 the least of (x) the excess, if any, of such Series 2023-6 Lease Interest Payment Deficit over the sum of (1) the amounts described in clauses (vii) and (viii) of Section 2.3(a) above and (2) during the Series 2023-6 Rapid Amortization Period, the product of the Class D Percentage and the Series 2023-6 Trustee’s Fees for such Distribution Date, (y) the excess, if any, of (A) the sum of (1) the amounts described in clauses (i) through (vi) of Section 2.3(a) above for such Distribution Date and (2) during the Series 2023-6 Rapid Amortization Period, the product of the Class A/B/C Percentage and the Series 2023-6 Trustee’s Fees for such Distribution Date, over (B) the amounts available from the Series 2023-6 Accrued Interest Account and (z) the Class A/B/C Letter of Credit Liquidity Amount or (II) if no Class A Notes, Class B Notes or Class C Notes remain outstanding, the least of (x) such Series 2023-6 Lease Interest Payment Deficit, (y) the excess, if any, of (A) the sum of (1) the amounts described in clauses (i) through (viii) of Section 2.3(a) above for such Distribution Date and (2) during the Series 2023-6 Rapid Amortization Period, the Series 2023-6 Trustee’s Fees for such Distribution Date, over (B) the amounts available from the Series 2023-6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2023-6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2023-6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Multi-Series Letters of Credit;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ectPr>
          <w:pgSz w:w="11900" w:h="16838" w:orient="portrait"/>
          <w:cols w:equalWidth="0" w:num="1">
            <w:col w:w="11240"/>
          </w:cols>
          <w:pgMar w:left="320" w:top="1030" w:right="339" w:bottom="1440" w:gutter="0" w:footer="0" w:header="0"/>
        </w:sectPr>
      </w:pPr>
    </w:p>
    <w:bookmarkStart w:id="369" w:name="page370"/>
    <w:bookmarkEnd w:id="369"/>
    <w:p>
      <w:pPr>
        <w:jc w:val="both"/>
        <w:ind w:left="580" w:firstLine="1292"/>
        <w:spacing w:after="0" w:line="260" w:lineRule="auto"/>
        <w:tabs>
          <w:tab w:leader="none" w:pos="2356" w:val="left"/>
        </w:tabs>
        <w:numPr>
          <w:ilvl w:val="1"/>
          <w:numId w:val="3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2023-6 Lease Interest Payment Deficit, (y) the excess, if any, of (A) the sum of (1) the amounts described in clauses (vii) and (viii) of Section 2.3(a) above for such Distribution Date and (2) during the Series 2023-6 Rapid Amortization Period, the product of the Class D Percentage and the Series 2023-6 Trustee’s Fees for such Distribution Date, over (B) the excess of (1) the sum of (X) the amounts available from the Series 2023-6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2023-6 Rapid Amortization Period, the product of the Class A/B/C Percentage and the Series 2023-6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 Deficit Disbursements to be deposited in the Series 2023-6 Distribution Account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2023-6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spacing w:after="0" w:line="173" w:lineRule="exact"/>
        <w:rPr>
          <w:rFonts w:ascii="Times New Roman" w:cs="Times New Roman" w:eastAsia="Times New Roman" w:hAnsi="Times New Roman"/>
          <w:sz w:val="21"/>
          <w:szCs w:val="21"/>
          <w:color w:val="auto"/>
        </w:rPr>
      </w:pPr>
    </w:p>
    <w:p>
      <w:pPr>
        <w:jc w:val="both"/>
        <w:ind w:left="-80" w:firstLine="1304"/>
        <w:spacing w:after="0" w:line="251" w:lineRule="auto"/>
        <w:tabs>
          <w:tab w:leader="none" w:pos="1792"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Withdrawals from Series 2023-6 Reserve Accounts</w:t>
      </w:r>
      <w:r>
        <w:rPr>
          <w:rFonts w:ascii="Times New Roman" w:cs="Times New Roman" w:eastAsia="Times New Roman" w:hAnsi="Times New Roman"/>
          <w:sz w:val="22"/>
          <w:szCs w:val="22"/>
          <w:color w:val="auto"/>
        </w:rPr>
        <w:t xml:space="preserve">. If the Administrator determines on any Distribution Date that the amounts available from the Series 2023-6 Accrued Interest Account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to be drawn under the Multi-Series Letters of Credit and/or withdrawn from the Series 2023-6 Cash Collateral Accounts pursuant to Section 2.3(c) are insufficient to pay the sum of (A) the amounts described in clauses (i) through (x) of Section 2.3(a) above on such Distribution Date and (B) during the Series 2023-6 Rapid Amortization Period, the Series 2023-6 Trustee’s Fees for such Distribution Date, the Administrator shall:</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328" w:val="left"/>
        </w:tabs>
        <w:numPr>
          <w:ilvl w:val="1"/>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Trustee in writing to withdraw from the Class A/B/C Reserve Account and deposit in the Series 2023-6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2023-6 Rapid Amortization Period, the product of the Class A/B/C Percentage and the Series 2023-6 Trustee’s Fees for such Distribution Date or (II) if no Class A Notes, Class B Notes or Class C Notes remain outstanding, the sum of (1) the amounts described in clauses (i) through (viii) of Section 2.3(a) above with respect to such Distribution Date and (2) during the Series 2023-6 Rapid Amortization Period, the Series 2023-6 Trustee’s Fees for such Distribution Date over (B) the sum of (1) the amounts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ectPr>
          <w:pgSz w:w="11900" w:h="16838" w:orient="portrait"/>
          <w:cols w:equalWidth="0" w:num="1">
            <w:col w:w="11160"/>
          </w:cols>
          <w:pgMar w:left="400" w:top="1030" w:right="339" w:bottom="1440" w:gutter="0" w:footer="0" w:header="0"/>
        </w:sectPr>
      </w:pPr>
    </w:p>
    <w:bookmarkStart w:id="370" w:name="page371"/>
    <w:bookmarkEnd w:id="370"/>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available from the Series 2023-6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2023-6 Distribution Account; and</w:t>
      </w:r>
    </w:p>
    <w:p>
      <w:pPr>
        <w:spacing w:after="0" w:line="176" w:lineRule="exact"/>
        <w:rPr>
          <w:sz w:val="20"/>
          <w:szCs w:val="20"/>
          <w:color w:val="auto"/>
        </w:rPr>
      </w:pPr>
    </w:p>
    <w:p>
      <w:pPr>
        <w:jc w:val="both"/>
        <w:ind w:left="660" w:firstLine="1292"/>
        <w:spacing w:after="0" w:line="260" w:lineRule="auto"/>
        <w:tabs>
          <w:tab w:leader="none" w:pos="2538" w:val="left"/>
        </w:tabs>
        <w:numPr>
          <w:ilvl w:val="1"/>
          <w:numId w:val="3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instruct the Trustee in writing to withdraw from the Class D Reserve Account and deposit in the Series 2023-6 Distribution Account on such Distribution Date an amount equal to the lesser of (x) the Class D Available Reserve Account Amount and (y) the excess of (A) the sum of (1) the amounts described in clauses (vii) and (viii) of Section 2.3(a) above with respect to such Distribution Date and (2) during the Series 2023-6 Rapid Amortization Period, the product of the Class D Percentage and the Series 2023-6 Trustee’s Fees for such Distribution Date over (B) the excess with respect to such Distribution Date of (1) the sum of (W) the amounts available from the Series 2023-6 Accrued Interest Account, (X) the amount drawn on the Class A/B/C Letters of Credit (and/or withdrawn from the Class A/B/C Cash Collateral Account) in accordance with 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2023-6 Rapid Amortization Period, the product of the Class A/B/C Percentage and the Series 2023-6 Trustee’s Fees for such Distribution Date. The Trustee shall withdraw such amount from the Class D Reserve Account and deposit such amount in the Series 2023-6 Distribution Account.</w:t>
      </w:r>
    </w:p>
    <w:p>
      <w:pPr>
        <w:spacing w:after="0" w:line="185"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82" w:val="left"/>
        </w:tabs>
        <w:numPr>
          <w:ilvl w:val="0"/>
          <w:numId w:val="3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Balance</w:t>
      </w:r>
      <w:r>
        <w:rPr>
          <w:rFonts w:ascii="Times New Roman" w:cs="Times New Roman" w:eastAsia="Times New Roman" w:hAnsi="Times New Roman"/>
          <w:sz w:val="21"/>
          <w:szCs w:val="21"/>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2023-6 Accrued Interest Account and the Series 2023-6 Distribution Account,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drawn under the Multi-Series Letters of Credit and/or withdrawn from the Series 2023-6 Cash Collateral Accounts pursuant to Section 2.3(c)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withdrawn from the Series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2023-6 Reserve Accounts pursuant to Section 2.3(d) as follows:</w:t>
      </w:r>
    </w:p>
    <w:p>
      <w:pPr>
        <w:spacing w:after="0" w:line="195" w:lineRule="exact"/>
        <w:rPr>
          <w:rFonts w:ascii="Times New Roman" w:cs="Times New Roman" w:eastAsia="Times New Roman" w:hAnsi="Times New Roman"/>
          <w:sz w:val="21"/>
          <w:szCs w:val="21"/>
          <w:color w:val="auto"/>
        </w:rPr>
      </w:pPr>
    </w:p>
    <w:p>
      <w:pPr>
        <w:jc w:val="both"/>
        <w:ind w:left="660" w:firstLine="1292"/>
        <w:spacing w:after="0" w:line="250" w:lineRule="auto"/>
        <w:tabs>
          <w:tab w:leader="none" w:pos="2400" w:val="left"/>
        </w:tabs>
        <w:numPr>
          <w:ilvl w:val="1"/>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Distribution Date during the Series 2023-6 Revolving Period or the Series 2023-6 Controlled Amortization Period, (1) first, to the Administrator, an amount equal to the Series 2023-6 Percentage as of the beginning of the Series 2023-6 Interest Period ending on the day preceding such Distribution Date of the portion of the Monthly Administration Fee payable by ABRCF (as specified in clause (iii) of the definition thereof) for such Series 2023-6 Interest Period, (2) second, to the Trustee, an amount equal to the Series 2023-6 Percentage as of the beginning of such Series 2023-6 Interest Period of the fees owing to the Trustee under the Base Indenture for such Series 2023-6 Interest Period, (3) third to pay any Carrying Charges (other than Carrying Charges</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bl>
    <w:p>
      <w:pPr>
        <w:sectPr>
          <w:pgSz w:w="11900" w:h="16838" w:orient="portrait"/>
          <w:cols w:equalWidth="0" w:num="1">
            <w:col w:w="11240"/>
          </w:cols>
          <w:pgMar w:left="320" w:top="1030" w:right="339" w:bottom="1440" w:gutter="0" w:footer="0" w:header="0"/>
        </w:sectPr>
      </w:pPr>
    </w:p>
    <w:bookmarkStart w:id="371" w:name="page372"/>
    <w:bookmarkEnd w:id="371"/>
    <w:p>
      <w:pPr>
        <w:jc w:val="both"/>
        <w:ind w:left="580"/>
        <w:spacing w:after="0" w:line="272" w:lineRule="auto"/>
        <w:rPr>
          <w:sz w:val="20"/>
          <w:szCs w:val="20"/>
          <w:color w:val="auto"/>
        </w:rPr>
      </w:pPr>
      <w:r>
        <w:rPr>
          <w:rFonts w:ascii="Times New Roman" w:cs="Times New Roman" w:eastAsia="Times New Roman" w:hAnsi="Times New Roman"/>
          <w:sz w:val="21"/>
          <w:szCs w:val="21"/>
          <w:color w:val="auto"/>
        </w:rPr>
        <w:t>provided for above) to the Persons to whom such amounts are owed, an amount equal to the Series 2023-6 Percentage as of the beginning of such Series 2023-6 Interest Period of such Carrying Charges (other than Carrying Charges provided for above) for such Series 2023-6 Interest Period and (4) fourth, the balance, if any, shall be withdrawn by the Paying Agent from the Series 2023-6 Collection Account and deposited in the Series 2023-6 Excess Collection Account; and</w:t>
      </w:r>
    </w:p>
    <w:p>
      <w:pPr>
        <w:spacing w:after="0" w:line="161" w:lineRule="exact"/>
        <w:rPr>
          <w:sz w:val="20"/>
          <w:szCs w:val="20"/>
          <w:color w:val="auto"/>
        </w:rPr>
      </w:pPr>
    </w:p>
    <w:p>
      <w:pPr>
        <w:jc w:val="both"/>
        <w:ind w:left="580" w:firstLine="1292"/>
        <w:spacing w:after="0" w:line="262" w:lineRule="auto"/>
        <w:tabs>
          <w:tab w:leader="none" w:pos="2500" w:val="left"/>
        </w:tabs>
        <w:numPr>
          <w:ilvl w:val="2"/>
          <w:numId w:val="3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Distribution Date during the Series 2023-6 Rapid Amortization Period, (1) first, to the Trustee, an amount equal to the Series 2023-6 Percentage as of the beginning of such Series 2023-6 Interest Period ending on the day preceding such Distribution Date of the fees owing to the Trustee under the Base Indenture for such Series 2023-6 Interest Period, (2) second, to the Administrator, an amount equal to the Series 2023-6 Percentage as of the beginning of such Series 2023-6 Interest Period of the portion of the Monthly Administration Fee (as specified in clause</w:t>
      </w:r>
    </w:p>
    <w:p>
      <w:pPr>
        <w:spacing w:after="0" w:line="1" w:lineRule="exact"/>
        <w:rPr>
          <w:rFonts w:ascii="Times New Roman" w:cs="Times New Roman" w:eastAsia="Times New Roman" w:hAnsi="Times New Roman"/>
          <w:sz w:val="21"/>
          <w:szCs w:val="21"/>
          <w:color w:val="auto"/>
        </w:rPr>
      </w:pPr>
    </w:p>
    <w:p>
      <w:pPr>
        <w:jc w:val="both"/>
        <w:ind w:left="580" w:hanging="4"/>
        <w:spacing w:after="0" w:line="246" w:lineRule="auto"/>
        <w:tabs>
          <w:tab w:leader="none" w:pos="976"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thereof) payable by ABRCF for such Series 2023-6 Interest Period, (3) third, to pay any Carrying Charges (other than Carrying Charges provided for above) to the Persons to whom such amounts are owed, an amount equal to the Series 2023-6 Percentage as of the beginning of such Series 2023-6 Interest Period of such Carrying Charges (other than Carrying Charges provided for above) for such Series 2023-6 Interest Period and (4) fourth, so long as the Series 2023-6 Invested Amount is greater than the Monthly Total Principal Allocations for the Related Month, an amount equal to the excess of the Series 2023-6 Invested Amount over the Monthly Total Principal Allocations for the Related Month shall be treated as Principal Collections.</w:t>
      </w:r>
    </w:p>
    <w:p>
      <w:pPr>
        <w:spacing w:after="0" w:line="185"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1"/>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Shortfalls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417" w:val="left"/>
        </w:tabs>
        <w:numPr>
          <w:ilvl w:val="2"/>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Class A Monthly Interest on any Distribution Date, payments of interest to the Class A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Shortfall</w:t>
      </w:r>
      <w:r>
        <w:rPr>
          <w:rFonts w:ascii="Times New Roman" w:cs="Times New Roman" w:eastAsia="Times New Roman" w:hAnsi="Times New Roman"/>
          <w:sz w:val="22"/>
          <w:szCs w:val="22"/>
          <w:color w:val="auto"/>
        </w:rPr>
        <w:t>”. Interest shall accrue on the Class A Shortfall at the Class A Note Rate.</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23" w:val="left"/>
        </w:tabs>
        <w:numPr>
          <w:ilvl w:val="2"/>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B Monthly Interest for the Series 2023-6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Interest shall accrue on the Class B Shortfall at the Class B Note Rate.</w:t>
      </w:r>
    </w:p>
    <w:p>
      <w:pPr>
        <w:spacing w:after="0" w:line="193" w:lineRule="exact"/>
        <w:rPr>
          <w:rFonts w:ascii="Times New Roman" w:cs="Times New Roman" w:eastAsia="Times New Roman" w:hAnsi="Times New Roman"/>
          <w:sz w:val="22"/>
          <w:szCs w:val="22"/>
          <w:color w:val="auto"/>
        </w:rPr>
      </w:pPr>
    </w:p>
    <w:p>
      <w:pPr>
        <w:jc w:val="both"/>
        <w:ind w:left="580" w:firstLine="1292"/>
        <w:spacing w:after="0" w:line="257" w:lineRule="auto"/>
        <w:tabs>
          <w:tab w:leader="none" w:pos="2473" w:val="left"/>
        </w:tabs>
        <w:numPr>
          <w:ilvl w:val="2"/>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amounts described in Section 2.3 are insufficient to pay the amounts described in clauses (i) through (iv) of Section 2.3(a) and the Class C Monthly Interest on any Distribution Date, payments of interest to the Class C Noteholders will be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ectPr>
          <w:pgSz w:w="11900" w:h="16838" w:orient="portrait"/>
          <w:cols w:equalWidth="0" w:num="1">
            <w:col w:w="11160"/>
          </w:cols>
          <w:pgMar w:left="400" w:top="1030" w:right="339" w:bottom="1440" w:gutter="0" w:footer="0" w:header="0"/>
        </w:sectPr>
      </w:pPr>
    </w:p>
    <w:bookmarkStart w:id="372" w:name="page373"/>
    <w:bookmarkEnd w:id="372"/>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 xml:space="preserve">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C Monthly Interest for the Series 2023-6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Interest shall accrue on the Class C Shortfall at the Class C Note Rate.</w:t>
      </w:r>
    </w:p>
    <w:p>
      <w:pPr>
        <w:spacing w:after="0" w:line="179" w:lineRule="exact"/>
        <w:rPr>
          <w:sz w:val="20"/>
          <w:szCs w:val="20"/>
          <w:color w:val="auto"/>
        </w:rPr>
      </w:pPr>
    </w:p>
    <w:p>
      <w:pPr>
        <w:jc w:val="both"/>
        <w:ind w:left="660" w:firstLine="1292"/>
        <w:spacing w:after="0" w:line="250" w:lineRule="auto"/>
        <w:tabs>
          <w:tab w:leader="none" w:pos="2543"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 of Section 2.3(a) and the Class D Monthly Interest on any Distribution Date, payments of interest to the Class D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D Monthly Interest for the Series 2023-6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Interest shall accrue on the Class D Shortfall at the Class D Note Rate.</w:t>
      </w:r>
    </w:p>
    <w:p>
      <w:pPr>
        <w:spacing w:after="0" w:line="180" w:lineRule="exact"/>
        <w:rPr>
          <w:rFonts w:ascii="Times New Roman" w:cs="Times New Roman" w:eastAsia="Times New Roman" w:hAnsi="Times New Roman"/>
          <w:sz w:val="22"/>
          <w:szCs w:val="22"/>
          <w:color w:val="auto"/>
        </w:rPr>
      </w:pPr>
    </w:p>
    <w:p>
      <w:pPr>
        <w:jc w:val="both"/>
        <w:ind w:left="660" w:firstLine="1292"/>
        <w:spacing w:after="0" w:line="252" w:lineRule="auto"/>
        <w:tabs>
          <w:tab w:leader="none" w:pos="2494"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(viii) of Section 2.3(a) and the Class R Monthly Interest on any Distribution Date, payments of interest to the Class R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R Monthly Interest for the Series 2023-6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Interest shall accrue on the Class R Shortfall at the Class R Note Rate.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Payment of Note Interest</w:t>
      </w:r>
      <w:r>
        <w:rPr>
          <w:rFonts w:ascii="Times New Roman" w:cs="Times New Roman" w:eastAsia="Times New Roman" w:hAnsi="Times New Roman"/>
          <w:sz w:val="22"/>
          <w:szCs w:val="22"/>
          <w:color w:val="auto"/>
        </w:rPr>
        <w:t>. (a) On each Distribution Date, subject to Section 9.8 of the Base Indenture, the Paying Agent shall, in accordance with Section 6.1 of the Base Indenture, pay the following amounts in the following order of priority from amounts deposited into the Series 2023-6 Distribution Account pursuant to Section 2.3:</w:t>
      </w:r>
    </w:p>
    <w:p>
      <w:pPr>
        <w:spacing w:after="0" w:line="173" w:lineRule="exact"/>
        <w:rPr>
          <w:sz w:val="20"/>
          <w:szCs w:val="20"/>
          <w:color w:val="auto"/>
        </w:rPr>
      </w:pPr>
    </w:p>
    <w:p>
      <w:pPr>
        <w:ind w:left="2420" w:hanging="468"/>
        <w:spacing w:after="0"/>
        <w:tabs>
          <w:tab w:leader="none" w:pos="242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Class A Noteholders, the amounts due to the Class A Noteholders described in Sections</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 and (ii);</w:t>
      </w:r>
    </w:p>
    <w:p>
      <w:pPr>
        <w:spacing w:after="0" w:line="20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 the Class B Noteholders, the amounts due to the Class B Noteholders described in Sections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2.3(a)(iii) and (iv);</w:t>
      </w:r>
    </w:p>
    <w:p>
      <w:pPr>
        <w:spacing w:after="0" w:line="195" w:lineRule="exact"/>
        <w:rPr>
          <w:rFonts w:ascii="Times New Roman" w:cs="Times New Roman" w:eastAsia="Times New Roman" w:hAnsi="Times New Roman"/>
          <w:sz w:val="21"/>
          <w:szCs w:val="21"/>
          <w:color w:val="auto"/>
        </w:rPr>
      </w:pPr>
    </w:p>
    <w:p>
      <w:pPr>
        <w:ind w:left="2500" w:hanging="548"/>
        <w:spacing w:after="0"/>
        <w:tabs>
          <w:tab w:leader="none" w:pos="2500" w:val="left"/>
        </w:tabs>
        <w:numPr>
          <w:ilvl w:val="0"/>
          <w:numId w:val="3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the Class C Noteholders, the amounts due to the Class C Noteholders described in Sections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2.3(a)(v) and (vi);</w:t>
      </w:r>
    </w:p>
    <w:p>
      <w:pPr>
        <w:spacing w:after="0" w:line="195" w:lineRule="exact"/>
        <w:rPr>
          <w:rFonts w:ascii="Times New Roman" w:cs="Times New Roman" w:eastAsia="Times New Roman" w:hAnsi="Times New Roman"/>
          <w:sz w:val="21"/>
          <w:szCs w:val="21"/>
          <w:color w:val="auto"/>
        </w:rPr>
      </w:pPr>
    </w:p>
    <w:p>
      <w:pPr>
        <w:ind w:left="660" w:firstLine="1292"/>
        <w:spacing w:after="0" w:line="284" w:lineRule="auto"/>
        <w:tabs>
          <w:tab w:leader="none" w:pos="2484"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the Class D Noteholders, the amounts due to the Class D Noteholders described in Sections 2.3(a)(vii) and (viii);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ectPr>
          <w:pgSz w:w="11900" w:h="16838" w:orient="portrait"/>
          <w:cols w:equalWidth="0" w:num="1">
            <w:col w:w="11240"/>
          </w:cols>
          <w:pgMar w:left="320" w:top="1030" w:right="339" w:bottom="1440" w:gutter="0" w:footer="0" w:header="0"/>
        </w:sectPr>
      </w:pPr>
    </w:p>
    <w:bookmarkStart w:id="373" w:name="page374"/>
    <w:bookmarkEnd w:id="373"/>
    <w:p>
      <w:pPr>
        <w:ind w:left="2460" w:hanging="508"/>
        <w:spacing w:after="0"/>
        <w:tabs>
          <w:tab w:leader="none" w:pos="246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Class R Noteholders, the amounts due to the Class R Noteholders described in Sections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2.3(a)(ix) and (x).</w:t>
      </w:r>
    </w:p>
    <w:p>
      <w:pPr>
        <w:spacing w:after="0" w:line="20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Payment of Note Principal</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Monthly Payments During Controlled Amortization Period or Rapid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Amortization Period</w:t>
      </w:r>
      <w:r>
        <w:rPr>
          <w:rFonts w:ascii="Times New Roman" w:cs="Times New Roman" w:eastAsia="Times New Roman" w:hAnsi="Times New Roman"/>
          <w:sz w:val="21"/>
          <w:szCs w:val="21"/>
          <w:color w:val="auto"/>
        </w:rPr>
        <w:t>. On each Determination Date, commencing on the second Determination Date during the Series 2023-6 Controlled Amortization Period or the first Determination Date after the commencement of the Series 2023-6 Rapid Amortization Period, the Administrator shall instruct the Trustee and the Paying Agent in writing pursuant to the Administration Agreement and in accordance with this Section 2.5 as to (1) the amount allocated to the Series 2023-6 Notes during the Related Month pursuant to Section 2.2(b)(ii), (c)(ii) or (d)(ii), as the case may be, (2) any amounts to be drawn on the Series 2023-6 Demand Notes and/or on the Multi-Series Letters of Credit (or withdrawn from the Series 2023-6 Cash Collateral Accounts) pursuant to this Section 2.5 and (3) any amounts to be withdrawn from the Series 2023-6 Reserve Accounts pursuant to this Section 2.5 and deposited into the Series 2023-6 Distribution Account. On the Distribution Date following each such Determination Date, the Trustee shall withdraw the amount allocated to the Series 2023-6 Notes during the Related Month pursuant to Section 2.2(b)(ii), (c)(ii) or (d)(ii), as the case may be, from the Series 2023-6 Collection Account and deposit such amount in the Series 2023-6 Distribution Account, to be paid to the holders of the Series 2023-6 Notes.</w:t>
      </w:r>
    </w:p>
    <w:p>
      <w:pPr>
        <w:spacing w:after="0" w:line="170" w:lineRule="exact"/>
        <w:rPr>
          <w:sz w:val="20"/>
          <w:szCs w:val="20"/>
          <w:color w:val="auto"/>
        </w:rPr>
      </w:pPr>
    </w:p>
    <w:p>
      <w:pPr>
        <w:jc w:val="both"/>
        <w:ind w:firstLine="1304"/>
        <w:spacing w:after="0" w:line="257" w:lineRule="auto"/>
        <w:tabs>
          <w:tab w:leader="none" w:pos="1872" w:val="left"/>
        </w:tabs>
        <w:numPr>
          <w:ilvl w:val="0"/>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Draws on Multi-Series Letters of Credit</w:t>
      </w:r>
      <w:r>
        <w:rPr>
          <w:rFonts w:ascii="Times New Roman" w:cs="Times New Roman" w:eastAsia="Times New Roman" w:hAnsi="Times New Roman"/>
          <w:sz w:val="22"/>
          <w:szCs w:val="22"/>
          <w:color w:val="auto"/>
        </w:rPr>
        <w:t>. If the Administrator determines on the Business Day immediately preceding any Distribution Date during the Series 2023-6 Rapid Amortization Period that on such Distribution Date there will exist a Series 2023-6 Lease Principal Payment Deficit, the Administrator shall instruct the Trustee in writing to:</w:t>
      </w:r>
    </w:p>
    <w:p>
      <w:pPr>
        <w:spacing w:after="0" w:line="173" w:lineRule="exact"/>
        <w:rPr>
          <w:sz w:val="20"/>
          <w:szCs w:val="20"/>
          <w:color w:val="auto"/>
        </w:rPr>
      </w:pPr>
    </w:p>
    <w:p>
      <w:pPr>
        <w:jc w:val="both"/>
        <w:ind w:left="660" w:firstLine="644"/>
        <w:spacing w:after="0" w:line="247" w:lineRule="auto"/>
        <w:tabs>
          <w:tab w:leader="none" w:pos="1822"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2023-6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2023-6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2023-6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2023-6 Distribution Account an amount equal to the lesser of (x) the Class A/B/C Cash Collateral Percentage for such date of the lesser of the Series 2023-6 Lease Principal Payment Deficit and the Class A/B/C Principal Deficit Amount for such Distribution Date and (y) the Class A/B/C Available Cash Collateral Account Amount on such date and draw an amount equal to the remainder of such amount on the Multi-Series Letters of Credit that shall be allocable to the Class A/B/C Notes. Notwithstanding any of the preceding to the contrary, during the period after the date of the filing by any of the</w:t>
      </w:r>
    </w:p>
    <w:p>
      <w:pPr>
        <w:spacing w:after="0" w:line="200" w:lineRule="exact"/>
        <w:rPr>
          <w:sz w:val="20"/>
          <w:szCs w:val="20"/>
          <w:color w:val="auto"/>
        </w:rPr>
      </w:pP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bl>
    <w:p>
      <w:pPr>
        <w:sectPr>
          <w:pgSz w:w="11900" w:h="16838" w:orient="portrait"/>
          <w:cols w:equalWidth="0" w:num="1">
            <w:col w:w="11240"/>
          </w:cols>
          <w:pgMar w:left="320" w:top="1030" w:right="339" w:bottom="1440" w:gutter="0" w:footer="0" w:header="0"/>
        </w:sectPr>
      </w:pPr>
    </w:p>
    <w:bookmarkStart w:id="374" w:name="page375"/>
    <w:bookmarkEnd w:id="374"/>
    <w:p>
      <w:pPr>
        <w:jc w:val="both"/>
        <w:ind w:left="580"/>
        <w:spacing w:after="0" w:line="250" w:lineRule="auto"/>
        <w:rPr>
          <w:sz w:val="20"/>
          <w:szCs w:val="20"/>
          <w:color w:val="auto"/>
        </w:rPr>
      </w:pPr>
      <w:r>
        <w:rPr>
          <w:rFonts w:ascii="Times New Roman" w:cs="Times New Roman" w:eastAsia="Times New Roman" w:hAnsi="Times New Roman"/>
          <w:sz w:val="22"/>
          <w:szCs w:val="22"/>
          <w:color w:val="auto"/>
        </w:rPr>
        <w:t>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 (i), the Trustee shall only draw (or withdraw), an amount equal to the lesser of (x) the amount determined as provided in the preceding sentence and (y) the excess, if any, of (A) the Class A/B/C Liquidity Amount on such date over (B) the Class A/B/C Required Liquidity Amount on such date;</w:t>
      </w:r>
    </w:p>
    <w:p>
      <w:pPr>
        <w:spacing w:after="0" w:line="187" w:lineRule="exact"/>
        <w:rPr>
          <w:sz w:val="20"/>
          <w:szCs w:val="20"/>
          <w:color w:val="auto"/>
        </w:rPr>
      </w:pPr>
    </w:p>
    <w:p>
      <w:pPr>
        <w:jc w:val="both"/>
        <w:ind w:left="580" w:firstLine="644"/>
        <w:spacing w:after="0" w:line="259" w:lineRule="auto"/>
        <w:tabs>
          <w:tab w:leader="none" w:pos="1735" w:val="left"/>
        </w:tabs>
        <w:numPr>
          <w:ilvl w:val="0"/>
          <w:numId w:val="3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2023-6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2023-6 Lease Principal Payment Deficit over (B) the amount, if any, to be drawn on the 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2023-6 Distribution Account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A/B/C Cash Collateral Account has been established and funded, the Trustee shall withdraw from the Class A/B/C Cash Collateral Account and deposit in the Series 2023-6 Distribution Account an amount equal to the lesser of (x) the Class A/B/C Cash Collateral Percentage for such date of the lesser of (A) the excess of (1) the Series 2023-6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Multi-Series Letters of Credit that shall be allocable to the Class A/B/C Notes;</w:t>
      </w: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ind w:left="580" w:firstLine="644"/>
        <w:spacing w:after="0" w:line="271" w:lineRule="auto"/>
        <w:tabs>
          <w:tab w:leader="none" w:pos="1786"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giving effect to any payments to be made on such Distribution Date, the Class A Notes, the Class B Notes and the Class C Notes will have been paid in full,</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ectPr>
          <w:pgSz w:w="11900" w:h="16838" w:orient="portrait"/>
          <w:cols w:equalWidth="0" w:num="1">
            <w:col w:w="11160"/>
          </w:cols>
          <w:pgMar w:left="400" w:top="1030" w:right="339" w:bottom="1440" w:gutter="0" w:footer="0" w:header="0"/>
        </w:sectPr>
      </w:pPr>
    </w:p>
    <w:bookmarkStart w:id="375" w:name="page376"/>
    <w:bookmarkEnd w:id="375"/>
    <w:p>
      <w:pPr>
        <w:jc w:val="both"/>
        <w:ind w:left="580"/>
        <w:spacing w:after="0" w:line="259" w:lineRule="auto"/>
        <w:rPr>
          <w:sz w:val="20"/>
          <w:szCs w:val="20"/>
          <w:color w:val="auto"/>
        </w:rPr>
      </w:pPr>
      <w:r>
        <w:rPr>
          <w:rFonts w:ascii="Times New Roman" w:cs="Times New Roman" w:eastAsia="Times New Roman" w:hAnsi="Times New Roman"/>
          <w:sz w:val="21"/>
          <w:szCs w:val="21"/>
          <w:color w:val="auto"/>
        </w:rPr>
        <w:t xml:space="preserve">draw on the Multi-Series Letters of Credit with respect to the Class D Notes, if any, as provided in this clause (iii). Upon receipt of a notice by the Trustee from the Administrator in respect of a Series 2023-6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2023-6 Lease Principal Payment Deficit over (B) the amount, if any, to be drawn on the Multi-Series Letters of Credit with respect to the Class D Notes and/or withdrawn from the Class A/B/C Cash Collateral Account on such Distribution Date in accordance with Section 2.5(b)(i) and/or (ii), (y) the Class D Principal Deficit Amount for such Distribution Date 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2023-6 Distribution Account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2023-6 Distribution Account an amount equal to the lesser of (x) the Class D Cash Collateral Percentage for such date of the lesser of (A) the excess of (1) the Series 2023-6 Lease Principal Payment 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spacing w:after="0" w:line="173" w:lineRule="exact"/>
        <w:rPr>
          <w:sz w:val="20"/>
          <w:szCs w:val="20"/>
          <w:color w:val="auto"/>
        </w:rPr>
      </w:pPr>
    </w:p>
    <w:p>
      <w:pPr>
        <w:jc w:val="both"/>
        <w:ind w:left="-80" w:firstLine="1304"/>
        <w:spacing w:after="0" w:line="263" w:lineRule="auto"/>
        <w:tabs>
          <w:tab w:leader="none" w:pos="1672"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Distribution Date</w:t>
      </w:r>
      <w:r>
        <w:rPr>
          <w:rFonts w:ascii="Times New Roman" w:cs="Times New Roman" w:eastAsia="Times New Roman" w:hAnsi="Times New Roman"/>
          <w:sz w:val="22"/>
          <w:szCs w:val="22"/>
          <w:color w:val="auto"/>
        </w:rPr>
        <w:t>. Each of the entire Class A Invested Amount, the entire Class B Invested Amount, the entire Class C Invested Amount, the entire Class D Invested Amount and the entire Class R Invested Amount shall be due and payable on the Series 2023-6 Final Distribution Date. In connection therewith:</w:t>
      </w:r>
    </w:p>
    <w:p>
      <w:pPr>
        <w:spacing w:after="0" w:line="167" w:lineRule="exact"/>
        <w:rPr>
          <w:rFonts w:ascii="Times New Roman" w:cs="Times New Roman" w:eastAsia="Times New Roman" w:hAnsi="Times New Roman"/>
          <w:sz w:val="22"/>
          <w:szCs w:val="22"/>
          <w:color w:val="auto"/>
        </w:rPr>
      </w:pPr>
    </w:p>
    <w:p>
      <w:pPr>
        <w:jc w:val="both"/>
        <w:ind w:left="580" w:firstLine="1292"/>
        <w:spacing w:after="0" w:line="257" w:lineRule="auto"/>
        <w:tabs>
          <w:tab w:leader="none" w:pos="2417"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If the amount to be deposited in the Series 2023-6 Distribution Account in accordance with Section 2.5(a) together with any amounts to be deposited therein in accordance with Section 2.5(b) on the Series 2023-6 Final Distribution Date is less than the Series 2023-6 Senior Invested Amount and there are any</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ectPr>
          <w:pgSz w:w="11900" w:h="16838" w:orient="portrait"/>
          <w:cols w:equalWidth="0" w:num="1">
            <w:col w:w="11160"/>
          </w:cols>
          <w:pgMar w:left="400" w:top="1030" w:right="339" w:bottom="1440" w:gutter="0" w:footer="0" w:header="0"/>
        </w:sectPr>
      </w:pPr>
    </w:p>
    <w:bookmarkStart w:id="376" w:name="page377"/>
    <w:bookmarkEnd w:id="376"/>
    <w:p>
      <w:pPr>
        <w:jc w:val="both"/>
        <w:ind w:left="580"/>
        <w:spacing w:after="0" w:line="248" w:lineRule="auto"/>
        <w:rPr>
          <w:sz w:val="20"/>
          <w:szCs w:val="20"/>
          <w:color w:val="auto"/>
        </w:rPr>
      </w:pPr>
      <w:r>
        <w:rPr>
          <w:rFonts w:ascii="Times New Roman" w:cs="Times New Roman" w:eastAsia="Times New Roman" w:hAnsi="Times New Roman"/>
          <w:sz w:val="22"/>
          <w:szCs w:val="22"/>
          <w:color w:val="auto"/>
        </w:rPr>
        <w:t>Multi-Series Letters of Credit on such date, then, prior to 10:00 a.m. (New York City time) on the second Business Day prior to the Series 2023-6 Final Distribution Date, the Administrator shall instruct the Trustee in writing to make a demand (a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xml:space="preserve">”) substantially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on the Demand Note Issuers for payment under the Series 2023-6 Demand Notes in an amount equal to the lesser of (x) such insufficiency and (y) the sum of the Class A/B/C Letter of Credit Amount and the Class D Letter of Credit Amount. The Trustee shall, prior to 12:00 noon (New York City time) on the second Business Day preceding such Series 2023-6 Final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2023-6 Demand Notes to be deposited into the Series 2023-6 Distribution Account.</w:t>
      </w:r>
    </w:p>
    <w:p>
      <w:pPr>
        <w:spacing w:after="0" w:line="189" w:lineRule="exact"/>
        <w:rPr>
          <w:sz w:val="20"/>
          <w:szCs w:val="20"/>
          <w:color w:val="auto"/>
        </w:rPr>
      </w:pPr>
    </w:p>
    <w:p>
      <w:pPr>
        <w:jc w:val="both"/>
        <w:ind w:left="580" w:firstLine="1292"/>
        <w:spacing w:after="0" w:line="250" w:lineRule="auto"/>
        <w:tabs>
          <w:tab w:leader="none" w:pos="2383"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Draw</w:t>
      </w:r>
      <w:r>
        <w:rPr>
          <w:rFonts w:ascii="Times New Roman" w:cs="Times New Roman" w:eastAsia="Times New Roman" w:hAnsi="Times New Roman"/>
          <w:sz w:val="22"/>
          <w:szCs w:val="22"/>
          <w:color w:val="auto"/>
        </w:rPr>
        <w:t>. In the event that either (x) on or prior to 10:00 a.m. (New York City time) on the Business Day immediately preceding the Series 2023-6 Final Distribution Date a Demand Notice has been transmitted by the Trustee to the Demand Note Issuers pursuant to clause (i) of this Section 2.5(c) and any Demand Note Issuer shall have failed to pay to the Trustee or deposit into the Series 2023-6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2023-6 Final Distribution Date, then, in the case of (x) or (y) the Trustee shall:</w:t>
      </w:r>
    </w:p>
    <w:p>
      <w:pPr>
        <w:spacing w:after="0" w:line="179" w:lineRule="exact"/>
        <w:rPr>
          <w:rFonts w:ascii="Times New Roman" w:cs="Times New Roman" w:eastAsia="Times New Roman" w:hAnsi="Times New Roman"/>
          <w:sz w:val="22"/>
          <w:szCs w:val="22"/>
          <w:color w:val="auto"/>
        </w:rPr>
      </w:pPr>
    </w:p>
    <w:p>
      <w:pPr>
        <w:jc w:val="both"/>
        <w:ind w:left="1880" w:firstLine="640"/>
        <w:spacing w:after="0" w:line="247" w:lineRule="auto"/>
        <w:tabs>
          <w:tab w:leader="none" w:pos="3115" w:val="left"/>
        </w:tabs>
        <w:numPr>
          <w:ilvl w:val="1"/>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draw on the Multi-Series Letters of Credit by 12:00 noon (New York City time) on such Business Day an amount allocable to the Class A/B/C Notes equal to the lesser of (a) the amount that the Demand Note Issuers so failed to pay under the Series 2023-6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2023-6 Distribution Account an amount equal to the lesser of (x) the Class A/B/C Cash Collateral Percentage on such Business Day of the amount that the Demand Note Issuers so failed to pay under the Series 2023-6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ectPr>
          <w:pgSz w:w="11900" w:h="16838" w:orient="portrait"/>
          <w:cols w:equalWidth="0" w:num="1">
            <w:col w:w="11160"/>
          </w:cols>
          <w:pgMar w:left="400" w:top="1030" w:right="339" w:bottom="1440" w:gutter="0" w:footer="0" w:header="0"/>
        </w:sectPr>
      </w:pPr>
    </w:p>
    <w:bookmarkStart w:id="377" w:name="page378"/>
    <w:bookmarkEnd w:id="377"/>
    <w:p>
      <w:pPr>
        <w:jc w:val="both"/>
        <w:ind w:left="1880"/>
        <w:spacing w:after="0" w:line="253" w:lineRule="auto"/>
        <w:rPr>
          <w:sz w:val="20"/>
          <w:szCs w:val="20"/>
          <w:color w:val="auto"/>
        </w:rPr>
      </w:pPr>
      <w:r>
        <w:rPr>
          <w:rFonts w:ascii="Times New Roman" w:cs="Times New Roman" w:eastAsia="Times New Roman" w:hAnsi="Times New Roman"/>
          <w:sz w:val="22"/>
          <w:szCs w:val="22"/>
          <w:color w:val="auto"/>
        </w:rPr>
        <w:t>2023-6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2023-6 Distribution Account; and</w:t>
      </w:r>
    </w:p>
    <w:p>
      <w:pPr>
        <w:spacing w:after="0" w:line="179" w:lineRule="exact"/>
        <w:rPr>
          <w:sz w:val="20"/>
          <w:szCs w:val="20"/>
          <w:color w:val="auto"/>
        </w:rPr>
      </w:pPr>
    </w:p>
    <w:p>
      <w:pPr>
        <w:jc w:val="both"/>
        <w:ind w:left="1880" w:firstLine="640"/>
        <w:spacing w:after="0" w:line="247" w:lineRule="auto"/>
        <w:tabs>
          <w:tab w:leader="none" w:pos="3115" w:val="left"/>
        </w:tabs>
        <w:numPr>
          <w:ilvl w:val="1"/>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draw on the Multi-Series Letters of Credit by 12:00 noon (New York City time) on such Business Day an amount allocable to the Class D Notes equal to the lesser of (a) the excess of (x) the amount that the Demand Note Issuers so failed to pay under the Series 2023-6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 (b) the Class D Letter of Credit Amount on such Business Day by presenting to each Multi-Series Letter of Credit Provider with respect to the Class D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D Cash Collateral Account has been established and funded, the Trustee shall withdraw from the Class D Cash Collateral Account and deposit in the Series 2023-6 Distribution Account an amount equal to the lesser of (x) the Class D Cash Collateral Percentage on such Business Day of the excess of (A) the amount that the Demand Note Issuers so failed to pay under the Series 2023-6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2023-6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2023-6 Distribution Account.</w:t>
      </w:r>
    </w:p>
    <w:p>
      <w:pPr>
        <w:spacing w:after="0" w:line="187" w:lineRule="exact"/>
        <w:rPr>
          <w:rFonts w:ascii="Times New Roman" w:cs="Times New Roman" w:eastAsia="Times New Roman" w:hAnsi="Times New Roman"/>
          <w:sz w:val="22"/>
          <w:szCs w:val="22"/>
          <w:color w:val="auto"/>
        </w:rPr>
      </w:pPr>
    </w:p>
    <w:p>
      <w:pPr>
        <w:jc w:val="both"/>
        <w:ind w:left="580" w:firstLine="1292"/>
        <w:spacing w:after="0" w:line="275" w:lineRule="auto"/>
        <w:tabs>
          <w:tab w:leader="none" w:pos="2416" w:val="left"/>
        </w:tabs>
        <w:numPr>
          <w:ilvl w:val="0"/>
          <w:numId w:val="3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 Account Withdrawal</w:t>
      </w:r>
      <w:r>
        <w:rPr>
          <w:rFonts w:ascii="Times New Roman" w:cs="Times New Roman" w:eastAsia="Times New Roman" w:hAnsi="Times New Roman"/>
          <w:sz w:val="21"/>
          <w:szCs w:val="21"/>
          <w:color w:val="auto"/>
        </w:rPr>
        <w:t>. If, after giving effect to the deposit into the Series 2023-6 Distribution Account of the amount to be deposited in accordance with Section 2.5(a) and the amounts described in clauses (i) and (ii) of this Section 2.5(c), the amount to be deposited in the Series 2023-6 Distribution Account with respect to the</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bl>
    <w:p>
      <w:pPr>
        <w:sectPr>
          <w:pgSz w:w="11900" w:h="16838" w:orient="portrait"/>
          <w:cols w:equalWidth="0" w:num="1">
            <w:col w:w="11160"/>
          </w:cols>
          <w:pgMar w:left="400" w:top="1246" w:right="339" w:bottom="1440" w:gutter="0" w:footer="0" w:header="0"/>
        </w:sectPr>
      </w:pPr>
    </w:p>
    <w:bookmarkStart w:id="378" w:name="page379"/>
    <w:bookmarkEnd w:id="378"/>
    <w:p>
      <w:pPr>
        <w:jc w:val="both"/>
        <w:ind w:left="580"/>
        <w:spacing w:after="0" w:line="264" w:lineRule="auto"/>
        <w:rPr>
          <w:sz w:val="20"/>
          <w:szCs w:val="20"/>
          <w:color w:val="auto"/>
        </w:rPr>
      </w:pPr>
      <w:r>
        <w:rPr>
          <w:rFonts w:ascii="Times New Roman" w:cs="Times New Roman" w:eastAsia="Times New Roman" w:hAnsi="Times New Roman"/>
          <w:sz w:val="21"/>
          <w:szCs w:val="21"/>
          <w:color w:val="auto"/>
        </w:rPr>
        <w:t>Series 2023-6 Final Distribution Date is or will be less than the Series 2023-6 Senior Invested Amount, then, prior to 12:00 noon (New York City time) on the second Business Day prior to such Series 2023-6 Final Distribution Date, the Administrator shall instruct the Trustee in writing to withdraw (x) first, from the Class A/B/C Reserve Account, an amount equal to the lesser of the Class A/B/C Available Reserve Account Amount and such remaining insufficiency and</w:t>
      </w:r>
    </w:p>
    <w:p>
      <w:pPr>
        <w:spacing w:after="0" w:line="1" w:lineRule="exact"/>
        <w:rPr>
          <w:sz w:val="20"/>
          <w:szCs w:val="20"/>
          <w:color w:val="auto"/>
        </w:rPr>
      </w:pPr>
    </w:p>
    <w:p>
      <w:pPr>
        <w:jc w:val="both"/>
        <w:ind w:left="580" w:hanging="4"/>
        <w:spacing w:after="0" w:line="263" w:lineRule="auto"/>
        <w:tabs>
          <w:tab w:leader="none" w:pos="898" w:val="left"/>
        </w:tabs>
        <w:numPr>
          <w:ilvl w:val="0"/>
          <w:numId w:val="3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second, from the Class D Reserve Account, an amount equal to the lesser of the Class D Available Reserve Account Amount and such remaining insufficiency (after giving effect to any withdrawal from the Class A/B/C Reserve Account) and, in each case, deposit it in the Series 2023-6 Distribution Account on such Series 2023-6 Final Distribution Date.</w:t>
      </w:r>
    </w:p>
    <w:p>
      <w:pPr>
        <w:spacing w:after="0" w:line="181" w:lineRule="exact"/>
        <w:rPr>
          <w:rFonts w:ascii="Times New Roman" w:cs="Times New Roman" w:eastAsia="Times New Roman" w:hAnsi="Times New Roman"/>
          <w:sz w:val="21"/>
          <w:szCs w:val="21"/>
          <w:color w:val="auto"/>
        </w:rPr>
      </w:pPr>
    </w:p>
    <w:p>
      <w:pPr>
        <w:jc w:val="both"/>
        <w:ind w:left="-80" w:firstLine="1304"/>
        <w:spacing w:after="0" w:line="257" w:lineRule="auto"/>
        <w:tabs>
          <w:tab w:leader="none" w:pos="1832" w:val="left"/>
        </w:tabs>
        <w:numPr>
          <w:ilvl w:val="1"/>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On each Distribution Date, other than the Series 2023-6 Final Distribution Date, on which the Class A/B/C Principal Deficit Amount is greater than zero, amounts shall be transferred to the Series 2023-6 Distribution Account as follows:</w:t>
      </w:r>
    </w:p>
    <w:p>
      <w:pPr>
        <w:spacing w:after="0" w:line="172"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296" w:val="left"/>
        </w:tabs>
        <w:numPr>
          <w:ilvl w:val="2"/>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xml:space="preserve">. If on any Determination Date, the Administrator determines that the Class A/B/C Principal Deficit Amount with respect to the next succeeding Distribution Date will be greater than zero and there are any Multi-Series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2023-6 Demand Note to be deposited into the Series 2023-6 Distribution Account.</w:t>
      </w:r>
    </w:p>
    <w:p>
      <w:pPr>
        <w:spacing w:after="0" w:line="184"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396" w:val="left"/>
        </w:tabs>
        <w:numPr>
          <w:ilvl w:val="2"/>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Draw</w:t>
      </w:r>
      <w:r>
        <w:rPr>
          <w:rFonts w:ascii="Times New Roman" w:cs="Times New Roman" w:eastAsia="Times New Roman" w:hAnsi="Times New Roman"/>
          <w:sz w:val="22"/>
          <w:szCs w:val="22"/>
          <w:color w:val="auto"/>
        </w:rPr>
        <w:t>. In the event that either (x) on or prior to 10:00 a.m. (New York City time) on the Business Day prior to such Distribution Date, any Demand Note Issuer shall have failed to pay to the Trustee or deposit into the Series 2023-6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an amount allocable to the Class A/B/C Notes equal to the lesser of (i) Class A/B/C Letter of Credit Amount and (ii) the aggregate amount that the Demand Note Issuers so failed to pay under the Series 2023-6 Demand Notes (or, the amount that the Trustee failed to demand for payment thereunder) by presenting to each</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ectPr>
          <w:pgSz w:w="11900" w:h="16838" w:orient="portrait"/>
          <w:cols w:equalWidth="0" w:num="1">
            <w:col w:w="11160"/>
          </w:cols>
          <w:pgMar w:left="400" w:top="1030" w:right="339" w:bottom="1440" w:gutter="0" w:footer="0" w:header="0"/>
        </w:sectPr>
      </w:pPr>
    </w:p>
    <w:bookmarkStart w:id="379" w:name="page380"/>
    <w:bookmarkEnd w:id="379"/>
    <w:p>
      <w:pPr>
        <w:jc w:val="both"/>
        <w:ind w:left="580"/>
        <w:spacing w:after="0" w:line="248" w:lineRule="auto"/>
        <w:rPr>
          <w:sz w:val="20"/>
          <w:szCs w:val="20"/>
          <w:color w:val="auto"/>
        </w:rPr>
      </w:pPr>
      <w:r>
        <w:rPr>
          <w:rFonts w:ascii="Times New Roman" w:cs="Times New Roman" w:eastAsia="Times New Roman" w:hAnsi="Times New Roman"/>
          <w:sz w:val="22"/>
          <w:szCs w:val="22"/>
          <w:color w:val="auto"/>
        </w:rPr>
        <w:t xml:space="preserve">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2023-6 Distribution Account an amount equal to the lesser of (x) the Class A/B/C Cash Collateral Percentage on such Business Day of the aggregate amount that the Demand Note Issuers so failed to pay under the Series 2023-6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2023-6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2023-6 Distribution Account.</w:t>
      </w:r>
    </w:p>
    <w:p>
      <w:pPr>
        <w:spacing w:after="0" w:line="184" w:lineRule="exact"/>
        <w:rPr>
          <w:sz w:val="20"/>
          <w:szCs w:val="20"/>
          <w:color w:val="auto"/>
        </w:rPr>
      </w:pPr>
    </w:p>
    <w:p>
      <w:pPr>
        <w:jc w:val="both"/>
        <w:ind w:left="580" w:firstLine="1292"/>
        <w:spacing w:after="0" w:line="252" w:lineRule="auto"/>
        <w:tabs>
          <w:tab w:leader="none" w:pos="2443" w:val="left"/>
        </w:tabs>
        <w:numPr>
          <w:ilvl w:val="1"/>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Withdrawal</w:t>
      </w:r>
      <w:r>
        <w:rPr>
          <w:rFonts w:ascii="Times New Roman" w:cs="Times New Roman" w:eastAsia="Times New Roman" w:hAnsi="Times New Roman"/>
          <w:sz w:val="22"/>
          <w:szCs w:val="22"/>
          <w:color w:val="auto"/>
        </w:rPr>
        <w:t>.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2023-6 Distribution Account in accordance with clauses (i) and (ii) of this Section 2.5(d) and deposit it in the Series 2023-6 Distribution Account on such Distribution Date.</w:t>
      </w:r>
    </w:p>
    <w:p>
      <w:pPr>
        <w:spacing w:after="0" w:line="179" w:lineRule="exact"/>
        <w:rPr>
          <w:rFonts w:ascii="Times New Roman" w:cs="Times New Roman" w:eastAsia="Times New Roman" w:hAnsi="Times New Roman"/>
          <w:sz w:val="22"/>
          <w:szCs w:val="22"/>
          <w:color w:val="auto"/>
        </w:rPr>
      </w:pPr>
    </w:p>
    <w:p>
      <w:pPr>
        <w:jc w:val="both"/>
        <w:ind w:left="-80" w:firstLine="1304"/>
        <w:spacing w:after="0" w:line="275" w:lineRule="auto"/>
        <w:tabs>
          <w:tab w:leader="none" w:pos="1672" w:val="left"/>
        </w:tabs>
        <w:numPr>
          <w:ilvl w:val="0"/>
          <w:numId w:val="3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Principal Deficit Amount</w:t>
      </w:r>
      <w:r>
        <w:rPr>
          <w:rFonts w:ascii="Times New Roman" w:cs="Times New Roman" w:eastAsia="Times New Roman" w:hAnsi="Times New Roman"/>
          <w:sz w:val="21"/>
          <w:szCs w:val="21"/>
          <w:color w:val="auto"/>
        </w:rPr>
        <w:t>. On each Distribution Date, other than the Series 2023-6 Final Distribution Date, on which the Class A Notes, Class B Notes and Class C Notes will have been paid in full and the Class D Principal Deficit Amount is greater than zero, amounts shall be transferred to the Series 2023-6 Distribution Account as follows:</w:t>
      </w:r>
    </w:p>
    <w:p>
      <w:pPr>
        <w:spacing w:after="0" w:line="155" w:lineRule="exact"/>
        <w:rPr>
          <w:rFonts w:ascii="Times New Roman" w:cs="Times New Roman" w:eastAsia="Times New Roman" w:hAnsi="Times New Roman"/>
          <w:sz w:val="21"/>
          <w:szCs w:val="21"/>
          <w:color w:val="auto"/>
        </w:rPr>
      </w:pPr>
    </w:p>
    <w:p>
      <w:pPr>
        <w:jc w:val="both"/>
        <w:ind w:left="580" w:firstLine="1292"/>
        <w:spacing w:after="0" w:line="248" w:lineRule="auto"/>
        <w:tabs>
          <w:tab w:leader="none" w:pos="2390" w:val="left"/>
        </w:tabs>
        <w:numPr>
          <w:ilvl w:val="1"/>
          <w:numId w:val="3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bl>
    <w:p>
      <w:pPr>
        <w:sectPr>
          <w:pgSz w:w="11900" w:h="16838" w:orient="portrait"/>
          <w:cols w:equalWidth="0" w:num="1">
            <w:col w:w="11160"/>
          </w:cols>
          <w:pgMar w:left="400" w:top="1030" w:right="339" w:bottom="1440" w:gutter="0" w:footer="0" w:header="0"/>
        </w:sectPr>
      </w:pPr>
    </w:p>
    <w:bookmarkStart w:id="380" w:name="page381"/>
    <w:bookmarkEnd w:id="380"/>
    <w:p>
      <w:pPr>
        <w:ind w:left="580"/>
        <w:spacing w:after="0"/>
        <w:rPr>
          <w:sz w:val="20"/>
          <w:szCs w:val="20"/>
          <w:color w:val="auto"/>
        </w:rPr>
      </w:pPr>
      <w:r>
        <w:rPr>
          <w:rFonts w:ascii="Times New Roman" w:cs="Times New Roman" w:eastAsia="Times New Roman" w:hAnsi="Times New Roman"/>
          <w:sz w:val="22"/>
          <w:szCs w:val="22"/>
          <w:color w:val="auto"/>
        </w:rPr>
        <w:t>on the Series 2023-6 Demand Note to be deposited into the Series 2023-6 Distribution Account.</w:t>
      </w:r>
    </w:p>
    <w:p>
      <w:pPr>
        <w:spacing w:after="0" w:line="220" w:lineRule="exact"/>
        <w:rPr>
          <w:sz w:val="20"/>
          <w:szCs w:val="20"/>
          <w:color w:val="auto"/>
        </w:rPr>
      </w:pPr>
    </w:p>
    <w:p>
      <w:pPr>
        <w:jc w:val="both"/>
        <w:ind w:left="580" w:firstLine="1292"/>
        <w:spacing w:after="0" w:line="247" w:lineRule="auto"/>
        <w:tabs>
          <w:tab w:leader="none" w:pos="2396"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Draw</w:t>
      </w:r>
      <w:r>
        <w:rPr>
          <w:rFonts w:ascii="Times New Roman" w:cs="Times New Roman" w:eastAsia="Times New Roman" w:hAnsi="Times New Roman"/>
          <w:sz w:val="22"/>
          <w:szCs w:val="22"/>
          <w:color w:val="auto"/>
        </w:rPr>
        <w:t xml:space="preserve">. In the event that either (x) on or prior to 10:00 a.m. (New York City time) on the Business Day prior to such Distribution Date, any Demand Note Issuer shall have failed to pay to the Trustee or deposit into the Series 2023-6 Distribution Account the amount specified in such Demand Notice delivered pursuant to Section 2.5I(i)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 Notes equal to the lesser of (i) Class A/B/C Letter of Credit Amount and (ii) the aggregate amount that the Demand Note Issuers so failed to pay under the Series 2023-6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2023-6 Distribution Account an amount equal to the lesser of (x) the Class A/B/C Cash Collateral Percentage on such Business Day of the aggregate amount that the Demand Note Issuers so failed to pay under the Series 2023-6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2023-6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2023-6 Distribution Account.</w:t>
      </w:r>
    </w:p>
    <w:p>
      <w:pPr>
        <w:spacing w:after="0" w:line="194"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537"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Withdrawal</w:t>
      </w:r>
      <w:r>
        <w:rPr>
          <w:rFonts w:ascii="Times New Roman" w:cs="Times New Roman" w:eastAsia="Times New Roman" w:hAnsi="Times New Roman"/>
          <w:sz w:val="22"/>
          <w:szCs w:val="22"/>
          <w:color w:val="auto"/>
        </w:rPr>
        <w:t>. If the amounts to be deposited in the Series 2023-6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2023-6 Distribution Account in accordance with clauses (i) and (ii) of this Section 2.5(e) and deposit it in the Series 2023-6 Distribution Account on such Distribution Date.</w:t>
      </w:r>
    </w:p>
    <w:p>
      <w:pPr>
        <w:spacing w:after="0" w:line="181" w:lineRule="exact"/>
        <w:rPr>
          <w:rFonts w:ascii="Times New Roman" w:cs="Times New Roman" w:eastAsia="Times New Roman" w:hAnsi="Times New Roman"/>
          <w:sz w:val="22"/>
          <w:szCs w:val="22"/>
          <w:color w:val="auto"/>
        </w:rPr>
      </w:pPr>
    </w:p>
    <w:p>
      <w:pPr>
        <w:ind w:left="580" w:right="20" w:firstLine="1292"/>
        <w:spacing w:after="0" w:line="271" w:lineRule="auto"/>
        <w:tabs>
          <w:tab w:leader="none" w:pos="2431" w:val="left"/>
        </w:tabs>
        <w:numPr>
          <w:ilvl w:val="0"/>
          <w:numId w:val="3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Letter of Credit Draw</w:t>
      </w:r>
      <w:r>
        <w:rPr>
          <w:rFonts w:ascii="Times New Roman" w:cs="Times New Roman" w:eastAsia="Times New Roman" w:hAnsi="Times New Roman"/>
          <w:sz w:val="22"/>
          <w:szCs w:val="22"/>
          <w:color w:val="auto"/>
        </w:rPr>
        <w:t>. In the event that either (x) on or prior to 10:00 a.m. (New York City time) on the Business Day prior to such Distribution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bl>
    <w:p>
      <w:pPr>
        <w:sectPr>
          <w:pgSz w:w="11900" w:h="16838" w:orient="portrait"/>
          <w:cols w:equalWidth="0" w:num="1">
            <w:col w:w="11160"/>
          </w:cols>
          <w:pgMar w:left="400" w:top="1030" w:right="339" w:bottom="1440" w:gutter="0" w:footer="0" w:header="0"/>
        </w:sectPr>
      </w:pPr>
    </w:p>
    <w:bookmarkStart w:id="381" w:name="page382"/>
    <w:bookmarkEnd w:id="381"/>
    <w:p>
      <w:pPr>
        <w:jc w:val="both"/>
        <w:ind w:left="580"/>
        <w:spacing w:after="0" w:line="259" w:lineRule="auto"/>
        <w:rPr>
          <w:sz w:val="20"/>
          <w:szCs w:val="20"/>
          <w:color w:val="auto"/>
        </w:rPr>
      </w:pPr>
      <w:r>
        <w:rPr>
          <w:rFonts w:ascii="Times New Roman" w:cs="Times New Roman" w:eastAsia="Times New Roman" w:hAnsi="Times New Roman"/>
          <w:sz w:val="21"/>
          <w:szCs w:val="21"/>
          <w:color w:val="auto"/>
        </w:rPr>
        <w:t xml:space="preserve">Date, any Demand Note Issuer shall have failed to pay to the Trustee or deposit into the Series 2023-6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D Notes, if any, an amount allocable to the Class D Notes equal to the lesser of (i) Class D Letter of Credit Amount and (ii) the excess of (A) the aggregate amount that the Demand Note Issuers so failed to pay under the Series 2023-6 Demand Notes (or, the amount that the Trustee failed to demand for payment thereunder) over (B) the amount deposited into the Series 2023-6 Distribution Account in accordance with Section 2.5(e)(ii) and (iii) above, by presenting to each Multi-Series Letter of Credit Provider with respect to the Class D Notes a draft accompanied by a Certificate of Unpaid Demand Note Demand;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2023-6 Distribution Account an amount equal to the lesser of (x) the Class D Cash Collateral Percentage on such Business Day of the excess of (A) the aggregate amount that the Demand Note Issuers so failed to pay under the Series 2023-6 Demand Notes (or, the amount that the Trustee failed to demand for payment thereunder) over (B) the amount deposited into the Series 2023-6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2023-6 Distribution Account.</w:t>
      </w:r>
    </w:p>
    <w:p>
      <w:pPr>
        <w:spacing w:after="0" w:line="184" w:lineRule="exact"/>
        <w:rPr>
          <w:sz w:val="20"/>
          <w:szCs w:val="20"/>
          <w:color w:val="auto"/>
        </w:rPr>
      </w:pPr>
    </w:p>
    <w:p>
      <w:pPr>
        <w:jc w:val="both"/>
        <w:ind w:left="580" w:firstLine="1292"/>
        <w:spacing w:after="0" w:line="249" w:lineRule="auto"/>
        <w:tabs>
          <w:tab w:leader="none" w:pos="2573" w:val="left"/>
        </w:tabs>
        <w:numPr>
          <w:ilvl w:val="1"/>
          <w:numId w:val="3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Reserve Account Withdrawal</w:t>
      </w:r>
      <w:r>
        <w:rPr>
          <w:rFonts w:ascii="Times New Roman" w:cs="Times New Roman" w:eastAsia="Times New Roman" w:hAnsi="Times New Roman"/>
          <w:sz w:val="22"/>
          <w:szCs w:val="22"/>
          <w:color w:val="auto"/>
        </w:rPr>
        <w:t>. If the amounts to be deposited in the Series 2023-6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2023-6 Distribution Account in accordance with clauses (i) through (iv) of this Section 2.5(e) and deposit it in the Series 2023-6 Distribution Account on such Distribution Date.</w:t>
      </w:r>
    </w:p>
    <w:p>
      <w:pPr>
        <w:spacing w:after="0" w:line="195" w:lineRule="exact"/>
        <w:rPr>
          <w:rFonts w:ascii="Times New Roman" w:cs="Times New Roman" w:eastAsia="Times New Roman" w:hAnsi="Times New Roman"/>
          <w:sz w:val="22"/>
          <w:szCs w:val="22"/>
          <w:color w:val="auto"/>
        </w:rPr>
      </w:pPr>
    </w:p>
    <w:p>
      <w:pPr>
        <w:ind w:left="1660" w:hanging="436"/>
        <w:spacing w:after="0"/>
        <w:tabs>
          <w:tab w:leader="none" w:pos="1660" w:val="left"/>
        </w:tabs>
        <w:numPr>
          <w:ilvl w:val="0"/>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80" w:firstLine="1292"/>
        <w:spacing w:after="0" w:line="252" w:lineRule="auto"/>
        <w:tabs>
          <w:tab w:leader="none" w:pos="2350" w:val="left"/>
        </w:tabs>
        <w:numPr>
          <w:ilvl w:val="1"/>
          <w:numId w:val="3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Notes</w:t>
      </w:r>
      <w:r>
        <w:rPr>
          <w:rFonts w:ascii="Times New Roman" w:cs="Times New Roman" w:eastAsia="Times New Roman" w:hAnsi="Times New Roman"/>
          <w:sz w:val="22"/>
          <w:szCs w:val="22"/>
          <w:color w:val="auto"/>
        </w:rPr>
        <w:t>. On each Distribution Date occurring on or after the date a withdrawal is made from the Series 2023-6 Collection Account pursuant to Section 2.5(a) or amounts are deposited in the Series 2023-6 Distribution Account pursuant to Section 2.3(f)(ii), 2.5(b), (c) or (d) the Paying Agent shall, in accordance with Section 6.1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bl>
    <w:p>
      <w:pPr>
        <w:sectPr>
          <w:pgSz w:w="11900" w:h="16838" w:orient="portrait"/>
          <w:cols w:equalWidth="0" w:num="1">
            <w:col w:w="11160"/>
          </w:cols>
          <w:pgMar w:left="400" w:top="1030" w:right="339" w:bottom="1440" w:gutter="0" w:footer="0" w:header="0"/>
        </w:sectPr>
      </w:pPr>
    </w:p>
    <w:bookmarkStart w:id="382" w:name="page383"/>
    <w:bookmarkEnd w:id="382"/>
    <w:p>
      <w:pPr>
        <w:jc w:val="both"/>
        <w:ind w:left="580"/>
        <w:spacing w:after="0" w:line="256" w:lineRule="auto"/>
        <w:rPr>
          <w:sz w:val="20"/>
          <w:szCs w:val="20"/>
          <w:color w:val="auto"/>
        </w:rPr>
      </w:pPr>
      <w:r>
        <w:rPr>
          <w:rFonts w:ascii="Times New Roman" w:cs="Times New Roman" w:eastAsia="Times New Roman" w:hAnsi="Times New Roman"/>
          <w:sz w:val="22"/>
          <w:szCs w:val="22"/>
          <w:color w:val="auto"/>
        </w:rPr>
        <w:t xml:space="preserve">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A Noteholder from the Series 2023-6 Distribution Account the amount deposited therein pursuant to Section 2.5(a), (b), (c) or (d), to the extent necessary to pay the Class A Controlled Distribution Amount during the Series 2023-6 Controlled Amortization Period or to the extent necessary to pay the Class A Invested Amount during the Series 2023-6 Rapid Amortization Period.</w:t>
      </w:r>
    </w:p>
    <w:p>
      <w:pPr>
        <w:spacing w:after="0" w:line="176" w:lineRule="exact"/>
        <w:rPr>
          <w:sz w:val="20"/>
          <w:szCs w:val="20"/>
          <w:color w:val="auto"/>
        </w:rPr>
      </w:pPr>
    </w:p>
    <w:p>
      <w:pPr>
        <w:jc w:val="both"/>
        <w:ind w:left="580" w:firstLine="1292"/>
        <w:spacing w:after="0" w:line="249" w:lineRule="auto"/>
        <w:tabs>
          <w:tab w:leader="none" w:pos="2396"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Notes</w:t>
      </w:r>
      <w:r>
        <w:rPr>
          <w:rFonts w:ascii="Times New Roman" w:cs="Times New Roman" w:eastAsia="Times New Roman" w:hAnsi="Times New Roman"/>
          <w:sz w:val="22"/>
          <w:szCs w:val="22"/>
          <w:color w:val="auto"/>
        </w:rPr>
        <w:t xml:space="preserve">. On each Distribution Date occurring on or after the date a withdrawal is made from the Series 2023-6 Collection Account pursuant to Section 2.5(a) or amounts are deposited in the Series 2023-6 Distribution Account pursuant to Section 2.3(f)(ii),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B Noteholder from the Series 2023-6 Distribution Account the amount deposited therein pursuant to Section 2.5(a), (b), (c) or (d) less the aggregate amount applied to make the payments required pursuant to Section 2.5(f)(i), to the extent necessary to pay the Class B Controlled Distribution Amount during the Series 2023-6 Controlled Amortization Period or to the extent necessary to pay the Class B Invested Amount during the Series 2023-6 Rapid Amortization Period.</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43"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xml:space="preserve">. On each Distribution Date occurring on or after the date a withdrawal is made from the Series 2023-6 Collection Account pursuant to Section 2.5(a) or amounts are deposited in the Series 2023-6 Distribution Account pursuant to Section 2.3(f)(ii),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C Noteholder from the Series 2023-6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2023-6 Controlled Amortization Period or to the extent necessary to pay the Class C Invested Amount during the Series 2023-6 Rapid Amortization Period.</w:t>
      </w:r>
    </w:p>
    <w:p>
      <w:pPr>
        <w:spacing w:after="0" w:line="186"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431"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On each Distribution Date occurring on or after the date a withdrawal is made from the Series 2023-6 Collection Account pursuant to Section 2.5(a) or amounts are deposited in the Series 2023-6 Distribution Account pursuant to Section 2.3(f)(ii), 2.5(b), (c), (d) or (e)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D Noteholder from the Series 2023-6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2023-6 Controlled Amortization Period or to the extent necessary to pay the Class D Invested Amount during the Series 2023-6 Rapid Amortization Period.</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384" w:val="left"/>
        </w:tabs>
        <w:numPr>
          <w:ilvl w:val="0"/>
          <w:numId w:val="3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R Notes</w:t>
      </w:r>
      <w:r>
        <w:rPr>
          <w:rFonts w:ascii="Times New Roman" w:cs="Times New Roman" w:eastAsia="Times New Roman" w:hAnsi="Times New Roman"/>
          <w:sz w:val="22"/>
          <w:szCs w:val="22"/>
          <w:color w:val="auto"/>
        </w:rPr>
        <w:t xml:space="preserve">. On each Distribution Date occurring on or after the date a withdrawal is made from the Series 2023-6 Collection Account pursuant to Section 2.5(a)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R Noteholder from the Series 2023-6 Distribution Account the amount deposited therein pursuant to Section 2.5(a) less the aggregate amount applied to make the payments required pursuant to Section 2.5(f)(i), Section 2.5(f)(ii), Section</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ectPr>
          <w:pgSz w:w="11900" w:h="16838" w:orient="portrait"/>
          <w:cols w:equalWidth="0" w:num="1">
            <w:col w:w="11160"/>
          </w:cols>
          <w:pgMar w:left="400" w:top="1030" w:right="339" w:bottom="1440" w:gutter="0" w:footer="0" w:header="0"/>
        </w:sectPr>
      </w:pPr>
    </w:p>
    <w:bookmarkStart w:id="383" w:name="page384"/>
    <w:bookmarkEnd w:id="383"/>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2.5(f)(iii) and Section 2.5(f)(iv), to the extent necessary to pay the Class R Controlled Amortization Amount during the Series 2023-6 Controlled Amortization Period or to the extent necessary to pay the Class R Invested Amount during the Series 2023-6 Rapid Amortization Period.</w:t>
      </w:r>
    </w:p>
    <w:p>
      <w:pPr>
        <w:spacing w:after="0" w:line="16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Administrator’s Failure to Instruct the Trustee to Make a Deposit, Draw or Payment</w:t>
      </w:r>
      <w:r>
        <w:rPr>
          <w:rFonts w:ascii="Times New Roman" w:cs="Times New Roman" w:eastAsia="Times New Roman" w:hAnsi="Times New Roman"/>
          <w:sz w:val="21"/>
          <w:szCs w:val="21"/>
          <w:color w:val="auto"/>
        </w:rPr>
        <w:t xml:space="preserve">. If the Administrator fails to give notice or instructions to make (i) any payment from or deposit into the Collection Account, (ii) any draw on the Series 2023-6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2023-6 Demand Notes or the Multi-Series Letters of Credit, or such withdrawal from such Account, in each case without such notice or instruction from the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Series 2023-6 Reserve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Establishment of Class A/B/C Reserve Account</w:t>
      </w:r>
      <w:r>
        <w:rPr>
          <w:rFonts w:ascii="Times New Roman" w:cs="Times New Roman" w:eastAsia="Times New Roman" w:hAnsi="Times New Roman"/>
          <w:sz w:val="21"/>
          <w:szCs w:val="21"/>
          <w:color w:val="auto"/>
        </w:rPr>
        <w:t>. ABRCF has established and shall maintain in the name of the Series 2023-6 Agent for the benefit of the Class A Noteholders, the Class B Noteholders, the Class C Noteholders and the Class D Noteholders, or cause to be established and maintained, an account (the “</w:t>
      </w:r>
      <w:r>
        <w:rPr>
          <w:rFonts w:ascii="Times New Roman" w:cs="Times New Roman" w:eastAsia="Times New Roman" w:hAnsi="Times New Roman"/>
          <w:sz w:val="21"/>
          <w:szCs w:val="21"/>
          <w:u w:val="single" w:color="auto"/>
          <w:color w:val="auto"/>
        </w:rPr>
        <w:t>Class A/B/C Reserve Account</w:t>
      </w:r>
      <w:r>
        <w:rPr>
          <w:rFonts w:ascii="Times New Roman" w:cs="Times New Roman" w:eastAsia="Times New Roman" w:hAnsi="Times New Roman"/>
          <w:sz w:val="21"/>
          <w:szCs w:val="21"/>
          <w:color w:val="auto"/>
        </w:rPr>
        <w:t xml:space="preserve">”), bearing a designation clearly indicating that the funds deposited therein are held for the benefit of the Series 2023-6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w:t>
      </w:r>
    </w:p>
    <w:p>
      <w:pPr>
        <w:spacing w:after="0" w:line="3" w:lineRule="exact"/>
        <w:rPr>
          <w:sz w:val="20"/>
          <w:szCs w:val="20"/>
          <w:color w:val="auto"/>
        </w:rPr>
      </w:pPr>
    </w:p>
    <w:p>
      <w:pPr>
        <w:jc w:val="both"/>
        <w:ind w:firstLine="8"/>
        <w:spacing w:after="0" w:line="246" w:lineRule="auto"/>
        <w:tabs>
          <w:tab w:leader="none" w:pos="426" w:val="left"/>
        </w:tabs>
        <w:numPr>
          <w:ilvl w:val="0"/>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2023-6 Agent in writing to transfer all cash and investments from the non-qualifying Class A/B/C Reserve Account into the new Class A/B/C Reserve Account. The Class A/B/C Reserve Account has initially been established with The Bank of New York Mellon Trust Company, N.A.</w:t>
      </w:r>
    </w:p>
    <w:p>
      <w:pPr>
        <w:spacing w:after="0" w:line="200"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66" w:val="left"/>
        </w:tabs>
        <w:numPr>
          <w:ilvl w:val="1"/>
          <w:numId w:val="3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A/B/C Reserve Account</w:t>
      </w:r>
      <w:r>
        <w:rPr>
          <w:rFonts w:ascii="Times New Roman" w:cs="Times New Roman" w:eastAsia="Times New Roman" w:hAnsi="Times New Roman"/>
          <w:sz w:val="22"/>
          <w:szCs w:val="22"/>
          <w:color w:val="auto"/>
        </w:rPr>
        <w:t xml:space="preserve">. The Administrator may instruct the institution maintaining the Class A/B/C Reserve Account to invest funds on deposit in the Class A/B/C Reserve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bl>
    <w:p>
      <w:pPr>
        <w:sectPr>
          <w:pgSz w:w="11900" w:h="16838" w:orient="portrait"/>
          <w:cols w:equalWidth="0" w:num="1">
            <w:col w:w="11240"/>
          </w:cols>
          <w:pgMar w:left="320" w:top="1030" w:right="339" w:bottom="1440" w:gutter="0" w:footer="0" w:header="0"/>
        </w:sectPr>
      </w:pPr>
    </w:p>
    <w:bookmarkStart w:id="384" w:name="page385"/>
    <w:bookmarkEnd w:id="384"/>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on or prior to such Distribution Date;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in the case of Permitted Investments held in the Series 2023-6 Reserve Account and so long as any Series 2023-6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spacing w:after="0" w:line="183" w:lineRule="exact"/>
        <w:rPr>
          <w:sz w:val="20"/>
          <w:szCs w:val="20"/>
          <w:color w:val="auto"/>
        </w:rPr>
      </w:pPr>
    </w:p>
    <w:p>
      <w:pPr>
        <w:jc w:val="both"/>
        <w:ind w:firstLine="1304"/>
        <w:spacing w:after="0" w:line="257" w:lineRule="auto"/>
        <w:tabs>
          <w:tab w:leader="none" w:pos="1914" w:val="left"/>
        </w:tabs>
        <w:numPr>
          <w:ilvl w:val="0"/>
          <w:numId w:val="3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Class A/B/C Reserve Account</w:t>
      </w:r>
      <w:r>
        <w:rPr>
          <w:rFonts w:ascii="Times New Roman" w:cs="Times New Roman" w:eastAsia="Times New Roman" w:hAnsi="Times New Roman"/>
          <w:sz w:val="22"/>
          <w:szCs w:val="22"/>
          <w:color w:val="auto"/>
        </w:rPr>
        <w:t>. All interest and earnings (net of losses and investment expenses) paid on funds on deposit in the Class A/B/C Reserve Account shall be deemed to be on deposit therein and available for distribution.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04" w:val="left"/>
        </w:tabs>
        <w:numPr>
          <w:ilvl w:val="0"/>
          <w:numId w:val="3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A/B/C Reserve Account Constitutes Additional Collateral for Series 2023-6 Senior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2023-6 Senior Notes, ABRCF hereby grants a security interest in and assigns, pledges, grants, transfers and sets over to the Trustee, for the benefit of the Series 2023-6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A/B/C Reserve Account Collateral</w:t>
      </w:r>
      <w:r>
        <w:rPr>
          <w:rFonts w:ascii="Times New Roman" w:cs="Times New Roman" w:eastAsia="Times New Roman" w:hAnsi="Times New Roman"/>
          <w:sz w:val="21"/>
          <w:szCs w:val="21"/>
          <w:color w:val="auto"/>
        </w:rPr>
        <w:t>”).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2023-6 Noteholders. The Series 2023-6 Agent hereby agrees (i) to act as the securities intermediary (as defined in Section 8-102(a)(14) of the</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ectPr>
          <w:pgSz w:w="11900" w:h="16838" w:orient="portrait"/>
          <w:cols w:equalWidth="0" w:num="1">
            <w:col w:w="11240"/>
          </w:cols>
          <w:pgMar w:left="320" w:top="1030" w:right="339" w:bottom="1440" w:gutter="0" w:footer="0" w:header="0"/>
        </w:sectPr>
      </w:pPr>
    </w:p>
    <w:bookmarkStart w:id="385" w:name="page386"/>
    <w:bookmarkEnd w:id="385"/>
    <w:p>
      <w:pPr>
        <w:jc w:val="both"/>
        <w:spacing w:after="0" w:line="256" w:lineRule="auto"/>
        <w:rPr>
          <w:sz w:val="20"/>
          <w:szCs w:val="20"/>
          <w:color w:val="auto"/>
        </w:rPr>
      </w:pPr>
      <w:r>
        <w:rPr>
          <w:rFonts w:ascii="Times New Roman" w:cs="Times New Roman" w:eastAsia="Times New Roman" w:hAnsi="Times New Roman"/>
          <w:sz w:val="22"/>
          <w:szCs w:val="22"/>
          <w:color w:val="auto"/>
        </w:rPr>
        <w:t>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spacing w:after="0" w:line="176" w:lineRule="exact"/>
        <w:rPr>
          <w:sz w:val="20"/>
          <w:szCs w:val="20"/>
          <w:color w:val="auto"/>
        </w:rPr>
      </w:pPr>
    </w:p>
    <w:p>
      <w:pPr>
        <w:jc w:val="both"/>
        <w:ind w:firstLine="1304"/>
        <w:spacing w:after="0" w:line="249" w:lineRule="auto"/>
        <w:tabs>
          <w:tab w:leader="none" w:pos="1806"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In the event that the Class A/B/C Reserve Account Surplus on any Distribution Date, after giving effect to all withdrawals from the Class A/B/C Reserve Account, is greater than zero, if no Series 2023-6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28"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Class A/B/C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spacing w:after="0" w:line="178"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8"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Reserve Account</w:t>
      </w:r>
      <w:r>
        <w:rPr>
          <w:rFonts w:ascii="Times New Roman" w:cs="Times New Roman" w:eastAsia="Times New Roman" w:hAnsi="Times New Roman"/>
          <w:sz w:val="22"/>
          <w:szCs w:val="22"/>
          <w:color w:val="auto"/>
        </w:rPr>
        <w:t>. ABRCF shall establish and maintain in the name of the Series 2023-6 Agent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2023-6 Agent in writing to transfer all cash and investments from the non-qualifying Class D Reserve Account into the new Class D Reserve Account. Initially, the Class D Reserve Account will be established with The Bank of New York Mellon Trust Company, N.A.</w:t>
      </w:r>
    </w:p>
    <w:p>
      <w:pPr>
        <w:spacing w:after="0" w:line="19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1" w:val="left"/>
        </w:tabs>
        <w:numPr>
          <w:ilvl w:val="0"/>
          <w:numId w:val="3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D Reserve Account</w:t>
      </w:r>
      <w:r>
        <w:rPr>
          <w:rFonts w:ascii="Times New Roman" w:cs="Times New Roman" w:eastAsia="Times New Roman" w:hAnsi="Times New Roman"/>
          <w:sz w:val="22"/>
          <w:szCs w:val="22"/>
          <w:color w:val="auto"/>
        </w:rPr>
        <w:t xml:space="preserve">. The Administrator may instruct the institution maintaining the Class D Reserve Account to invest funds on deposit in the Class D Reserve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bl>
    <w:p>
      <w:pPr>
        <w:sectPr>
          <w:pgSz w:w="11900" w:h="16838" w:orient="portrait"/>
          <w:cols w:equalWidth="0" w:num="1">
            <w:col w:w="11240"/>
          </w:cols>
          <w:pgMar w:left="320" w:top="1030" w:right="339" w:bottom="1440" w:gutter="0" w:footer="0" w:header="0"/>
        </w:sectPr>
      </w:pPr>
    </w:p>
    <w:bookmarkStart w:id="386" w:name="page387"/>
    <w:bookmarkEnd w:id="386"/>
    <w:p>
      <w:pPr>
        <w:jc w:val="both"/>
        <w:spacing w:after="0" w:line="261" w:lineRule="auto"/>
        <w:rPr>
          <w:sz w:val="20"/>
          <w:szCs w:val="20"/>
          <w:color w:val="auto"/>
        </w:rPr>
      </w:pPr>
      <w:r>
        <w:rPr>
          <w:rFonts w:ascii="Times New Roman" w:cs="Times New Roman" w:eastAsia="Times New Roman" w:hAnsi="Times New Roman"/>
          <w:sz w:val="21"/>
          <w:szCs w:val="21"/>
          <w:color w:val="auto"/>
        </w:rPr>
        <w:t>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spacing w:after="0" w:line="170" w:lineRule="exact"/>
        <w:rPr>
          <w:sz w:val="20"/>
          <w:szCs w:val="20"/>
          <w:color w:val="auto"/>
        </w:rPr>
      </w:pPr>
    </w:p>
    <w:p>
      <w:pPr>
        <w:ind w:firstLine="1304"/>
        <w:spacing w:after="0" w:line="309" w:lineRule="auto"/>
        <w:tabs>
          <w:tab w:leader="none" w:pos="1770" w:val="left"/>
        </w:tabs>
        <w:numPr>
          <w:ilvl w:val="1"/>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Earnings from Class D Reserve Account</w:t>
      </w:r>
      <w:r>
        <w:rPr>
          <w:rFonts w:ascii="Times New Roman" w:cs="Times New Roman" w:eastAsia="Times New Roman" w:hAnsi="Times New Roman"/>
          <w:sz w:val="21"/>
          <w:szCs w:val="21"/>
          <w:color w:val="auto"/>
        </w:rPr>
        <w:t>. All interest and earnings (net of losses and investment expenses) paid on funds on deposit in the Class D Reserve Account shall be deemed to be on deposit therein and available for distribution.</w:t>
      </w:r>
    </w:p>
    <w:p>
      <w:pPr>
        <w:spacing w:after="0" w:line="120" w:lineRule="exact"/>
        <w:rPr>
          <w:rFonts w:ascii="Times New Roman" w:cs="Times New Roman" w:eastAsia="Times New Roman" w:hAnsi="Times New Roman"/>
          <w:sz w:val="21"/>
          <w:szCs w:val="21"/>
          <w:color w:val="auto"/>
        </w:rPr>
      </w:pPr>
    </w:p>
    <w:p>
      <w:pPr>
        <w:jc w:val="both"/>
        <w:ind w:firstLine="1304"/>
        <w:spacing w:after="0" w:line="259" w:lineRule="auto"/>
        <w:tabs>
          <w:tab w:leader="none" w:pos="1729" w:val="left"/>
        </w:tabs>
        <w:numPr>
          <w:ilvl w:val="1"/>
          <w:numId w:val="3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Reserve Account Constitutes Additional Collateral for Class D Notes</w:t>
      </w:r>
      <w:r>
        <w:rPr>
          <w:rFonts w:ascii="Times New Roman" w:cs="Times New Roman" w:eastAsia="Times New Roman" w:hAnsi="Times New Roman"/>
          <w:sz w:val="21"/>
          <w:szCs w:val="21"/>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w:t>
      </w:r>
    </w:p>
    <w:p>
      <w:pPr>
        <w:spacing w:after="0" w:line="5" w:lineRule="exact"/>
        <w:rPr>
          <w:rFonts w:ascii="Times New Roman" w:cs="Times New Roman" w:eastAsia="Times New Roman" w:hAnsi="Times New Roman"/>
          <w:sz w:val="21"/>
          <w:szCs w:val="21"/>
          <w:color w:val="auto"/>
        </w:rPr>
      </w:pPr>
    </w:p>
    <w:p>
      <w:pPr>
        <w:jc w:val="both"/>
        <w:ind w:firstLine="8"/>
        <w:spacing w:after="0" w:line="245" w:lineRule="auto"/>
        <w:tabs>
          <w:tab w:leader="none" w:pos="259" w:val="left"/>
        </w:tabs>
        <w:numPr>
          <w:ilvl w:val="0"/>
          <w:numId w:val="3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(vi) are referred to, collectively, as the “</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2023-6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w:t>
      </w:r>
    </w:p>
    <w:p>
      <w:pPr>
        <w:spacing w:after="0" w:line="200" w:lineRule="exact"/>
        <w:rPr>
          <w:sz w:val="20"/>
          <w:szCs w:val="20"/>
          <w:color w:val="auto"/>
        </w:rPr>
      </w:pP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bl>
    <w:p>
      <w:pPr>
        <w:sectPr>
          <w:pgSz w:w="11900" w:h="16838" w:orient="portrait"/>
          <w:cols w:equalWidth="0" w:num="1">
            <w:col w:w="11240"/>
          </w:cols>
          <w:pgMar w:left="320" w:top="1030" w:right="339" w:bottom="1440" w:gutter="0" w:footer="0" w:header="0"/>
        </w:sectPr>
      </w:pPr>
    </w:p>
    <w:bookmarkStart w:id="387" w:name="page388"/>
    <w:bookmarkEnd w:id="387"/>
    <w:p>
      <w:pPr>
        <w:spacing w:after="0" w:line="271" w:lineRule="auto"/>
        <w:rPr>
          <w:sz w:val="20"/>
          <w:szCs w:val="20"/>
          <w:color w:val="auto"/>
        </w:rPr>
      </w:pPr>
      <w:r>
        <w:rPr>
          <w:rFonts w:ascii="Times New Roman" w:cs="Times New Roman" w:eastAsia="Times New Roman" w:hAnsi="Times New Roman"/>
          <w:sz w:val="22"/>
          <w:szCs w:val="22"/>
          <w:color w:val="auto"/>
        </w:rPr>
        <w:t>UCC) and (iv) to comply with any entitlement order (as defined in Section 8-102(a)(8) of the New York UCC) issued by the Trustee.</w:t>
      </w:r>
    </w:p>
    <w:p>
      <w:pPr>
        <w:spacing w:after="0" w:line="171" w:lineRule="exact"/>
        <w:rPr>
          <w:sz w:val="20"/>
          <w:szCs w:val="20"/>
          <w:color w:val="auto"/>
        </w:rPr>
      </w:pPr>
    </w:p>
    <w:p>
      <w:pPr>
        <w:jc w:val="both"/>
        <w:ind w:firstLine="1304"/>
        <w:spacing w:after="0" w:line="260" w:lineRule="auto"/>
        <w:tabs>
          <w:tab w:leader="none" w:pos="1764" w:val="left"/>
        </w:tabs>
        <w:numPr>
          <w:ilvl w:val="0"/>
          <w:numId w:val="3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Reserve Account Surplus</w:t>
      </w:r>
      <w:r>
        <w:rPr>
          <w:rFonts w:ascii="Times New Roman" w:cs="Times New Roman" w:eastAsia="Times New Roman" w:hAnsi="Times New Roman"/>
          <w:sz w:val="21"/>
          <w:szCs w:val="21"/>
          <w:color w:val="auto"/>
        </w:rPr>
        <w:t>. In the event that the Class D Reserve Account Surplus on any Distribution Date, after giving effect to all withdrawals from the Class D Reserve Account, is greater than zero, if no Series 2023-6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ABRCF.</w:t>
      </w:r>
    </w:p>
    <w:p>
      <w:pPr>
        <w:spacing w:after="0" w:line="207"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43" w:val="left"/>
        </w:tabs>
        <w:numPr>
          <w:ilvl w:val="0"/>
          <w:numId w:val="3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Class D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u w:val="single" w:color="auto"/>
          <w:color w:val="auto"/>
        </w:rPr>
        <w:t>Multi-Series Letters of Credit and Series 2023-6 Cash Collateral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Multi-Series Letters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Credit and Series 2023-6 Cash Collateral Account Constitute Additional Collateral for Series 2023-6 Senior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2023-6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w:t>
      </w:r>
    </w:p>
    <w:p>
      <w:pPr>
        <w:spacing w:after="0" w:line="2" w:lineRule="exact"/>
        <w:rPr>
          <w:sz w:val="20"/>
          <w:szCs w:val="20"/>
          <w:color w:val="auto"/>
        </w:rPr>
      </w:pPr>
    </w:p>
    <w:p>
      <w:pPr>
        <w:jc w:val="both"/>
        <w:ind w:firstLine="8"/>
        <w:spacing w:after="0" w:line="258" w:lineRule="auto"/>
        <w:tabs>
          <w:tab w:leader="none" w:pos="395" w:val="left"/>
        </w:tabs>
        <w:numPr>
          <w:ilvl w:val="0"/>
          <w:numId w:val="3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Class A/B/C Cash Collateral Account Collateral</w:t>
      </w:r>
      <w:r>
        <w:rPr>
          <w:rFonts w:ascii="Times New Roman" w:cs="Times New Roman" w:eastAsia="Times New Roman" w:hAnsi="Times New Roman"/>
          <w:sz w:val="21"/>
          <w:szCs w:val="21"/>
          <w:color w:val="auto"/>
        </w:rPr>
        <w:t>”).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2023-6 Agent hereby agrees (i) to act as the securities intermediary (as defined in Section 8-102(a)(14) of the New York UCC) with respect to the Class</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bl>
    <w:p>
      <w:pPr>
        <w:sectPr>
          <w:pgSz w:w="11900" w:h="16838" w:orient="portrait"/>
          <w:cols w:equalWidth="0" w:num="1">
            <w:col w:w="11240"/>
          </w:cols>
          <w:pgMar w:left="320" w:top="1030" w:right="339" w:bottom="1440" w:gutter="0" w:footer="0" w:header="0"/>
        </w:sectPr>
      </w:pPr>
    </w:p>
    <w:bookmarkStart w:id="388" w:name="page389"/>
    <w:bookmarkEnd w:id="388"/>
    <w:p>
      <w:pPr>
        <w:jc w:val="both"/>
        <w:spacing w:after="0" w:line="256" w:lineRule="auto"/>
        <w:rPr>
          <w:sz w:val="20"/>
          <w:szCs w:val="20"/>
          <w:color w:val="auto"/>
        </w:rPr>
      </w:pPr>
      <w:r>
        <w:rPr>
          <w:rFonts w:ascii="Times New Roman" w:cs="Times New Roman" w:eastAsia="Times New Roman" w:hAnsi="Times New Roman"/>
          <w:sz w:val="22"/>
          <w:szCs w:val="22"/>
          <w:color w:val="auto"/>
        </w:rPr>
        <w:t>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spacing w:after="0" w:line="176" w:lineRule="exact"/>
        <w:rPr>
          <w:sz w:val="20"/>
          <w:szCs w:val="20"/>
          <w:color w:val="auto"/>
        </w:rPr>
      </w:pPr>
    </w:p>
    <w:p>
      <w:pPr>
        <w:jc w:val="both"/>
        <w:ind w:firstLine="1304"/>
        <w:spacing w:after="0" w:line="259" w:lineRule="auto"/>
        <w:tabs>
          <w:tab w:leader="none" w:pos="1791"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Letters of Credit and Class D Cash Collateral Account Constitute Additional Collateral for Class D Notes</w:t>
      </w:r>
      <w:r>
        <w:rPr>
          <w:rFonts w:ascii="Times New Roman" w:cs="Times New Roman" w:eastAsia="Times New Roman" w:hAnsi="Times New Roman"/>
          <w:sz w:val="21"/>
          <w:szCs w:val="21"/>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of Credit related to supporting another Series of Notes);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Class D Cash Collateral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 Collateral</w:t>
      </w:r>
      <w:r>
        <w:rPr>
          <w:rFonts w:ascii="Times New Roman" w:cs="Times New Roman" w:eastAsia="Times New Roman" w:hAnsi="Times New Roman"/>
          <w:sz w:val="21"/>
          <w:szCs w:val="21"/>
          <w:color w:val="auto"/>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2023-6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spacing w:after="0" w:line="175"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19" w:val="left"/>
        </w:tabs>
        <w:numPr>
          <w:ilvl w:val="0"/>
          <w:numId w:val="3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A/B/C Letter of Credit Expiration Date</w:t>
      </w:r>
      <w:r>
        <w:rPr>
          <w:rFonts w:ascii="Times New Roman" w:cs="Times New Roman" w:eastAsia="Times New Roman" w:hAnsi="Times New Roman"/>
          <w:sz w:val="21"/>
          <w:szCs w:val="21"/>
          <w:color w:val="auto"/>
        </w:rPr>
        <w:t>.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2023-6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bl>
    <w:p>
      <w:pPr>
        <w:sectPr>
          <w:pgSz w:w="11900" w:h="16838" w:orient="portrait"/>
          <w:cols w:equalWidth="0" w:num="1">
            <w:col w:w="11240"/>
          </w:cols>
          <w:pgMar w:left="320" w:top="1030" w:right="339" w:bottom="1440" w:gutter="0" w:footer="0" w:header="0"/>
        </w:sectPr>
      </w:pPr>
    </w:p>
    <w:bookmarkStart w:id="389" w:name="page390"/>
    <w:bookmarkEnd w:id="389"/>
    <w:p>
      <w:pPr>
        <w:jc w:val="both"/>
        <w:spacing w:after="0" w:line="258" w:lineRule="auto"/>
        <w:rPr>
          <w:sz w:val="20"/>
          <w:szCs w:val="20"/>
          <w:color w:val="auto"/>
        </w:rPr>
      </w:pPr>
      <w:r>
        <w:rPr>
          <w:rFonts w:ascii="Times New Roman" w:cs="Times New Roman" w:eastAsia="Times New Roman" w:hAnsi="Times New Roman"/>
          <w:sz w:val="21"/>
          <w:szCs w:val="21"/>
          <w:color w:val="auto"/>
        </w:rPr>
        <w:t>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2023-6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Enhancement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2023-6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2023-6 Eligible Letter of Credit Provider and is in full force and effect, on such date, and</w:t>
      </w:r>
    </w:p>
    <w:p>
      <w:pPr>
        <w:spacing w:after="0" w:line="15" w:lineRule="exact"/>
        <w:rPr>
          <w:sz w:val="20"/>
          <w:szCs w:val="20"/>
          <w:color w:val="auto"/>
        </w:rPr>
      </w:pPr>
    </w:p>
    <w:p>
      <w:pPr>
        <w:jc w:val="both"/>
        <w:ind w:firstLine="8"/>
        <w:spacing w:after="0" w:line="246" w:lineRule="auto"/>
        <w:tabs>
          <w:tab w:leader="none" w:pos="321" w:val="left"/>
        </w:tabs>
        <w:numPr>
          <w:ilvl w:val="0"/>
          <w:numId w:val="3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spacing w:after="0" w:line="19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spacing w:after="0" w:line="181" w:lineRule="exact"/>
        <w:rPr>
          <w:sz w:val="20"/>
          <w:szCs w:val="20"/>
          <w:color w:val="auto"/>
        </w:rPr>
      </w:pPr>
    </w:p>
    <w:p>
      <w:pPr>
        <w:jc w:val="both"/>
        <w:ind w:firstLine="1304"/>
        <w:spacing w:after="0" w:line="252" w:lineRule="auto"/>
        <w:tabs>
          <w:tab w:leader="none" w:pos="1899" w:val="left"/>
        </w:tabs>
        <w:numPr>
          <w:ilvl w:val="0"/>
          <w:numId w:val="3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Letter of Credit Expiration Date</w:t>
      </w:r>
      <w:r>
        <w:rPr>
          <w:rFonts w:ascii="Times New Roman" w:cs="Times New Roman" w:eastAsia="Times New Roman" w:hAnsi="Times New Roman"/>
          <w:sz w:val="22"/>
          <w:szCs w:val="22"/>
          <w:color w:val="auto"/>
        </w:rPr>
        <w:t>.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2023-6 Eligible Letter of Credit Provider and is in full force and effect on such date, the Class D Enhancement Amount would be equal to or more than the Class D Required Enhancement Amount and the Class D Liquidity Amount would be equal to or greater than the</w:t>
      </w: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bl>
    <w:p>
      <w:pPr>
        <w:sectPr>
          <w:pgSz w:w="11900" w:h="16838" w:orient="portrait"/>
          <w:cols w:equalWidth="0" w:num="1">
            <w:col w:w="11240"/>
          </w:cols>
          <w:pgMar w:left="320" w:top="1030" w:right="339" w:bottom="1440" w:gutter="0" w:footer="0" w:header="0"/>
        </w:sectPr>
      </w:pPr>
    </w:p>
    <w:bookmarkStart w:id="390" w:name="page391"/>
    <w:bookmarkEnd w:id="390"/>
    <w:p>
      <w:pPr>
        <w:jc w:val="both"/>
        <w:spacing w:after="0" w:line="261" w:lineRule="auto"/>
        <w:rPr>
          <w:sz w:val="20"/>
          <w:szCs w:val="20"/>
          <w:color w:val="auto"/>
        </w:rPr>
      </w:pPr>
      <w:r>
        <w:rPr>
          <w:rFonts w:ascii="Times New Roman" w:cs="Times New Roman" w:eastAsia="Times New Roman" w:hAnsi="Times New Roman"/>
          <w:sz w:val="21"/>
          <w:szCs w:val="21"/>
          <w:color w:val="auto"/>
        </w:rPr>
        <w:t>Class D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2023-6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w:t>
      </w:r>
    </w:p>
    <w:p>
      <w:pPr>
        <w:spacing w:after="0" w:line="2" w:lineRule="exact"/>
        <w:rPr>
          <w:sz w:val="20"/>
          <w:szCs w:val="20"/>
          <w:color w:val="auto"/>
        </w:rPr>
      </w:pPr>
    </w:p>
    <w:p>
      <w:pPr>
        <w:jc w:val="both"/>
        <w:ind w:firstLine="8"/>
        <w:spacing w:after="0" w:line="245" w:lineRule="auto"/>
        <w:tabs>
          <w:tab w:leader="none" w:pos="319" w:val="left"/>
        </w:tabs>
        <w:numPr>
          <w:ilvl w:val="0"/>
          <w:numId w:val="3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such Multi-Series Letter of Credit Expiration Date of (x) the greater of (A) the excess, if any, of the Class D Required Enhancement Amount over the Class D Enhancement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2023-6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2023-6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spacing w:after="0" w:line="20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spacing w:after="0" w:line="181" w:lineRule="exact"/>
        <w:rPr>
          <w:sz w:val="20"/>
          <w:szCs w:val="20"/>
          <w:color w:val="auto"/>
        </w:rPr>
      </w:pPr>
    </w:p>
    <w:p>
      <w:pPr>
        <w:jc w:val="both"/>
        <w:ind w:firstLine="1304"/>
        <w:spacing w:after="0" w:line="252" w:lineRule="auto"/>
        <w:tabs>
          <w:tab w:leader="none" w:pos="1779" w:val="left"/>
        </w:tabs>
        <w:numPr>
          <w:ilvl w:val="0"/>
          <w:numId w:val="3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Multi-Series Letter of Credit Providers</w:t>
      </w:r>
      <w:r>
        <w:rPr>
          <w:rFonts w:ascii="Times New Roman" w:cs="Times New Roman" w:eastAsia="Times New Roman" w:hAnsi="Times New Roman"/>
          <w:sz w:val="22"/>
          <w:szCs w:val="22"/>
          <w:color w:val="auto"/>
        </w:rPr>
        <w:t>.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w:t>
      </w:r>
    </w:p>
    <w:p>
      <w:pPr>
        <w:spacing w:after="0" w:line="200" w:lineRule="exact"/>
        <w:rPr>
          <w:sz w:val="20"/>
          <w:szCs w:val="20"/>
          <w:color w:val="auto"/>
        </w:rPr>
      </w:pP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ectPr>
          <w:pgSz w:w="11900" w:h="16838" w:orient="portrait"/>
          <w:cols w:equalWidth="0" w:num="1">
            <w:col w:w="11240"/>
          </w:cols>
          <w:pgMar w:left="320" w:top="1030" w:right="339" w:bottom="1440" w:gutter="0" w:footer="0" w:header="0"/>
        </w:sectPr>
      </w:pPr>
    </w:p>
    <w:bookmarkStart w:id="391" w:name="page392"/>
    <w:bookmarkEnd w:id="391"/>
    <w:p>
      <w:pPr>
        <w:jc w:val="both"/>
        <w:spacing w:after="0" w:line="264" w:lineRule="auto"/>
        <w:rPr>
          <w:sz w:val="20"/>
          <w:szCs w:val="20"/>
          <w:color w:val="auto"/>
        </w:rPr>
      </w:pPr>
      <w:r>
        <w:rPr>
          <w:rFonts w:ascii="Times New Roman" w:cs="Times New Roman" w:eastAsia="Times New Roman" w:hAnsi="Times New Roman"/>
          <w:sz w:val="21"/>
          <w:szCs w:val="21"/>
          <w:color w:val="auto"/>
        </w:rPr>
        <w:t>Class A/B/C Required Enhancement Amount over the Class A/B/C Enhancement Amount, excluding the available amount allocated to the Class A/B/C Notes under the Multi-Series Letter of Credit issued by such Multi-Series Letter of Credit Provider, on such date, and (B) the excess, if any, of the Class A/B/C Required Liquidity Amount over the Class A/B/C Liquidity Amount, excluding the available amount allocated to the Class A/B/C Notes under such Multi-Series Letter of Credit, on such date, and</w:t>
      </w:r>
    </w:p>
    <w:p>
      <w:pPr>
        <w:spacing w:after="0" w:line="1" w:lineRule="exact"/>
        <w:rPr>
          <w:sz w:val="20"/>
          <w:szCs w:val="20"/>
          <w:color w:val="auto"/>
        </w:rPr>
      </w:pPr>
    </w:p>
    <w:p>
      <w:pPr>
        <w:jc w:val="both"/>
        <w:ind w:firstLine="8"/>
        <w:spacing w:after="0" w:line="246" w:lineRule="auto"/>
        <w:tabs>
          <w:tab w:leader="none" w:pos="328" w:val="left"/>
        </w:tabs>
        <w:numPr>
          <w:ilvl w:val="0"/>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Amount, excluding the available amount allocated to the Class D Notes under such Multi-Series Letter of Credit, on such date, and (ii) the amount allocated to the Class D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spacing w:after="0" w:line="18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8" w:val="left"/>
        </w:tabs>
        <w:numPr>
          <w:ilvl w:val="1"/>
          <w:numId w:val="3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Date Demands on the Multi-Series Letters of Credit</w:t>
      </w:r>
      <w:r>
        <w:rPr>
          <w:rFonts w:ascii="Times New Roman" w:cs="Times New Roman" w:eastAsia="Times New Roman" w:hAnsi="Times New Roman"/>
          <w:sz w:val="22"/>
          <w:szCs w:val="22"/>
          <w:color w:val="auto"/>
        </w:rPr>
        <w:t xml:space="preserve">. Prior to 10:00 a.m. (New York City time) on the Business Day immediately succeeding the Multi-Series Letter of Credit Termination Date, the Administrator shall determine the Series 2023-6 Demand Note Payment Amount, if any, as of the Multi-Series Letter of Credit Termination Date and, if the Series 2023-6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2023-6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Class A/B/C Cash Collateral Account has been established and funded, the Trustee shall draw an amount equal to the product of (a)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A/B/C Cash Collateral Percentage and (b) the lesser of the amounts referred to in clause (i) and (ii) on such Business Day on the Multi-Series Letters of Credit, as calculated by the</w:t>
      </w:r>
    </w:p>
    <w:p>
      <w:pPr>
        <w:spacing w:after="0" w:line="200" w:lineRule="exact"/>
        <w:rPr>
          <w:sz w:val="20"/>
          <w:szCs w:val="20"/>
          <w:color w:val="auto"/>
        </w:rPr>
      </w:pP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bl>
    <w:p>
      <w:pPr>
        <w:sectPr>
          <w:pgSz w:w="11900" w:h="16838" w:orient="portrait"/>
          <w:cols w:equalWidth="0" w:num="1">
            <w:col w:w="11240"/>
          </w:cols>
          <w:pgMar w:left="320" w:top="1030" w:right="339" w:bottom="1440" w:gutter="0" w:footer="0" w:header="0"/>
        </w:sectPr>
      </w:pPr>
    </w:p>
    <w:bookmarkStart w:id="392" w:name="page393"/>
    <w:bookmarkEnd w:id="392"/>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Administrator and provided in writing to the Trustee and (II) on each such Multi-Series Letter of Credit allocable to the Class D Notes equal to the lesser of (i) the excess of (x) the Series 2023-6 Demand Note Payment Amount over (y) the amounts drawn on the Multi-Series Letter of Credit pursuant to this Section 2.8(f) that are allocable to the Class D Notes and (ii) the Class D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Class D Cash Collateral Account has been established and funded, the Trustee shall draw an amount equal to the product of (a)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D Cash Collateral Percentage and (b) the lesser of the amounts referred to in clause (i) and (ii) on such Business Day on the Multi-Series Letters of Credit, as calculated by the Administrator and provided in writing to the Trustee.</w:t>
      </w:r>
    </w:p>
    <w:p>
      <w:pPr>
        <w:spacing w:after="0" w:line="183" w:lineRule="exact"/>
        <w:rPr>
          <w:sz w:val="20"/>
          <w:szCs w:val="20"/>
          <w:color w:val="auto"/>
        </w:rPr>
      </w:pPr>
    </w:p>
    <w:p>
      <w:pPr>
        <w:jc w:val="both"/>
        <w:ind w:firstLine="1304"/>
        <w:spacing w:after="0" w:line="249" w:lineRule="auto"/>
        <w:tabs>
          <w:tab w:leader="none" w:pos="1858"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the Multi-Series Letters of Credit</w:t>
      </w:r>
      <w:r>
        <w:rPr>
          <w:rFonts w:ascii="Times New Roman" w:cs="Times New Roman" w:eastAsia="Times New Roman" w:hAnsi="Times New Roman"/>
          <w:sz w:val="22"/>
          <w:szCs w:val="22"/>
          <w:color w:val="auto"/>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spacing w:after="0" w:line="183"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72" w:val="left"/>
        </w:tabs>
        <w:numPr>
          <w:ilvl w:val="0"/>
          <w:numId w:val="3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A/B/C Cash Collateral Account</w:t>
      </w:r>
      <w:r>
        <w:rPr>
          <w:rFonts w:ascii="Times New Roman" w:cs="Times New Roman" w:eastAsia="Times New Roman" w:hAnsi="Times New Roman"/>
          <w:sz w:val="22"/>
          <w:szCs w:val="22"/>
          <w:color w:val="auto"/>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 w:cs="Times New Roman" w:eastAsia="Times New Roman" w:hAnsi="Times New Roman"/>
          <w:sz w:val="22"/>
          <w:szCs w:val="22"/>
          <w:u w:val="single" w:color="auto"/>
          <w:color w:val="auto"/>
        </w:rPr>
        <w:t>Class A/B/C Cash Collateral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w:t>
      </w: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bl>
    <w:p>
      <w:pPr>
        <w:sectPr>
          <w:pgSz w:w="11900" w:h="16838" w:orient="portrait"/>
          <w:cols w:equalWidth="0" w:num="1">
            <w:col w:w="11240"/>
          </w:cols>
          <w:pgMar w:left="320" w:top="1030" w:right="339" w:bottom="1440" w:gutter="0" w:footer="0" w:header="0"/>
        </w:sectPr>
      </w:pPr>
    </w:p>
    <w:bookmarkStart w:id="393" w:name="page394"/>
    <w:bookmarkEnd w:id="393"/>
    <w:p>
      <w:pPr>
        <w:spacing w:after="0" w:line="271" w:lineRule="auto"/>
        <w:rPr>
          <w:sz w:val="20"/>
          <w:szCs w:val="20"/>
          <w:color w:val="auto"/>
        </w:rPr>
      </w:pPr>
      <w:r>
        <w:rPr>
          <w:rFonts w:ascii="Times New Roman" w:cs="Times New Roman" w:eastAsia="Times New Roman" w:hAnsi="Times New Roman"/>
          <w:sz w:val="22"/>
          <w:szCs w:val="22"/>
          <w:color w:val="auto"/>
        </w:rPr>
        <w:t>writing to transfer all cash and investments from the non-qualifying Class A/B/C Cash Collateral Account into the new Class A/B/C Cash Collateral Account.</w:t>
      </w:r>
    </w:p>
    <w:p>
      <w:pPr>
        <w:spacing w:after="0" w:line="171" w:lineRule="exact"/>
        <w:rPr>
          <w:sz w:val="20"/>
          <w:szCs w:val="20"/>
          <w:color w:val="auto"/>
        </w:rPr>
      </w:pPr>
    </w:p>
    <w:p>
      <w:pPr>
        <w:jc w:val="both"/>
        <w:ind w:firstLine="1304"/>
        <w:spacing w:after="0" w:line="259" w:lineRule="auto"/>
        <w:tabs>
          <w:tab w:leader="none" w:pos="1756" w:val="left"/>
        </w:tabs>
        <w:numPr>
          <w:ilvl w:val="1"/>
          <w:numId w:val="3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A/B/C Cash Collateral Account</w:t>
      </w:r>
      <w:r>
        <w:rPr>
          <w:rFonts w:ascii="Times New Roman" w:cs="Times New Roman" w:eastAsia="Times New Roman" w:hAnsi="Times New Roman"/>
          <w:sz w:val="21"/>
          <w:szCs w:val="21"/>
          <w:color w:val="auto"/>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the case of Permitted Investments held in the Class A/B/C Cash Collateral Account and so long as any Class A Note, Class B Note or Class C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288" w:val="left"/>
        </w:tabs>
        <w:numPr>
          <w:ilvl w:val="0"/>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spacing w:after="0" w:line="20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97" w:val="left"/>
        </w:tabs>
        <w:numPr>
          <w:ilvl w:val="1"/>
          <w:numId w:val="3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Cash Collateral Account</w:t>
      </w:r>
      <w:r>
        <w:rPr>
          <w:rFonts w:ascii="Times New Roman" w:cs="Times New Roman" w:eastAsia="Times New Roman" w:hAnsi="Times New Roman"/>
          <w:sz w:val="22"/>
          <w:szCs w:val="22"/>
          <w:color w:val="auto"/>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w:t>
      </w:r>
    </w:p>
    <w:p>
      <w:pPr>
        <w:spacing w:after="0" w:line="200" w:lineRule="exact"/>
        <w:rPr>
          <w:sz w:val="20"/>
          <w:szCs w:val="20"/>
          <w:color w:val="auto"/>
        </w:rPr>
      </w:pP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bl>
    <w:p>
      <w:pPr>
        <w:sectPr>
          <w:pgSz w:w="11900" w:h="16838" w:orient="portrait"/>
          <w:cols w:equalWidth="0" w:num="1">
            <w:col w:w="11240"/>
          </w:cols>
          <w:pgMar w:left="320" w:top="1030" w:right="339" w:bottom="1440" w:gutter="0" w:footer="0" w:header="0"/>
        </w:sectPr>
      </w:pPr>
    </w:p>
    <w:bookmarkStart w:id="394" w:name="page395"/>
    <w:bookmarkEnd w:id="394"/>
    <w:p>
      <w:pPr>
        <w:jc w:val="both"/>
        <w:spacing w:after="0" w:line="263" w:lineRule="auto"/>
        <w:rPr>
          <w:sz w:val="20"/>
          <w:szCs w:val="20"/>
          <w:color w:val="auto"/>
        </w:rPr>
      </w:pPr>
      <w:r>
        <w:rPr>
          <w:rFonts w:ascii="Times New Roman" w:cs="Times New Roman" w:eastAsia="Times New Roman" w:hAnsi="Times New Roman"/>
          <w:sz w:val="22"/>
          <w:szCs w:val="22"/>
          <w:color w:val="auto"/>
        </w:rPr>
        <w:t>Cash Collateral Account. If a new Class D Cash Collateral Account is established, ABRCF shall instruct the Trustee in writing to transfer all cash and investments from the non-qualifying Class D Cash Collateral Account into the new Class D Cash Collateral Account.</w:t>
      </w:r>
    </w:p>
    <w:p>
      <w:pPr>
        <w:spacing w:after="0" w:line="167" w:lineRule="exact"/>
        <w:rPr>
          <w:sz w:val="20"/>
          <w:szCs w:val="20"/>
          <w:color w:val="auto"/>
        </w:rPr>
      </w:pPr>
    </w:p>
    <w:p>
      <w:pPr>
        <w:jc w:val="both"/>
        <w:ind w:firstLine="1304"/>
        <w:spacing w:after="0" w:line="258" w:lineRule="auto"/>
        <w:tabs>
          <w:tab w:leader="none" w:pos="1831" w:val="left"/>
        </w:tabs>
        <w:numPr>
          <w:ilvl w:val="1"/>
          <w:numId w:val="3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D Cash Collateral Account</w:t>
      </w:r>
      <w:r>
        <w:rPr>
          <w:rFonts w:ascii="Times New Roman" w:cs="Times New Roman" w:eastAsia="Times New Roman" w:hAnsi="Times New Roman"/>
          <w:sz w:val="21"/>
          <w:szCs w:val="21"/>
          <w:color w:val="auto"/>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w:t>
      </w:r>
    </w:p>
    <w:p>
      <w:pPr>
        <w:spacing w:after="0" w:line="8" w:lineRule="exact"/>
        <w:rPr>
          <w:rFonts w:ascii="Times New Roman" w:cs="Times New Roman" w:eastAsia="Times New Roman" w:hAnsi="Times New Roman"/>
          <w:sz w:val="21"/>
          <w:szCs w:val="21"/>
          <w:color w:val="auto"/>
        </w:rPr>
      </w:pPr>
    </w:p>
    <w:p>
      <w:pPr>
        <w:jc w:val="both"/>
        <w:ind w:firstLine="8"/>
        <w:spacing w:after="0" w:line="263" w:lineRule="auto"/>
        <w:tabs>
          <w:tab w:leader="none" w:pos="382" w:val="left"/>
        </w:tabs>
        <w:numPr>
          <w:ilvl w:val="0"/>
          <w:numId w:val="3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spacing w:after="0" w:line="168"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32"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2023-6 Cash Collateral Accounts</w:t>
      </w:r>
      <w:r>
        <w:rPr>
          <w:rFonts w:ascii="Times New Roman" w:cs="Times New Roman" w:eastAsia="Times New Roman" w:hAnsi="Times New Roman"/>
          <w:sz w:val="22"/>
          <w:szCs w:val="22"/>
          <w:color w:val="auto"/>
        </w:rPr>
        <w:t>. All interest and earnings (net of losses and investment expenses) paid on funds on deposit in the Series 2023-6 Cash Collateral Accounts shall be deemed to be on deposit therein and available for distribution.</w:t>
      </w:r>
    </w:p>
    <w:p>
      <w:pPr>
        <w:spacing w:after="0" w:line="172"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51" w:val="left"/>
        </w:tabs>
        <w:numPr>
          <w:ilvl w:val="1"/>
          <w:numId w:val="3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2023-6 Cash Collateral Account Surplus</w:t>
      </w:r>
      <w:r>
        <w:rPr>
          <w:rFonts w:ascii="Times New Roman" w:cs="Times New Roman" w:eastAsia="Times New Roman" w:hAnsi="Times New Roman"/>
          <w:sz w:val="22"/>
          <w:szCs w:val="22"/>
          <w:color w:val="auto"/>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2023-6 Reimbursement Agreement, for application in accordance with the provisions of the related Series 2023-6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Multi-Series Letter of Credit Providers to the extent of any unreimbursed drawings allocable to the Class D Notes with respect to any Multi-Series Letters of Credit under the related Series 2023-6 Reimbursement Agreement, for application in accordance</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bl>
    <w:p>
      <w:pPr>
        <w:sectPr>
          <w:pgSz w:w="11900" w:h="16838" w:orient="portrait"/>
          <w:cols w:equalWidth="0" w:num="1">
            <w:col w:w="11240"/>
          </w:cols>
          <w:pgMar w:left="320" w:top="1030" w:right="33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22"/>
          <w:szCs w:val="22"/>
          <w:color w:val="auto"/>
        </w:rPr>
        <w:t xml:space="preserve">with the provisions of the related Series 2023-6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220" w:lineRule="exact"/>
        <w:rPr>
          <w:sz w:val="20"/>
          <w:szCs w:val="20"/>
          <w:color w:val="auto"/>
        </w:rPr>
      </w:pPr>
    </w:p>
    <w:p>
      <w:pPr>
        <w:jc w:val="both"/>
        <w:ind w:firstLine="1304"/>
        <w:spacing w:after="0" w:line="248" w:lineRule="auto"/>
        <w:tabs>
          <w:tab w:leader="none" w:pos="1966" w:val="left"/>
        </w:tabs>
        <w:numPr>
          <w:ilvl w:val="0"/>
          <w:numId w:val="3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Series 2023-6 Cash Collateral Account</w:t>
      </w:r>
      <w:r>
        <w:rPr>
          <w:rFonts w:ascii="Times New Roman" w:cs="Times New Roman" w:eastAsia="Times New Roman" w:hAnsi="Times New Roman"/>
          <w:sz w:val="22"/>
          <w:szCs w:val="22"/>
          <w:color w:val="auto"/>
        </w:rPr>
        <w:t xml:space="preserve">. Upon the termination of this Supplement in accordance with its terms, the Trustee, acting in accordance with the written instructions of the Administrator, after the prior payment of all amounts owing to the Series 2023-6 Noteholders and payable from any Series 2023-6 Cash Collateral Account as provided herein, shall (i) withdraw from the Class A/B/C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2023-6 Reimbursement Agreement, for application in accordance with the provisions of the related Series 2023-6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and (ii) withdraw from the Class D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allocable to the Class D Notes with respect to any Multi-Series Letters of Credit under the related Series 2023-6 Reimbursement Agreement, for application in accordance with the provisions of the related Series 2023-6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193"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Series 2023-6 Distribution Account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Establishment of Series 2023-6 Distribution Account</w:t>
      </w:r>
      <w:r>
        <w:rPr>
          <w:rFonts w:ascii="Times New Roman" w:cs="Times New Roman" w:eastAsia="Times New Roman" w:hAnsi="Times New Roman"/>
          <w:sz w:val="22"/>
          <w:szCs w:val="22"/>
          <w:color w:val="auto"/>
        </w:rPr>
        <w:t>. ABRCF has established and shall maintain in the name of the Trustee for the benefit of the Series 2023-6 Noteholders, or cause to be established and maintained, an account (the “</w:t>
      </w:r>
      <w:r>
        <w:rPr>
          <w:rFonts w:ascii="Times New Roman" w:cs="Times New Roman" w:eastAsia="Times New Roman" w:hAnsi="Times New Roman"/>
          <w:sz w:val="22"/>
          <w:szCs w:val="22"/>
          <w:u w:val="single" w:color="auto"/>
          <w:color w:val="auto"/>
        </w:rPr>
        <w:t>Series 2023-6 Distribution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Series 2023-6 Noteholders. The Series 2023-6 Distribution Account shall be maintained (i) with a Qualified Institution, or (ii) as a segregated trust account with the corporate trust department of a depository institution or trust company having corporate trust powers and acting as trustee for funds deposited in the Series 2023-6 Distribution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2023-6 Distribution Account with a new Qualified Institution. If the Series 2023-6 Distribution Account is not maintained in accordance with the previous sentence, ABRCF shall establish a new Series 2023-6 Distribution Account, within ten (10) Business Days after obtaining knowledge of such fact, which complies with such sentence, and shall instruct the Series 2023-6 Agent in writing to transfer all cash and investments from the non-qualifying Series 2023-6 Distribution Account into the new Series 2023-6 Distribution Account. The Series 2023-6 Distribution Account has initially been established with The Bank of New York Mellon Trust Company, N.A.</w:t>
      </w:r>
    </w:p>
    <w:p>
      <w:pPr>
        <w:spacing w:after="0" w:line="199" w:lineRule="exact"/>
        <w:rPr>
          <w:sz w:val="20"/>
          <w:szCs w:val="20"/>
          <w:color w:val="auto"/>
        </w:rPr>
      </w:pPr>
    </w:p>
    <w:p>
      <w:pPr>
        <w:jc w:val="both"/>
        <w:ind w:firstLine="1304"/>
        <w:spacing w:after="0" w:line="251" w:lineRule="auto"/>
        <w:tabs>
          <w:tab w:leader="none" w:pos="1858" w:val="left"/>
        </w:tabs>
        <w:numPr>
          <w:ilvl w:val="0"/>
          <w:numId w:val="3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Series 2023-6 Distribution Account</w:t>
      </w:r>
      <w:r>
        <w:rPr>
          <w:rFonts w:ascii="Times New Roman" w:cs="Times New Roman" w:eastAsia="Times New Roman" w:hAnsi="Times New Roman"/>
          <w:sz w:val="22"/>
          <w:szCs w:val="22"/>
          <w:color w:val="auto"/>
        </w:rPr>
        <w:t xml:space="preserve">. The Administrator may instruct the institution maintaining the Series 2023-6 Distribution Account to invest funds on deposit in the Series 2023-6 Distribution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 following the date on which such funds were received, unless any Permitted Investment held in the Series 2023-6 Distribution Account is held with the Paying Agent, then such investment may mature on such Distribution Date and such funds shall be</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bl>
    <w:p>
      <w:pPr>
        <w:sectPr>
          <w:pgSz w:w="11900" w:h="16838" w:orient="portrait"/>
          <w:cols w:equalWidth="0" w:num="1">
            <w:col w:w="11240"/>
          </w:cols>
          <w:pgMar w:left="320" w:top="1030" w:right="339" w:bottom="1440" w:gutter="0" w:footer="0" w:header="0"/>
        </w:sectPr>
      </w:pPr>
    </w:p>
    <w:bookmarkStart w:id="396" w:name="page397"/>
    <w:bookmarkEnd w:id="396"/>
    <w:p>
      <w:pPr>
        <w:jc w:val="both"/>
        <w:spacing w:after="0" w:line="248" w:lineRule="auto"/>
        <w:rPr>
          <w:sz w:val="20"/>
          <w:szCs w:val="20"/>
          <w:color w:val="auto"/>
        </w:rPr>
      </w:pPr>
      <w:r>
        <w:rPr>
          <w:rFonts w:ascii="Times New Roman" w:cs="Times New Roman" w:eastAsia="Times New Roman" w:hAnsi="Times New Roman"/>
          <w:sz w:val="22"/>
          <w:szCs w:val="22"/>
          <w:color w:val="auto"/>
        </w:rPr>
        <w:t>available for withdrawal on or prior to such Distribution Date. All such Permitted Investments will be credited to the Series 2023-6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2023-6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2023-6 Distribution Account shall remain uninvested.</w:t>
      </w:r>
    </w:p>
    <w:p>
      <w:pPr>
        <w:spacing w:after="0" w:line="189" w:lineRule="exact"/>
        <w:rPr>
          <w:sz w:val="20"/>
          <w:szCs w:val="20"/>
          <w:color w:val="auto"/>
        </w:rPr>
      </w:pPr>
    </w:p>
    <w:p>
      <w:pPr>
        <w:jc w:val="both"/>
        <w:ind w:firstLine="1304"/>
        <w:spacing w:after="0" w:line="263" w:lineRule="auto"/>
        <w:tabs>
          <w:tab w:leader="none" w:pos="1819" w:val="left"/>
        </w:tabs>
        <w:numPr>
          <w:ilvl w:val="0"/>
          <w:numId w:val="3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2023-6 Distribution Account</w:t>
      </w:r>
      <w:r>
        <w:rPr>
          <w:rFonts w:ascii="Times New Roman" w:cs="Times New Roman" w:eastAsia="Times New Roman" w:hAnsi="Times New Roman"/>
          <w:sz w:val="22"/>
          <w:szCs w:val="22"/>
          <w:color w:val="auto"/>
        </w:rPr>
        <w:t>. All interest and earnings (net of losses and investment expenses) paid on funds on deposit in the Series 2023-6 Distribution Account shall be deemed to be on deposit and available for distribution.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45" w:val="left"/>
        </w:tabs>
        <w:numPr>
          <w:ilvl w:val="0"/>
          <w:numId w:val="3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2023-6 Distribution Account Constitutes Additional Collateral for Series 2023-6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2023-6 Notes, ABRCF hereby grants a security interest in and assigns, pledges, grants, transfers and sets over to the Trustee, for the benefit of the Series 2023-6 Noteholders, all of ABRCF’s right, title and interest in and to the following (whether now or hereafter existing or acquired): (i) the Series 2023-6 Distribution Account, including any security entitlement thereto; (ii) all funds on deposit therein from time to time; (iii) all certificates and instruments, if any, representing or evidencing any or all of the Series 2023-6 Distribution Account or the funds on deposit therein from time to time; (iv) all investments made at any time and from time to time with monies in the Series 2023-6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2023-6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1"/>
          <w:szCs w:val="21"/>
          <w:u w:val="single" w:color="auto"/>
          <w:color w:val="auto"/>
        </w:rPr>
        <w:t>Series 2023-6 Distribution Account Collateral</w:t>
      </w:r>
      <w:r>
        <w:rPr>
          <w:rFonts w:ascii="Times New Roman" w:cs="Times New Roman" w:eastAsia="Times New Roman" w:hAnsi="Times New Roman"/>
          <w:sz w:val="21"/>
          <w:szCs w:val="21"/>
          <w:color w:val="auto"/>
        </w:rPr>
        <w:t>”). The Trustee shall possess all right, title and interest in all funds on deposit from time to time in the Series 2023-6 Distribution Account and in and to all proceeds thereof, and shall be the only person authorized to originate entitlement orders in respect of the Series 2023-6 Distribution Account. The Series 2023-6 Distribution Account Collateral shall be under the sole dominion and control of the Trustee for the benefit of the Series 2023-6 Noteholders. The Series 2023-6 Agent hereby agrees (i) to act as the securities intermediary (as defined in Section 8-102(a)(14) of the New York UCC) with respect to the Series 2023-6 Distribution Account; (ii) that its jurisdiction as securities intermediary is New York, (iii) that each item of property (whether investment property, financial asset, security, instrument or cash) credited to the Series 2023-6 Distribution Account shall be treated as a financial asset (as defined in Section 8-102(a)(9) of the New York UCC) and (iv) to comply with any entitlement order (as defined in Section 8-102(a)(8) of the New York UCC) issued by the Trustee.</w:t>
      </w:r>
    </w:p>
    <w:p>
      <w:pPr>
        <w:spacing w:after="0" w:line="200" w:lineRule="exact"/>
        <w:rPr>
          <w:sz w:val="20"/>
          <w:szCs w:val="20"/>
          <w:color w:val="auto"/>
        </w:rPr>
      </w:pP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bl>
    <w:p>
      <w:pPr>
        <w:sectPr>
          <w:pgSz w:w="11900" w:h="16838" w:orient="portrait"/>
          <w:cols w:equalWidth="0" w:num="1">
            <w:col w:w="11240"/>
          </w:cols>
          <w:pgMar w:left="320" w:top="1030" w:right="339" w:bottom="1440" w:gutter="0" w:footer="0" w:header="0"/>
        </w:sectPr>
      </w:pPr>
    </w:p>
    <w:bookmarkStart w:id="397" w:name="page398"/>
    <w:bookmarkEnd w:id="397"/>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Series 2023-6 Accounts Permitted Investments</w:t>
      </w:r>
      <w:r>
        <w:rPr>
          <w:rFonts w:ascii="Times New Roman" w:cs="Times New Roman" w:eastAsia="Times New Roman" w:hAnsi="Times New Roman"/>
          <w:sz w:val="22"/>
          <w:szCs w:val="22"/>
          <w:color w:val="auto"/>
        </w:rPr>
        <w:t>. ABRCF shall not, and shall not permit, funds on deposit in the Series 2023-6 Accounts to be invested in:</w:t>
      </w:r>
    </w:p>
    <w:p>
      <w:pPr>
        <w:spacing w:after="0" w:line="171" w:lineRule="exact"/>
        <w:rPr>
          <w:sz w:val="20"/>
          <w:szCs w:val="20"/>
          <w:color w:val="auto"/>
        </w:rPr>
      </w:pPr>
    </w:p>
    <w:p>
      <w:pPr>
        <w:ind w:left="2440" w:hanging="488"/>
        <w:spacing w:after="0"/>
        <w:tabs>
          <w:tab w:leader="none" w:pos="2440" w:val="left"/>
        </w:tabs>
        <w:numPr>
          <w:ilvl w:val="0"/>
          <w:numId w:val="3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that do not mature at least one (1) Business Day before the next Distribution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w:t>
      </w:r>
    </w:p>
    <w:p>
      <w:pPr>
        <w:spacing w:after="0" w:line="196" w:lineRule="exact"/>
        <w:rPr>
          <w:sz w:val="20"/>
          <w:szCs w:val="20"/>
          <w:color w:val="auto"/>
        </w:rPr>
      </w:pPr>
    </w:p>
    <w:p>
      <w:pPr>
        <w:ind w:left="2440" w:hanging="488"/>
        <w:spacing w:after="0"/>
        <w:tabs>
          <w:tab w:leader="none" w:pos="244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with a maturity in excess of 360 days;</w:t>
      </w:r>
    </w:p>
    <w:p>
      <w:pPr>
        <w:spacing w:after="0" w:line="21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which is not rated “P-1” by Moody’s;</w:t>
      </w:r>
    </w:p>
    <w:p>
      <w:pPr>
        <w:spacing w:after="0" w:line="21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or eurodollar time deposits which are not rated at least “P-1” by Moody’s;</w:t>
      </w:r>
    </w:p>
    <w:p>
      <w:pPr>
        <w:spacing w:after="0" w:line="233" w:lineRule="exact"/>
        <w:rPr>
          <w:rFonts w:ascii="Times New Roman" w:cs="Times New Roman" w:eastAsia="Times New Roman" w:hAnsi="Times New Roman"/>
          <w:sz w:val="22"/>
          <w:szCs w:val="22"/>
          <w:color w:val="auto"/>
        </w:rPr>
      </w:pPr>
    </w:p>
    <w:p>
      <w:pPr>
        <w:ind w:left="660" w:firstLine="1292"/>
        <w:spacing w:after="0" w:line="271" w:lineRule="auto"/>
        <w:tabs>
          <w:tab w:leader="none" w:pos="2529"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eurodollar deposits that are not rated “P-1” by Moody’s or that are with financial institutions not organized under the laws of a G-7 nation; or</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501" w:val="left"/>
        </w:tabs>
        <w:numPr>
          <w:ilvl w:val="0"/>
          <w:numId w:val="3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instrument or security not otherwise listed in clause (i) through (vi) of the definition of “Permitted Investments” in the Base Indenture.</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Series 2023-6 Demand Notes Constitute Additional Collateral for Series 2023-6 Senior Notes</w:t>
      </w:r>
      <w:r>
        <w:rPr>
          <w:rFonts w:ascii="Times New Roman" w:cs="Times New Roman" w:eastAsia="Times New Roman" w:hAnsi="Times New Roman"/>
          <w:sz w:val="22"/>
          <w:szCs w:val="22"/>
          <w:color w:val="auto"/>
        </w:rPr>
        <w:t>. In order to secure and provide for the repayment and payment of the ABRCF Obligations with respect to the Series 2023-6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2023-6 Demand Notes; (ii) all certificates and instruments, if any, representing or evidencing the Series 2023-6 Demand Notes; and</w:t>
      </w:r>
    </w:p>
    <w:p>
      <w:pPr>
        <w:spacing w:after="0" w:line="2" w:lineRule="exact"/>
        <w:rPr>
          <w:sz w:val="20"/>
          <w:szCs w:val="20"/>
          <w:color w:val="auto"/>
        </w:rPr>
      </w:pPr>
    </w:p>
    <w:p>
      <w:pPr>
        <w:jc w:val="both"/>
        <w:ind w:firstLine="8"/>
        <w:spacing w:after="0" w:line="247" w:lineRule="auto"/>
        <w:tabs>
          <w:tab w:leader="none" w:pos="387" w:val="left"/>
        </w:tabs>
        <w:numPr>
          <w:ilvl w:val="0"/>
          <w:numId w:val="3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any and all of the foregoing, including, without limitation, cash. On the date hereof, ABRCF shall deliver to the Trustee, for the benefit of the Class A Noteholders, the Class B Noteholders, the Class C Noteholders and the Class D Noteholders, each Series 2023-6 Demand Note, endorsed in blank. The Trustee, for the benefit of the Class A Noteholders, the Class B Noteholders, the Class C Noteholders and the Class D Noteholders, shall be the only Person authorized to make a demand for payments on the Series 2023-6 Demand Notes.</w:t>
      </w:r>
    </w:p>
    <w:p>
      <w:pPr>
        <w:spacing w:after="0" w:line="18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Subordination of the Class B Notes, Class C Notes, Class D Notes and the Class R Notes</w:t>
      </w:r>
      <w:r>
        <w:rPr>
          <w:rFonts w:ascii="Times New Roman" w:cs="Times New Roman" w:eastAsia="Times New Roman" w:hAnsi="Times New Roman"/>
          <w:sz w:val="22"/>
          <w:szCs w:val="22"/>
          <w:color w:val="auto"/>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2023-6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2023-6 Rapid Amortization Period or on the Series 2023-6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w:t>
      </w:r>
    </w:p>
    <w:p>
      <w:pPr>
        <w:spacing w:after="0" w:line="200" w:lineRule="exact"/>
        <w:rPr>
          <w:sz w:val="20"/>
          <w:szCs w:val="20"/>
          <w:color w:val="auto"/>
        </w:r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bl>
    <w:p>
      <w:pPr>
        <w:sectPr>
          <w:pgSz w:w="11900" w:h="16838" w:orient="portrait"/>
          <w:cols w:equalWidth="0" w:num="1">
            <w:col w:w="11240"/>
          </w:cols>
          <w:pgMar w:left="320" w:top="1030" w:right="3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22"/>
          <w:szCs w:val="22"/>
          <w:color w:val="auto"/>
        </w:rPr>
        <w:t>all accrued interest, all Class A Shortfall and all interest accrued on such Class A Shortfall) have been paid in full.</w:t>
      </w:r>
    </w:p>
    <w:p>
      <w:pPr>
        <w:spacing w:after="0" w:line="220" w:lineRule="exact"/>
        <w:rPr>
          <w:sz w:val="20"/>
          <w:szCs w:val="20"/>
          <w:color w:val="auto"/>
        </w:rPr>
      </w:pPr>
    </w:p>
    <w:p>
      <w:pPr>
        <w:jc w:val="both"/>
        <w:ind w:firstLine="1304"/>
        <w:spacing w:after="0" w:line="248" w:lineRule="auto"/>
        <w:tabs>
          <w:tab w:leader="none" w:pos="1824"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2023-6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2023-6 Rapid Amortization Period or on the Series 2023-6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spacing w:after="0" w:line="19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4"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2023-6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2023-6 Rapid Amortization Period or on the Series 2023-6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spacing w:after="0" w:line="18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630" w:val="left"/>
        </w:tabs>
        <w:numPr>
          <w:ilvl w:val="0"/>
          <w:numId w:val="3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2023-6 Controlled Amortization Period or the Series 2023-6 Rapid Amortization Period or on the Series 2023-6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bl>
    <w:p>
      <w:pPr>
        <w:sectPr>
          <w:pgSz w:w="11900" w:h="16838" w:orient="portrait"/>
          <w:cols w:equalWidth="0" w:num="1">
            <w:col w:w="11240"/>
          </w:cols>
          <w:pgMar w:left="320" w:top="1030" w:right="339" w:bottom="1440" w:gutter="0" w:footer="0" w:header="0"/>
        </w:sectPr>
      </w:pPr>
    </w:p>
    <w:bookmarkStart w:id="399" w:name="page400"/>
    <w:bookmarkEnd w:id="399"/>
    <w:p>
      <w:pPr>
        <w:jc w:val="both"/>
        <w:spacing w:after="0" w:line="256" w:lineRule="auto"/>
        <w:rPr>
          <w:sz w:val="20"/>
          <w:szCs w:val="20"/>
          <w:color w:val="auto"/>
        </w:rPr>
      </w:pPr>
      <w:r>
        <w:rPr>
          <w:rFonts w:ascii="Times New Roman" w:cs="Times New Roman" w:eastAsia="Times New Roman" w:hAnsi="Times New Roman"/>
          <w:sz w:val="22"/>
          <w:szCs w:val="22"/>
          <w:color w:val="auto"/>
        </w:rPr>
        <w:t>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AMORTIZATION EVENTS</w:t>
      </w:r>
    </w:p>
    <w:p>
      <w:pPr>
        <w:spacing w:after="0" w:line="22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In addition to the Amortization Events set forth in Section 9.1 of the Base Indenture, any of the following shall be an Amortization Event with respect to the Series 2023-6 Notes and collectively shall constitute the Amortization Events set forth in Section 9.1(n) of the Base Indenture with respect to the Series 2023-6 Notes (without notice or other action on the part of the Trustee or any holders of the Series 2023-6 Notes):</w:t>
      </w:r>
    </w:p>
    <w:p>
      <w:pPr>
        <w:spacing w:after="0" w:line="176" w:lineRule="exact"/>
        <w:rPr>
          <w:sz w:val="20"/>
          <w:szCs w:val="20"/>
          <w:color w:val="auto"/>
        </w:rPr>
      </w:pPr>
    </w:p>
    <w:p>
      <w:pPr>
        <w:jc w:val="both"/>
        <w:ind w:firstLine="1304"/>
        <w:spacing w:after="0" w:line="256" w:lineRule="auto"/>
        <w:tabs>
          <w:tab w:leader="none" w:pos="1902"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Series 2023-6 Enhancement Deficiency shall occur and continue for at least two (2)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event or condition shall not be an Amortization Event if during such two (2) Business Day period such Series 2023-6 Enhancement Deficiency shall have been cured in accordance with the terms and conditions of the Indenture and the Related Documents;</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2"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either case, such event or condition shall not be an Amortization Event if during such two Business Day period such insufficiency shall have been cured in accordance with the terms and conditions of the Indenture and the Related Documents;</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1"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Collection Account, the Series 2023-6 Collection Account, the Series 2023-6 Excess Collection Account, the Class A/B/C Reserve Account or the Class D Reserve Account shall be subject to an injunction, estoppel or other stay or a lien (other than liens permitted under the Related Documents);</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776" w:val="left"/>
        </w:tabs>
        <w:numPr>
          <w:ilvl w:val="1"/>
          <w:numId w:val="3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principal of and interest on any Class of the Series 2023-6 Notes is not paid in full on or before the Series 2023-6 Expected Final Distribution Date;</w:t>
      </w:r>
    </w:p>
    <w:p>
      <w:pPr>
        <w:spacing w:after="0" w:line="14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3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Multi-Series Letter of Credit shall not be in full force and effect for at least two Business Days and either</w:t>
      </w:r>
    </w:p>
    <w:p>
      <w:pPr>
        <w:spacing w:after="0" w:line="39" w:lineRule="exact"/>
        <w:rPr>
          <w:rFonts w:ascii="Times New Roman" w:cs="Times New Roman" w:eastAsia="Times New Roman" w:hAnsi="Times New Roman"/>
          <w:sz w:val="21"/>
          <w:szCs w:val="21"/>
          <w:color w:val="auto"/>
        </w:rPr>
      </w:pPr>
    </w:p>
    <w:p>
      <w:pPr>
        <w:jc w:val="both"/>
        <w:ind w:firstLine="8"/>
        <w:spacing w:after="0" w:line="245" w:lineRule="auto"/>
        <w:tabs>
          <w:tab w:leader="none" w:pos="338" w:val="left"/>
        </w:tabs>
        <w:numPr>
          <w:ilvl w:val="0"/>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Series 2023-6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spacing w:after="0" w:line="198" w:lineRule="exact"/>
        <w:rPr>
          <w:rFonts w:ascii="Times New Roman" w:cs="Times New Roman" w:eastAsia="Times New Roman" w:hAnsi="Times New Roman"/>
          <w:sz w:val="22"/>
          <w:szCs w:val="22"/>
          <w:color w:val="auto"/>
        </w:rPr>
      </w:pPr>
    </w:p>
    <w:p>
      <w:pPr>
        <w:ind w:firstLine="1304"/>
        <w:spacing w:after="0" w:line="271" w:lineRule="auto"/>
        <w:tabs>
          <w:tab w:leader="none" w:pos="1739" w:val="left"/>
        </w:tabs>
        <w:numPr>
          <w:ilvl w:val="1"/>
          <w:numId w:val="3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funding of any Series 2023-6 Cash Collateral Account, such Series 2023-6 Cash Collateral Account shall be subject to an injunction, estoppel or other</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bl>
    <w:p>
      <w:pPr>
        <w:sectPr>
          <w:pgSz w:w="11900" w:h="16838" w:orient="portrait"/>
          <w:cols w:equalWidth="0" w:num="1">
            <w:col w:w="11240"/>
          </w:cols>
          <w:pgMar w:left="320" w:top="1030" w:right="339" w:bottom="1440" w:gutter="0" w:footer="0" w:header="0"/>
        </w:sectPr>
      </w:pPr>
    </w:p>
    <w:bookmarkStart w:id="400" w:name="page401"/>
    <w:bookmarkEnd w:id="400"/>
    <w:p>
      <w:pPr>
        <w:jc w:val="both"/>
        <w:spacing w:after="0" w:line="250" w:lineRule="auto"/>
        <w:rPr>
          <w:sz w:val="20"/>
          <w:szCs w:val="20"/>
          <w:color w:val="auto"/>
        </w:rPr>
      </w:pPr>
      <w:r>
        <w:rPr>
          <w:rFonts w:ascii="Times New Roman" w:cs="Times New Roman" w:eastAsia="Times New Roman" w:hAnsi="Times New Roman"/>
          <w:sz w:val="22"/>
          <w:szCs w:val="22"/>
          <w:color w:val="auto"/>
        </w:rPr>
        <w:t>stay or a lien (other than Liens permitted under the Related Documents) for at least two Business Days and either (x) a Series 2023-6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spacing w:after="0" w:line="194" w:lineRule="exact"/>
        <w:rPr>
          <w:sz w:val="20"/>
          <w:szCs w:val="20"/>
          <w:color w:val="auto"/>
        </w:rPr>
      </w:pPr>
    </w:p>
    <w:p>
      <w:pPr>
        <w:jc w:val="both"/>
        <w:ind w:firstLine="1304"/>
        <w:spacing w:after="0" w:line="248" w:lineRule="auto"/>
        <w:tabs>
          <w:tab w:leader="none" w:pos="1774" w:val="left"/>
        </w:tabs>
        <w:numPr>
          <w:ilvl w:val="0"/>
          <w:numId w:val="3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Bankruptcy shall have occurred with respect to any Multi-Series Letter of Credit Provider or any Multi-Series Letter of Credit Provider repudiates its Multi-Series Letter of Credit or refuses to honor a proper draw thereon and either (x) a Series 2023-6 Enhancement Deficiency would result from excluding the Class A/B/C Applicable Multi-Series L/C Amount attributable to such Multi-Series Letter of Credit from the Class A/B/C Enhancement Amount or the Class D Applicable Multi-Series L/C Amount attributable to such Multi-Series Letter of Credit from the Class D Enhancement Amount or (y) 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SERIES 2023-6 NOTES</w:t>
      </w:r>
    </w:p>
    <w:p>
      <w:pPr>
        <w:spacing w:after="0" w:line="237"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Restricted Global Series 2023-6 Notes</w:t>
      </w:r>
      <w:r>
        <w:rPr>
          <w:rFonts w:ascii="Times New Roman" w:cs="Times New Roman" w:eastAsia="Times New Roman" w:hAnsi="Times New Roman"/>
          <w:sz w:val="21"/>
          <w:szCs w:val="21"/>
          <w:color w:val="auto"/>
        </w:rPr>
        <w:t>. Each Class of the Series 2023-6 Notes to be issued in the United States will be issued in book-entry form and represented by one or more permanent global Notes in fully registered form without interest coupons (each, a “</w:t>
      </w:r>
      <w:r>
        <w:rPr>
          <w:rFonts w:ascii="Times New Roman" w:cs="Times New Roman" w:eastAsia="Times New Roman" w:hAnsi="Times New Roman"/>
          <w:sz w:val="21"/>
          <w:szCs w:val="21"/>
          <w:u w:val="single" w:color="auto"/>
          <w:color w:val="auto"/>
        </w:rPr>
        <w:t>Restricted Global Class A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B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C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D Note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Restricted Global Class R Note</w:t>
      </w:r>
      <w:r>
        <w:rPr>
          <w:rFonts w:ascii="Times New Roman" w:cs="Times New Roman" w:eastAsia="Times New Roman" w:hAnsi="Times New Roman"/>
          <w:sz w:val="21"/>
          <w:szCs w:val="21"/>
          <w:color w:val="auto"/>
        </w:rPr>
        <w:t>”, as the case may be, and collectively, the “</w:t>
      </w:r>
      <w:r>
        <w:rPr>
          <w:rFonts w:ascii="Times New Roman" w:cs="Times New Roman" w:eastAsia="Times New Roman" w:hAnsi="Times New Roman"/>
          <w:sz w:val="21"/>
          <w:szCs w:val="21"/>
          <w:u w:val="single" w:color="auto"/>
          <w:color w:val="auto"/>
        </w:rPr>
        <w:t>Restricted Global Series 2023-6 Notes</w:t>
      </w:r>
      <w:r>
        <w:rPr>
          <w:rFonts w:ascii="Times New Roman" w:cs="Times New Roman" w:eastAsia="Times New Roman" w:hAnsi="Times New Roman"/>
          <w:sz w:val="21"/>
          <w:szCs w:val="21"/>
          <w:color w:val="auto"/>
        </w:rPr>
        <w:t xml:space="preserve">”), substantially in the form set forth in </w:t>
      </w:r>
      <w:r>
        <w:rPr>
          <w:rFonts w:ascii="Times New Roman" w:cs="Times New Roman" w:eastAsia="Times New Roman" w:hAnsi="Times New Roman"/>
          <w:sz w:val="21"/>
          <w:szCs w:val="21"/>
          <w:u w:val="single" w:color="auto"/>
          <w:color w:val="auto"/>
        </w:rPr>
        <w:t>Exhibits A-1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E-1</w:t>
      </w:r>
      <w:r>
        <w:rPr>
          <w:rFonts w:ascii="Times New Roman" w:cs="Times New Roman" w:eastAsia="Times New Roman" w:hAnsi="Times New Roman"/>
          <w:sz w:val="21"/>
          <w:szCs w:val="21"/>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2023-6 Notes represented thereby, with the Trustee as custodian for DTC, and registered in the name of Cede as DTC’s nominee, duly executed by ABRCF and authenticated by the Trustee in the manner set forth in Section 2.4 of the Base Indenture.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Temporary Global Series 2023-6 Notes; Permanent Global Series 2023-6 Notes</w:t>
      </w:r>
      <w:r>
        <w:rPr>
          <w:rFonts w:ascii="Times New Roman" w:cs="Times New Roman" w:eastAsia="Times New Roman" w:hAnsi="Times New Roman"/>
          <w:sz w:val="22"/>
          <w:szCs w:val="22"/>
          <w:color w:val="auto"/>
        </w:rPr>
        <w:t>. Each Class of the Series 2023-6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ectPr>
          <w:pgSz w:w="11900" w:h="16838" w:orient="portrait"/>
          <w:cols w:equalWidth="0" w:num="1">
            <w:col w:w="11240"/>
          </w:cols>
          <w:pgMar w:left="320" w:top="1030" w:right="339" w:bottom="1440" w:gutter="0" w:footer="0" w:header="0"/>
        </w:sectPr>
      </w:pPr>
    </w:p>
    <w:bookmarkStart w:id="401" w:name="page402"/>
    <w:bookmarkEnd w:id="401"/>
    <w:p>
      <w:pPr>
        <w:jc w:val="both"/>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A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B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C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Global Class D Note</w:t>
      </w:r>
      <w:r>
        <w:rPr>
          <w:rFonts w:ascii="Times New Roman" w:cs="Times New Roman" w:eastAsia="Times New Roman" w:hAnsi="Times New Roman"/>
          <w:sz w:val="22"/>
          <w:szCs w:val="22"/>
          <w:color w:val="auto"/>
        </w:rPr>
        <w:t>” or a “</w:t>
      </w:r>
      <w:r>
        <w:rPr>
          <w:rFonts w:ascii="Times New Roman" w:cs="Times New Roman" w:eastAsia="Times New Roman" w:hAnsi="Times New Roman"/>
          <w:sz w:val="22"/>
          <w:szCs w:val="22"/>
          <w:u w:val="single" w:color="auto"/>
          <w:color w:val="auto"/>
        </w:rPr>
        <w:t>Temporary Global Class R Note</w:t>
      </w:r>
      <w:r>
        <w:rPr>
          <w:rFonts w:ascii="Times New Roman" w:cs="Times New Roman" w:eastAsia="Times New Roman" w:hAnsi="Times New Roman"/>
          <w:sz w:val="22"/>
          <w:szCs w:val="22"/>
          <w:color w:val="auto"/>
        </w:rPr>
        <w:t>”, as the case may be, and collectively, the “</w:t>
      </w:r>
      <w:r>
        <w:rPr>
          <w:rFonts w:ascii="Times New Roman" w:cs="Times New Roman" w:eastAsia="Times New Roman" w:hAnsi="Times New Roman"/>
          <w:sz w:val="22"/>
          <w:szCs w:val="22"/>
          <w:u w:val="single" w:color="auto"/>
          <w:color w:val="auto"/>
        </w:rPr>
        <w:t>Temporary Global Series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2023-6 Notes</w:t>
      </w:r>
      <w:r>
        <w:rPr>
          <w:rFonts w:ascii="Times New Roman" w:cs="Times New Roman" w:eastAsia="Times New Roman" w:hAnsi="Times New Roman"/>
          <w:sz w:val="22"/>
          <w:szCs w:val="22"/>
          <w:color w:val="auto"/>
        </w:rPr>
        <w:t xml:space="preserve">”), substantially in the form set forth in </w:t>
      </w:r>
      <w:r>
        <w:rPr>
          <w:rFonts w:ascii="Times New Roman" w:cs="Times New Roman" w:eastAsia="Times New Roman" w:hAnsi="Times New Roman"/>
          <w:sz w:val="22"/>
          <w:szCs w:val="22"/>
          <w:u w:val="single" w:color="auto"/>
          <w:color w:val="auto"/>
        </w:rPr>
        <w:t>Exhibits A-2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E-2</w:t>
      </w:r>
      <w:r>
        <w:rPr>
          <w:rFonts w:ascii="Times New Roman" w:cs="Times New Roman" w:eastAsia="Times New Roman" w:hAnsi="Times New Roman"/>
          <w:sz w:val="22"/>
          <w:szCs w:val="22"/>
          <w:color w:val="auto"/>
        </w:rPr>
        <w:t xml:space="preserve"> which shall be deposited on behalf of the purchasers of such Class of the Series 2023-6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2023-6 Note will be exchangeable, in whole or in part, for interests in one or more permanent global notes in registered form without interest coupons (each, a “</w:t>
      </w:r>
      <w:r>
        <w:rPr>
          <w:rFonts w:ascii="Times New Roman" w:cs="Times New Roman" w:eastAsia="Times New Roman" w:hAnsi="Times New Roman"/>
          <w:sz w:val="22"/>
          <w:szCs w:val="22"/>
          <w:u w:val="single" w:color="auto"/>
          <w:color w:val="auto"/>
        </w:rPr>
        <w:t>Permanent Global Class A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Permanent Global Class B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Permanent Global Class C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Permanent Global Class D Note</w:t>
      </w:r>
      <w:r>
        <w:rPr>
          <w:rFonts w:ascii="Times New Roman" w:cs="Times New Roman" w:eastAsia="Times New Roman" w:hAnsi="Times New Roman"/>
          <w:sz w:val="22"/>
          <w:szCs w:val="22"/>
          <w:color w:val="auto"/>
        </w:rPr>
        <w:t>” or a “</w:t>
      </w:r>
      <w:r>
        <w:rPr>
          <w:rFonts w:ascii="Times New Roman" w:cs="Times New Roman" w:eastAsia="Times New Roman" w:hAnsi="Times New Roman"/>
          <w:sz w:val="22"/>
          <w:szCs w:val="22"/>
          <w:u w:val="single" w:color="auto"/>
          <w:color w:val="auto"/>
        </w:rPr>
        <w:t>Permanent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Global Class R Note</w:t>
      </w:r>
      <w:r>
        <w:rPr>
          <w:rFonts w:ascii="Times New Roman" w:cs="Times New Roman" w:eastAsia="Times New Roman" w:hAnsi="Times New Roman"/>
          <w:sz w:val="22"/>
          <w:szCs w:val="22"/>
          <w:color w:val="auto"/>
        </w:rPr>
        <w:t>”, as the case may be, and collectively, the “</w:t>
      </w:r>
      <w:r>
        <w:rPr>
          <w:rFonts w:ascii="Times New Roman" w:cs="Times New Roman" w:eastAsia="Times New Roman" w:hAnsi="Times New Roman"/>
          <w:sz w:val="22"/>
          <w:szCs w:val="22"/>
          <w:u w:val="single" w:color="auto"/>
          <w:color w:val="auto"/>
        </w:rPr>
        <w:t>Permanent Global Series 2023-6 Notes</w:t>
      </w:r>
      <w:r>
        <w:rPr>
          <w:rFonts w:ascii="Times New Roman" w:cs="Times New Roman" w:eastAsia="Times New Roman" w:hAnsi="Times New Roman"/>
          <w:sz w:val="22"/>
          <w:szCs w:val="22"/>
          <w:color w:val="auto"/>
        </w:rPr>
        <w:t xml:space="preserve">”), substantially in the form of </w:t>
      </w:r>
      <w:r>
        <w:rPr>
          <w:rFonts w:ascii="Times New Roman" w:cs="Times New Roman" w:eastAsia="Times New Roman" w:hAnsi="Times New Roman"/>
          <w:sz w:val="22"/>
          <w:szCs w:val="22"/>
          <w:u w:val="single" w:color="auto"/>
          <w:color w:val="auto"/>
        </w:rPr>
        <w:t>Exhibits A-3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E-3</w:t>
      </w:r>
      <w:r>
        <w:rPr>
          <w:rFonts w:ascii="Times New Roman" w:cs="Times New Roman" w:eastAsia="Times New Roman" w:hAnsi="Times New Roman"/>
          <w:sz w:val="22"/>
          <w:szCs w:val="22"/>
          <w:color w:val="auto"/>
        </w:rPr>
        <w:t xml:space="preserve"> in accordance with the provisions of such Temporary Global Series 2023-6 Note and the Base Indenture (as modified by this Supplement). Interests in a Permanent Global Series 2023-6 Note will be exchangeable for a definitive Series 2023-6 Note in accordance with the provisions of such Permanent Global Series 2023-6 Note and the Base Indenture (as modified by this Supplement). The Restricted Global Class A Notes, the Temporary Global Class A Notes and the Permanent Global Class A Notes are collectively referred to as the “</w:t>
      </w:r>
      <w:r>
        <w:rPr>
          <w:rFonts w:ascii="Times New Roman" w:cs="Times New Roman" w:eastAsia="Times New Roman" w:hAnsi="Times New Roman"/>
          <w:sz w:val="22"/>
          <w:szCs w:val="22"/>
          <w:u w:val="single" w:color="auto"/>
          <w:color w:val="auto"/>
        </w:rPr>
        <w:t>Global Class A Notes</w:t>
      </w:r>
      <w:r>
        <w:rPr>
          <w:rFonts w:ascii="Times New Roman" w:cs="Times New Roman" w:eastAsia="Times New Roman" w:hAnsi="Times New Roman"/>
          <w:sz w:val="22"/>
          <w:szCs w:val="22"/>
          <w:color w:val="auto"/>
        </w:rPr>
        <w:t>”, the Restricted Global Class B Notes, the Temporary Global Class B Notes and the Permanent Global Class B Notes are collectively referred to as the “</w:t>
      </w:r>
      <w:r>
        <w:rPr>
          <w:rFonts w:ascii="Times New Roman" w:cs="Times New Roman" w:eastAsia="Times New Roman" w:hAnsi="Times New Roman"/>
          <w:sz w:val="22"/>
          <w:szCs w:val="22"/>
          <w:u w:val="single" w:color="auto"/>
          <w:color w:val="auto"/>
        </w:rPr>
        <w:t>Global Class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the Restricted Global Class C Notes, the Temporary Global Class C Notes and the Permanent Global Class C Notes are collectively referred to as the “</w:t>
      </w:r>
      <w:r>
        <w:rPr>
          <w:rFonts w:ascii="Times New Roman" w:cs="Times New Roman" w:eastAsia="Times New Roman" w:hAnsi="Times New Roman"/>
          <w:sz w:val="22"/>
          <w:szCs w:val="22"/>
          <w:u w:val="single" w:color="auto"/>
          <w:color w:val="auto"/>
        </w:rPr>
        <w:t>Global Class C Notes</w:t>
      </w:r>
      <w:r>
        <w:rPr>
          <w:rFonts w:ascii="Times New Roman" w:cs="Times New Roman" w:eastAsia="Times New Roman" w:hAnsi="Times New Roman"/>
          <w:sz w:val="22"/>
          <w:szCs w:val="22"/>
          <w:color w:val="auto"/>
        </w:rPr>
        <w:t>”, the Restricted Global Class D Notes, the Temporary Global Class D Notes and the Permanent Global Class D Notes are collectively referred to as the “</w:t>
      </w:r>
      <w:r>
        <w:rPr>
          <w:rFonts w:ascii="Times New Roman" w:cs="Times New Roman" w:eastAsia="Times New Roman" w:hAnsi="Times New Roman"/>
          <w:sz w:val="22"/>
          <w:szCs w:val="22"/>
          <w:u w:val="single" w:color="auto"/>
          <w:color w:val="auto"/>
        </w:rPr>
        <w:t>Global Class D Notes</w:t>
      </w:r>
      <w:r>
        <w:rPr>
          <w:rFonts w:ascii="Times New Roman" w:cs="Times New Roman" w:eastAsia="Times New Roman" w:hAnsi="Times New Roman"/>
          <w:sz w:val="22"/>
          <w:szCs w:val="22"/>
          <w:color w:val="auto"/>
        </w:rPr>
        <w:t>” and the Restricted Global Class R Notes, the Temporary Global Class R Notes and the Permanent Global Class R Notes are collectively referred to as the “</w:t>
      </w:r>
      <w:r>
        <w:rPr>
          <w:rFonts w:ascii="Times New Roman" w:cs="Times New Roman" w:eastAsia="Times New Roman" w:hAnsi="Times New Roman"/>
          <w:sz w:val="22"/>
          <w:szCs w:val="22"/>
          <w:u w:val="single" w:color="auto"/>
          <w:color w:val="auto"/>
        </w:rPr>
        <w:t>Global Class R Notes</w:t>
      </w:r>
      <w:r>
        <w:rPr>
          <w:rFonts w:ascii="Times New Roman" w:cs="Times New Roman" w:eastAsia="Times New Roman" w:hAnsi="Times New Roman"/>
          <w:sz w:val="22"/>
          <w:szCs w:val="22"/>
          <w:color w:val="auto"/>
        </w:rPr>
        <w: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3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(a) The Series 2023-6 Notes shall be subject to repurchase by ABRCF at its option in accordance with Section 6.3 of the Base Indenture on any Distribution Date (any such Distribution Date, a “</w:t>
      </w:r>
      <w:r>
        <w:rPr>
          <w:rFonts w:ascii="Times New Roman" w:cs="Times New Roman" w:eastAsia="Times New Roman" w:hAnsi="Times New Roman"/>
          <w:sz w:val="22"/>
          <w:szCs w:val="22"/>
          <w:u w:val="single" w:color="auto"/>
          <w:color w:val="auto"/>
        </w:rPr>
        <w:t>Clean-up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Repurchase Distribution Date</w:t>
      </w:r>
      <w:r>
        <w:rPr>
          <w:rFonts w:ascii="Times New Roman" w:cs="Times New Roman" w:eastAsia="Times New Roman" w:hAnsi="Times New Roman"/>
          <w:sz w:val="22"/>
          <w:szCs w:val="22"/>
          <w:color w:val="auto"/>
        </w:rPr>
        <w:t>”) after the Series 2023-6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 w:cs="Times New Roman" w:eastAsia="Times New Roman" w:hAnsi="Times New Roman"/>
          <w:sz w:val="22"/>
          <w:szCs w:val="22"/>
          <w:u w:val="single" w:color="auto"/>
          <w:color w:val="auto"/>
        </w:rPr>
        <w:t>Series 2023-6 Repurchase Amount</w:t>
      </w:r>
      <w:r>
        <w:rPr>
          <w:rFonts w:ascii="Times New Roman" w:cs="Times New Roman" w:eastAsia="Times New Roman" w:hAnsi="Times New Roman"/>
          <w:sz w:val="22"/>
          <w:szCs w:val="22"/>
          <w:color w:val="auto"/>
        </w:rPr>
        <w:t xml:space="preserve">”). The repurchase price for any Series 2023-6 Note subject to a Clean-up Repurchase shall equal the aggregate outstanding principal balance of such Series 2023-6 Note (determined after giving effect to any payments of principal and interest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interest on such outstanding principal balance.</w:t>
      </w:r>
    </w:p>
    <w:p>
      <w:pPr>
        <w:spacing w:after="0" w:line="185" w:lineRule="exact"/>
        <w:rPr>
          <w:sz w:val="20"/>
          <w:szCs w:val="20"/>
          <w:color w:val="auto"/>
        </w:rPr>
      </w:pPr>
    </w:p>
    <w:p>
      <w:pPr>
        <w:ind w:right="20" w:firstLine="1304"/>
        <w:spacing w:after="0" w:line="271" w:lineRule="auto"/>
        <w:tabs>
          <w:tab w:leader="none" w:pos="1770" w:val="left"/>
        </w:tabs>
        <w:numPr>
          <w:ilvl w:val="0"/>
          <w:numId w:val="3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2023-6 Notes shall also be subject to repurchase at the election of the ABRCF in accordance with Section 6.3 of the Base Indenture, in whole but not in part, on</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bl>
    <w:p>
      <w:pPr>
        <w:sectPr>
          <w:pgSz w:w="11900" w:h="16838" w:orient="portrait"/>
          <w:cols w:equalWidth="0" w:num="1">
            <w:col w:w="11240"/>
          </w:cols>
          <w:pgMar w:left="320" w:top="1030" w:right="339" w:bottom="1440" w:gutter="0" w:footer="0" w:header="0"/>
        </w:sectPr>
      </w:pPr>
    </w:p>
    <w:bookmarkStart w:id="402" w:name="page403"/>
    <w:bookmarkEnd w:id="402"/>
    <w:p>
      <w:pPr>
        <w:jc w:val="both"/>
        <w:spacing w:after="0" w:line="249" w:lineRule="auto"/>
        <w:rPr>
          <w:sz w:val="20"/>
          <w:szCs w:val="20"/>
          <w:color w:val="auto"/>
        </w:rPr>
      </w:pPr>
      <w:r>
        <w:rPr>
          <w:rFonts w:ascii="Times New Roman" w:cs="Times New Roman" w:eastAsia="Times New Roman" w:hAnsi="Times New Roman"/>
          <w:sz w:val="22"/>
          <w:szCs w:val="22"/>
          <w:color w:val="auto"/>
        </w:rPr>
        <w:t>any Distribution Date (any such Distribution Date, an “</w:t>
      </w:r>
      <w:r>
        <w:rPr>
          <w:rFonts w:ascii="Times New Roman" w:cs="Times New Roman" w:eastAsia="Times New Roman" w:hAnsi="Times New Roman"/>
          <w:sz w:val="22"/>
          <w:szCs w:val="22"/>
          <w:u w:val="single" w:color="auto"/>
          <w:color w:val="auto"/>
        </w:rPr>
        <w:t>Optional Repurchase Distribution Date</w:t>
      </w:r>
      <w:r>
        <w:rPr>
          <w:rFonts w:ascii="Times New Roman" w:cs="Times New Roman" w:eastAsia="Times New Roman" w:hAnsi="Times New Roman"/>
          <w:sz w:val="22"/>
          <w:szCs w:val="22"/>
          <w:color w:val="auto"/>
        </w:rPr>
        <w:t>”) that occurs prior to the earlier to occur of (x) the commencement of the Series 2023-6 Rapid Amortization Period and (y) the Clean-up Repurchase Distribution Date (any such repurchase, an “</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Class D Notes shall only be subject to such Optional Repurchase in accordance with this clause (b) on and after the earlier of (x) following the Class D Notes Closing Date, the offering and sale of the Class D Notes to one or more third-party investors and (y) the September 2025 Distribution Date. The repurchase price for any Series 2023-6 Note subject to an Optional Repurchase shall equal (1) the aggregate outstanding principal balance of such Series 2023-6 Note (determined after giving effect to any payments made pursuant to Section 2.5(a)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accrued and unpaid interest on such outstanding principal balance (determined after giving effect to any payments made pursuant to Section 2.4 on such Distribution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(3) the Make Whole Payment with respect to such Series 2023-6 Note.</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Trustee shall provide to the Series 2023-6 Noteholders, or their designated agent, copies of all information furnished to the Trustee or ABRCF pursuant to the Related Documents, as such information relates to the Series 2023-6 Notes or the Series 2023-6 Collateral.</w:t>
      </w:r>
    </w:p>
    <w:p>
      <w:pPr>
        <w:sectPr>
          <w:pgSz w:w="11900" w:h="16838" w:orient="portrait"/>
          <w:cols w:equalWidth="0" w:num="1">
            <w:col w:w="11240"/>
          </w:cols>
          <w:pgMar w:left="320" w:top="1030" w:right="339" w:bottom="1440" w:gutter="0" w:footer="0" w:header="0"/>
        </w:sectPr>
      </w:pP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5.3.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M:</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The following exhibits attached hereto supplement the exhibits included in the Base</w:t>
      </w:r>
    </w:p>
    <w:p>
      <w:pPr>
        <w:spacing w:after="0" w:line="200" w:lineRule="exact"/>
        <w:rPr>
          <w:sz w:val="20"/>
          <w:szCs w:val="20"/>
          <w:color w:val="auto"/>
        </w:rPr>
      </w:pPr>
    </w:p>
    <w:p>
      <w:pPr>
        <w:spacing w:after="0" w:line="3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2023-6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2023-6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2023-6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2023-6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2023-6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2023-6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2023-6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2023-6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2023-6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2023-6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2023-6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2023-6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2023-6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2023-6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2023-6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Series 2023-6 Demand Note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Multi-Series Letter of Credit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Lease Payment Deficit Notice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Demand Notice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Supplemental Indenture No. 6 to the Base Indenture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Operating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Finance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Operating Lease Loan Agreement</w:t>
      </w:r>
    </w:p>
    <w:p>
      <w:pPr>
        <w:spacing w:after="0" w:line="200" w:lineRule="exact"/>
        <w:rPr>
          <w:sz w:val="20"/>
          <w:szCs w:val="20"/>
          <w:color w:val="auto"/>
        </w:rPr>
      </w:pPr>
    </w:p>
    <w:p>
      <w:pPr>
        <w:sectPr>
          <w:pgSz w:w="11900" w:h="16838" w:orient="portrait"/>
          <w:cols w:equalWidth="0" w:num="2">
            <w:col w:w="2560" w:space="160"/>
            <w:col w:w="8520"/>
          </w:cols>
          <w:pgMar w:left="320" w:top="1030" w:right="339" w:bottom="1440" w:gutter="0" w:footer="0" w:header="0"/>
          <w:type w:val="continuous"/>
        </w:sectPr>
      </w:pPr>
    </w:p>
    <w:p>
      <w:pPr>
        <w:spacing w:after="0" w:line="19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bl>
    <w:p>
      <w:pPr>
        <w:sectPr>
          <w:pgSz w:w="11900" w:h="16838" w:orient="portrait"/>
          <w:cols w:equalWidth="0" w:num="1">
            <w:col w:w="11240"/>
          </w:cols>
          <w:pgMar w:left="320" w:top="1030" w:right="339" w:bottom="1440" w:gutter="0" w:footer="0" w:header="0"/>
          <w:type w:val="continuous"/>
        </w:sectPr>
      </w:pPr>
    </w:p>
    <w:bookmarkStart w:id="403" w:name="page404"/>
    <w:bookmarkEnd w:id="403"/>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N:</w:t>
      </w:r>
      <w:r>
        <w:rPr>
          <w:sz w:val="20"/>
          <w:szCs w:val="20"/>
          <w:color w:val="auto"/>
        </w:rPr>
        <w:tab/>
      </w:r>
      <w:r>
        <w:rPr>
          <w:rFonts w:ascii="Times New Roman" w:cs="Times New Roman" w:eastAsia="Times New Roman" w:hAnsi="Times New Roman"/>
          <w:sz w:val="21"/>
          <w:szCs w:val="21"/>
          <w:color w:val="auto"/>
        </w:rPr>
        <w:t>Form of Amendment to the AESOP I Finance Lease Loan Agreement</w:t>
      </w:r>
    </w:p>
    <w:p>
      <w:pPr>
        <w:spacing w:after="0" w:line="29"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O:</w:t>
      </w:r>
      <w:r>
        <w:rPr>
          <w:sz w:val="20"/>
          <w:szCs w:val="20"/>
          <w:color w:val="auto"/>
        </w:rPr>
        <w:tab/>
      </w:r>
      <w:r>
        <w:rPr>
          <w:rFonts w:ascii="Times New Roman" w:cs="Times New Roman" w:eastAsia="Times New Roman" w:hAnsi="Times New Roman"/>
          <w:sz w:val="21"/>
          <w:szCs w:val="21"/>
          <w:color w:val="auto"/>
        </w:rPr>
        <w:t>Form of Amendment to the AESOP II Operating Lease</w:t>
      </w:r>
    </w:p>
    <w:p>
      <w:pPr>
        <w:spacing w:after="0" w:line="17"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P:</w:t>
      </w:r>
      <w:r>
        <w:rPr>
          <w:sz w:val="20"/>
          <w:szCs w:val="20"/>
          <w:color w:val="auto"/>
        </w:rPr>
        <w:tab/>
      </w:r>
      <w:r>
        <w:rPr>
          <w:rFonts w:ascii="Times New Roman" w:cs="Times New Roman" w:eastAsia="Times New Roman" w:hAnsi="Times New Roman"/>
          <w:sz w:val="21"/>
          <w:szCs w:val="21"/>
          <w:color w:val="auto"/>
        </w:rPr>
        <w:t>Form of Amendment to the Master Exchange Agreement</w:t>
      </w:r>
    </w:p>
    <w:p>
      <w:pPr>
        <w:spacing w:after="0" w:line="17"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Q:</w:t>
      </w:r>
      <w:r>
        <w:rPr>
          <w:sz w:val="20"/>
          <w:szCs w:val="20"/>
          <w:color w:val="auto"/>
        </w:rPr>
        <w:tab/>
      </w:r>
      <w:r>
        <w:rPr>
          <w:rFonts w:ascii="Times New Roman" w:cs="Times New Roman" w:eastAsia="Times New Roman" w:hAnsi="Times New Roman"/>
          <w:sz w:val="21"/>
          <w:szCs w:val="21"/>
          <w:color w:val="auto"/>
        </w:rPr>
        <w:t>Form of Amendment to the Escrow Agreement</w:t>
      </w:r>
    </w:p>
    <w:p>
      <w:pPr>
        <w:spacing w:after="0" w:line="17"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R:</w:t>
      </w:r>
      <w:r>
        <w:rPr>
          <w:sz w:val="20"/>
          <w:szCs w:val="20"/>
          <w:color w:val="auto"/>
        </w:rPr>
        <w:tab/>
      </w:r>
      <w:r>
        <w:rPr>
          <w:rFonts w:ascii="Times New Roman" w:cs="Times New Roman" w:eastAsia="Times New Roman" w:hAnsi="Times New Roman"/>
          <w:sz w:val="21"/>
          <w:szCs w:val="21"/>
          <w:color w:val="auto"/>
        </w:rPr>
        <w:t>Form of Amendment to the Administration Agreement</w:t>
      </w:r>
    </w:p>
    <w:p>
      <w:pPr>
        <w:spacing w:after="0" w:line="17"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S:</w:t>
      </w:r>
      <w:r>
        <w:rPr>
          <w:sz w:val="20"/>
          <w:szCs w:val="20"/>
          <w:color w:val="auto"/>
        </w:rPr>
        <w:tab/>
      </w:r>
      <w:r>
        <w:rPr>
          <w:rFonts w:ascii="Times New Roman" w:cs="Times New Roman" w:eastAsia="Times New Roman" w:hAnsi="Times New Roman"/>
          <w:sz w:val="21"/>
          <w:szCs w:val="21"/>
          <w:color w:val="auto"/>
        </w:rPr>
        <w:t>Form of Amendment to the AESOP II Operating Lease Loan Agreement</w:t>
      </w:r>
    </w:p>
    <w:p>
      <w:pPr>
        <w:spacing w:after="0" w:line="17"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T:</w:t>
      </w:r>
      <w:r>
        <w:rPr>
          <w:sz w:val="20"/>
          <w:szCs w:val="20"/>
          <w:color w:val="auto"/>
        </w:rPr>
        <w:tab/>
      </w:r>
      <w:r>
        <w:rPr>
          <w:rFonts w:ascii="Times New Roman" w:cs="Times New Roman" w:eastAsia="Times New Roman" w:hAnsi="Times New Roman"/>
          <w:sz w:val="21"/>
          <w:szCs w:val="21"/>
          <w:color w:val="auto"/>
        </w:rPr>
        <w:t>Form of Amendment to the Original AESOP Nominee Agreement</w:t>
      </w:r>
    </w:p>
    <w:p>
      <w:pPr>
        <w:spacing w:after="0" w:line="17"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U:</w:t>
      </w:r>
      <w:r>
        <w:rPr>
          <w:sz w:val="20"/>
          <w:szCs w:val="20"/>
          <w:color w:val="auto"/>
        </w:rPr>
        <w:tab/>
      </w:r>
      <w:r>
        <w:rPr>
          <w:rFonts w:ascii="Times New Roman" w:cs="Times New Roman" w:eastAsia="Times New Roman" w:hAnsi="Times New Roman"/>
          <w:sz w:val="21"/>
          <w:szCs w:val="21"/>
          <w:color w:val="auto"/>
        </w:rPr>
        <w:t>Form of Amendment to the Disposition Agent Agreement</w:t>
      </w:r>
    </w:p>
    <w:p>
      <w:pPr>
        <w:spacing w:after="0" w:line="17"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V:</w:t>
      </w:r>
      <w:r>
        <w:rPr>
          <w:sz w:val="20"/>
          <w:szCs w:val="20"/>
          <w:color w:val="auto"/>
        </w:rPr>
        <w:tab/>
      </w:r>
      <w:r>
        <w:rPr>
          <w:rFonts w:ascii="Times New Roman" w:cs="Times New Roman" w:eastAsia="Times New Roman" w:hAnsi="Times New Roman"/>
          <w:sz w:val="21"/>
          <w:szCs w:val="21"/>
          <w:color w:val="auto"/>
        </w:rPr>
        <w:t>Form of Amendment to the Back-up Administration Agreement</w:t>
      </w:r>
    </w:p>
    <w:p>
      <w:pPr>
        <w:spacing w:after="0" w:line="31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Ratification of Base Indenture</w:t>
      </w:r>
      <w:r>
        <w:rPr>
          <w:rFonts w:ascii="Times New Roman" w:cs="Times New Roman" w:eastAsia="Times New Roman" w:hAnsi="Times New Roman"/>
          <w:sz w:val="22"/>
          <w:szCs w:val="22"/>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73" w:lineRule="exact"/>
        <w:rPr>
          <w:sz w:val="20"/>
          <w:szCs w:val="20"/>
          <w:color w:val="auto"/>
        </w:rPr>
      </w:pPr>
    </w:p>
    <w:p>
      <w:pPr>
        <w:jc w:val="both"/>
        <w:ind w:firstLine="1296"/>
        <w:spacing w:after="0" w:line="309"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Supplement may be executed in any number of counterparts, each of which so executed shall be deemed to be an original, but all of such counterparts shall together constitute but one and the same instrument.</w:t>
      </w:r>
    </w:p>
    <w:p>
      <w:pPr>
        <w:spacing w:after="0" w:line="12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 shall be construed in accordance with the law of the State of New York, and the obligations, rights and remedies of the parties hereto shall be determined in accordance with such law.</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This Supplement may be modified or amended from time to time in accordance with the terms of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2023-6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 so long as (i) no Amortization Event has occurred and is continuing and (ii) the Rating Agency Consent Condition is met with respect to the outstanding Series 2023-6 Notes (other than the Class R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and (B)</w:t>
      </w:r>
    </w:p>
    <w:p>
      <w:pPr>
        <w:spacing w:after="0" w:line="200" w:lineRule="exact"/>
        <w:rPr>
          <w:sz w:val="20"/>
          <w:szCs w:val="20"/>
          <w:color w:val="auto"/>
        </w:rPr>
      </w:pPr>
    </w:p>
    <w:p>
      <w:pPr>
        <w:spacing w:after="0" w:line="29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bl>
    <w:p>
      <w:pPr>
        <w:sectPr>
          <w:pgSz w:w="11900" w:h="16838" w:orient="portrait"/>
          <w:cols w:equalWidth="0" w:num="1">
            <w:col w:w="11240"/>
          </w:cols>
          <w:pgMar w:left="320" w:top="1057" w:right="339" w:bottom="1440" w:gutter="0" w:footer="0" w:header="0"/>
        </w:sectPr>
      </w:pPr>
    </w:p>
    <w:bookmarkStart w:id="404" w:name="page405"/>
    <w:bookmarkEnd w:id="404"/>
    <w:p>
      <w:pPr>
        <w:jc w:val="both"/>
        <w:spacing w:after="0" w:line="271" w:lineRule="auto"/>
        <w:rPr>
          <w:sz w:val="20"/>
          <w:szCs w:val="20"/>
          <w:color w:val="auto"/>
        </w:rPr>
      </w:pPr>
      <w:r>
        <w:rPr>
          <w:rFonts w:ascii="Times New Roman" w:cs="Times New Roman" w:eastAsia="Times New Roman" w:hAnsi="Times New Roman"/>
          <w:sz w:val="22"/>
          <w:szCs w:val="22"/>
          <w:color w:val="auto"/>
        </w:rPr>
        <w:t>ABRCF shall be able to modify or amend any Series 2023-6 Maximum Amount at any time with the consent of a Requisite Series 2023-6 Noteholders.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Discharge of Base Indenture</w:t>
      </w:r>
      <w:r>
        <w:rPr>
          <w:rFonts w:ascii="Times New Roman" w:cs="Times New Roman" w:eastAsia="Times New Roman" w:hAnsi="Times New Roman"/>
          <w:sz w:val="22"/>
          <w:szCs w:val="22"/>
          <w:color w:val="auto"/>
        </w:rPr>
        <w:t>. Notwithstanding anything to the contrary contained in the Base Indenture, no discharge of the Indenture pursuant to Section 11.1(b) of the Base Indenture will be effective as to the Series 2023-6 Notes without the consent of the Requisite Series 2023-6 Noteholders.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Notice to Rating Agencies</w:t>
      </w:r>
      <w:r>
        <w:rPr>
          <w:rFonts w:ascii="Times New Roman" w:cs="Times New Roman" w:eastAsia="Times New Roman" w:hAnsi="Times New Roman"/>
          <w:sz w:val="22"/>
          <w:szCs w:val="22"/>
          <w:color w:val="auto"/>
        </w:rPr>
        <w:t>.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Capitalization of ABRCF</w:t>
      </w:r>
      <w:r>
        <w:rPr>
          <w:rFonts w:ascii="Times New Roman" w:cs="Times New Roman" w:eastAsia="Times New Roman" w:hAnsi="Times New Roman"/>
          <w:sz w:val="22"/>
          <w:szCs w:val="22"/>
          <w:color w:val="auto"/>
        </w:rPr>
        <w:t>. ABRCF agrees that on the Class D Notes Closing Date it will have capitalization in an amount equal to or greater than 3% of the sum of (x) the Series 2023-6 Invested Amount and (y) the invested amount of the Series 2010-6 Notes, the Series 2011-4 Notes, the Series 2015-3 Notes, the Series 2020-1 Notes, the Series 2020-2 Notes, the Series 2021-1 Notes, the Series 2021-2 Notes, the Series 2022-1 Notes, the Series 2022-3 Notes, the Series 2022-4 Notes, the Series 2022-5 Notes, the Series 2023-1 Notes, the Series 2023-2 Notes, the Series 2023-3 Notes, the Series 2023-4 Notes, the Series 2023-5 Notes, the Series 2023-7 Notes, the Series 2023-8 Notes, the Series 2024-1 Notes, the Series 2024-2 Notes, the Series 2024-3 Notes, the Series 2025-1 Notes and the Series 2025-2 Notes.</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Required Noteholders</w:t>
      </w:r>
      <w:r>
        <w:rPr>
          <w:rFonts w:ascii="Times New Roman" w:cs="Times New Roman" w:eastAsia="Times New Roman" w:hAnsi="Times New Roman"/>
          <w:sz w:val="22"/>
          <w:szCs w:val="22"/>
          <w:color w:val="auto"/>
        </w:rPr>
        <w:t>. Subject to Section 5.7 above, any action pursuant to Section 5.6, Section 8.13 or Article 9 of the Base Indenture that requires the consent of, or is permissible at the direction of, the Required Noteholders with respect to the Series 2023-6 Notes pursuant to the Base Indenture shall only be allowed with the consent of, or at the direction of, the Required Controlling Class Series 2023-6 Noteholders. Any other action pursuant to any Related Document which requires the consent or approval of, or the waiver by, the Required Noteholders with respect to the Series 2023-6 Notes shall require the consent or approval of, or waiver by, the Requisite Series 2023-6 Noteholders.</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Series 2023-6 Demand Notes</w:t>
      </w:r>
      <w:r>
        <w:rPr>
          <w:rFonts w:ascii="Times New Roman" w:cs="Times New Roman" w:eastAsia="Times New Roman" w:hAnsi="Times New Roman"/>
          <w:sz w:val="22"/>
          <w:szCs w:val="22"/>
          <w:color w:val="auto"/>
        </w:rPr>
        <w:t>. Other than pursuant to a demand thereon pursuant to Section 2.5, ABRCF shall not reduce the amount of the Series 2023-6 Demand Notes or forgive amounts payable thereunder so that the outstanding principal amount of the Series 2023-6 Demand Notes after such reduction or forgiveness is less than the sum of (x) the Class A/B/C Letter of Credit Liquidity Amount plus (y) the Class D Letter of Credit Liquidity Amount. ABRCF shall not agree to any amendment of the Series 2023-6 Demand Notes without first satisfying the Rating Agency Confirmation Condition and the Rating Agency Consent Condition.</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Termination of Supplement</w:t>
      </w:r>
      <w:r>
        <w:rPr>
          <w:rFonts w:ascii="Times New Roman" w:cs="Times New Roman" w:eastAsia="Times New Roman" w:hAnsi="Times New Roman"/>
          <w:sz w:val="22"/>
          <w:szCs w:val="22"/>
          <w:color w:val="auto"/>
        </w:rPr>
        <w:t>. This Supplement shall cease to be of further effect when all outstanding Series 2023-6 Notes theretofore authenticated and issued have been delivered (other than destroyed, lost, or stolen Series 2023-6 Notes which have been replaced or paid) to the Trustee for cancellation, ABRCF has paid all sums payable hereunder, and, if the Series 2023-6 Demand Note Payment Amount on the Multi-Series Letter of Credit Termination</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bl>
    <w:p>
      <w:pPr>
        <w:sectPr>
          <w:pgSz w:w="11900" w:h="16838" w:orient="portrait"/>
          <w:cols w:equalWidth="0" w:num="1">
            <w:col w:w="11240"/>
          </w:cols>
          <w:pgMar w:left="320" w:top="1030" w:right="339" w:bottom="1440" w:gutter="0" w:footer="0" w:header="0"/>
        </w:sectPr>
      </w:pPr>
    </w:p>
    <w:bookmarkStart w:id="405" w:name="page406"/>
    <w:bookmarkEnd w:id="405"/>
    <w:p>
      <w:pPr>
        <w:jc w:val="both"/>
        <w:spacing w:after="0" w:line="271" w:lineRule="auto"/>
        <w:rPr>
          <w:sz w:val="20"/>
          <w:szCs w:val="20"/>
          <w:color w:val="auto"/>
        </w:rPr>
      </w:pPr>
      <w:r>
        <w:rPr>
          <w:rFonts w:ascii="Times New Roman" w:cs="Times New Roman" w:eastAsia="Times New Roman" w:hAnsi="Times New Roman"/>
          <w:sz w:val="22"/>
          <w:szCs w:val="22"/>
          <w:color w:val="auto"/>
        </w:rPr>
        <w:t>Date was greater than zero, all amounts have been withdrawn from the Series 2023-6 Cash Collateral Accounts in accordance with Section 2.8(m).</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Noteholder Consent to Certain Amendments</w:t>
      </w:r>
      <w:r>
        <w:rPr>
          <w:rFonts w:ascii="Times New Roman" w:cs="Times New Roman" w:eastAsia="Times New Roman" w:hAnsi="Times New Roman"/>
          <w:sz w:val="21"/>
          <w:szCs w:val="21"/>
          <w:color w:val="auto"/>
        </w:rPr>
        <w:t xml:space="preserve">. Each Series 2023-6 Noteholder, upon any acquisition of a Series 2023-6 Note, will be deemed to agree and consent to (i) the execution by ABRCF of a Supplemental Indenture to the Base Indenture substantially in the form of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 xml:space="preserve"> hereto, (ii) the execution of an amendment to the AESOP I Operating Lease substantially in the form of </w:t>
      </w:r>
      <w:r>
        <w:rPr>
          <w:rFonts w:ascii="Times New Roman" w:cs="Times New Roman" w:eastAsia="Times New Roman" w:hAnsi="Times New Roman"/>
          <w:sz w:val="21"/>
          <w:szCs w:val="21"/>
          <w:u w:val="single" w:color="auto"/>
          <w:color w:val="auto"/>
        </w:rPr>
        <w:t>Exhibit K</w:t>
      </w:r>
      <w:r>
        <w:rPr>
          <w:rFonts w:ascii="Times New Roman" w:cs="Times New Roman" w:eastAsia="Times New Roman" w:hAnsi="Times New Roman"/>
          <w:sz w:val="21"/>
          <w:szCs w:val="21"/>
          <w:color w:val="auto"/>
        </w:rPr>
        <w:t xml:space="preserve"> hereto, (iii) the execution of an amendment to the Finance Lease substantially in the form of </w:t>
      </w:r>
      <w:r>
        <w:rPr>
          <w:rFonts w:ascii="Times New Roman" w:cs="Times New Roman" w:eastAsia="Times New Roman" w:hAnsi="Times New Roman"/>
          <w:sz w:val="21"/>
          <w:szCs w:val="21"/>
          <w:u w:val="single" w:color="auto"/>
          <w:color w:val="auto"/>
        </w:rPr>
        <w:t>Exhibit L</w:t>
      </w:r>
      <w:r>
        <w:rPr>
          <w:rFonts w:ascii="Times New Roman" w:cs="Times New Roman" w:eastAsia="Times New Roman" w:hAnsi="Times New Roman"/>
          <w:sz w:val="21"/>
          <w:szCs w:val="21"/>
          <w:color w:val="auto"/>
        </w:rPr>
        <w:t xml:space="preserve"> hereto, (iv) the execution of an amendment to the AESOP I Operating Lease Loan Agreement substantially in the form of </w:t>
      </w:r>
      <w:r>
        <w:rPr>
          <w:rFonts w:ascii="Times New Roman" w:cs="Times New Roman" w:eastAsia="Times New Roman" w:hAnsi="Times New Roman"/>
          <w:sz w:val="21"/>
          <w:szCs w:val="21"/>
          <w:u w:val="single" w:color="auto"/>
          <w:color w:val="auto"/>
        </w:rPr>
        <w:t>Exhibit M</w:t>
      </w:r>
      <w:r>
        <w:rPr>
          <w:rFonts w:ascii="Times New Roman" w:cs="Times New Roman" w:eastAsia="Times New Roman" w:hAnsi="Times New Roman"/>
          <w:sz w:val="21"/>
          <w:szCs w:val="21"/>
          <w:color w:val="auto"/>
        </w:rPr>
        <w:t xml:space="preserve"> hereto, (v) the execution of an amendment to the AESOP I Finance Lease Loan Agreement substantially in the form of </w:t>
      </w:r>
      <w:r>
        <w:rPr>
          <w:rFonts w:ascii="Times New Roman" w:cs="Times New Roman" w:eastAsia="Times New Roman" w:hAnsi="Times New Roman"/>
          <w:sz w:val="21"/>
          <w:szCs w:val="21"/>
          <w:u w:val="single" w:color="auto"/>
          <w:color w:val="auto"/>
        </w:rPr>
        <w:t>Exhibit N</w:t>
      </w:r>
      <w:r>
        <w:rPr>
          <w:rFonts w:ascii="Times New Roman" w:cs="Times New Roman" w:eastAsia="Times New Roman" w:hAnsi="Times New Roman"/>
          <w:sz w:val="21"/>
          <w:szCs w:val="21"/>
          <w:color w:val="auto"/>
        </w:rPr>
        <w:t xml:space="preserve"> hereto, (vi) the execution of an amendment to the AESOP II Operating Lease substantially in the form of </w:t>
      </w:r>
      <w:r>
        <w:rPr>
          <w:rFonts w:ascii="Times New Roman" w:cs="Times New Roman" w:eastAsia="Times New Roman" w:hAnsi="Times New Roman"/>
          <w:sz w:val="21"/>
          <w:szCs w:val="21"/>
          <w:u w:val="single" w:color="auto"/>
          <w:color w:val="auto"/>
        </w:rPr>
        <w:t>Exhibit O</w:t>
      </w:r>
      <w:r>
        <w:rPr>
          <w:rFonts w:ascii="Times New Roman" w:cs="Times New Roman" w:eastAsia="Times New Roman" w:hAnsi="Times New Roman"/>
          <w:sz w:val="21"/>
          <w:szCs w:val="21"/>
          <w:color w:val="auto"/>
        </w:rPr>
        <w:t xml:space="preserve"> hereto, (vii) the execution of an amendment to the Master Exchange Agreement substantially in the form of </w:t>
      </w:r>
      <w:r>
        <w:rPr>
          <w:rFonts w:ascii="Times New Roman" w:cs="Times New Roman" w:eastAsia="Times New Roman" w:hAnsi="Times New Roman"/>
          <w:sz w:val="21"/>
          <w:szCs w:val="21"/>
          <w:u w:val="single" w:color="auto"/>
          <w:color w:val="auto"/>
        </w:rPr>
        <w:t>Exhibit P</w:t>
      </w:r>
      <w:r>
        <w:rPr>
          <w:rFonts w:ascii="Times New Roman" w:cs="Times New Roman" w:eastAsia="Times New Roman" w:hAnsi="Times New Roman"/>
          <w:sz w:val="21"/>
          <w:szCs w:val="21"/>
          <w:color w:val="auto"/>
        </w:rPr>
        <w:t xml:space="preserve"> hereto, (viii) the execution of an amendment to the Escrow Agreement substantially in the form of </w:t>
      </w:r>
      <w:r>
        <w:rPr>
          <w:rFonts w:ascii="Times New Roman" w:cs="Times New Roman" w:eastAsia="Times New Roman" w:hAnsi="Times New Roman"/>
          <w:sz w:val="21"/>
          <w:szCs w:val="21"/>
          <w:u w:val="single" w:color="auto"/>
          <w:color w:val="auto"/>
        </w:rPr>
        <w:t>Exhibit Q</w:t>
      </w:r>
      <w:r>
        <w:rPr>
          <w:rFonts w:ascii="Times New Roman" w:cs="Times New Roman" w:eastAsia="Times New Roman" w:hAnsi="Times New Roman"/>
          <w:sz w:val="21"/>
          <w:szCs w:val="21"/>
          <w:color w:val="auto"/>
        </w:rPr>
        <w:t xml:space="preserve"> hereto, (ix) the execution of an amendment to the Administration Agreement substantially in the form of </w:t>
      </w:r>
      <w:r>
        <w:rPr>
          <w:rFonts w:ascii="Times New Roman" w:cs="Times New Roman" w:eastAsia="Times New Roman" w:hAnsi="Times New Roman"/>
          <w:sz w:val="21"/>
          <w:szCs w:val="21"/>
          <w:u w:val="single" w:color="auto"/>
          <w:color w:val="auto"/>
        </w:rPr>
        <w:t>Exhibit R</w:t>
      </w:r>
      <w:r>
        <w:rPr>
          <w:rFonts w:ascii="Times New Roman" w:cs="Times New Roman" w:eastAsia="Times New Roman" w:hAnsi="Times New Roman"/>
          <w:sz w:val="21"/>
          <w:szCs w:val="21"/>
          <w:color w:val="auto"/>
        </w:rPr>
        <w:t xml:space="preserve"> hereto, (x) the execution of an amendment to the AESOP II Operating Lease Loan Agreement substantially in the form of </w:t>
      </w:r>
      <w:r>
        <w:rPr>
          <w:rFonts w:ascii="Times New Roman" w:cs="Times New Roman" w:eastAsia="Times New Roman" w:hAnsi="Times New Roman"/>
          <w:sz w:val="21"/>
          <w:szCs w:val="21"/>
          <w:u w:val="single" w:color="auto"/>
          <w:color w:val="auto"/>
        </w:rPr>
        <w:t>Exhibit S</w:t>
      </w:r>
      <w:r>
        <w:rPr>
          <w:rFonts w:ascii="Times New Roman" w:cs="Times New Roman" w:eastAsia="Times New Roman" w:hAnsi="Times New Roman"/>
          <w:sz w:val="21"/>
          <w:szCs w:val="21"/>
          <w:color w:val="auto"/>
        </w:rPr>
        <w:t xml:space="preserve"> hereto, (xi) the execution of an amendment to the Original AESOP Nominee Agreement substantially in the form of </w:t>
      </w:r>
      <w:r>
        <w:rPr>
          <w:rFonts w:ascii="Times New Roman" w:cs="Times New Roman" w:eastAsia="Times New Roman" w:hAnsi="Times New Roman"/>
          <w:sz w:val="21"/>
          <w:szCs w:val="21"/>
          <w:u w:val="single" w:color="auto"/>
          <w:color w:val="auto"/>
        </w:rPr>
        <w:t>Exhibit T</w:t>
      </w:r>
      <w:r>
        <w:rPr>
          <w:rFonts w:ascii="Times New Roman" w:cs="Times New Roman" w:eastAsia="Times New Roman" w:hAnsi="Times New Roman"/>
          <w:sz w:val="21"/>
          <w:szCs w:val="21"/>
          <w:color w:val="auto"/>
        </w:rPr>
        <w:t xml:space="preserve"> hereto, (xii) the execution of an amendment to the Disposition Agent Agreement substantially in the form of </w:t>
      </w:r>
      <w:r>
        <w:rPr>
          <w:rFonts w:ascii="Times New Roman" w:cs="Times New Roman" w:eastAsia="Times New Roman" w:hAnsi="Times New Roman"/>
          <w:sz w:val="21"/>
          <w:szCs w:val="21"/>
          <w:u w:val="single" w:color="auto"/>
          <w:color w:val="auto"/>
        </w:rPr>
        <w:t>Exhibit U</w:t>
      </w:r>
      <w:r>
        <w:rPr>
          <w:rFonts w:ascii="Times New Roman" w:cs="Times New Roman" w:eastAsia="Times New Roman" w:hAnsi="Times New Roman"/>
          <w:sz w:val="21"/>
          <w:szCs w:val="21"/>
          <w:color w:val="auto"/>
        </w:rPr>
        <w:t xml:space="preserve"> hereto and (xiii) the execution of an amendment to the Back-up Administration Agreement substantially in the form of </w:t>
      </w:r>
      <w:r>
        <w:rPr>
          <w:rFonts w:ascii="Times New Roman" w:cs="Times New Roman" w:eastAsia="Times New Roman" w:hAnsi="Times New Roman"/>
          <w:sz w:val="21"/>
          <w:szCs w:val="21"/>
          <w:u w:val="single" w:color="auto"/>
          <w:color w:val="auto"/>
        </w:rPr>
        <w:t>Exhibit V</w:t>
      </w:r>
      <w:r>
        <w:rPr>
          <w:rFonts w:ascii="Times New Roman" w:cs="Times New Roman" w:eastAsia="Times New Roman" w:hAnsi="Times New Roman"/>
          <w:sz w:val="21"/>
          <w:szCs w:val="21"/>
          <w:color w:val="auto"/>
        </w:rPr>
        <w:t xml:space="preserve"> hereto. Such deemed consent will apply to each proposed amendment set forth in </w:t>
      </w:r>
      <w:r>
        <w:rPr>
          <w:rFonts w:ascii="Times New Roman" w:cs="Times New Roman" w:eastAsia="Times New Roman" w:hAnsi="Times New Roman"/>
          <w:sz w:val="21"/>
          <w:szCs w:val="21"/>
          <w:u w:val="single" w:color="auto"/>
          <w:color w:val="auto"/>
        </w:rPr>
        <w:t>Exhibits J</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Q</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U</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individually, and the failure to adopt any of the amendments set forth therein will not revoke the consent with respect to any other amendment.</w:t>
      </w:r>
    </w:p>
    <w:p>
      <w:pPr>
        <w:spacing w:after="0" w:line="191"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5.15.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(a) The Trustee and each Series 2023-6 Note Owner agrees, by its acceptance and holding of a beneficial interest in a Series 2023-6 Note, to maintain the confidentiality of all Confidential Information in accordance with procedures adopted by the Trustee or such Series 2023-6 Note Owner in good faith to protect confidential information of third parties delivered to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2023-6 Note Owner; (iv) any Person of the type that would be, to such Person’s knowledge, permitted to acquire an interest in the Series 2023-6 Notes in accordance with the requirements of the Indenture to which such Person sells or offers to sell any such Series 2023-6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w:t>
      </w:r>
    </w:p>
    <w:p>
      <w:pPr>
        <w:spacing w:after="0" w:line="200" w:lineRule="exact"/>
        <w:rPr>
          <w:sz w:val="20"/>
          <w:szCs w:val="20"/>
          <w:color w:val="auto"/>
        </w:rPr>
      </w:pP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bl>
    <w:p>
      <w:pPr>
        <w:sectPr>
          <w:pgSz w:w="11900" w:h="16838" w:orient="portrait"/>
          <w:cols w:equalWidth="0" w:num="1">
            <w:col w:w="11240"/>
          </w:cols>
          <w:pgMar w:left="320" w:top="1030" w:right="339" w:bottom="1440" w:gutter="0" w:footer="0" w:header="0"/>
        </w:sectPr>
      </w:pPr>
    </w:p>
    <w:bookmarkStart w:id="406" w:name="page407"/>
    <w:bookmarkEnd w:id="406"/>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2023-6 Notes has occurred and is continuing, to the extent such Person may reasonably determine such delivery and disclosure to be necessary or appropriate in the enforcement or for the protection of the rights and remedies under the Series 2023-6 Notes, the Indenture or any other Related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delivery to any Series 2023-6 Note Owner of any report or information required by the terms of the Indenture to be provided to such Series 2023-6 Note Owner shall not be a violation of this Section 5.16. Each Series 2023-6 Note Owner agrees, by acceptance of a beneficial interest in a Series 2023-6 Note, except as set forth in clauses (v), (vi) and (ix) above, that it shall use the Confidential Information for the sole purpose of making an investment in the Series 2023-6 Notes or administering its investment in the Series 2023-6 Notes. In the event of any required disclosure of the Confidential Information by such Series 2023-6 Note Owner, such Series 2023-6 Note Owner agrees to use reasonable efforts to protect the confidentiality of the Confidential Information.</w:t>
      </w:r>
    </w:p>
    <w:p>
      <w:pPr>
        <w:spacing w:after="0" w:line="191" w:lineRule="exact"/>
        <w:rPr>
          <w:sz w:val="20"/>
          <w:szCs w:val="20"/>
          <w:color w:val="auto"/>
        </w:rPr>
      </w:pPr>
    </w:p>
    <w:p>
      <w:pPr>
        <w:jc w:val="both"/>
        <w:ind w:firstLine="1304"/>
        <w:spacing w:after="0" w:line="250" w:lineRule="auto"/>
        <w:tabs>
          <w:tab w:leader="none" w:pos="1774" w:val="left"/>
        </w:tabs>
        <w:numPr>
          <w:ilvl w:val="0"/>
          <w:numId w:val="3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Section 5.16,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information delivered to the Trustee or any Series 2023-6 Note Owner by or on behalf of ABRCF in connection with and relating to the transactions contemplated by or otherwise pursuant to the Indenture and the Related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term does not include information that: (i) was publicly known or otherwise known to the Trustee or such Series 2023-6 Note Owner prior to the time of such disclosure; (ii) subsequently becomes publicly known through no act or omission by the Trustee, any Series 2023-6 Note Owner or any person acting on behalf of the Trustee or any Series 2023-6 Note Owner; (iii) otherwise is known or becomes known to the Trustee or any Series 2023-6 Note Owner other than (x) through disclosure by ABRCF or (y) as a result of the breach of a fiduciary duty to ABRCF or a contractual duty to ABRCF; or (iv) is allowed to be treated as non-confidential by consent of ABRCF.</w:t>
      </w:r>
    </w:p>
    <w:p>
      <w:pPr>
        <w:spacing w:after="0" w:line="180"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Further Limitation of Liability</w:t>
      </w:r>
      <w:r>
        <w:rPr>
          <w:rFonts w:ascii="Times New Roman" w:cs="Times New Roman" w:eastAsia="Times New Roman" w:hAnsi="Times New Roman"/>
          <w:sz w:val="22"/>
          <w:szCs w:val="22"/>
          <w:color w:val="auto"/>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Series 2023-6 Agent</w:t>
      </w:r>
      <w:r>
        <w:rPr>
          <w:rFonts w:ascii="Times New Roman" w:cs="Times New Roman" w:eastAsia="Times New Roman" w:hAnsi="Times New Roman"/>
          <w:sz w:val="22"/>
          <w:szCs w:val="22"/>
          <w:color w:val="auto"/>
        </w:rPr>
        <w:t>. The Series 2023-6 Agent shall be entitled to the same rights, benefits, protections, indemnities and immunities hereunder as are granted to the Trustee under the Base Indenture as if set forth fully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bl>
    <w:p>
      <w:pPr>
        <w:sectPr>
          <w:pgSz w:w="11900" w:h="16838" w:orient="portrait"/>
          <w:cols w:equalWidth="0" w:num="1">
            <w:col w:w="11240"/>
          </w:cols>
          <w:pgMar w:left="320" w:top="1030" w:right="339" w:bottom="1440" w:gutter="0" w:footer="0" w:header="0"/>
        </w:sectPr>
      </w:pPr>
    </w:p>
    <w:bookmarkStart w:id="407" w:name="page408"/>
    <w:bookmarkEnd w:id="407"/>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89" w:lineRule="exact"/>
        <w:rPr>
          <w:sz w:val="20"/>
          <w:szCs w:val="20"/>
          <w:color w:val="auto"/>
        </w:rPr>
      </w:pPr>
    </w:p>
    <w:p>
      <w:pPr>
        <w:jc w:val="both"/>
        <w:ind w:firstLine="1296"/>
        <w:spacing w:after="0" w:line="264" w:lineRule="auto"/>
        <w:rPr>
          <w:sz w:val="20"/>
          <w:szCs w:val="20"/>
          <w:color w:val="auto"/>
        </w:rPr>
      </w:pPr>
      <w:r>
        <w:rPr>
          <w:rFonts w:ascii="Times New Roman" w:cs="Times New Roman" w:eastAsia="Times New Roman" w:hAnsi="Times New Roman"/>
          <w:sz w:val="21"/>
          <w:szCs w:val="21"/>
          <w:color w:val="auto"/>
        </w:rPr>
        <w:t xml:space="preserve">Section 5.21. </w:t>
      </w:r>
      <w:r>
        <w:rPr>
          <w:rFonts w:ascii="Times New Roman" w:cs="Times New Roman" w:eastAsia="Times New Roman" w:hAnsi="Times New Roman"/>
          <w:sz w:val="21"/>
          <w:szCs w:val="21"/>
          <w:u w:val="single" w:color="auto"/>
          <w:color w:val="auto"/>
        </w:rPr>
        <w:t>Waiver of Jury Trial, etc</w:t>
      </w:r>
      <w:r>
        <w:rPr>
          <w:rFonts w:ascii="Times New Roman" w:cs="Times New Roman" w:eastAsia="Times New Roman" w:hAnsi="Times New Roman"/>
          <w:sz w:val="21"/>
          <w:szCs w:val="21"/>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2023-6 NOTES, THE SERIES 2023-6</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DEMAND NOTES, THE MULTI-SERIES LETTER OF CREDIT AND ANY OTHER RELATED DOCUMENTS EXECUTED IN CONNECTION WITH THE ISSUANCE OF THE SERIES 2023-6 NOTES, OR ANY COURSE OF CONDUCT, COURSE OF DEALING, STATEMENTS (WHETHER ORAL OR WRITTEN), OR ACTIONS OF THE PARTIES HERETO. THIS PROVISION IS A MATERIAL INDUCEMENT FOR THE PARTIES HERETO TO ENTER INTO THIS SUPPLEMENT.</w:t>
      </w:r>
    </w:p>
    <w:p>
      <w:pPr>
        <w:spacing w:after="0" w:line="16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5.22. </w:t>
      </w: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2023-6 NOTES, THE SERIES 2023-6 DEMAND NOTES, THE MULTI-SERIES LETTER OF CREDIT AND ANY OTHER RELATED DOCUMENTS EXECUTED IN CONNECTION WITH THE ISSUANCE OF THE SERIES 2023-6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 w:cs="Times New Roman" w:eastAsia="Times New Roman" w:hAnsi="Times New Roman"/>
          <w:sz w:val="21"/>
          <w:szCs w:val="21"/>
          <w:u w:val="single" w:color="auto"/>
          <w:color w:val="auto"/>
        </w:rPr>
        <w:t>FORUM NON CONVENIENS</w:t>
      </w:r>
      <w:r>
        <w:rPr>
          <w:rFonts w:ascii="Times New Roman" w:cs="Times New Roman" w:eastAsia="Times New Roman" w:hAnsi="Times New Roman"/>
          <w:sz w:val="21"/>
          <w:szCs w:val="21"/>
          <w:color w:val="auto"/>
        </w:rPr>
        <w:t xml:space="preserve"> OR OTHERWISE. NOTHING CONTAINED HEREIN SHALL PRECLUDE ANY PARTY HERETO FROM BRINGING AN ACTION OR PROCEEDING ARISING OUT OF OR RELATING TO THIS SUPPLEMENT, THE SERIES 2023-6 NOTES, THE SERIES</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bl>
    <w:p>
      <w:pPr>
        <w:sectPr>
          <w:pgSz w:w="11900" w:h="16838" w:orient="portrait"/>
          <w:cols w:equalWidth="0" w:num="1">
            <w:col w:w="11240"/>
          </w:cols>
          <w:pgMar w:left="320" w:top="1030" w:right="339" w:bottom="1440" w:gutter="0" w:footer="0" w:header="0"/>
        </w:sectPr>
      </w:pPr>
    </w:p>
    <w:bookmarkStart w:id="408" w:name="page409"/>
    <w:bookmarkEnd w:id="408"/>
    <w:p>
      <w:pPr>
        <w:jc w:val="both"/>
        <w:spacing w:after="0" w:line="263" w:lineRule="auto"/>
        <w:rPr>
          <w:sz w:val="20"/>
          <w:szCs w:val="20"/>
          <w:color w:val="auto"/>
        </w:rPr>
      </w:pPr>
      <w:r>
        <w:rPr>
          <w:rFonts w:ascii="Times New Roman" w:cs="Times New Roman" w:eastAsia="Times New Roman" w:hAnsi="Times New Roman"/>
          <w:sz w:val="22"/>
          <w:szCs w:val="22"/>
          <w:color w:val="auto"/>
        </w:rPr>
        <w:t>2023-6 DEMAND NOTES, THE MULTI-SERIES LETTER OF CREDIT AND ANY OTHER RELATED DOCUMENTS EXECUTED IN CONNECTION WITH THE ISSUANCE OF THE SERIES 2023-6 NOTES IN ANY OTHER COUNTRY, STATE OR PLACE HAVING JURISDICTION OVER SUCH ACTION OR PROCEEDING.</w:t>
      </w:r>
    </w:p>
    <w:p>
      <w:pPr>
        <w:spacing w:after="0" w:line="167"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5.23.</w:t>
      </w:r>
      <w:r>
        <w:rPr>
          <w:sz w:val="20"/>
          <w:szCs w:val="20"/>
          <w:color w:val="auto"/>
        </w:rPr>
        <w:tab/>
      </w:r>
      <w:r>
        <w:rPr>
          <w:rFonts w:ascii="Times New Roman" w:cs="Times New Roman" w:eastAsia="Times New Roman" w:hAnsi="Times New Roman"/>
          <w:sz w:val="21"/>
          <w:szCs w:val="21"/>
          <w:u w:val="single" w:color="auto"/>
          <w:color w:val="auto"/>
        </w:rPr>
        <w:t>Additional Terms of the Series 2023-6 Notes</w:t>
      </w:r>
      <w:r>
        <w:rPr>
          <w:rFonts w:ascii="Times New Roman" w:cs="Times New Roman" w:eastAsia="Times New Roman" w:hAnsi="Times New Roman"/>
          <w:sz w:val="21"/>
          <w:szCs w:val="21"/>
          <w:color w:val="auto"/>
        </w:rPr>
        <w:t>.</w:t>
      </w:r>
    </w:p>
    <w:p>
      <w:pPr>
        <w:spacing w:after="0" w:line="247" w:lineRule="exact"/>
        <w:rPr>
          <w:sz w:val="20"/>
          <w:szCs w:val="20"/>
          <w:color w:val="auto"/>
        </w:rPr>
      </w:pPr>
    </w:p>
    <w:p>
      <w:pPr>
        <w:ind w:left="1760" w:hanging="456"/>
        <w:spacing w:after="0"/>
        <w:tabs>
          <w:tab w:leader="none" w:pos="1760" w:val="left"/>
        </w:tabs>
        <w:numPr>
          <w:ilvl w:val="0"/>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this Supplement and the Series 2023-6 Notes:</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441" w:val="left"/>
        </w:tabs>
        <w:numPr>
          <w:ilvl w:val="1"/>
          <w:numId w:val="3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Opinion of Counsel set forth in </w:t>
      </w:r>
      <w:r>
        <w:rPr>
          <w:rFonts w:ascii="Times New Roman" w:cs="Times New Roman" w:eastAsia="Times New Roman" w:hAnsi="Times New Roman"/>
          <w:sz w:val="22"/>
          <w:szCs w:val="22"/>
          <w:u w:val="single" w:color="auto"/>
          <w:color w:val="auto"/>
        </w:rPr>
        <w:t>Section 2.2(f)(i)(x)</w:t>
      </w:r>
      <w:r>
        <w:rPr>
          <w:rFonts w:ascii="Times New Roman" w:cs="Times New Roman" w:eastAsia="Times New Roman" w:hAnsi="Times New Roman"/>
          <w:sz w:val="22"/>
          <w:szCs w:val="22"/>
          <w:color w:val="auto"/>
        </w:rPr>
        <w:t xml:space="preserve"> of the Base Indenture shall not be required with respect to the Class C Notes and the Class R Notes. The Opinion of Counsel set forth in </w:t>
      </w:r>
      <w:r>
        <w:rPr>
          <w:rFonts w:ascii="Times New Roman" w:cs="Times New Roman" w:eastAsia="Times New Roman" w:hAnsi="Times New Roman"/>
          <w:sz w:val="22"/>
          <w:szCs w:val="22"/>
          <w:u w:val="single" w:color="auto"/>
          <w:color w:val="auto"/>
        </w:rPr>
        <w:t>Section 2.2(f)(i)(y)</w:t>
      </w:r>
      <w:r>
        <w:rPr>
          <w:rFonts w:ascii="Times New Roman" w:cs="Times New Roman" w:eastAsia="Times New Roman" w:hAnsi="Times New Roman"/>
          <w:sz w:val="22"/>
          <w:szCs w:val="22"/>
          <w:color w:val="auto"/>
        </w:rPr>
        <w:t xml:space="preserve"> of the Base Indenture shall not be required with respect to the Class C Notes and the Class R Notes for any Series issued after the date hereof.</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68" w:lineRule="auto"/>
        <w:tabs>
          <w:tab w:leader="none" w:pos="2513" w:val="left"/>
        </w:tabs>
        <w:numPr>
          <w:ilvl w:val="1"/>
          <w:numId w:val="3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130188168</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ectPr>
          <w:pgSz w:w="11900" w:h="16838" w:orient="portrait"/>
          <w:cols w:equalWidth="0" w:num="1">
            <w:col w:w="11240"/>
          </w:cols>
          <w:pgMar w:left="320" w:top="1030" w:right="339" w:bottom="1440" w:gutter="0" w:footer="0" w:header="0"/>
        </w:sectPr>
      </w:pPr>
    </w:p>
    <w:bookmarkStart w:id="409" w:name="page410"/>
    <w:bookmarkEnd w:id="409"/>
    <w:p>
      <w:pPr>
        <w:spacing w:after="0" w:line="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ABRCF and the Trustee have caused this Supplement to be duly executed by their respective officers thereunto duly authorized as of the day and year first above written.</w:t>
      </w:r>
    </w:p>
    <w:p>
      <w:pPr>
        <w:spacing w:after="0" w:line="18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(AESOP) LLC</w:t>
      </w:r>
    </w:p>
    <w:p>
      <w:pPr>
        <w:spacing w:after="0" w:line="200" w:lineRule="exact"/>
        <w:rPr>
          <w:sz w:val="20"/>
          <w:szCs w:val="20"/>
          <w:color w:val="auto"/>
        </w:rPr>
      </w:pPr>
    </w:p>
    <w:p>
      <w:pPr>
        <w:spacing w:after="0" w:line="34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-160020</wp:posOffset>
            </wp:positionV>
            <wp:extent cx="23399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A&amp;R Series 2023-6 Indenture Supplement</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130188168</w:t>
      </w:r>
    </w:p>
    <w:p>
      <w:pPr>
        <w:sectPr>
          <w:pgSz w:w="11900" w:h="16838" w:orient="portrait"/>
          <w:cols w:equalWidth="0" w:num="1">
            <w:col w:w="11220"/>
          </w:cols>
          <w:pgMar w:left="320" w:top="1440" w:right="359" w:bottom="1440" w:gutter="0" w:footer="0" w:header="0"/>
        </w:sectPr>
      </w:pPr>
    </w:p>
    <w:bookmarkStart w:id="410" w:name="page411"/>
    <w:bookmarkEnd w:id="410"/>
    <w:p>
      <w:pPr>
        <w:spacing w:after="0" w:line="25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spacing w:after="0" w:line="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COMPANY, N.A., as Trustee</w:t>
      </w:r>
    </w:p>
    <w:p>
      <w:pPr>
        <w:spacing w:after="0" w:line="27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Andrew Kolesar</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Andrew Kolesar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Agent</w:t>
      </w:r>
    </w:p>
    <w:p>
      <w:pPr>
        <w:spacing w:after="0" w:line="200" w:lineRule="exact"/>
        <w:rPr>
          <w:sz w:val="20"/>
          <w:szCs w:val="20"/>
          <w:color w:val="auto"/>
        </w:rPr>
      </w:pPr>
    </w:p>
    <w:p>
      <w:pPr>
        <w:spacing w:after="0" w:line="34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ind w:left="7420"/>
        <w:spacing w:after="0" w:line="221" w:lineRule="auto"/>
        <w:rPr>
          <w:sz w:val="20"/>
          <w:szCs w:val="20"/>
          <w:color w:val="auto"/>
        </w:rPr>
      </w:pPr>
      <w:r>
        <w:rPr>
          <w:rFonts w:ascii="Times New Roman" w:cs="Times New Roman" w:eastAsia="Times New Roman" w:hAnsi="Times New Roman"/>
          <w:sz w:val="22"/>
          <w:szCs w:val="22"/>
          <w:color w:val="auto"/>
        </w:rPr>
        <w:t>COMPANY, N.A., as Series 2023-6</w:t>
      </w:r>
    </w:p>
    <w:p>
      <w:pPr>
        <w:ind w:left="7420"/>
        <w:spacing w:after="0"/>
        <w:rPr>
          <w:sz w:val="20"/>
          <w:szCs w:val="20"/>
          <w:color w:val="auto"/>
        </w:rPr>
      </w:pPr>
      <w:r>
        <w:rPr>
          <w:rFonts w:ascii="Times New Roman" w:cs="Times New Roman" w:eastAsia="Times New Roman" w:hAnsi="Times New Roman"/>
          <w:sz w:val="22"/>
          <w:szCs w:val="22"/>
          <w:color w:val="auto"/>
        </w:rPr>
        <w:t>Agent</w:t>
      </w:r>
    </w:p>
    <w:p>
      <w:pPr>
        <w:spacing w:after="0" w:line="2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Andrew Kolesar</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Andrew Kolesar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i w:val="1"/>
          <w:iCs w:val="1"/>
          <w:color w:val="auto"/>
        </w:rPr>
        <w:t>Signature Page to A&amp;R Series 2023-6 Indenture Supplement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130188168</w:t>
      </w:r>
    </w:p>
    <w:p>
      <w:pPr>
        <w:sectPr>
          <w:pgSz w:w="11900" w:h="16838" w:orient="portrait"/>
          <w:cols w:equalWidth="0" w:num="1">
            <w:col w:w="10640"/>
          </w:cols>
          <w:pgMar w:left="400" w:top="1440" w:right="859" w:bottom="1440" w:gutter="0" w:footer="0" w:header="0"/>
        </w:sectPr>
      </w:pPr>
    </w:p>
    <w:bookmarkStart w:id="411" w:name="page412"/>
    <w:bookmarkEnd w:id="411"/>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SERIES 2023-6 ALLOCATIONS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99"/>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Establishment of Series 2023-6 Collection Account, Series 2023-6 Excess Collection Account and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2023-6 Accrued Interest Account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Allocations with Respect to the Series 2023-6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Payments to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Interest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Principal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2.6.</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Administrator’s Failure to Instruct the Trustee to Make a Deposit, Draw or</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2023-6 Reserve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Multi-Series Letters of Credit and Series 2023-6 Cash Collateral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2023-6 Distribution Account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2023-6 Accounts Permitted Investments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2.11.</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Series 2023-6 Demand Notes Constitute Additional Collateral for Series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2023-6 Senior Notes</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Subordination of the Class B Notes, Class C Notes, Class D Notes and the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Class R 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AMORTIZATION EVENTS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365"/>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FORM OF SERIES 2023-6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Restricted Global Series 2023-6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4.2.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Temporary Global Series 2023-6 Notes; Permanent Global Series 2023-6</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GENERAL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Optional Repurchase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Ratification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Counterparts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Discharge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 to Rating Agencies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Capitalization of ABRCF</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Required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2023-6 Demand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of Supplement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Noteholder Consent to Certain 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Confidential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8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AMERICAS 130188168</w:t>
      </w:r>
    </w:p>
    <w:p>
      <w:pPr>
        <w:sectPr>
          <w:pgSz w:w="11900" w:h="16838" w:orient="portrait"/>
          <w:cols w:equalWidth="0" w:num="1">
            <w:col w:w="11220"/>
          </w:cols>
          <w:pgMar w:left="340" w:top="125" w:right="339" w:bottom="1440" w:gutter="0" w:footer="0" w:header="0"/>
          <w:type w:val="continuous"/>
        </w:sectPr>
      </w:pPr>
    </w:p>
    <w:bookmarkStart w:id="412" w:name="page413"/>
    <w:bookmarkEnd w:id="412"/>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5.18.</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Further Limitation of Liability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5.19.</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2023-6 Agent</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5.20.</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Force Majeure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5.21.</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Waiver of Jury Trial, etc</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5.22.</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Submission to Jurisdiction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5.23.</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Terms of the Series 2023-6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130188168</w:t>
      </w:r>
    </w:p>
    <w:p>
      <w:pPr>
        <w:sectPr>
          <w:pgSz w:w="11900" w:h="16838" w:orient="portrait"/>
          <w:cols w:equalWidth="0" w:num="1">
            <w:col w:w="11160"/>
          </w:cols>
          <w:pgMar w:left="400" w:top="368" w:right="339"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22"/>
          <w:szCs w:val="22"/>
          <w:b w:val="1"/>
          <w:bCs w:val="1"/>
          <w:color w:val="auto"/>
        </w:rPr>
        <w:t>Exhibit 10.13</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AVIS BUDGET RENTAL CAR FUNDING (AESOP) LLC,</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1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THE BANK OF NEW YORK MELLON TRUST COMPANY, N.A.,</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as Trustee and Series 2023-8 Agent</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SERIES 2023-8 SUPPLEMENT</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w:t>
      </w: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June 10, 2025</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to</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SECOND AMENDED AND RESTATED BASE INDENTURE</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dated as of June 3, 2004</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_____________________</w:t>
      </w:r>
    </w:p>
    <w:p>
      <w:pPr>
        <w:spacing w:after="0" w:line="200" w:lineRule="exact"/>
        <w:rPr>
          <w:sz w:val="20"/>
          <w:szCs w:val="20"/>
          <w:color w:val="auto"/>
        </w:rPr>
      </w:pPr>
    </w:p>
    <w:p>
      <w:pPr>
        <w:spacing w:after="0" w:line="29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2023-8 6.02% Rental Car Asset Backed Notes, Class A</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2023-8 6.66% Rental Car Asset Backed Notes, Class B</w:t>
      </w:r>
    </w:p>
    <w:p>
      <w:pPr>
        <w:spacing w:after="0" w:line="1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2023-8 7.34% Rental Car Asset Backed Notes, Class C</w:t>
      </w:r>
    </w:p>
    <w:p>
      <w:pPr>
        <w:spacing w:after="0" w:line="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Series 2023-8 7.52% Rental Car Asset Backed Notes, Class D</w:t>
      </w:r>
    </w:p>
    <w:p>
      <w:pPr>
        <w:spacing w:after="0" w:line="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Series 2023-8 9.268% Rental Car Asset Backed Notes, Class 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130188170</w:t>
      </w:r>
    </w:p>
    <w:p>
      <w:pPr>
        <w:sectPr>
          <w:pgSz w:w="11900" w:h="16838" w:orient="portrait"/>
          <w:cols w:equalWidth="0" w:num="1">
            <w:col w:w="11160"/>
          </w:cols>
          <w:pgMar w:left="400" w:top="121" w:right="339" w:bottom="1440" w:gutter="0" w:footer="0" w:header="0"/>
        </w:sectPr>
      </w:pPr>
    </w:p>
    <w:bookmarkStart w:id="414" w:name="page415"/>
    <w:bookmarkEnd w:id="414"/>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SECOND AMENDED AND RESTATED SERIES 2023-8 SUPPLEMENT, dated as of June 10, 2025 (this “</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among AVIS BUDGET RENTAL CAR FUNDING (AESOP) LLC, a special purpose limited liability company established under the laws of Delaware (“</w:t>
      </w:r>
      <w:r>
        <w:rPr>
          <w:rFonts w:ascii="Times New Roman" w:cs="Times New Roman" w:eastAsia="Times New Roman" w:hAnsi="Times New Roman"/>
          <w:sz w:val="22"/>
          <w:szCs w:val="22"/>
          <w:u w:val="single" w:color="auto"/>
          <w:color w:val="auto"/>
        </w:rPr>
        <w:t>ABRCF</w:t>
      </w:r>
      <w:r>
        <w:rPr>
          <w:rFonts w:ascii="Times New Roman" w:cs="Times New Roman" w:eastAsia="Times New Roman" w:hAnsi="Times New Roman"/>
          <w:sz w:val="22"/>
          <w:szCs w:val="22"/>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and THE BANK OF NEW YORK MELLON TRUST COMPANY, N.A. (formerly known as The Bank of New York), as agent (in such capacity, the “</w:t>
      </w:r>
      <w:r>
        <w:rPr>
          <w:rFonts w:ascii="Times New Roman" w:cs="Times New Roman" w:eastAsia="Times New Roman" w:hAnsi="Times New Roman"/>
          <w:sz w:val="22"/>
          <w:szCs w:val="22"/>
          <w:u w:val="single" w:color="auto"/>
          <w:color w:val="auto"/>
        </w:rPr>
        <w:t>Series 2023-8 Agent</w:t>
      </w:r>
      <w:r>
        <w:rPr>
          <w:rFonts w:ascii="Times New Roman" w:cs="Times New Roman" w:eastAsia="Times New Roman" w:hAnsi="Times New Roman"/>
          <w:sz w:val="22"/>
          <w:szCs w:val="22"/>
          <w:color w:val="auto"/>
        </w:rPr>
        <w:t>”) for the benefit of the Series 2023-8 Noteholders,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22"/>
          <w:szCs w:val="22"/>
          <w:u w:val="single" w:color="auto"/>
          <w:color w:val="auto"/>
        </w:rPr>
        <w:t>Base Indenture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w:t>
      </w:r>
    </w:p>
    <w:p>
      <w:pPr>
        <w:spacing w:after="0" w:line="22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8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WHEREAS, ABRCF and the Trustee entered into the Series 2023-8 Supplement, dated September 18, 2023 (the “</w:t>
      </w:r>
      <w:r>
        <w:rPr>
          <w:rFonts w:ascii="Times New Roman" w:cs="Times New Roman" w:eastAsia="Times New Roman" w:hAnsi="Times New Roman"/>
          <w:sz w:val="22"/>
          <w:szCs w:val="22"/>
          <w:u w:val="single" w:color="auto"/>
          <w:color w:val="auto"/>
        </w:rPr>
        <w:t>Prior Supplement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on September 18, 2023, ABRCF issued its Series 2023-8 6.02% Rental Car Asset Backed Notes, Class A, its Series 2023-8 6.66% Rental Car Asset Backed Notes, Class B, its Series 2023-8 7.34% Rental Car Asset Backed Notes, Class C, and its Series 2023-8 9.268% Rental Car Asset Backed Notes, Class R under the Prior Supplement;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and the Trustee entered into the Amended and Restated Series 2023-6 Supplement, dated January 31, 2025 (the “</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WHEREAS, in accordance with Section 5.15 of the Prior Supplement, on January 31, 2025, ABRCF issued its Series 2023-8 8.03% Rental Car Asset Backed Notes, Class D and additional Class R Notes (the “</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on the Class D Notes Closing Date and amended and restated the Prior Supplement in its entirety as set out in the Prior A&amp;R Supplement;</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Section 5.7 of the Prior A&amp;R Supplement permits ABRCF to make certain amendments to the Prior A&amp;R Supplement in connection with the re-marketing and/or offering and sale of the Class D Notes, subject, in each case to certain conditions set forth therein;</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ABRCF desires to re-market and/or sell the Class D Notes on the date hereof (the “</w:t>
      </w: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Sale Date</w:t>
      </w:r>
      <w:r>
        <w:rPr>
          <w:rFonts w:ascii="Times New Roman" w:cs="Times New Roman" w:eastAsia="Times New Roman" w:hAnsi="Times New Roman"/>
          <w:sz w:val="22"/>
          <w:szCs w:val="22"/>
          <w:color w:val="auto"/>
        </w:rPr>
        <w:t>”); and</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in connection with the re-marketing and/or offering and sale of the Class D Notes and in accordance with Section 5.7 of the Prior A&amp;R Supplement, the Prior A&amp;R Supplement is amended and restated on the Class D Notes Sale Date in its entirety as set forth herein;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1030" w:right="339" w:bottom="1440" w:gutter="0" w:footer="0" w:header="0"/>
        </w:sectPr>
      </w:pPr>
    </w:p>
    <w:bookmarkStart w:id="415" w:name="page416"/>
    <w:bookmarkEnd w:id="415"/>
    <w:p>
      <w:pPr>
        <w:jc w:val="center"/>
        <w:spacing w:after="0"/>
        <w:rPr>
          <w:sz w:val="20"/>
          <w:szCs w:val="20"/>
          <w:color w:val="auto"/>
        </w:rPr>
      </w:pPr>
      <w:r>
        <w:rPr>
          <w:rFonts w:ascii="Times New Roman" w:cs="Times New Roman" w:eastAsia="Times New Roman" w:hAnsi="Times New Roman"/>
          <w:sz w:val="22"/>
          <w:szCs w:val="22"/>
          <w:b w:val="1"/>
          <w:bCs w:val="1"/>
          <w:color w:val="auto"/>
        </w:rPr>
        <w:t>DESIGNATION</w:t>
      </w:r>
    </w:p>
    <w:p>
      <w:pPr>
        <w:spacing w:after="0" w:line="22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There was created a Series of Notes issued pursuant to the Base Indenture and the Prior Supplement, and such Series of Notes was designated generally as the “Series 2023-8 Rental Car Asset Backed Notes”. The Series 2023-8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On the Class A/B/C Notes Closing Date, ABRCF issued (i) one tranche of Class A Notes designated as the “Series 2023-8 6.02% Rental Car Asset Backed Notes, Class A”, (ii) one tranche of Class B Notes designated as the “Series 2023-8 6.66% Rental Car Asset Backed Notes, Class B”, (iii) one tranche of Class C Notes designated as the “Series 2023-8 7.34% Rental Car Asset Backed Notes, Class C” and (iv) one tranche of Class R Notes designated the “Series 2023-8 9.268% Rental Car Asset Backed Notes, Class R”.</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On the Class D Notes Closing Date, ABRCF issued (i) one tranche of Class D Notes designated as the “Series 2023-8 8.03% Rental Car Asset Backed Notes, Class D” and (ii) the Additional Class R Notes.</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On the Class D Notes Sale Date, ABRCF shall re-market the Class D Notes and such Class D Notes will be designated as the “Series 2023-8 7.52% Rental Car Asset Backed Notes, Class D”.</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The Class A Notes, Class B Notes, Class C Notes, Class D Notes and Class R Notes collectively, constitute the Series 2023-8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w:t>
      </w:r>
    </w:p>
    <w:p>
      <w:pPr>
        <w:spacing w:after="0" w:line="181"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The proceeds from the sale of the Class A Notes, Class B Notes, Class C Notes and Class R Notes were deposited in the Collection Account and were deemed to be Principal Collections, and the proceeds from the sale of the Class D Notes and the Additional Class R Notes were deposited in the Collection Account and were deemed to be Principal Collections.</w:t>
      </w:r>
    </w:p>
    <w:p>
      <w:pPr>
        <w:spacing w:after="0" w:line="15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Series 2023-8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1240"/>
          </w:cols>
          <w:pgMar w:left="320" w:top="1134" w:right="339" w:bottom="1440" w:gutter="0" w:footer="0" w:header="0"/>
        </w:sectPr>
      </w:pPr>
    </w:p>
    <w:bookmarkStart w:id="416" w:name="page417"/>
    <w:bookmarkEnd w:id="416"/>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37" w:lineRule="exact"/>
        <w:rPr>
          <w:sz w:val="20"/>
          <w:szCs w:val="20"/>
          <w:color w:val="auto"/>
        </w:rPr>
      </w:pPr>
    </w:p>
    <w:p>
      <w:pPr>
        <w:jc w:val="both"/>
        <w:ind w:firstLine="1304"/>
        <w:spacing w:after="0" w:line="251" w:lineRule="auto"/>
        <w:tabs>
          <w:tab w:leader="none" w:pos="1821"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2023-8 Notes and not to any other Series of Notes issued by ABRCF. In the event that a term used herein shall be defined both herein and in the Base Indenture, the definition of such term herein shall govern.</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4" w:val="left"/>
        </w:tabs>
        <w:numPr>
          <w:ilvl w:val="0"/>
          <w:numId w:val="3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words and phrases shall have the following meanings with respect to the Series 2023-8 Notes and the definitions of such terms are applicable to the singular as well as the plural form of such terms and to the masculine as well as the feminine and neuter genders of such terms: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ABCR</w:t>
      </w:r>
      <w:r>
        <w:rPr>
          <w:rFonts w:ascii="Times New Roman" w:cs="Times New Roman" w:eastAsia="Times New Roman" w:hAnsi="Times New Roman"/>
          <w:sz w:val="22"/>
          <w:szCs w:val="22"/>
          <w:color w:val="auto"/>
        </w:rPr>
        <w:t>” means Avis Budget Car Rental, LLC.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Class R Notes</w:t>
      </w:r>
      <w:r>
        <w:rPr>
          <w:rFonts w:ascii="Times New Roman" w:cs="Times New Roman" w:eastAsia="Times New Roman" w:hAnsi="Times New Roman"/>
          <w:sz w:val="22"/>
          <w:szCs w:val="22"/>
          <w:color w:val="auto"/>
        </w:rPr>
        <w:t>” is defined in the preamble hereto.</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Net Book Value</w:t>
      </w:r>
      <w:r>
        <w:rPr>
          <w:rFonts w:ascii="Times New Roman" w:cs="Times New Roman" w:eastAsia="Times New Roman" w:hAnsi="Times New Roman"/>
          <w:sz w:val="22"/>
          <w:szCs w:val="22"/>
          <w:color w:val="auto"/>
        </w:rPr>
        <w:t>” means, as of any date of determination, with respect to each Adjusted Program Vehicle as of such date, the product of 0.965 and the Net Book Value of such Adjusted Program Vehicle as of such date.</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Distribution Date</w:t>
      </w:r>
      <w:r>
        <w:rPr>
          <w:rFonts w:ascii="Times New Roman" w:cs="Times New Roman" w:eastAsia="Times New Roman" w:hAnsi="Times New Roman"/>
          <w:sz w:val="22"/>
          <w:szCs w:val="22"/>
          <w:color w:val="auto"/>
        </w:rPr>
        <w:t>” means each Distribution Date occurring after the later of (i) the Optional Repurchase Distribution Date and (ii) the first Distribution Date occurring during the Series 2023-8 Controlled Amortization Period.</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a Sunday or (b) a day on which banking institutions in New York City or in the city in which the corporate trust office of the Trustee is located are authorized or obligated by law or executive order to close.</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Lease Deficit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Date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D</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Termination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C</w:t>
      </w:r>
      <w:r>
        <w:rPr>
          <w:rFonts w:ascii="Times New Roman" w:cs="Times New Roman" w:eastAsia="Times New Roman" w:hAnsi="Times New Roman"/>
          <w:sz w:val="22"/>
          <w:szCs w:val="22"/>
          <w:color w:val="auto"/>
        </w:rPr>
        <w:t xml:space="preserve"> to any Multi-Series Letter of Credit.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 of Unpaid Demand Note Demand</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to any Multi-Series Letter of Credit.</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means a class of the Series 2023-8 Notes, which may be the Class A Notes, the Class B Notes, the Class C Notes, the Class D Notes or the Class R Notes.</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bl>
    <w:p>
      <w:pPr>
        <w:sectPr>
          <w:pgSz w:w="11900" w:h="16838" w:orient="portrait"/>
          <w:cols w:equalWidth="0" w:num="1">
            <w:col w:w="11240"/>
          </w:cols>
          <w:pgMar w:left="320" w:top="1350" w:right="339" w:bottom="1440" w:gutter="0" w:footer="0" w:header="0"/>
        </w:sectPr>
      </w:pPr>
    </w:p>
    <w:bookmarkStart w:id="417" w:name="page418"/>
    <w:bookmarkEnd w:id="417"/>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Carryover Controlled Amortization Amount</w:t>
      </w:r>
      <w:r>
        <w:rPr>
          <w:rFonts w:ascii="Times New Roman" w:cs="Times New Roman" w:eastAsia="Times New Roman" w:hAnsi="Times New Roman"/>
          <w:sz w:val="22"/>
          <w:szCs w:val="22"/>
          <w:color w:val="auto"/>
        </w:rPr>
        <w:t xml:space="preserve">” means, with respect to any Related Month during the Series 2023-8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2023-8 Controlled Amortization Period, the Class A Carryover Controlled Amortization Amount shall be zero.</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Amortization Amount</w:t>
      </w:r>
      <w:r>
        <w:rPr>
          <w:rFonts w:ascii="Times New Roman" w:cs="Times New Roman" w:eastAsia="Times New Roman" w:hAnsi="Times New Roman"/>
          <w:sz w:val="22"/>
          <w:szCs w:val="22"/>
          <w:color w:val="auto"/>
        </w:rPr>
        <w:t>” means, with respect to any Related Month during the Series 2023-8 Controlled Amortization Period, $92,400,000.00.</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Controlled Distribution Amount</w:t>
      </w:r>
      <w:r>
        <w:rPr>
          <w:rFonts w:ascii="Times New Roman" w:cs="Times New Roman" w:eastAsia="Times New Roman" w:hAnsi="Times New Roman"/>
          <w:sz w:val="22"/>
          <w:szCs w:val="22"/>
          <w:color w:val="auto"/>
        </w:rPr>
        <w:t>” means, with respect to any Related Month during the Series 2023-8 Controlled Amortization Period, an amount equal to the sum of the Class A Controlled Amortization Amount and any Class A Carryover Controlled Amortization Amount for such Related Month.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Initial Invested Amount</w:t>
      </w:r>
      <w:r>
        <w:rPr>
          <w:rFonts w:ascii="Times New Roman" w:cs="Times New Roman" w:eastAsia="Times New Roman" w:hAnsi="Times New Roman"/>
          <w:sz w:val="22"/>
          <w:szCs w:val="22"/>
          <w:color w:val="auto"/>
        </w:rPr>
        <w:t>” means the aggregate initial principal amount of the Class A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$554,400,000.</w:t>
      </w:r>
    </w:p>
    <w:p>
      <w:pPr>
        <w:spacing w:after="0" w:line="19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Invested Amount</w:t>
      </w:r>
      <w:r>
        <w:rPr>
          <w:rFonts w:ascii="Times New Roman" w:cs="Times New Roman" w:eastAsia="Times New Roman" w:hAnsi="Times New Roman"/>
          <w:sz w:val="22"/>
          <w:szCs w:val="22"/>
          <w:color w:val="auto"/>
        </w:rPr>
        <w:t xml:space="preserve">” means, when used with respect to any date, an amount equal to (a) the Class A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A Noteholders on or prior to such date.</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Monthly Interest</w:t>
      </w:r>
      <w:r>
        <w:rPr>
          <w:rFonts w:ascii="Times New Roman" w:cs="Times New Roman" w:eastAsia="Times New Roman" w:hAnsi="Times New Roman"/>
          <w:sz w:val="22"/>
          <w:szCs w:val="22"/>
          <w:color w:val="auto"/>
        </w:rPr>
        <w:t>” means, with respect to (i) the initial Series 2023-8 Interest Period, an amount equal to $2,966,656.00 and (ii) any other Series 2023-8 Interest Period, an amount equal to the product of (A) one-twelfth of the Class A Note Rate and (B) the Class A Invested Amount on the first day of such Series 2023-8 Interest Period, after giving effect to any principal payments made on such date.</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w:t>
      </w:r>
      <w:r>
        <w:rPr>
          <w:rFonts w:ascii="Times New Roman" w:cs="Times New Roman" w:eastAsia="Times New Roman" w:hAnsi="Times New Roman"/>
          <w:sz w:val="22"/>
          <w:szCs w:val="22"/>
          <w:color w:val="auto"/>
        </w:rPr>
        <w:t xml:space="preserve">” means any one of the Series 2023-8 6.02% Rental Car Asset Backed Notes, Class A,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 Definitive Class A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 Rate</w:t>
      </w:r>
      <w:r>
        <w:rPr>
          <w:rFonts w:ascii="Times New Roman" w:cs="Times New Roman" w:eastAsia="Times New Roman" w:hAnsi="Times New Roman"/>
          <w:sz w:val="22"/>
          <w:szCs w:val="22"/>
          <w:color w:val="auto"/>
        </w:rPr>
        <w:t>” means 6.02% per annum.</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Noteholder</w:t>
      </w:r>
      <w:r>
        <w:rPr>
          <w:rFonts w:ascii="Times New Roman" w:cs="Times New Roman" w:eastAsia="Times New Roman" w:hAnsi="Times New Roman"/>
          <w:sz w:val="22"/>
          <w:szCs w:val="22"/>
          <w:color w:val="auto"/>
        </w:rPr>
        <w:t>” means the Person in whose name a Class A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 Shortfall</w:t>
      </w:r>
      <w:r>
        <w:rPr>
          <w:rFonts w:ascii="Times New Roman" w:cs="Times New Roman" w:eastAsia="Times New Roman" w:hAnsi="Times New Roman"/>
          <w:sz w:val="22"/>
          <w:szCs w:val="22"/>
          <w:color w:val="auto"/>
        </w:rPr>
        <w:t>” has the meaning set forth in Section 2.3(g)(i).</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Applicable Multi-Series L/C Amount</w:t>
      </w:r>
      <w:r>
        <w:rPr>
          <w:rFonts w:ascii="Times New Roman" w:cs="Times New Roman" w:eastAsia="Times New Roman" w:hAnsi="Times New Roman"/>
          <w:sz w:val="22"/>
          <w:szCs w:val="22"/>
          <w:color w:val="auto"/>
        </w:rPr>
        <w:t xml:space="preserve">” means, as of any date of determination, an amount equal to the sum, for each Multi-Series Letter of Credit, of (1) the aggregate amount allocable to the Class A/B/C Notes and available to be drawn on such date under 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A/B/C Required Liquidity Amount divided by “Required Liquidity Amount” for each applicable Series for which such Multi-Series Letter of Credit is providing credit enhancement.</w:t>
      </w: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ectPr>
          <w:pgSz w:w="11900" w:h="16838" w:orient="portrait"/>
          <w:cols w:equalWidth="0" w:num="1">
            <w:col w:w="11240"/>
          </w:cols>
          <w:pgMar w:left="320" w:top="1030" w:right="339" w:bottom="1440" w:gutter="0" w:footer="0" w:header="0"/>
        </w:sectPr>
      </w:pPr>
    </w:p>
    <w:bookmarkStart w:id="418" w:name="page419"/>
    <w:bookmarkEnd w:id="418"/>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Cash Collateral Account Amount</w:t>
      </w:r>
      <w:r>
        <w:rPr>
          <w:rFonts w:ascii="Times New Roman" w:cs="Times New Roman" w:eastAsia="Times New Roman" w:hAnsi="Times New Roman"/>
          <w:sz w:val="22"/>
          <w:szCs w:val="22"/>
          <w:color w:val="auto"/>
        </w:rPr>
        <w:t>” means, as of any date of determination, the amount on deposit in the Class A/B/C Cash Collateral Account (after giving effect to any deposits thereto and withdrawals and releases therefrom on such date).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Available Reserve Account Amount</w:t>
      </w:r>
      <w:r>
        <w:rPr>
          <w:rFonts w:ascii="Times New Roman" w:cs="Times New Roman" w:eastAsia="Times New Roman" w:hAnsi="Times New Roman"/>
          <w:sz w:val="22"/>
          <w:szCs w:val="22"/>
          <w:color w:val="auto"/>
        </w:rPr>
        <w:t>” means, as of any date of determination, the amount on deposit in the Class A/B/C Reserve Account (after giving effect to any deposits thereto and withdrawals and releases therefrom on such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w:t>
      </w:r>
      <w:r>
        <w:rPr>
          <w:rFonts w:ascii="Times New Roman" w:cs="Times New Roman" w:eastAsia="Times New Roman" w:hAnsi="Times New Roman"/>
          <w:sz w:val="22"/>
          <w:szCs w:val="22"/>
          <w:color w:val="auto"/>
        </w:rPr>
        <w:t>” is defined in Section 2.8(h).</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Collateral</w:t>
      </w:r>
      <w:r>
        <w:rPr>
          <w:rFonts w:ascii="Times New Roman" w:cs="Times New Roman" w:eastAsia="Times New Roman" w:hAnsi="Times New Roman"/>
          <w:sz w:val="22"/>
          <w:szCs w:val="22"/>
          <w:color w:val="auto"/>
        </w:rPr>
        <w:t>” is defined in Section 2.8(a).</w:t>
      </w:r>
    </w:p>
    <w:p>
      <w:pPr>
        <w:spacing w:after="0" w:line="22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Account Surplus</w:t>
      </w:r>
      <w:r>
        <w:rPr>
          <w:rFonts w:ascii="Times New Roman" w:cs="Times New Roman" w:eastAsia="Times New Roman" w:hAnsi="Times New Roman"/>
          <w:sz w:val="22"/>
          <w:szCs w:val="22"/>
          <w:color w:val="auto"/>
        </w:rPr>
        <w:t xml:space="preserve">” 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2023-8 Reserve Accounts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A/B/C Cash Collateral Account Surplus shall mean the excess, if any, of (x) the Class A/B/C Available Cash Collateral Account Amount over (y) the Series 2023-8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w:t>
      </w:r>
    </w:p>
    <w:p>
      <w:pPr>
        <w:spacing w:after="0" w:line="18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Amount</w:t>
      </w:r>
      <w:r>
        <w:rPr>
          <w:rFonts w:ascii="Times New Roman" w:cs="Times New Roman" w:eastAsia="Times New Roman" w:hAnsi="Times New Roman"/>
          <w:sz w:val="22"/>
          <w:szCs w:val="22"/>
          <w:color w:val="auto"/>
        </w:rPr>
        <w:t>” 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2023-8 Collection Account (not including amounts allocable to the Series 2023-8 Accrued Interest Account) and the Series 2023-8 Excess Collection Account as of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Enhancement Deficiency</w:t>
      </w:r>
      <w:r>
        <w:rPr>
          <w:rFonts w:ascii="Times New Roman" w:cs="Times New Roman" w:eastAsia="Times New Roman" w:hAnsi="Times New Roman"/>
          <w:sz w:val="22"/>
          <w:szCs w:val="22"/>
          <w:color w:val="auto"/>
        </w:rPr>
        <w:t>” means, on any date of determination, the amount by which the Class A/B/C Enhancement Amount is less than the Class A/B/C Required Enhancement Amount as of such date.</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and the Class C Invested Amount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240"/>
          </w:cols>
          <w:pgMar w:left="320" w:top="1030" w:right="339" w:bottom="1440" w:gutter="0" w:footer="0" w:header="0"/>
        </w:sectPr>
      </w:pPr>
    </w:p>
    <w:bookmarkStart w:id="419" w:name="page420"/>
    <w:bookmarkEnd w:id="419"/>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Amount</w:t>
      </w:r>
      <w:r>
        <w:rPr>
          <w:rFonts w:ascii="Times New Roman" w:cs="Times New Roman" w:eastAsia="Times New Roman" w:hAnsi="Times New Roman"/>
          <w:sz w:val="22"/>
          <w:szCs w:val="22"/>
          <w:color w:val="auto"/>
        </w:rPr>
        <w:t>” 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2023-8 Demand Notes on such date.</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Letter of Credit Liquidity Amount</w:t>
      </w:r>
      <w:r>
        <w:rPr>
          <w:rFonts w:ascii="Times New Roman" w:cs="Times New Roman" w:eastAsia="Times New Roman" w:hAnsi="Times New Roman"/>
          <w:sz w:val="22"/>
          <w:szCs w:val="22"/>
          <w:color w:val="auto"/>
        </w:rPr>
        <w:t>” 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Liquidity Amount</w:t>
      </w:r>
      <w:r>
        <w:rPr>
          <w:rFonts w:ascii="Times New Roman" w:cs="Times New Roman" w:eastAsia="Times New Roman" w:hAnsi="Times New Roman"/>
          <w:sz w:val="22"/>
          <w:szCs w:val="22"/>
          <w:color w:val="auto"/>
        </w:rPr>
        <w:t>” means, as of any date of determination, the sum of (a) the Class A/B/C Letter of Credit Liquidity Amount on such date and (b) the Class A/B/C Available Reserve Account Amount on such date.</w:t>
      </w:r>
    </w:p>
    <w:p>
      <w:pPr>
        <w:spacing w:after="0" w:line="17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Maximum Amounts</w:t>
      </w:r>
      <w:r>
        <w:rPr>
          <w:rFonts w:ascii="Times New Roman" w:cs="Times New Roman" w:eastAsia="Times New Roman" w:hAnsi="Times New Roman"/>
          <w:sz w:val="21"/>
          <w:szCs w:val="21"/>
          <w:color w:val="auto"/>
        </w:rPr>
        <w:t>” means, collectively, the Series 2023-8 Maximum Jaguar Amount, Series 2023-8 Maximum Tesla Amount, the Series 2023-8 Maximum Land Rover Amount, the Series 2023-8 Maximum Mitsubishi Amount, the Series 2023-8 Maximum Isuzu Amount, the Series 2023-8 Maximum Subaru Amount, the Series 2023-8 Maximum Hyundai Amount, the Series 2023-8 Maximum Kia Amount, the Series 2023-8 Maximum Suzuki Amount, the Series 2023-8 Maximum Specified States Amount (if applicable), the Series 2023-8 Maximum Non-Perfected Vehicle Amount, the Series 2023-8 Maximum Non-Eligible Manufacturer Amount and the Series 2023-8 Maximum Medium/Heavy Duty Truck Amount.</w:t>
      </w:r>
    </w:p>
    <w:p>
      <w:pPr>
        <w:spacing w:after="0" w:line="16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bl>
    <w:p>
      <w:pPr>
        <w:sectPr>
          <w:pgSz w:w="11900" w:h="16838" w:orient="portrait"/>
          <w:cols w:equalWidth="0" w:num="1">
            <w:col w:w="11240"/>
          </w:cols>
          <w:pgMar w:left="320" w:top="1030" w:right="339" w:bottom="1440" w:gutter="0" w:footer="0" w:header="0"/>
        </w:sectPr>
      </w:pPr>
    </w:p>
    <w:bookmarkStart w:id="420" w:name="page421"/>
    <w:bookmarkEnd w:id="420"/>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Notes Closing Date</w:t>
      </w:r>
      <w:r>
        <w:rPr>
          <w:rFonts w:ascii="Times New Roman" w:cs="Times New Roman" w:eastAsia="Times New Roman" w:hAnsi="Times New Roman"/>
          <w:sz w:val="22"/>
          <w:szCs w:val="22"/>
          <w:color w:val="auto"/>
        </w:rPr>
        <w:t>” means September 18, 2023.</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Overcollateralization Amount</w:t>
      </w:r>
      <w:r>
        <w:rPr>
          <w:rFonts w:ascii="Times New Roman" w:cs="Times New Roman" w:eastAsia="Times New Roman" w:hAnsi="Times New Roman"/>
          <w:sz w:val="22"/>
          <w:szCs w:val="22"/>
          <w:color w:val="auto"/>
        </w:rPr>
        <w:t>” means, the excess, if any of (x) the Series 2023-8 AESOP I Operating Lease Loan Agreement Borrowing Base as of such date over (y) the sum of the Class A Invested Amount, the Class B Invested Amount and the Class C Invested Amount, in each case, as of such date.</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Percentage</w:t>
      </w:r>
      <w:r>
        <w:rPr>
          <w:rFonts w:ascii="Times New Roman" w:cs="Times New Roman" w:eastAsia="Times New Roman" w:hAnsi="Times New Roman"/>
          <w:sz w:val="22"/>
          <w:szCs w:val="22"/>
          <w:color w:val="auto"/>
        </w:rPr>
        <w:t>” 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2023-8 Invested Amount and the Class D Required Overcollateralization Amount and (ii) as of any other date of determination, 0%.</w:t>
      </w:r>
    </w:p>
    <w:p>
      <w:pPr>
        <w:spacing w:after="0" w:line="19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xml:space="preserve">” 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2023-8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bl>
    <w:p>
      <w:pPr>
        <w:sectPr>
          <w:pgSz w:w="11900" w:h="16838" w:orient="portrait"/>
          <w:cols w:equalWidth="0" w:num="1">
            <w:col w:w="11240"/>
          </w:cols>
          <w:pgMar w:left="320" w:top="1030" w:right="339" w:bottom="1440" w:gutter="0" w:footer="0" w:header="0"/>
        </w:sectPr>
      </w:pPr>
    </w:p>
    <w:bookmarkStart w:id="421" w:name="page422"/>
    <w:bookmarkEnd w:id="421"/>
    <w:p>
      <w:pPr>
        <w:jc w:val="both"/>
        <w:spacing w:after="0" w:line="253" w:lineRule="auto"/>
        <w:rPr>
          <w:sz w:val="20"/>
          <w:szCs w:val="20"/>
          <w:color w:val="auto"/>
        </w:rPr>
      </w:pPr>
      <w:r>
        <w:rPr>
          <w:rFonts w:ascii="Times New Roman" w:cs="Times New Roman" w:eastAsia="Times New Roman" w:hAnsi="Times New Roman"/>
          <w:sz w:val="22"/>
          <w:szCs w:val="22"/>
          <w:color w:val="auto"/>
        </w:rPr>
        <w:t>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2023-8 AESOP I Operating Lease Loan Agreement Borrowing Base on such date and (2) the lesser of (a) the Class A/B/C Liquidity Amount on such date and (b) the Class A/B/C Required Liquidity Amount on such date.</w:t>
      </w:r>
    </w:p>
    <w:p>
      <w:pPr>
        <w:spacing w:after="0" w:line="17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Pro Rata Share</w:t>
      </w:r>
      <w:r>
        <w:rPr>
          <w:rFonts w:ascii="Times New Roman" w:cs="Times New Roman" w:eastAsia="Times New Roman" w:hAnsi="Times New Roman"/>
          <w:sz w:val="21"/>
          <w:szCs w:val="21"/>
          <w:color w:val="auto"/>
        </w:rPr>
        <w:t xml:space="preserve">” 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available amount allocated to the Class A/B/C Notes under all Multi-Series Letters of Credit as of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calculation shall not in any manner reduce the undersigned’s actual liability in respect of any failure to pay any demand under the Multi-Series Letter of Credit).</w:t>
      </w:r>
    </w:p>
    <w:p>
      <w:pPr>
        <w:spacing w:after="0" w:line="17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Enhancement Amount</w:t>
      </w:r>
      <w:r>
        <w:rPr>
          <w:rFonts w:ascii="Times New Roman" w:cs="Times New Roman" w:eastAsia="Times New Roman" w:hAnsi="Times New Roman"/>
          <w:sz w:val="22"/>
          <w:szCs w:val="22"/>
          <w:color w:val="auto"/>
        </w:rPr>
        <w:t>” means, as of any date of determination, the sum, without duplication, of (i) the Series 2023-8 Moody’s Required Enhancement Amount as of such date, (ii) the Series 2023-8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2023-8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2023-8 AESOP I Operating Lease Vehicle Percentage as of the immediately preceding Business Day of the excess, if any, of the aggregate Net Book Value of all Vehicles manufactured by Subaru and leased under the Leases as of such date over the Series 2023-8 Maximum Subaru Amount as of such date, (v) the Series 2023-8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2023-8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2023-8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2023-8 AESOP I Operating Lease</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bl>
    <w:p>
      <w:pPr>
        <w:sectPr>
          <w:pgSz w:w="11900" w:h="16838" w:orient="portrait"/>
          <w:cols w:equalWidth="0" w:num="1">
            <w:col w:w="11240"/>
          </w:cols>
          <w:pgMar w:left="320" w:top="1030" w:right="339" w:bottom="1440" w:gutter="0" w:footer="0" w:header="0"/>
        </w:sectPr>
      </w:pPr>
    </w:p>
    <w:bookmarkStart w:id="422" w:name="page423"/>
    <w:bookmarkEnd w:id="422"/>
    <w:p>
      <w:pPr>
        <w:jc w:val="both"/>
        <w:spacing w:after="0" w:line="247" w:lineRule="auto"/>
        <w:rPr>
          <w:sz w:val="20"/>
          <w:szCs w:val="20"/>
          <w:color w:val="auto"/>
        </w:rPr>
      </w:pPr>
      <w:r>
        <w:rPr>
          <w:rFonts w:ascii="Times New Roman" w:cs="Times New Roman" w:eastAsia="Times New Roman" w:hAnsi="Times New Roman"/>
          <w:sz w:val="22"/>
          <w:szCs w:val="22"/>
          <w:color w:val="auto"/>
        </w:rPr>
        <w:t>Vehicle Percentage as of the immediately preceding Business Day of the excess, if any, of the aggregate Net Book Value of all Vehicles manufactured by Tesla and leased under the Leases as of such date over the Class A/B/C Maximum Tesla Amount as of such date, (ix) the Series 2023-8 AESOP I Operating Lease Vehicle Percentage as of the immediately preceding Business Day of the excess, if any, of the aggregate Net Book Value of all Vehicles manufactured by Land Rover and leased under the Leases as of such date over the Class A/B/C Maximum Land Rover Amount as of such date, (x) the Series 2023-8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2023-8 AESOP I Operating Lease 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2023-8 Maximum Non-Perfected Vehicle Amount (as applicable) as of such date, (xii) the Series 2023-8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2023-8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spacing w:after="0" w:line="19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Liquidity Amount</w:t>
      </w:r>
      <w:r>
        <w:rPr>
          <w:rFonts w:ascii="Times New Roman" w:cs="Times New Roman" w:eastAsia="Times New Roman" w:hAnsi="Times New Roman"/>
          <w:sz w:val="22"/>
          <w:szCs w:val="22"/>
          <w:color w:val="auto"/>
        </w:rPr>
        <w:t>” means, as of any date of determination, an amount equal to the product of 3.75% and the Class A/B/C Senior Invested Amount as of such date.</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A/B/C Required Overcollateralization Amount</w:t>
      </w:r>
      <w:r>
        <w:rPr>
          <w:rFonts w:ascii="Times New Roman" w:cs="Times New Roman" w:eastAsia="Times New Roman" w:hAnsi="Times New Roman"/>
          <w:sz w:val="21"/>
          <w:szCs w:val="21"/>
          <w:color w:val="auto"/>
        </w:rPr>
        <w:t>” means, as of any date of determination, the excess, if any, of the Class A/B/C Required Enhancement Amount over the sum of (i) the Class A/B/C Letter of Credit Amount as of such date,</w:t>
      </w:r>
    </w:p>
    <w:p>
      <w:pPr>
        <w:spacing w:after="0" w:line="2" w:lineRule="exact"/>
        <w:rPr>
          <w:sz w:val="20"/>
          <w:szCs w:val="20"/>
          <w:color w:val="auto"/>
        </w:rPr>
      </w:pPr>
    </w:p>
    <w:p>
      <w:pPr>
        <w:jc w:val="both"/>
        <w:ind w:firstLine="8"/>
        <w:spacing w:after="0" w:line="251" w:lineRule="auto"/>
        <w:tabs>
          <w:tab w:leader="none" w:pos="325" w:val="left"/>
        </w:tabs>
        <w:numPr>
          <w:ilvl w:val="0"/>
          <w:numId w:val="3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A/B/C Available Reserve Account Amount on such date and (iii) the amount of cash and Permitted Investments on deposit in the Series 2023-8 Collection Account (not including amounts allocable to the Series 2023-8 Accrued Interest Account) and the Series 2023-8 Excess Collection Account on such date.</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Required Reserve Account Amount</w:t>
      </w:r>
      <w:r>
        <w:rPr>
          <w:rFonts w:ascii="Times New Roman" w:cs="Times New Roman" w:eastAsia="Times New Roman" w:hAnsi="Times New Roman"/>
          <w:sz w:val="22"/>
          <w:szCs w:val="22"/>
          <w:color w:val="auto"/>
        </w:rPr>
        <w:t>” 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2023-8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2023-8 Notes) as of such date.</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bl>
    <w:p>
      <w:pPr>
        <w:sectPr>
          <w:pgSz w:w="11900" w:h="16838" w:orient="portrait"/>
          <w:cols w:equalWidth="0" w:num="1">
            <w:col w:w="11240"/>
          </w:cols>
          <w:pgMar w:left="320" w:top="1030" w:right="339" w:bottom="1440" w:gutter="0" w:footer="0" w:header="0"/>
        </w:sectPr>
      </w:pPr>
    </w:p>
    <w:bookmarkStart w:id="423" w:name="page424"/>
    <w:bookmarkEnd w:id="423"/>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w:t>
      </w:r>
      <w:r>
        <w:rPr>
          <w:rFonts w:ascii="Times New Roman" w:cs="Times New Roman" w:eastAsia="Times New Roman" w:hAnsi="Times New Roman"/>
          <w:sz w:val="22"/>
          <w:szCs w:val="22"/>
          <w:color w:val="auto"/>
        </w:rPr>
        <w:t>” is defined in Section 2.7(a).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Collateral</w:t>
      </w:r>
      <w:r>
        <w:rPr>
          <w:rFonts w:ascii="Times New Roman" w:cs="Times New Roman" w:eastAsia="Times New Roman" w:hAnsi="Times New Roman"/>
          <w:sz w:val="22"/>
          <w:szCs w:val="22"/>
          <w:color w:val="auto"/>
        </w:rPr>
        <w:t>” is defined in Section 2.7(d).</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means, with respect to any Distribution Date, the excess, if any, of the Class A/B/C Available Reserve Account Amount over the Class A/B/C Required Reserve Account Amount on such Distribution Date.</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Carryover Controlled Amortization Amount</w:t>
      </w:r>
      <w:r>
        <w:rPr>
          <w:rFonts w:ascii="Times New Roman" w:cs="Times New Roman" w:eastAsia="Times New Roman" w:hAnsi="Times New Roman"/>
          <w:sz w:val="22"/>
          <w:szCs w:val="22"/>
          <w:color w:val="auto"/>
        </w:rPr>
        <w:t xml:space="preserve">” means, with respect to any Related Month during the Series 2023-8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2023-8 Controlled Amortization Period, the Class B Carryover Controlled Amortization Amount shall be zero.</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Amortization Amount</w:t>
      </w:r>
      <w:r>
        <w:rPr>
          <w:rFonts w:ascii="Times New Roman" w:cs="Times New Roman" w:eastAsia="Times New Roman" w:hAnsi="Times New Roman"/>
          <w:sz w:val="22"/>
          <w:szCs w:val="22"/>
          <w:color w:val="auto"/>
        </w:rPr>
        <w:t>” means, (i) with respect to any Related Month during the Series 2023-8 Controlled Amortization Period other than the Related Month immediately preceding the Series 2023-8 Expected Final Distribution Date, $14,758,333.33 and (ii) with respect to the Related Month immediately preceding the Series 2023-8 Expected Final Distribution Date, $14,758,333.35.</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Controlled Distribution Amount</w:t>
      </w:r>
      <w:r>
        <w:rPr>
          <w:rFonts w:ascii="Times New Roman" w:cs="Times New Roman" w:eastAsia="Times New Roman" w:hAnsi="Times New Roman"/>
          <w:sz w:val="22"/>
          <w:szCs w:val="22"/>
          <w:color w:val="auto"/>
        </w:rPr>
        <w:t>” means, with respect to any Related Month during the Series 2023-8 Controlled Amortization Period, an amount equal to the sum of the Class B Controlled Amortization Amount and any Class B Carryover Controlled Amortization Amount for such Related Month.</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Initial Invested Amount</w:t>
      </w:r>
      <w:r>
        <w:rPr>
          <w:rFonts w:ascii="Times New Roman" w:cs="Times New Roman" w:eastAsia="Times New Roman" w:hAnsi="Times New Roman"/>
          <w:sz w:val="22"/>
          <w:szCs w:val="22"/>
          <w:color w:val="auto"/>
        </w:rPr>
        <w:t>” means the aggregate initial principal amount of the Class B Notes, which 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$88,550,000.</w:t>
      </w:r>
    </w:p>
    <w:p>
      <w:pPr>
        <w:spacing w:after="0" w:line="20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Invested Amount</w:t>
      </w:r>
      <w:r>
        <w:rPr>
          <w:rFonts w:ascii="Times New Roman" w:cs="Times New Roman" w:eastAsia="Times New Roman" w:hAnsi="Times New Roman"/>
          <w:sz w:val="22"/>
          <w:szCs w:val="22"/>
          <w:color w:val="auto"/>
        </w:rPr>
        <w:t xml:space="preserve">” means, when used with respect to any date, an amount equal to (a) the Class B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B Noteholders on or prior to such date.</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Monthly Interest</w:t>
      </w:r>
      <w:r>
        <w:rPr>
          <w:rFonts w:ascii="Times New Roman" w:cs="Times New Roman" w:eastAsia="Times New Roman" w:hAnsi="Times New Roman"/>
          <w:sz w:val="22"/>
          <w:szCs w:val="22"/>
          <w:color w:val="auto"/>
        </w:rPr>
        <w:t>” means, with respect to (i) the initial Series 2023-8 Interest Period, an amount equal to $524,216.00 and (ii) any other Series 2023-8 Interest Period, an amount equal to the product of (A) one-twelfth of the Class B Note Rate and (B) the Class B Invested Amount on the first day of such Series 2023-8 Interest Period, after giving effect to any principal payments made on such date.</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w:t>
      </w:r>
      <w:r>
        <w:rPr>
          <w:rFonts w:ascii="Times New Roman" w:cs="Times New Roman" w:eastAsia="Times New Roman" w:hAnsi="Times New Roman"/>
          <w:sz w:val="22"/>
          <w:szCs w:val="22"/>
          <w:color w:val="auto"/>
        </w:rPr>
        <w:t xml:space="preserve">” means any one of the Series 2023-8 6.66% Rental Car Asset Backed Notes, Class B,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 Definitive Class B Notes shall have such insertions and deletions as are necessary to give effect to the provisions of Section 2.18 of the Base Indenture.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 Rate</w:t>
      </w:r>
      <w:r>
        <w:rPr>
          <w:rFonts w:ascii="Times New Roman" w:cs="Times New Roman" w:eastAsia="Times New Roman" w:hAnsi="Times New Roman"/>
          <w:sz w:val="22"/>
          <w:szCs w:val="22"/>
          <w:color w:val="auto"/>
        </w:rPr>
        <w:t>” means 6.66%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bl>
    <w:p>
      <w:pPr>
        <w:sectPr>
          <w:pgSz w:w="11900" w:h="16838" w:orient="portrait"/>
          <w:cols w:equalWidth="0" w:num="1">
            <w:col w:w="11240"/>
          </w:cols>
          <w:pgMar w:left="320" w:top="1030" w:right="339" w:bottom="1440" w:gutter="0" w:footer="0" w:header="0"/>
        </w:sectPr>
      </w:pPr>
    </w:p>
    <w:bookmarkStart w:id="424" w:name="page425"/>
    <w:bookmarkEnd w:id="42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Noteholder</w:t>
      </w:r>
      <w:r>
        <w:rPr>
          <w:rFonts w:ascii="Times New Roman" w:cs="Times New Roman" w:eastAsia="Times New Roman" w:hAnsi="Times New Roman"/>
          <w:sz w:val="22"/>
          <w:szCs w:val="22"/>
          <w:color w:val="auto"/>
        </w:rPr>
        <w:t>” means the Person in whose name a Class B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has the meaning set forth in Section 2.3(g)(ii).</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Carryover Controlled Amortization Amount</w:t>
      </w:r>
      <w:r>
        <w:rPr>
          <w:rFonts w:ascii="Times New Roman" w:cs="Times New Roman" w:eastAsia="Times New Roman" w:hAnsi="Times New Roman"/>
          <w:sz w:val="22"/>
          <w:szCs w:val="22"/>
          <w:color w:val="auto"/>
        </w:rPr>
        <w:t xml:space="preserve">” means, with respect to any Related Month during the Series 2023-8 Controlled Amortization Period, the amount, if any, by which the portion of the Monthly Total Principal Allocation paid to the Class C Noteholders pursuant to Section 2.5(f)(iii) for the previous Related Month was less than the Class C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2023-8 Controlled Amortization Period, the Class C Carryover Controlled Amortization Amount shall be zero.</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Amortization Amount</w:t>
      </w:r>
      <w:r>
        <w:rPr>
          <w:rFonts w:ascii="Times New Roman" w:cs="Times New Roman" w:eastAsia="Times New Roman" w:hAnsi="Times New Roman"/>
          <w:sz w:val="22"/>
          <w:szCs w:val="22"/>
          <w:color w:val="auto"/>
        </w:rPr>
        <w:t>” means, (i) with respect to any Related Month during the Series 2023-8 Controlled Amortization Period other than the Related Month immediately preceding the Series 2023-8 Expected Final Distribution Date, $9,508,333.33 and (ii) with respect to the Related Month immediately preceding the Series 2023-8 Expected Final Distribution Date, $9,508,333.35.</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Controlled Distribution Amount</w:t>
      </w:r>
      <w:r>
        <w:rPr>
          <w:rFonts w:ascii="Times New Roman" w:cs="Times New Roman" w:eastAsia="Times New Roman" w:hAnsi="Times New Roman"/>
          <w:sz w:val="22"/>
          <w:szCs w:val="22"/>
          <w:color w:val="auto"/>
        </w:rPr>
        <w:t>” means, with respect to any Related Month during the Series 2023-8 Controlled Amortization Period, an amount equal to the sum of the Class C Controlled Amortization Amount and any Class C Carryover Controlled Amortization Amount for such Related Month.</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Initial Invested Amount</w:t>
      </w:r>
      <w:r>
        <w:rPr>
          <w:rFonts w:ascii="Times New Roman" w:cs="Times New Roman" w:eastAsia="Times New Roman" w:hAnsi="Times New Roman"/>
          <w:sz w:val="22"/>
          <w:szCs w:val="22"/>
          <w:color w:val="auto"/>
        </w:rPr>
        <w:t>” means the aggregate initial principal amount of the Class C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$57,050,000.</w:t>
      </w:r>
    </w:p>
    <w:p>
      <w:pPr>
        <w:spacing w:after="0" w:line="19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Invested Amount</w:t>
      </w:r>
      <w:r>
        <w:rPr>
          <w:rFonts w:ascii="Times New Roman" w:cs="Times New Roman" w:eastAsia="Times New Roman" w:hAnsi="Times New Roman"/>
          <w:sz w:val="22"/>
          <w:szCs w:val="22"/>
          <w:color w:val="auto"/>
        </w:rPr>
        <w:t xml:space="preserve">” means, when used with respect to any date, an amount equal to (a) the Class C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C Noteholders on or prior to such date.</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Monthly Interest</w:t>
      </w:r>
      <w:r>
        <w:rPr>
          <w:rFonts w:ascii="Times New Roman" w:cs="Times New Roman" w:eastAsia="Times New Roman" w:hAnsi="Times New Roman"/>
          <w:sz w:val="22"/>
          <w:szCs w:val="22"/>
          <w:color w:val="auto"/>
        </w:rPr>
        <w:t>” means, (A) for so long as ABRCF owns 100% of the Class C Notes, $0 and (B) if ABRCF owns less than 100% of the Class C Notes, with respect to (i) the initial Series 2023-8 Interest Period, an amount equal to $372,219.56 and (ii) any other Series 2023-8 Interest Period, an amount equal to the product of (A) one-twelfth of the Class C Note Rate and (B) the Class C Invested Amount on the first day of such Series 2023-8 Interest Period, after giving effect to any principal payments made on such date.</w:t>
      </w:r>
    </w:p>
    <w:p>
      <w:pPr>
        <w:spacing w:after="0" w:line="19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w:t>
      </w:r>
      <w:r>
        <w:rPr>
          <w:rFonts w:ascii="Times New Roman" w:cs="Times New Roman" w:eastAsia="Times New Roman" w:hAnsi="Times New Roman"/>
          <w:sz w:val="22"/>
          <w:szCs w:val="22"/>
          <w:color w:val="auto"/>
        </w:rPr>
        <w:t xml:space="preserve">” means any one of the Series 2023-8 7.34% Rental Car Asset Backed Notes, Class C,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 Definitive Class C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 Rate</w:t>
      </w:r>
      <w:r>
        <w:rPr>
          <w:rFonts w:ascii="Times New Roman" w:cs="Times New Roman" w:eastAsia="Times New Roman" w:hAnsi="Times New Roman"/>
          <w:sz w:val="22"/>
          <w:szCs w:val="22"/>
          <w:color w:val="auto"/>
        </w:rPr>
        <w:t>” means 7.34%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Noteholder</w:t>
      </w:r>
      <w:r>
        <w:rPr>
          <w:rFonts w:ascii="Times New Roman" w:cs="Times New Roman" w:eastAsia="Times New Roman" w:hAnsi="Times New Roman"/>
          <w:sz w:val="22"/>
          <w:szCs w:val="22"/>
          <w:color w:val="auto"/>
        </w:rPr>
        <w:t>” means the Person in whose name a Class C Note is registered in the Note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ectPr>
          <w:pgSz w:w="11900" w:h="16838" w:orient="portrait"/>
          <w:cols w:equalWidth="0" w:num="1">
            <w:col w:w="11240"/>
          </w:cols>
          <w:pgMar w:left="320" w:top="1030" w:right="339" w:bottom="1440" w:gutter="0" w:footer="0" w:header="0"/>
        </w:sectPr>
      </w:pPr>
    </w:p>
    <w:bookmarkStart w:id="425" w:name="page426"/>
    <w:bookmarkEnd w:id="425"/>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has the meaning set forth in Section 2.3(g)(iii).</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Applicable Multi-Series L/C Amount</w:t>
      </w:r>
      <w:r>
        <w:rPr>
          <w:rFonts w:ascii="Times New Roman" w:cs="Times New Roman" w:eastAsia="Times New Roman" w:hAnsi="Times New Roman"/>
          <w:sz w:val="22"/>
          <w:szCs w:val="22"/>
          <w:color w:val="auto"/>
        </w:rPr>
        <w:t xml:space="preserve">” means, as of any date of determination, an amount equal to the sum, for each Multi-Series Letter of Credit, of (1) the aggregate amount allocable to the Class D Notes and available to be drawn on such date under such Multi-Series Letter of Credit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(2) an amount (expressed as a percentage) equal to the Class D Required Liquidity Amount divided by “Required Liquidity Amount” for each applicable Series for which such Multi-Series Letter of Credit is providing credit enhancement.</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Cash Collateral Account Amount</w:t>
      </w:r>
      <w:r>
        <w:rPr>
          <w:rFonts w:ascii="Times New Roman" w:cs="Times New Roman" w:eastAsia="Times New Roman" w:hAnsi="Times New Roman"/>
          <w:sz w:val="22"/>
          <w:szCs w:val="22"/>
          <w:color w:val="auto"/>
        </w:rPr>
        <w:t>” means, as of any date of determination, the amount on deposit in the Class D Cash Collateral Account (after giving effect to any deposits thereto and withdrawals and releases therefrom on such date).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Available Reserve Account Amount</w:t>
      </w:r>
      <w:r>
        <w:rPr>
          <w:rFonts w:ascii="Times New Roman" w:cs="Times New Roman" w:eastAsia="Times New Roman" w:hAnsi="Times New Roman"/>
          <w:sz w:val="22"/>
          <w:szCs w:val="22"/>
          <w:color w:val="auto"/>
        </w:rPr>
        <w:t>” means, as of any date of determination, the amount on deposit in the Class D Reserve Account (after giving effect to any deposits thereto and withdrawals and releases therefrom on such date).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Carryover Controlled Amortization Amount</w:t>
      </w:r>
      <w:r>
        <w:rPr>
          <w:rFonts w:ascii="Times New Roman" w:cs="Times New Roman" w:eastAsia="Times New Roman" w:hAnsi="Times New Roman"/>
          <w:sz w:val="22"/>
          <w:szCs w:val="22"/>
          <w:color w:val="auto"/>
        </w:rPr>
        <w:t xml:space="preserve">” means, with respect to any Related Month during the Series 2023-8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first Related Month in the Series 2023-8 Controlled Amortization Period, the Class D Carryover Controlled Amortization Amount shall be zero.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is defined in Section 2.8(j).</w:t>
      </w:r>
    </w:p>
    <w:p>
      <w:pPr>
        <w:spacing w:after="0" w:line="22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Account Surplus</w:t>
      </w:r>
      <w:r>
        <w:rPr>
          <w:rFonts w:ascii="Times New Roman" w:cs="Times New Roman" w:eastAsia="Times New Roman" w:hAnsi="Times New Roman"/>
          <w:sz w:val="22"/>
          <w:szCs w:val="22"/>
          <w:color w:val="auto"/>
        </w:rPr>
        <w:t xml:space="preserve">” 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on any date after the Multi-Series Letter of Credit Termination Date, the Class D Cash Collateral Account Surplus shall mean the excess, if any, of (x) the Class D Available Cash Collateral Account Amount over (y) the Series 2023-8 Demand Note Payment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Pre-Preference Period Demand Note Payments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A/B/C Cash Collateral Account Amount.</w:t>
      </w:r>
    </w:p>
    <w:p>
      <w:pPr>
        <w:spacing w:after="0" w:line="18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Cash Collateral Percentage</w:t>
      </w:r>
      <w:r>
        <w:rPr>
          <w:rFonts w:ascii="Times New Roman" w:cs="Times New Roman" w:eastAsia="Times New Roman" w:hAnsi="Times New Roman"/>
          <w:sz w:val="22"/>
          <w:szCs w:val="22"/>
          <w:color w:val="auto"/>
        </w:rPr>
        <w:t>” means, as of any date of determination, the percentage equivalent of a fraction, the numerator of which is the Class D Available Cash Collateral Account Amount as of such date and the denominator of which is the Class D Letter of Credit Liquidity Amount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bl>
    <w:p>
      <w:pPr>
        <w:sectPr>
          <w:pgSz w:w="11900" w:h="16838" w:orient="portrait"/>
          <w:cols w:equalWidth="0" w:num="1">
            <w:col w:w="11240"/>
          </w:cols>
          <w:pgMar w:left="320" w:top="1030" w:right="339" w:bottom="1440" w:gutter="0" w:footer="0" w:header="0"/>
        </w:sectPr>
      </w:pPr>
    </w:p>
    <w:bookmarkStart w:id="426" w:name="page427"/>
    <w:bookmarkEnd w:id="426"/>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Amortization Amount</w:t>
      </w:r>
      <w:r>
        <w:rPr>
          <w:rFonts w:ascii="Times New Roman" w:cs="Times New Roman" w:eastAsia="Times New Roman" w:hAnsi="Times New Roman"/>
          <w:sz w:val="22"/>
          <w:szCs w:val="22"/>
          <w:color w:val="auto"/>
        </w:rPr>
        <w:t>” means, with respect to any Related Month during the Series 2023-8 Controlled Amortization Period, $15,910,000.</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Controlled Distribution Amount</w:t>
      </w:r>
      <w:r>
        <w:rPr>
          <w:rFonts w:ascii="Times New Roman" w:cs="Times New Roman" w:eastAsia="Times New Roman" w:hAnsi="Times New Roman"/>
          <w:sz w:val="22"/>
          <w:szCs w:val="22"/>
          <w:color w:val="auto"/>
        </w:rPr>
        <w:t>” means, with respect to any Related Month during the Series 2023-8 Controlled Amortization Period, an amount equal to the sum of the Class D Controlled Amortization Amount and any Class D Carryover Controlled Amortization Amount for such Related Month.</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Amount</w:t>
      </w:r>
      <w:r>
        <w:rPr>
          <w:rFonts w:ascii="Times New Roman" w:cs="Times New Roman" w:eastAsia="Times New Roman" w:hAnsi="Times New Roman"/>
          <w:sz w:val="22"/>
          <w:szCs w:val="22"/>
          <w:color w:val="auto"/>
        </w:rPr>
        <w:t>” 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2023-8 Collection Account (not including amounts allocable to the Series 2023-8 Accrued Interest Account) and the Series 2023-8 Excess Collection Account as of such date.</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Enhancement Deficiency</w:t>
      </w:r>
      <w:r>
        <w:rPr>
          <w:rFonts w:ascii="Times New Roman" w:cs="Times New Roman" w:eastAsia="Times New Roman" w:hAnsi="Times New Roman"/>
          <w:sz w:val="22"/>
          <w:szCs w:val="22"/>
          <w:color w:val="auto"/>
        </w:rPr>
        <w:t>” means, on any date of determination, the amount by which the Class D Enhancement Amount is less than the Class D Required Enhancement Amount as of such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Initial Invested Amount</w:t>
      </w:r>
      <w:r>
        <w:rPr>
          <w:rFonts w:ascii="Times New Roman" w:cs="Times New Roman" w:eastAsia="Times New Roman" w:hAnsi="Times New Roman"/>
          <w:sz w:val="22"/>
          <w:szCs w:val="22"/>
          <w:color w:val="auto"/>
        </w:rPr>
        <w:t>” means the aggregate initial principal amount of the Class D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$95,460,000.</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Invested Amount</w:t>
      </w:r>
      <w:r>
        <w:rPr>
          <w:rFonts w:ascii="Times New Roman" w:cs="Times New Roman" w:eastAsia="Times New Roman" w:hAnsi="Times New Roman"/>
          <w:sz w:val="22"/>
          <w:szCs w:val="22"/>
          <w:color w:val="auto"/>
        </w:rPr>
        <w:t xml:space="preserve">” means, when used with respect to any date, an amount equal to (a) the Class D Initial Invested Amount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amount of principal payments made to Class D Noteholders on or prior to such date.</w:t>
      </w:r>
    </w:p>
    <w:p>
      <w:pPr>
        <w:spacing w:after="0" w:line="15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D Letter of Credit Amount</w:t>
      </w:r>
      <w:r>
        <w:rPr>
          <w:rFonts w:ascii="Times New Roman" w:cs="Times New Roman" w:eastAsia="Times New Roman" w:hAnsi="Times New Roman"/>
          <w:sz w:val="21"/>
          <w:szCs w:val="21"/>
          <w:color w:val="auto"/>
        </w:rPr>
        <w:t>” 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2023-8 Demand Notes on such date.</w:t>
      </w:r>
    </w:p>
    <w:p>
      <w:pPr>
        <w:spacing w:after="0" w:line="16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Letter of Credit Liquidity Amount</w:t>
      </w:r>
      <w:r>
        <w:rPr>
          <w:rFonts w:ascii="Times New Roman" w:cs="Times New Roman" w:eastAsia="Times New Roman" w:hAnsi="Times New Roman"/>
          <w:sz w:val="22"/>
          <w:szCs w:val="22"/>
          <w:color w:val="auto"/>
        </w:rPr>
        <w:t>” 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 Collateral Account has been established and funded pursuant to Section 2.8, the Class D Available Cash Collateral Account Amount on such date.</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Liquidity Amount</w:t>
      </w:r>
      <w:r>
        <w:rPr>
          <w:rFonts w:ascii="Times New Roman" w:cs="Times New Roman" w:eastAsia="Times New Roman" w:hAnsi="Times New Roman"/>
          <w:sz w:val="22"/>
          <w:szCs w:val="22"/>
          <w:color w:val="auto"/>
        </w:rPr>
        <w:t>” means, as of any date of determination, the sum of (a) the Class D Letter of Credit Liquidity Amount on such date and (b) the Class D Available Reserve Account Amount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bl>
    <w:p>
      <w:pPr>
        <w:sectPr>
          <w:pgSz w:w="11900" w:h="16838" w:orient="portrait"/>
          <w:cols w:equalWidth="0" w:num="1">
            <w:col w:w="11240"/>
          </w:cols>
          <w:pgMar w:left="320" w:top="1030" w:right="339" w:bottom="1440" w:gutter="0" w:footer="0" w:header="0"/>
        </w:sectPr>
      </w:pPr>
    </w:p>
    <w:bookmarkStart w:id="427" w:name="page428"/>
    <w:bookmarkEnd w:id="427"/>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Amounts</w:t>
      </w:r>
      <w:r>
        <w:rPr>
          <w:rFonts w:ascii="Times New Roman" w:cs="Times New Roman" w:eastAsia="Times New Roman" w:hAnsi="Times New Roman"/>
          <w:sz w:val="22"/>
          <w:szCs w:val="22"/>
          <w:color w:val="auto"/>
        </w:rPr>
        <w:t>” means, collectively,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and the Class D Maximum Medium/Heavy Duty Truck Amount.</w:t>
      </w:r>
    </w:p>
    <w:p>
      <w:pPr>
        <w:spacing w:after="0" w:line="18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Hyundai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44"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Isuzu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Jaguar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Kia Amount</w:t>
      </w:r>
      <w:r>
        <w:rPr>
          <w:rFonts w:ascii="Times New Roman" w:cs="Times New Roman" w:eastAsia="Times New Roman" w:hAnsi="Times New Roman"/>
          <w:sz w:val="22"/>
          <w:szCs w:val="22"/>
          <w:color w:val="auto"/>
        </w:rPr>
        <w:t>” means, as of any day, an amount equal to 55%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Land Rover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Medium/Heavy Duty Truck Amount</w:t>
      </w:r>
      <w:r>
        <w:rPr>
          <w:rFonts w:ascii="Times New Roman" w:cs="Times New Roman" w:eastAsia="Times New Roman" w:hAnsi="Times New Roman"/>
          <w:sz w:val="22"/>
          <w:szCs w:val="22"/>
          <w:color w:val="auto"/>
        </w:rPr>
        <w:t>” means, as of any day, an amount equal to 5% of the aggregate Net Book Value of all Vehicles leased under the Leases on such day.</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Mitsubishi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Non-Eligible Manufacturer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Non-Perfected Vehicle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Specified States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Subaru Amount</w:t>
      </w:r>
      <w:r>
        <w:rPr>
          <w:rFonts w:ascii="Times New Roman" w:cs="Times New Roman" w:eastAsia="Times New Roman" w:hAnsi="Times New Roman"/>
          <w:sz w:val="22"/>
          <w:szCs w:val="22"/>
          <w:color w:val="auto"/>
        </w:rPr>
        <w:t>” means, as of any day, an amount equal to 12.5% of the aggregate Net Book Value of all Vehicles leased under the Leases on such day.</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Suzuki Amount</w:t>
      </w:r>
      <w:r>
        <w:rPr>
          <w:rFonts w:ascii="Times New Roman" w:cs="Times New Roman" w:eastAsia="Times New Roman" w:hAnsi="Times New Roman"/>
          <w:sz w:val="22"/>
          <w:szCs w:val="22"/>
          <w:color w:val="auto"/>
        </w:rPr>
        <w:t>” means, as of any day, an amount equal to 10% of the aggregate Net Book Value of all Vehicles leased under the Leases on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ectPr>
          <w:pgSz w:w="11900" w:h="16838" w:orient="portrait"/>
          <w:cols w:equalWidth="0" w:num="1">
            <w:col w:w="11240"/>
          </w:cols>
          <w:pgMar w:left="320" w:top="1030" w:right="339" w:bottom="1440" w:gutter="0" w:footer="0" w:header="0"/>
        </w:sectPr>
      </w:pPr>
    </w:p>
    <w:bookmarkStart w:id="428" w:name="page429"/>
    <w:bookmarkEnd w:id="428"/>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Maximum Tesla Amount</w:t>
      </w:r>
      <w:r>
        <w:rPr>
          <w:rFonts w:ascii="Times New Roman" w:cs="Times New Roman" w:eastAsia="Times New Roman" w:hAnsi="Times New Roman"/>
          <w:sz w:val="22"/>
          <w:szCs w:val="22"/>
          <w:color w:val="auto"/>
        </w:rPr>
        <w:t>” means, as of any day, an amount equal to 25% of the aggregate Net Book Value of all Vehicles leased under the Leases on such day.</w:t>
      </w:r>
    </w:p>
    <w:p>
      <w:pPr>
        <w:spacing w:after="0" w:line="17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Monthly Interest</w:t>
      </w:r>
      <w:r>
        <w:rPr>
          <w:rFonts w:ascii="Times New Roman" w:cs="Times New Roman" w:eastAsia="Times New Roman" w:hAnsi="Times New Roman"/>
          <w:sz w:val="22"/>
          <w:szCs w:val="22"/>
          <w:color w:val="auto"/>
        </w:rPr>
        <w:t>” means, with respect to (i) the initial Series 2023-8 Interest Period for the Class D Notes, following the Class D Notes Closing Date, an amount equal to $1,064,644, (ii) the initial Series 2023-8 Interest Period for the Class D Notes from the Class D Notes Sale Date to and including June 20, 2025, an amount equal to $199,405.33 and (iii) any other Series 2023-8 Interest Period, an amount equal to the product of (A) one-twelfth of the Class D Note Rate and (B) the Class D Invested Amount on the first day of such Series 2023-8 Interest Period, after giving effect to any principal payments made on such date.</w:t>
      </w:r>
    </w:p>
    <w:p>
      <w:pPr>
        <w:spacing w:after="0" w:line="18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w:t>
      </w:r>
      <w:r>
        <w:rPr>
          <w:rFonts w:ascii="Times New Roman" w:cs="Times New Roman" w:eastAsia="Times New Roman" w:hAnsi="Times New Roman"/>
          <w:sz w:val="22"/>
          <w:szCs w:val="22"/>
          <w:color w:val="auto"/>
        </w:rPr>
        <w:t xml:space="preserve">” means any one of the Series 2023-8 7.52% Rental Car Asset Backed Notes, Class D,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 Definitive Class D Notes shall have such insertions and deletions as are necessary to give effect to the provisions of Section 2.18 of the Base Indenture.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Owner</w:t>
      </w:r>
      <w:r>
        <w:rPr>
          <w:rFonts w:ascii="Times New Roman" w:cs="Times New Roman" w:eastAsia="Times New Roman" w:hAnsi="Times New Roman"/>
          <w:sz w:val="22"/>
          <w:szCs w:val="22"/>
          <w:color w:val="auto"/>
        </w:rPr>
        <w:t>” means each beneficial owner of a Class D Note.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 Rate</w:t>
      </w:r>
      <w:r>
        <w:rPr>
          <w:rFonts w:ascii="Times New Roman" w:cs="Times New Roman" w:eastAsia="Times New Roman" w:hAnsi="Times New Roman"/>
          <w:sz w:val="22"/>
          <w:szCs w:val="22"/>
          <w:color w:val="auto"/>
        </w:rPr>
        <w:t>” means 7.52%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Noteholder</w:t>
      </w:r>
      <w:r>
        <w:rPr>
          <w:rFonts w:ascii="Times New Roman" w:cs="Times New Roman" w:eastAsia="Times New Roman" w:hAnsi="Times New Roman"/>
          <w:sz w:val="22"/>
          <w:szCs w:val="22"/>
          <w:color w:val="auto"/>
        </w:rPr>
        <w:t>” means the Person in whose name a Class D Note is registered in the Note Register.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Closing Date</w:t>
      </w:r>
      <w:r>
        <w:rPr>
          <w:rFonts w:ascii="Times New Roman" w:cs="Times New Roman" w:eastAsia="Times New Roman" w:hAnsi="Times New Roman"/>
          <w:sz w:val="22"/>
          <w:szCs w:val="22"/>
          <w:color w:val="auto"/>
        </w:rPr>
        <w:t>” means January 31, 2025.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Notes Sale Date</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Overcollateralization Amount</w:t>
      </w:r>
      <w:r>
        <w:rPr>
          <w:rFonts w:ascii="Times New Roman" w:cs="Times New Roman" w:eastAsia="Times New Roman" w:hAnsi="Times New Roman"/>
          <w:sz w:val="22"/>
          <w:szCs w:val="22"/>
          <w:color w:val="auto"/>
        </w:rPr>
        <w:t>” means, the excess, if any of (x) the Series 2023-8 AESOP I Operating Lease Loan Agreement Borrowing Base as of such date over (y) the Series 2023-8 Invested Amount as of such date.</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Percentage</w:t>
      </w:r>
      <w:r>
        <w:rPr>
          <w:rFonts w:ascii="Times New Roman" w:cs="Times New Roman" w:eastAsia="Times New Roman" w:hAnsi="Times New Roman"/>
          <w:sz w:val="22"/>
          <w:szCs w:val="22"/>
          <w:color w:val="auto"/>
        </w:rPr>
        <w:t>” means, as of any date of determination, a percentage equal to the excess, if any, of (x) 100% over (y) the Class A/B/C Percentage as of such date.</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Principal Deficit Amount</w:t>
      </w:r>
      <w:r>
        <w:rPr>
          <w:rFonts w:ascii="Times New Roman" w:cs="Times New Roman" w:eastAsia="Times New Roman" w:hAnsi="Times New Roman"/>
          <w:sz w:val="22"/>
          <w:szCs w:val="22"/>
          <w:color w:val="auto"/>
        </w:rPr>
        <w:t xml:space="preserve">” means, as of any date of determination, the excess, if any, of (i) the Class D Invested Amount on such date (after giving effect to the distribution of the Monthly Total Principal Allocation for the Related Month if such date is a Distribution Date) over (ii) the Series 2023-8 AESOP I Operating Lease Loan Agreement Borrowing Base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2023-8 AESOP I Operating Lease Loan</w:t>
      </w:r>
    </w:p>
    <w:p>
      <w:pPr>
        <w:spacing w:after="0" w:line="200" w:lineRule="exact"/>
        <w:rPr>
          <w:sz w:val="20"/>
          <w:szCs w:val="20"/>
          <w:color w:val="auto"/>
        </w:r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ectPr>
          <w:pgSz w:w="11900" w:h="16838" w:orient="portrait"/>
          <w:cols w:equalWidth="0" w:num="1">
            <w:col w:w="11240"/>
          </w:cols>
          <w:pgMar w:left="320" w:top="1030" w:right="339" w:bottom="1440" w:gutter="0" w:footer="0" w:header="0"/>
        </w:sectPr>
      </w:pPr>
    </w:p>
    <w:bookmarkStart w:id="429" w:name="page430"/>
    <w:bookmarkEnd w:id="429"/>
    <w:p>
      <w:pPr>
        <w:jc w:val="both"/>
        <w:spacing w:after="0" w:line="271" w:lineRule="auto"/>
        <w:rPr>
          <w:sz w:val="20"/>
          <w:szCs w:val="20"/>
          <w:color w:val="auto"/>
        </w:rPr>
      </w:pPr>
      <w:r>
        <w:rPr>
          <w:rFonts w:ascii="Times New Roman" w:cs="Times New Roman" w:eastAsia="Times New Roman" w:hAnsi="Times New Roman"/>
          <w:sz w:val="22"/>
          <w:szCs w:val="22"/>
          <w:color w:val="auto"/>
        </w:rPr>
        <w:t>Agreement Borrowing Base on such date and (2) the lesser of (a) the Class D Liquidity Amount on such date and (b) the Class D Required Liquidity Amount on such date.</w:t>
      </w:r>
    </w:p>
    <w:p>
      <w:pPr>
        <w:spacing w:after="0" w:line="17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Pro Rata Share</w:t>
      </w:r>
      <w:r>
        <w:rPr>
          <w:rFonts w:ascii="Times New Roman" w:cs="Times New Roman" w:eastAsia="Times New Roman" w:hAnsi="Times New Roman"/>
          <w:sz w:val="22"/>
          <w:szCs w:val="22"/>
          <w:color w:val="auto"/>
        </w:rPr>
        <w:t xml:space="preserve">” means, with respect to any Multi-Series Letter of Credit Provider as of any date, the fraction (expressed as a percentage) obtained by dividing (A) the available amount allocated to the Class D Notes under such Multi-Series Letter of Credit Provider’s Multi-Series Letter of Credit as of such date by (B) an amount equal to the aggregate available amount allocated to the Class D Notes under all Multi-Series Letters of Credit as of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calculation shall not in any manner reduce the undersigned’s actual liability in respect of any failure to pay any demand under the Multi-Series Letter of Credit).</w:t>
      </w:r>
    </w:p>
    <w:p>
      <w:pPr>
        <w:spacing w:after="0" w:line="18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Enhancement Amount</w:t>
      </w:r>
      <w:r>
        <w:rPr>
          <w:rFonts w:ascii="Times New Roman" w:cs="Times New Roman" w:eastAsia="Times New Roman" w:hAnsi="Times New Roman"/>
          <w:sz w:val="22"/>
          <w:szCs w:val="22"/>
          <w:color w:val="auto"/>
        </w:rPr>
        <w:t>” means an amount equal to, as of any date of determination, the sum (without duplication) of (i) the applicable Series 2023-8 Moody’s Required Enhancement Amount as of such date, (ii) the Series 2023-8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2023-8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2023-8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2023-8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2023-8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2023-8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2023-8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2023-8 AESOP I Operating Lease Vehicle Percentage as of the immediately preceding Business Day of the excess, if any, of the aggregate Net Book</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bl>
    <w:p>
      <w:pPr>
        <w:sectPr>
          <w:pgSz w:w="11900" w:h="16838" w:orient="portrait"/>
          <w:cols w:equalWidth="0" w:num="1">
            <w:col w:w="11240"/>
          </w:cols>
          <w:pgMar w:left="320" w:top="1030" w:right="339" w:bottom="1440" w:gutter="0" w:footer="0" w:header="0"/>
        </w:sectPr>
      </w:pPr>
    </w:p>
    <w:bookmarkStart w:id="430" w:name="page431"/>
    <w:bookmarkEnd w:id="430"/>
    <w:p>
      <w:pPr>
        <w:jc w:val="both"/>
        <w:spacing w:after="0" w:line="260" w:lineRule="auto"/>
        <w:rPr>
          <w:sz w:val="20"/>
          <w:szCs w:val="20"/>
          <w:color w:val="auto"/>
        </w:rPr>
      </w:pPr>
      <w:r>
        <w:rPr>
          <w:rFonts w:ascii="Times New Roman" w:cs="Times New Roman" w:eastAsia="Times New Roman" w:hAnsi="Times New Roman"/>
          <w:sz w:val="21"/>
          <w:szCs w:val="21"/>
          <w:color w:val="auto"/>
        </w:rPr>
        <w:t>Value of all Vehicles manufactured by Land Rover and leased under the Leases as of such date over the Class D Maximum Land Rover Amount as of such date, (x) the Series 2023-8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2023-8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2023-8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2023-8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spacing w:after="0" w:line="18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Liquidity Amount</w:t>
      </w:r>
      <w:r>
        <w:rPr>
          <w:rFonts w:ascii="Times New Roman" w:cs="Times New Roman" w:eastAsia="Times New Roman" w:hAnsi="Times New Roman"/>
          <w:sz w:val="22"/>
          <w:szCs w:val="22"/>
          <w:color w:val="auto"/>
        </w:rPr>
        <w:t>” means an amount equal to the product of 5.50% and the Class D Invested Amount as of such date.</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Overcollateralization Amount</w:t>
      </w:r>
      <w:r>
        <w:rPr>
          <w:rFonts w:ascii="Times New Roman" w:cs="Times New Roman" w:eastAsia="Times New Roman" w:hAnsi="Times New Roman"/>
          <w:sz w:val="22"/>
          <w:szCs w:val="22"/>
          <w:color w:val="auto"/>
        </w:rPr>
        <w:t>” 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 Permitted Investments on deposit in the Series 2023-8 Collection Account (not including amounts allocable to the Series 2023-8 Accrued Interest Account) and the Series 2023-8 Excess Collection Account on such date.</w:t>
      </w:r>
    </w:p>
    <w:p>
      <w:pPr>
        <w:spacing w:after="0" w:line="19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Required Reserve Account Amount</w:t>
      </w:r>
      <w:r>
        <w:rPr>
          <w:rFonts w:ascii="Times New Roman" w:cs="Times New Roman" w:eastAsia="Times New Roman" w:hAnsi="Times New Roman"/>
          <w:sz w:val="22"/>
          <w:szCs w:val="22"/>
          <w:color w:val="auto"/>
        </w:rPr>
        <w:t>” 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2023-8 Notes) as of such date.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w:t>
      </w:r>
      <w:r>
        <w:rPr>
          <w:rFonts w:ascii="Times New Roman" w:cs="Times New Roman" w:eastAsia="Times New Roman" w:hAnsi="Times New Roman"/>
          <w:sz w:val="22"/>
          <w:szCs w:val="22"/>
          <w:color w:val="auto"/>
        </w:rPr>
        <w:t>” is defined in Section 2.7(g).</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is defined in Section 2.7(j).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bl>
    <w:p>
      <w:pPr>
        <w:sectPr>
          <w:pgSz w:w="11900" w:h="16838" w:orient="portrait"/>
          <w:cols w:equalWidth="0" w:num="1">
            <w:col w:w="11240"/>
          </w:cols>
          <w:pgMar w:left="320" w:top="1030" w:right="339" w:bottom="1440" w:gutter="0" w:footer="0" w:header="0"/>
        </w:sectPr>
      </w:pPr>
    </w:p>
    <w:bookmarkStart w:id="431" w:name="page432"/>
    <w:bookmarkEnd w:id="431"/>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Reserve Account Surplus</w:t>
      </w:r>
      <w:r>
        <w:rPr>
          <w:rFonts w:ascii="Times New Roman" w:cs="Times New Roman" w:eastAsia="Times New Roman" w:hAnsi="Times New Roman"/>
          <w:sz w:val="22"/>
          <w:szCs w:val="22"/>
          <w:color w:val="auto"/>
        </w:rPr>
        <w:t>” means, with respect to any Distribution Date, the excess, if any, of the Class D Available Reserve Account Amount over the Class D Required Reserve Account Amount on such Distribution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has the meaning set forth in Section 2.3(g)(iv).</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Controlled Amortization Amount</w:t>
      </w:r>
      <w:r>
        <w:rPr>
          <w:rFonts w:ascii="Times New Roman" w:cs="Times New Roman" w:eastAsia="Times New Roman" w:hAnsi="Times New Roman"/>
          <w:sz w:val="22"/>
          <w:szCs w:val="22"/>
          <w:color w:val="auto"/>
        </w:rPr>
        <w:t>” means, (i) with respect to any Related Month during the Series 2023-8 Controlled Amortization Period other than the Related Month immediately preceding the Series 2023-8 Expected Final Distribution Date, $0 and (ii) with respect to the Related Month immediately preceding the Series 2023-8 Expected Final Distribution Date, $43,800,000.</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Initial Invested Amount</w:t>
      </w:r>
      <w:r>
        <w:rPr>
          <w:rFonts w:ascii="Times New Roman" w:cs="Times New Roman" w:eastAsia="Times New Roman" w:hAnsi="Times New Roman"/>
          <w:sz w:val="22"/>
          <w:szCs w:val="22"/>
          <w:color w:val="auto"/>
        </w:rPr>
        <w:t>” means the aggregate initial principal amount of the Class R Notes, which is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$43,800,000.</w:t>
      </w:r>
    </w:p>
    <w:p>
      <w:pPr>
        <w:spacing w:after="0" w:line="196"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Invested Amount</w:t>
      </w:r>
      <w:r>
        <w:rPr>
          <w:rFonts w:ascii="Times New Roman" w:cs="Times New Roman" w:eastAsia="Times New Roman" w:hAnsi="Times New Roman"/>
          <w:sz w:val="22"/>
          <w:szCs w:val="22"/>
          <w:color w:val="auto"/>
        </w:rPr>
        <w:t xml:space="preserve">” means, when used with respect to any date, an amount equal to (a) the Class R Initial Invested Amount plus (b) the aggregate principal amount of any Additional Class R Notes issued on or prior to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(c) the amount of principal payments made to Class R Noteholders on or prior to such date.</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 R Monthly Interest</w:t>
      </w:r>
      <w:r>
        <w:rPr>
          <w:rFonts w:ascii="Times New Roman" w:cs="Times New Roman" w:eastAsia="Times New Roman" w:hAnsi="Times New Roman"/>
          <w:sz w:val="21"/>
          <w:szCs w:val="21"/>
          <w:color w:val="auto"/>
        </w:rPr>
        <w:t>” means, with respect to (i) the initial Series 2023-8 Interest Period, an amount equal to $317,171.56, (ii) the initial Series 2023-8 Interest Period following the Class D Notes Closing Date, an amount equal to $68,223 and (iii) any other Series 2023-8 Interest Period, an amount equal to the product of (A) one-twelfth of the Class R Note Rate and</w:t>
      </w:r>
    </w:p>
    <w:p>
      <w:pPr>
        <w:spacing w:after="0" w:line="1" w:lineRule="exact"/>
        <w:rPr>
          <w:sz w:val="20"/>
          <w:szCs w:val="20"/>
          <w:color w:val="auto"/>
        </w:rPr>
      </w:pPr>
    </w:p>
    <w:p>
      <w:pPr>
        <w:ind w:firstLine="8"/>
        <w:spacing w:after="0" w:line="248" w:lineRule="auto"/>
        <w:tabs>
          <w:tab w:leader="none" w:pos="375" w:val="left"/>
        </w:tabs>
        <w:numPr>
          <w:ilvl w:val="0"/>
          <w:numId w:val="3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R Invested Amount on the first day of such Series 2023-8 Interest Period, after giving effect to any principal payments made on such date.</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w:t>
      </w:r>
      <w:r>
        <w:rPr>
          <w:rFonts w:ascii="Times New Roman" w:cs="Times New Roman" w:eastAsia="Times New Roman" w:hAnsi="Times New Roman"/>
          <w:sz w:val="22"/>
          <w:szCs w:val="22"/>
          <w:color w:val="auto"/>
        </w:rPr>
        <w:t xml:space="preserve">” means any one of the Series 2023-8 9.268% Rental Car Asset Backed Notes, Class R, executed by ABRCF and authenticated by or on behalf of the Trustee, substantially in the form of </w:t>
      </w: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 Definitive Class R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 Rate</w:t>
      </w:r>
      <w:r>
        <w:rPr>
          <w:rFonts w:ascii="Times New Roman" w:cs="Times New Roman" w:eastAsia="Times New Roman" w:hAnsi="Times New Roman"/>
          <w:sz w:val="22"/>
          <w:szCs w:val="22"/>
          <w:color w:val="auto"/>
        </w:rPr>
        <w:t>” means 9.268% per annum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Noteholder</w:t>
      </w:r>
      <w:r>
        <w:rPr>
          <w:rFonts w:ascii="Times New Roman" w:cs="Times New Roman" w:eastAsia="Times New Roman" w:hAnsi="Times New Roman"/>
          <w:sz w:val="22"/>
          <w:szCs w:val="22"/>
          <w:color w:val="auto"/>
        </w:rPr>
        <w:t>” means the Person in whose name a Class R Note is registered in the Note Register.</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has the meaning set forth in Section 2.3(g)(v).</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w:t>
      </w:r>
      <w:r>
        <w:rPr>
          <w:rFonts w:ascii="Times New Roman" w:cs="Times New Roman" w:eastAsia="Times New Roman" w:hAnsi="Times New Roman"/>
          <w:sz w:val="22"/>
          <w:szCs w:val="22"/>
          <w:color w:val="auto"/>
        </w:rPr>
        <w:t>” means any optional repurchase pursuant to Section 5.1(a).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Clean-up Repurchase Distribution Date</w:t>
      </w:r>
      <w:r>
        <w:rPr>
          <w:rFonts w:ascii="Times New Roman" w:cs="Times New Roman" w:eastAsia="Times New Roman" w:hAnsi="Times New Roman"/>
          <w:sz w:val="22"/>
          <w:szCs w:val="22"/>
          <w:color w:val="auto"/>
        </w:rPr>
        <w:t>” has the meaning set forth in Section 5.1(a).</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Confirmation Condition</w:t>
      </w:r>
      <w:r>
        <w:rPr>
          <w:rFonts w:ascii="Times New Roman" w:cs="Times New Roman" w:eastAsia="Times New Roman" w:hAnsi="Times New Roman"/>
          <w:sz w:val="22"/>
          <w:szCs w:val="22"/>
          <w:color w:val="auto"/>
        </w:rPr>
        <w:t>” means, with respect to any Bankrupt Manufacturer which is a debtor in Chapter 11 Proceedings, a condition that shall be satisfied upon the bankruptcy court having competent jurisdiction over such Chapter 11 Proceedings issuing an order that</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ectPr>
          <w:pgSz w:w="11900" w:h="16838" w:orient="portrait"/>
          <w:cols w:equalWidth="0" w:num="1">
            <w:col w:w="11240"/>
          </w:cols>
          <w:pgMar w:left="320" w:top="1030" w:right="339" w:bottom="1440" w:gutter="0" w:footer="0" w:header="0"/>
        </w:sectPr>
      </w:pPr>
    </w:p>
    <w:bookmarkStart w:id="432" w:name="page433"/>
    <w:bookmarkEnd w:id="432"/>
    <w:p>
      <w:pPr>
        <w:jc w:val="both"/>
        <w:spacing w:after="0" w:line="242" w:lineRule="auto"/>
        <w:rPr>
          <w:sz w:val="20"/>
          <w:szCs w:val="20"/>
          <w:color w:val="auto"/>
        </w:rPr>
      </w:pPr>
      <w:r>
        <w:rPr>
          <w:rFonts w:ascii="Times New Roman" w:cs="Times New Roman" w:eastAsia="Times New Roman" w:hAnsi="Times New Roman"/>
          <w:sz w:val="22"/>
          <w:szCs w:val="22"/>
          <w:color w:val="auto"/>
        </w:rPr>
        <w:t xml:space="preserve">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the foregoing, the Confirmation Condition shall be deemed satisfied until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calendar day following the initial filing in respect of such Chapter 11 Proceedings.</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means, for any day (a “</w:t>
      </w:r>
      <w:r>
        <w:rPr>
          <w:rFonts w:ascii="Times New Roman" w:cs="Times New Roman" w:eastAsia="Times New Roman" w:hAnsi="Times New Roman"/>
          <w:sz w:val="22"/>
          <w:szCs w:val="22"/>
          <w:u w:val="single" w:color="auto"/>
          <w:color w:val="auto"/>
        </w:rPr>
        <w:t>SOFR Rate Day</w:t>
      </w:r>
      <w:r>
        <w:rPr>
          <w:rFonts w:ascii="Times New Roman" w:cs="Times New Roman" w:eastAsia="Times New Roman" w:hAnsi="Times New Roman"/>
          <w:sz w:val="22"/>
          <w:szCs w:val="22"/>
          <w:color w:val="auto"/>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Demand Note Issuer</w:t>
      </w:r>
      <w:r>
        <w:rPr>
          <w:rFonts w:ascii="Times New Roman" w:cs="Times New Roman" w:eastAsia="Times New Roman" w:hAnsi="Times New Roman"/>
          <w:sz w:val="22"/>
          <w:szCs w:val="22"/>
          <w:color w:val="auto"/>
        </w:rPr>
        <w:t>” means each issuer of a Series 2023-8 Demand Note.</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Disbursement</w:t>
      </w:r>
      <w:r>
        <w:rPr>
          <w:rFonts w:ascii="Times New Roman" w:cs="Times New Roman" w:eastAsia="Times New Roman" w:hAnsi="Times New Roman"/>
          <w:sz w:val="22"/>
          <w:szCs w:val="22"/>
          <w:color w:val="auto"/>
        </w:rPr>
        <w:t>” means any Lease Deficit Disbursement, any Unpaid Demand Note Disbursement, any Termination Date Disbursement or any Termination Disbursement under a Multi-Series Letter of Credit, or any combination thereof, as the context may require.</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Discounted Value</w:t>
      </w:r>
      <w:r>
        <w:rPr>
          <w:rFonts w:ascii="Times New Roman" w:cs="Times New Roman" w:eastAsia="Times New Roman" w:hAnsi="Times New Roman"/>
          <w:sz w:val="22"/>
          <w:szCs w:val="22"/>
          <w:color w:val="auto"/>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Finance Guide</w:t>
      </w:r>
      <w:r>
        <w:rPr>
          <w:rFonts w:ascii="Times New Roman" w:cs="Times New Roman" w:eastAsia="Times New Roman" w:hAnsi="Times New Roman"/>
          <w:sz w:val="22"/>
          <w:szCs w:val="22"/>
          <w:color w:val="auto"/>
        </w:rPr>
        <w:t>” means the Black Book Official Finance/Lease Guide.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A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B Notes</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C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D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Class R Notes</w:t>
      </w:r>
      <w:r>
        <w:rPr>
          <w:rFonts w:ascii="Times New Roman" w:cs="Times New Roman" w:eastAsia="Times New Roman" w:hAnsi="Times New Roman"/>
          <w:sz w:val="22"/>
          <w:szCs w:val="22"/>
          <w:color w:val="auto"/>
        </w:rPr>
        <w:t>” is defined in Section 4.2.</w:t>
      </w:r>
    </w:p>
    <w:p>
      <w:pPr>
        <w:spacing w:after="0" w:line="200" w:lineRule="exact"/>
        <w:rPr>
          <w:sz w:val="20"/>
          <w:szCs w:val="20"/>
          <w:color w:val="auto"/>
        </w:rPr>
      </w:pPr>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ectPr>
          <w:pgSz w:w="11900" w:h="16838" w:orient="portrait"/>
          <w:cols w:equalWidth="0" w:num="1">
            <w:col w:w="11240"/>
          </w:cols>
          <w:pgMar w:left="320" w:top="1030" w:right="339" w:bottom="1440" w:gutter="0" w:footer="0" w:header="0"/>
        </w:sectPr>
      </w:pPr>
    </w:p>
    <w:bookmarkStart w:id="433" w:name="page434"/>
    <w:bookmarkEnd w:id="433"/>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 Deficit Disbursement</w:t>
      </w:r>
      <w:r>
        <w:rPr>
          <w:rFonts w:ascii="Times New Roman" w:cs="Times New Roman" w:eastAsia="Times New Roman" w:hAnsi="Times New Roman"/>
          <w:sz w:val="22"/>
          <w:szCs w:val="22"/>
          <w:color w:val="auto"/>
        </w:rPr>
        <w:t>” means an amount drawn under a Multi-Series Letter of Credit pursuant to a Certificate of Lease Deficit Demand.</w:t>
      </w:r>
    </w:p>
    <w:p>
      <w:pPr>
        <w:spacing w:after="0" w:line="17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Make Whole Payment</w:t>
      </w:r>
      <w:r>
        <w:rPr>
          <w:rFonts w:ascii="Times New Roman" w:cs="Times New Roman" w:eastAsia="Times New Roman" w:hAnsi="Times New Roman"/>
          <w:sz w:val="22"/>
          <w:szCs w:val="22"/>
          <w:color w:val="auto"/>
        </w:rPr>
        <w:t xml:space="preserve">” means, with respect to any Series 2023-8 Note on any Optional Repurchase Distribution Date,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with respect to such Series 2023-8 Note of the excess, if any, of (x) the sum of the Discounted Values for each Remaining Distribution Amount with respect to each Applicable Distribution Date over (y) the Series 2023-8 Invested Amount as of such Optional Repurchase Distribution Date (determined after giving effect to any payments made pursuant to Section 2.5(a) on such Distribution Date).</w:t>
      </w:r>
    </w:p>
    <w:p>
      <w:pPr>
        <w:spacing w:after="0" w:line="194"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Market Value Average</w:t>
      </w:r>
      <w:r>
        <w:rPr>
          <w:rFonts w:ascii="Times New Roman" w:cs="Times New Roman" w:eastAsia="Times New Roman" w:hAnsi="Times New Roman"/>
          <w:sz w:val="21"/>
          <w:szCs w:val="21"/>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7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Monthly Total Principal Allocation</w:t>
      </w:r>
      <w:r>
        <w:rPr>
          <w:rFonts w:ascii="Times New Roman" w:cs="Times New Roman" w:eastAsia="Times New Roman" w:hAnsi="Times New Roman"/>
          <w:sz w:val="22"/>
          <w:szCs w:val="22"/>
          <w:color w:val="auto"/>
        </w:rPr>
        <w:t>” means for any Related Month the sum of all Series 2023-8 Principal Allocations with respect to such Related Month.</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 Excluded Manufacturer Amount</w:t>
      </w:r>
      <w:r>
        <w:rPr>
          <w:rFonts w:ascii="Times New Roman" w:cs="Times New Roman" w:eastAsia="Times New Roman" w:hAnsi="Times New Roman"/>
          <w:sz w:val="21"/>
          <w:szCs w:val="21"/>
          <w:color w:val="auto"/>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w:t>
      </w:r>
    </w:p>
    <w:p>
      <w:pPr>
        <w:spacing w:after="0" w:line="2" w:lineRule="exact"/>
        <w:rPr>
          <w:sz w:val="20"/>
          <w:szCs w:val="20"/>
          <w:color w:val="auto"/>
        </w:rPr>
      </w:pPr>
    </w:p>
    <w:p>
      <w:pPr>
        <w:jc w:val="both"/>
        <w:ind w:firstLine="8"/>
        <w:spacing w:after="0" w:line="245" w:lineRule="auto"/>
        <w:tabs>
          <w:tab w:leader="none" w:pos="367" w:val="left"/>
        </w:tabs>
        <w:numPr>
          <w:ilvl w:val="0"/>
          <w:numId w:val="4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Excluded Manufacturer Receivable Specified Percentage</w:t>
      </w:r>
      <w:r>
        <w:rPr>
          <w:rFonts w:ascii="Times New Roman" w:cs="Times New Roman" w:eastAsia="Times New Roman" w:hAnsi="Times New Roman"/>
          <w:sz w:val="22"/>
          <w:szCs w:val="22"/>
          <w:color w:val="auto"/>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2023-8 Noteholders with respect to such Moody’s Non-Investment Grade Manufacturer;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as of the Class A/B/C Notes Closing Date the Moody’s Excluded Manufacturer Receivable Specified</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bl>
    <w:p>
      <w:pPr>
        <w:sectPr>
          <w:pgSz w:w="11900" w:h="16838" w:orient="portrait"/>
          <w:cols w:equalWidth="0" w:num="1">
            <w:col w:w="11240"/>
          </w:cols>
          <w:pgMar w:left="320" w:top="1030" w:right="339" w:bottom="1440" w:gutter="0" w:footer="0" w:header="0"/>
        </w:sectPr>
      </w:pPr>
    </w:p>
    <w:bookmarkStart w:id="434" w:name="page435"/>
    <w:bookmarkEnd w:id="434"/>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Percentage for each Moody’s Non-Investment Grade Manufacturer shall be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initial Moody’s Excluded Manufacturer Receivable Specified Percentage with respect to any Manufacturer that becomes a Moody’s Non-Investment Grade Manufacturer after the Class A/B/C Notes Closing Date shall be 100%.</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Non-Investment Grade Manufacturer</w:t>
      </w:r>
      <w:r>
        <w:rPr>
          <w:rFonts w:ascii="Times New Roman" w:cs="Times New Roman" w:eastAsia="Times New Roman" w:hAnsi="Times New Roman"/>
          <w:sz w:val="22"/>
          <w:szCs w:val="22"/>
          <w:color w:val="auto"/>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spacing w:after="0" w:line="182"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 Turnback Vehicle Specified Percentage</w:t>
      </w:r>
      <w:r>
        <w:rPr>
          <w:rFonts w:ascii="Times New Roman" w:cs="Times New Roman" w:eastAsia="Times New Roman" w:hAnsi="Times New Roman"/>
          <w:sz w:val="22"/>
          <w:szCs w:val="22"/>
          <w:color w:val="auto"/>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calendar day following such downgrade.</w:t>
      </w:r>
    </w:p>
    <w:p>
      <w:pPr>
        <w:spacing w:after="0" w:line="1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w:t>
      </w:r>
      <w:r>
        <w:rPr>
          <w:rFonts w:ascii="Times New Roman" w:cs="Times New Roman" w:eastAsia="Times New Roman" w:hAnsi="Times New Roman"/>
          <w:sz w:val="22"/>
          <w:szCs w:val="22"/>
          <w:color w:val="auto"/>
        </w:rPr>
        <w:t xml:space="preserve">” means an irrevocable letter of credit, if any,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issued by a Series 2023-8 Eligible Letter of Credit Provider in favor of the Trustee for the benefit, in whole or in part, of the Series 2023-8 Noteholders (provided that a Multi-Series Letter of Credit may also benefit Noteholders of certain other Series).</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Expiration Date</w:t>
      </w:r>
      <w:r>
        <w:rPr>
          <w:rFonts w:ascii="Times New Roman" w:cs="Times New Roman" w:eastAsia="Times New Roman" w:hAnsi="Times New Roman"/>
          <w:sz w:val="22"/>
          <w:szCs w:val="22"/>
          <w:color w:val="auto"/>
        </w:rPr>
        <w:t>” means, with respect to any Multi-Series Letter of Credit, the expiration date set forth in such Multi-Series Letter of Credit, as such date may be extended in accordance with the terms of such Multi-Series Letter of Credit.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Provider</w:t>
      </w:r>
      <w:r>
        <w:rPr>
          <w:rFonts w:ascii="Times New Roman" w:cs="Times New Roman" w:eastAsia="Times New Roman" w:hAnsi="Times New Roman"/>
          <w:sz w:val="22"/>
          <w:szCs w:val="22"/>
          <w:color w:val="auto"/>
        </w:rPr>
        <w:t>” means any issuer of any Multi-Series Letter of Credit.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Multi-Series Letter of Credit Termination Date</w:t>
      </w:r>
      <w:r>
        <w:rPr>
          <w:rFonts w:ascii="Times New Roman" w:cs="Times New Roman" w:eastAsia="Times New Roman" w:hAnsi="Times New Roman"/>
          <w:sz w:val="22"/>
          <w:szCs w:val="22"/>
          <w:color w:val="auto"/>
        </w:rPr>
        <w:t>” means the first to occur of (a) the date on which the Series 2023-8 Notes are fully paid and (b) the Series 2023-8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ectPr>
          <w:pgSz w:w="11900" w:h="16838" w:orient="portrait"/>
          <w:cols w:equalWidth="0" w:num="1">
            <w:col w:w="11240"/>
          </w:cols>
          <w:pgMar w:left="320" w:top="1030" w:right="339" w:bottom="1440" w:gutter="0" w:footer="0" w:header="0"/>
        </w:sectPr>
      </w:pPr>
    </w:p>
    <w:bookmarkStart w:id="435" w:name="page436"/>
    <w:bookmarkEnd w:id="435"/>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23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Delivery Condition</w:t>
      </w:r>
      <w:r>
        <w:rPr>
          <w:rFonts w:ascii="Times New Roman" w:cs="Times New Roman" w:eastAsia="Times New Roman" w:hAnsi="Times New Roman"/>
          <w:sz w:val="22"/>
          <w:szCs w:val="22"/>
          <w:color w:val="auto"/>
        </w:rPr>
        <w:t>” means a condition that shall be satisfied if, on or prior to the Offering Memorandum Related Date, ABRCF delivers to BofA Securities, Inc. an agreed-upon undated preliminary offering memorandum in customary form consistent with ABRCF’s past Notes offerings for the offering of Notes by ABRCF that provides for the offering and sale of the Class D Notes and contains information, including the applicable financial and statistical information, as of a date reasonably recent to the Offering Memorandum Related Date.</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 Related Date</w:t>
      </w:r>
      <w:r>
        <w:rPr>
          <w:rFonts w:ascii="Times New Roman" w:cs="Times New Roman" w:eastAsia="Times New Roman" w:hAnsi="Times New Roman"/>
          <w:sz w:val="22"/>
          <w:szCs w:val="22"/>
          <w:color w:val="auto"/>
        </w:rPr>
        <w:t>” means, solely if the Offering Memorandum Delivery Condition is not satisfied, the date which is six weeks following the Class D Notes Closing Date (or such longer period as mutually agreed upon among ABRCF, ABCR and BofA Securities, Inc.).</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Optional Repurchase Distribution Date</w:t>
      </w:r>
      <w:r>
        <w:rPr>
          <w:rFonts w:ascii="Times New Roman" w:cs="Times New Roman" w:eastAsia="Times New Roman" w:hAnsi="Times New Roman"/>
          <w:sz w:val="22"/>
          <w:szCs w:val="22"/>
          <w:color w:val="auto"/>
        </w:rPr>
        <w:t>” is defined in Section 5.1(b).</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is defined in Section 2.2(g).</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B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C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D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Class R Note</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Global Series 2023-8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Pre-Preference Period Demand Note Payments</w:t>
      </w:r>
      <w:r>
        <w:rPr>
          <w:rFonts w:ascii="Times New Roman" w:cs="Times New Roman" w:eastAsia="Times New Roman" w:hAnsi="Times New Roman"/>
          <w:sz w:val="21"/>
          <w:szCs w:val="21"/>
          <w:color w:val="auto"/>
        </w:rPr>
        <w:t xml:space="preserve">” means, as of any date of determination, the aggregate amount of all proceeds of demands made on the Series 2023-8 Demand Notes included in the Series 2023-8 Demand Note Payment Amount as of the Multi-Series Letter of Credit Termination Date that were paid by the Demand Note Issuers more than one year before such date of determination;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 Event of Bankruptcy (or the occurrence of an event described in clause</w:t>
      </w:r>
    </w:p>
    <w:p>
      <w:pPr>
        <w:spacing w:after="0" w:line="2" w:lineRule="exact"/>
        <w:rPr>
          <w:sz w:val="20"/>
          <w:szCs w:val="20"/>
          <w:color w:val="auto"/>
        </w:rPr>
      </w:pPr>
    </w:p>
    <w:p>
      <w:pPr>
        <w:jc w:val="both"/>
        <w:ind w:firstLine="8"/>
        <w:spacing w:after="0" w:line="262" w:lineRule="auto"/>
        <w:tabs>
          <w:tab w:leader="none" w:pos="307" w:val="left"/>
        </w:tabs>
        <w:numPr>
          <w:ilvl w:val="0"/>
          <w:numId w:val="4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w:t>
      </w: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ectPr>
          <w:pgSz w:w="11900" w:h="16838" w:orient="portrait"/>
          <w:cols w:equalWidth="0" w:num="1">
            <w:col w:w="11240"/>
          </w:cols>
          <w:pgMar w:left="320" w:top="1030" w:right="339" w:bottom="1440" w:gutter="0" w:footer="0" w:header="0"/>
        </w:sectPr>
      </w:pPr>
    </w:p>
    <w:bookmarkStart w:id="436" w:name="page437"/>
    <w:bookmarkEnd w:id="436"/>
    <w:p>
      <w:pPr>
        <w:jc w:val="both"/>
        <w:spacing w:after="0" w:line="271" w:lineRule="auto"/>
        <w:rPr>
          <w:sz w:val="20"/>
          <w:szCs w:val="20"/>
          <w:color w:val="auto"/>
        </w:rPr>
      </w:pPr>
      <w:r>
        <w:rPr>
          <w:rFonts w:ascii="Times New Roman" w:cs="Times New Roman" w:eastAsia="Times New Roman" w:hAnsi="Times New Roman"/>
          <w:sz w:val="22"/>
          <w:szCs w:val="22"/>
          <w:color w:val="auto"/>
        </w:rPr>
        <w:t>Pre-Preference Period Demand Note Payments as of any date after the conclusion or dismissal of such proceedings shall equal the Series 2023-8 Demand Note Payment Amount as of the date of the conclusion or dismissal of such proceedings.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A&amp;R 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 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Reinvestment Yield</w:t>
      </w:r>
      <w:r>
        <w:rPr>
          <w:rFonts w:ascii="Times New Roman" w:cs="Times New Roman" w:eastAsia="Times New Roman" w:hAnsi="Times New Roman"/>
          <w:sz w:val="22"/>
          <w:szCs w:val="22"/>
          <w:color w:val="auto"/>
        </w:rPr>
        <w:t>” means, with respect to any Remaining Distribution Amount, the sum of (i) 0.25% and (ii) the greater of (x) 0% and (y) the U.S. Treasury Rate with respect to such Remaining Distribution Amount.</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Remaining Distribution Amount</w:t>
      </w:r>
      <w:r>
        <w:rPr>
          <w:rFonts w:ascii="Times New Roman" w:cs="Times New Roman" w:eastAsia="Times New Roman" w:hAnsi="Times New Roman"/>
          <w:sz w:val="22"/>
          <w:szCs w:val="22"/>
          <w:color w:val="auto"/>
        </w:rPr>
        <w:t>” 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September 2028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September 2028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September 2028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September 2028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spacing w:after="0" w:line="19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Controlling Class Series 2023-8 Noteholders</w:t>
      </w:r>
      <w:r>
        <w:rPr>
          <w:rFonts w:ascii="Times New Roman" w:cs="Times New Roman" w:eastAsia="Times New Roman" w:hAnsi="Times New Roman"/>
          <w:sz w:val="22"/>
          <w:szCs w:val="22"/>
          <w:color w:val="auto"/>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2023-8 Notes</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ectPr>
          <w:pgSz w:w="11900" w:h="16838" w:orient="portrait"/>
          <w:cols w:equalWidth="0" w:num="1">
            <w:col w:w="11240"/>
          </w:cols>
          <w:pgMar w:left="320" w:top="1030" w:right="339" w:bottom="1440" w:gutter="0" w:footer="0" w:header="0"/>
        </w:sectPr>
      </w:pPr>
    </w:p>
    <w:bookmarkStart w:id="437" w:name="page438"/>
    <w:bookmarkEnd w:id="437"/>
    <w:p>
      <w:pPr>
        <w:jc w:val="both"/>
        <w:spacing w:after="0" w:line="256" w:lineRule="auto"/>
        <w:rPr>
          <w:sz w:val="20"/>
          <w:szCs w:val="20"/>
          <w:color w:val="auto"/>
        </w:rPr>
      </w:pPr>
      <w:r>
        <w:rPr>
          <w:rFonts w:ascii="Times New Roman" w:cs="Times New Roman" w:eastAsia="Times New Roman" w:hAnsi="Times New Roman"/>
          <w:sz w:val="22"/>
          <w:szCs w:val="22"/>
          <w:color w:val="auto"/>
        </w:rPr>
        <w:t>held by ABCR or any Affiliate of ABCR unless ABCR or such Affiliate is the sole Series 2023-8 Noteholder) and (v) if no Class A Notes, Class B Notes, Class C Notes or Class D Notes are outstanding, Class R Noteholders holding more than 50% Class R Invested Amount (excluding, for the purpose of making any of the foregoing calculations, any Series 2023-8 Notes held by ABCR or any Affiliate of ABCR unless ABCR or such Affiliate is the sole Series 2023-8 Noteholder).</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Series 2023-8 Noteholders</w:t>
      </w:r>
      <w:r>
        <w:rPr>
          <w:rFonts w:ascii="Times New Roman" w:cs="Times New Roman" w:eastAsia="Times New Roman" w:hAnsi="Times New Roman"/>
          <w:sz w:val="22"/>
          <w:szCs w:val="22"/>
          <w:color w:val="auto"/>
        </w:rPr>
        <w:t>” means Series 2023-8 Noteholders holding, in the aggregate, more than 50% of the Series 2023-8 Invested Amount (excluding, for the purpose of making the foregoing calculation (x) for all purposes, any Series 2023-8 Notes held by ABCR or any Affiliate of ABCR unless ABCR is the sole Series 2023-8 Noteholder and (y) for so long as any Class A Notes, the Class B Notes, or the Class C Notes are outstanding, any Class D Notes).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A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B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C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D Note</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Class R Note</w:t>
      </w:r>
      <w:r>
        <w:rPr>
          <w:rFonts w:ascii="Times New Roman" w:cs="Times New Roman" w:eastAsia="Times New Roman" w:hAnsi="Times New Roman"/>
          <w:sz w:val="22"/>
          <w:szCs w:val="22"/>
          <w:color w:val="auto"/>
        </w:rPr>
        <w:t>” is defined in Section 4.1.</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Series 2023-8 Notes</w:t>
      </w:r>
      <w:r>
        <w:rPr>
          <w:rFonts w:ascii="Times New Roman" w:cs="Times New Roman" w:eastAsia="Times New Roman" w:hAnsi="Times New Roman"/>
          <w:sz w:val="22"/>
          <w:szCs w:val="22"/>
          <w:color w:val="auto"/>
        </w:rPr>
        <w:t>” is defined in Section 4.1.</w:t>
      </w:r>
    </w:p>
    <w:p>
      <w:pPr>
        <w:spacing w:after="0" w:line="22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Selected Fleet Market Value</w:t>
      </w:r>
      <w:r>
        <w:rPr>
          <w:rFonts w:ascii="Times New Roman" w:cs="Times New Roman" w:eastAsia="Times New Roman" w:hAnsi="Times New Roman"/>
          <w:sz w:val="21"/>
          <w:szCs w:val="21"/>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the Finance Guide is not being published, the Market Value of such</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bl>
    <w:p>
      <w:pPr>
        <w:sectPr>
          <w:pgSz w:w="11900" w:h="16838" w:orient="portrait"/>
          <w:cols w:equalWidth="0" w:num="1">
            <w:col w:w="11240"/>
          </w:cols>
          <w:pgMar w:left="320" w:top="1030" w:right="339" w:bottom="1440" w:gutter="0" w:footer="0" w:header="0"/>
        </w:sectPr>
      </w:pPr>
    </w:p>
    <w:bookmarkStart w:id="438" w:name="page439"/>
    <w:bookmarkEnd w:id="43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2010-6 Notes</w:t>
      </w:r>
      <w:r>
        <w:rPr>
          <w:rFonts w:ascii="Times New Roman" w:cs="Times New Roman" w:eastAsia="Times New Roman" w:hAnsi="Times New Roman"/>
          <w:sz w:val="22"/>
          <w:szCs w:val="22"/>
          <w:color w:val="auto"/>
        </w:rPr>
        <w:t>” means the Series of Notes designated as the Series 2010-6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2011-4 Notes</w:t>
      </w:r>
      <w:r>
        <w:rPr>
          <w:rFonts w:ascii="Times New Roman" w:cs="Times New Roman" w:eastAsia="Times New Roman" w:hAnsi="Times New Roman"/>
          <w:sz w:val="22"/>
          <w:szCs w:val="22"/>
          <w:color w:val="auto"/>
        </w:rPr>
        <w:t>” means the Series of Notes designated as the Series 2011-4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2015-3 Notes</w:t>
      </w:r>
      <w:r>
        <w:rPr>
          <w:rFonts w:ascii="Times New Roman" w:cs="Times New Roman" w:eastAsia="Times New Roman" w:hAnsi="Times New Roman"/>
          <w:sz w:val="22"/>
          <w:szCs w:val="22"/>
          <w:color w:val="auto"/>
        </w:rPr>
        <w:t>” means the Series of Notes designated as the Series 2015-3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2020-1 Notes</w:t>
      </w:r>
      <w:r>
        <w:rPr>
          <w:rFonts w:ascii="Times New Roman" w:cs="Times New Roman" w:eastAsia="Times New Roman" w:hAnsi="Times New Roman"/>
          <w:sz w:val="22"/>
          <w:szCs w:val="22"/>
          <w:color w:val="auto"/>
        </w:rPr>
        <w:t>” means the Series of Notes designated as the Series 2020-1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2020-2 Notes</w:t>
      </w:r>
      <w:r>
        <w:rPr>
          <w:rFonts w:ascii="Times New Roman" w:cs="Times New Roman" w:eastAsia="Times New Roman" w:hAnsi="Times New Roman"/>
          <w:sz w:val="22"/>
          <w:szCs w:val="22"/>
          <w:color w:val="auto"/>
        </w:rPr>
        <w:t>” means the Series of Notes designated as the Series 2020-2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2021-1 Notes</w:t>
      </w:r>
      <w:r>
        <w:rPr>
          <w:rFonts w:ascii="Times New Roman" w:cs="Times New Roman" w:eastAsia="Times New Roman" w:hAnsi="Times New Roman"/>
          <w:sz w:val="22"/>
          <w:szCs w:val="22"/>
          <w:color w:val="auto"/>
        </w:rPr>
        <w:t>” means the Series of Notes designated as the Series 2021-1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2021-2 Notes</w:t>
      </w:r>
      <w:r>
        <w:rPr>
          <w:rFonts w:ascii="Times New Roman" w:cs="Times New Roman" w:eastAsia="Times New Roman" w:hAnsi="Times New Roman"/>
          <w:sz w:val="22"/>
          <w:szCs w:val="22"/>
          <w:color w:val="auto"/>
        </w:rPr>
        <w:t>” means the Series of Notes designated as the Series 2021-2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2022-1 Notes</w:t>
      </w:r>
      <w:r>
        <w:rPr>
          <w:rFonts w:ascii="Times New Roman" w:cs="Times New Roman" w:eastAsia="Times New Roman" w:hAnsi="Times New Roman"/>
          <w:sz w:val="22"/>
          <w:szCs w:val="22"/>
          <w:color w:val="auto"/>
        </w:rPr>
        <w:t>” means the Series of Notes designated as the Series 2022-1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2022-3 Notes</w:t>
      </w:r>
      <w:r>
        <w:rPr>
          <w:rFonts w:ascii="Times New Roman" w:cs="Times New Roman" w:eastAsia="Times New Roman" w:hAnsi="Times New Roman"/>
          <w:sz w:val="22"/>
          <w:szCs w:val="22"/>
          <w:color w:val="auto"/>
        </w:rPr>
        <w:t>” means the Series of Notes designated as the Series 2022-3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2022-4 Notes</w:t>
      </w:r>
      <w:r>
        <w:rPr>
          <w:rFonts w:ascii="Times New Roman" w:cs="Times New Roman" w:eastAsia="Times New Roman" w:hAnsi="Times New Roman"/>
          <w:sz w:val="22"/>
          <w:szCs w:val="22"/>
          <w:color w:val="auto"/>
        </w:rPr>
        <w:t>” means the Series of Notes designated as the Series 2022-4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2022-5 Notes</w:t>
      </w:r>
      <w:r>
        <w:rPr>
          <w:rFonts w:ascii="Times New Roman" w:cs="Times New Roman" w:eastAsia="Times New Roman" w:hAnsi="Times New Roman"/>
          <w:sz w:val="22"/>
          <w:szCs w:val="22"/>
          <w:color w:val="auto"/>
        </w:rPr>
        <w:t>” means the Series of Notes designated as the Series 2022-5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2023-1 Notes</w:t>
      </w:r>
      <w:r>
        <w:rPr>
          <w:rFonts w:ascii="Times New Roman" w:cs="Times New Roman" w:eastAsia="Times New Roman" w:hAnsi="Times New Roman"/>
          <w:sz w:val="22"/>
          <w:szCs w:val="22"/>
          <w:color w:val="auto"/>
        </w:rPr>
        <w:t>” means the Series of Notes designated as the Series 2023-1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2023-2 Notes</w:t>
      </w:r>
      <w:r>
        <w:rPr>
          <w:rFonts w:ascii="Times New Roman" w:cs="Times New Roman" w:eastAsia="Times New Roman" w:hAnsi="Times New Roman"/>
          <w:sz w:val="22"/>
          <w:szCs w:val="22"/>
          <w:color w:val="auto"/>
        </w:rPr>
        <w:t>” means the Series of Notes designated as the Series 2023-2 Notes.</w:t>
      </w:r>
    </w:p>
    <w:p>
      <w:pPr>
        <w:spacing w:after="0" w:line="200" w:lineRule="exact"/>
        <w:rPr>
          <w:sz w:val="20"/>
          <w:szCs w:val="20"/>
          <w:color w:val="auto"/>
        </w:rPr>
      </w:pP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ectPr>
          <w:pgSz w:w="11900" w:h="16838" w:orient="portrait"/>
          <w:cols w:equalWidth="0" w:num="1">
            <w:col w:w="11240"/>
          </w:cols>
          <w:pgMar w:left="320" w:top="1030" w:right="339" w:bottom="1440" w:gutter="0" w:footer="0" w:header="0"/>
        </w:sectPr>
      </w:pPr>
    </w:p>
    <w:bookmarkStart w:id="439" w:name="page440"/>
    <w:bookmarkEnd w:id="439"/>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2023-3 Notes</w:t>
      </w:r>
      <w:r>
        <w:rPr>
          <w:rFonts w:ascii="Times New Roman" w:cs="Times New Roman" w:eastAsia="Times New Roman" w:hAnsi="Times New Roman"/>
          <w:sz w:val="22"/>
          <w:szCs w:val="22"/>
          <w:color w:val="auto"/>
        </w:rPr>
        <w:t>” means the Series of Notes designated as the Series 2023-3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2023-4 Notes</w:t>
      </w:r>
      <w:r>
        <w:rPr>
          <w:rFonts w:ascii="Times New Roman" w:cs="Times New Roman" w:eastAsia="Times New Roman" w:hAnsi="Times New Roman"/>
          <w:sz w:val="22"/>
          <w:szCs w:val="22"/>
          <w:color w:val="auto"/>
        </w:rPr>
        <w:t>” means the Series of Notes designated as the Series 2023-4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2023-5 Notes</w:t>
      </w:r>
      <w:r>
        <w:rPr>
          <w:rFonts w:ascii="Times New Roman" w:cs="Times New Roman" w:eastAsia="Times New Roman" w:hAnsi="Times New Roman"/>
          <w:sz w:val="22"/>
          <w:szCs w:val="22"/>
          <w:color w:val="auto"/>
        </w:rPr>
        <w:t>” means the Series of Notes designated as the Series 2023-5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2023-6 Notes</w:t>
      </w:r>
      <w:r>
        <w:rPr>
          <w:rFonts w:ascii="Times New Roman" w:cs="Times New Roman" w:eastAsia="Times New Roman" w:hAnsi="Times New Roman"/>
          <w:sz w:val="22"/>
          <w:szCs w:val="22"/>
          <w:color w:val="auto"/>
        </w:rPr>
        <w:t>” means the Series of Notes designated as the Series 2023-6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2023-7 Notes</w:t>
      </w:r>
      <w:r>
        <w:rPr>
          <w:rFonts w:ascii="Times New Roman" w:cs="Times New Roman" w:eastAsia="Times New Roman" w:hAnsi="Times New Roman"/>
          <w:sz w:val="22"/>
          <w:szCs w:val="22"/>
          <w:color w:val="auto"/>
        </w:rPr>
        <w:t>” means the Series of Notes designated as the Series 2023-7 Notes.</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Accounts</w:t>
      </w:r>
      <w:r>
        <w:rPr>
          <w:rFonts w:ascii="Times New Roman" w:cs="Times New Roman" w:eastAsia="Times New Roman" w:hAnsi="Times New Roman"/>
          <w:sz w:val="22"/>
          <w:szCs w:val="22"/>
          <w:color w:val="auto"/>
        </w:rPr>
        <w:t>” means each of the Series 2023-8 Distribution Account, the Class A/B/C Reserve Account, the Class D Reserve Account, the Series 2023-8 Collection Account, the Series 2023-8 Excess Collection Account and the Series 2023-8 Accrued Interest Account.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Accrued Interest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AESOP I Operating Lease Loan Agreement Borrowing Base</w:t>
      </w:r>
      <w:r>
        <w:rPr>
          <w:rFonts w:ascii="Times New Roman" w:cs="Times New Roman" w:eastAsia="Times New Roman" w:hAnsi="Times New Roman"/>
          <w:sz w:val="22"/>
          <w:szCs w:val="22"/>
          <w:color w:val="auto"/>
        </w:rPr>
        <w:t xml:space="preserve">” means, as of any date of determination, the product of (a) the Series 2023-8 AESOP I Operating Lease Vehicle Percentage as of such date and (b) the excess of (i) the AESOP I Operating Lease Loan Agreement Borrowing Base as of such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(ii) the Moody’s Excluded Manufacturer Amount as of such date.</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AESOP I Operating Lease Vehicle Percentage</w:t>
      </w:r>
      <w:r>
        <w:rPr>
          <w:rFonts w:ascii="Times New Roman" w:cs="Times New Roman" w:eastAsia="Times New Roman" w:hAnsi="Times New Roman"/>
          <w:sz w:val="22"/>
          <w:szCs w:val="22"/>
          <w:color w:val="auto"/>
        </w:rPr>
        <w:t>” means, as of any date of determination, a fraction, expressed as a percentage (which percentage shall never exceed 100%), the numerator of which is the Series 2023-8 Required AESOP I Operating Lease Vehicle Amount as of such date and the denominator of which is the sum of the Required AESOP I Operating Lease Vehicle Amounts for all Series of Notes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Agent</w:t>
      </w:r>
      <w:r>
        <w:rPr>
          <w:rFonts w:ascii="Times New Roman" w:cs="Times New Roman" w:eastAsia="Times New Roman" w:hAnsi="Times New Roman"/>
          <w:sz w:val="22"/>
          <w:szCs w:val="22"/>
          <w:color w:val="auto"/>
        </w:rPr>
        <w:t>” is defined in the recitals hereto.</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Allocated Cash Amount</w:t>
      </w:r>
      <w:r>
        <w:rPr>
          <w:rFonts w:ascii="Times New Roman" w:cs="Times New Roman" w:eastAsia="Times New Roman" w:hAnsi="Times New Roman"/>
          <w:sz w:val="22"/>
          <w:szCs w:val="22"/>
          <w:color w:val="auto"/>
        </w:rPr>
        <w:t>” means, as of any date of determination, an amount equal to (x) all cash on deposit in the Collection Account as of such date times (y) the Series 2023-8 Invested Percentage (calculated with respect to Principal Collections) as of such date.</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Cash Collateral Accounts</w:t>
      </w:r>
      <w:r>
        <w:rPr>
          <w:rFonts w:ascii="Times New Roman" w:cs="Times New Roman" w:eastAsia="Times New Roman" w:hAnsi="Times New Roman"/>
          <w:sz w:val="22"/>
          <w:szCs w:val="22"/>
          <w:color w:val="auto"/>
        </w:rPr>
        <w:t>” means, together, the Class A/B/C Cash Collateral Account and the Class D Cash Collateral Account.</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Collateral</w:t>
      </w:r>
      <w:r>
        <w:rPr>
          <w:rFonts w:ascii="Times New Roman" w:cs="Times New Roman" w:eastAsia="Times New Roman" w:hAnsi="Times New Roman"/>
          <w:sz w:val="22"/>
          <w:szCs w:val="22"/>
          <w:color w:val="auto"/>
        </w:rPr>
        <w:t>” means the Collateral, the Multi-Series Letters of Credit, each Series 2023-8 Demand Note, the Series 2023-8 Distribution Account Collateral, the Class A/B/C Cash Collateral Account Collateral, the Class D Cash Collateral Account Collateral, the Class A/B/C Reserve Account Collateral and the Class D Reserve Account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ectPr>
          <w:pgSz w:w="11900" w:h="16838" w:orient="portrait"/>
          <w:cols w:equalWidth="0" w:num="1">
            <w:col w:w="11240"/>
          </w:cols>
          <w:pgMar w:left="320" w:top="1030" w:right="339" w:bottom="1440" w:gutter="0" w:footer="0" w:header="0"/>
        </w:sectPr>
      </w:pPr>
    </w:p>
    <w:bookmarkStart w:id="440" w:name="page441"/>
    <w:bookmarkEnd w:id="440"/>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Collection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Controlled Amortization Period</w:t>
      </w:r>
      <w:r>
        <w:rPr>
          <w:rFonts w:ascii="Times New Roman" w:cs="Times New Roman" w:eastAsia="Times New Roman" w:hAnsi="Times New Roman"/>
          <w:sz w:val="22"/>
          <w:szCs w:val="22"/>
          <w:color w:val="auto"/>
        </w:rPr>
        <w:t>” means the period commencing upon the close of business on July 31, 2028 (or, if such day is not a Business Day, the Business Day immediately preceding such day) and continuing to the earliest of (i) the commencement of the Series 2023-8 Rapid Amortization Period, (ii) the date on which the Series 2023-8 Notes are fully paid and (iii) the termination of the Indenture.</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Demand Note</w:t>
      </w:r>
      <w:r>
        <w:rPr>
          <w:rFonts w:ascii="Times New Roman" w:cs="Times New Roman" w:eastAsia="Times New Roman" w:hAnsi="Times New Roman"/>
          <w:sz w:val="22"/>
          <w:szCs w:val="22"/>
          <w:color w:val="auto"/>
        </w:rPr>
        <w:t xml:space="preserve">” means each demand note made by a Demand Note Issuer, substantially in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as amended, modified or restated from time to time.</w:t>
      </w:r>
    </w:p>
    <w:p>
      <w:pPr>
        <w:spacing w:after="0" w:line="17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Demand Note Payment Amount</w:t>
      </w:r>
      <w:r>
        <w:rPr>
          <w:rFonts w:ascii="Times New Roman" w:cs="Times New Roman" w:eastAsia="Times New Roman" w:hAnsi="Times New Roman"/>
          <w:sz w:val="22"/>
          <w:szCs w:val="22"/>
          <w:color w:val="auto"/>
        </w:rPr>
        <w:t xml:space="preserve">” means, as of the Multi-Series Letter of Credit Termination Date, the aggregate amount of all proceeds of demands made on the Series 2023-8 Demand Notes pursuant to Section 2.5(c)(i), (d)(i) or (e)(i) that were deposited into the Series 2023-8 Distribution Account and paid to the Series 2023-8 Noteholders during the one year period ending on the Multi-Series Letter of Credit Termination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2023-8 Demand Note Payment Amount as of the Multi-Series Letter of Credit Termination Date shall equal the Series 2023-8 Demand Note Payment Amount as if it were calculated as of the date of such occurrence.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Deposit Date</w:t>
      </w:r>
      <w:r>
        <w:rPr>
          <w:rFonts w:ascii="Times New Roman" w:cs="Times New Roman" w:eastAsia="Times New Roman" w:hAnsi="Times New Roman"/>
          <w:sz w:val="22"/>
          <w:szCs w:val="22"/>
          <w:color w:val="auto"/>
        </w:rPr>
        <w:t>” is defined in Section 2.2.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Distribution Account</w:t>
      </w:r>
      <w:r>
        <w:rPr>
          <w:rFonts w:ascii="Times New Roman" w:cs="Times New Roman" w:eastAsia="Times New Roman" w:hAnsi="Times New Roman"/>
          <w:sz w:val="22"/>
          <w:szCs w:val="22"/>
          <w:color w:val="auto"/>
        </w:rPr>
        <w:t>” is defined in Section 2.9(a).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Distribution Account Collateral</w:t>
      </w:r>
      <w:r>
        <w:rPr>
          <w:rFonts w:ascii="Times New Roman" w:cs="Times New Roman" w:eastAsia="Times New Roman" w:hAnsi="Times New Roman"/>
          <w:sz w:val="22"/>
          <w:szCs w:val="22"/>
          <w:color w:val="auto"/>
        </w:rPr>
        <w:t>” is defined in Section 2.9(d).</w:t>
      </w:r>
    </w:p>
    <w:p>
      <w:pPr>
        <w:spacing w:after="0" w:line="23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2023-8 Eligible Letter of Credit Provider</w:t>
      </w:r>
      <w:r>
        <w:rPr>
          <w:rFonts w:ascii="Times New Roman" w:cs="Times New Roman" w:eastAsia="Times New Roman" w:hAnsi="Times New Roman"/>
          <w:sz w:val="21"/>
          <w:szCs w:val="21"/>
          <w:color w:val="auto"/>
        </w:rPr>
        <w:t xml:space="preserve">” 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Person is not a Multi-Series Letter of Credit Provider (or a letter of credit provider under the Series Supplement for any other Series of Notes), then such Person shall not be a Series 2023-8 Eligible Letter of Credit Provider until ABRCF has provided ten (10) days’ prior notice to the Rating Agencies that such Person has been proposed as a Multi-Series Letter of Credit Provider.</w:t>
      </w:r>
    </w:p>
    <w:p>
      <w:pPr>
        <w:spacing w:after="0" w:line="17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Enhancement</w:t>
      </w:r>
      <w:r>
        <w:rPr>
          <w:rFonts w:ascii="Times New Roman" w:cs="Times New Roman" w:eastAsia="Times New Roman" w:hAnsi="Times New Roman"/>
          <w:sz w:val="22"/>
          <w:szCs w:val="22"/>
          <w:color w:val="auto"/>
        </w:rPr>
        <w:t>” means the Class A/B/C Cash Collateral Account Collateral, the Class D Cash Collateral Account Collateral, the Multi-Series Letters of Credit, the Series 2023-8 Demand Notes, the Class D Overcollateralization Amount and the Class A/B/C Required Reserve Account Amount.</w:t>
      </w:r>
    </w:p>
    <w:p>
      <w:pPr>
        <w:sectPr>
          <w:pgSz w:w="11900" w:h="16838" w:orient="portrait"/>
          <w:cols w:equalWidth="0" w:num="1">
            <w:col w:w="11240"/>
          </w:cols>
          <w:pgMar w:left="320" w:top="1030" w:right="339" w:bottom="1440" w:gutter="0" w:footer="0" w:header="0"/>
        </w:sectPr>
      </w:pP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Enhancement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Deficiency</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means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Class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A/B/C</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Enhancement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Deficiency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Class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w:t>
      </w:r>
    </w:p>
    <w:p>
      <w:pPr>
        <w:spacing w:after="0" w:line="63" w:lineRule="exact"/>
        <w:rPr>
          <w:sz w:val="20"/>
          <w:szCs w:val="20"/>
          <w:color w:val="auto"/>
        </w:rPr>
      </w:pPr>
    </w:p>
    <w:p>
      <w:pPr>
        <w:sectPr>
          <w:pgSz w:w="11900" w:h="16838" w:orient="portrait"/>
          <w:cols w:equalWidth="0" w:num="11">
            <w:col w:w="2680" w:space="120"/>
            <w:col w:w="1180" w:space="140"/>
            <w:col w:w="1040" w:space="140"/>
            <w:col w:w="560" w:space="120"/>
            <w:col w:w="700" w:space="140"/>
            <w:col w:w="560" w:space="140"/>
            <w:col w:w="1180" w:space="140"/>
            <w:col w:w="940" w:space="140"/>
            <w:col w:w="180" w:space="140"/>
            <w:col w:w="700" w:space="140"/>
            <w:col w:w="160"/>
          </w:cols>
          <w:pgMar w:left="320" w:top="103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Enhancement Deficiency.</w:t>
      </w:r>
    </w:p>
    <w:p>
      <w:pPr>
        <w:sectPr>
          <w:pgSz w:w="11900" w:h="16838" w:orient="portrait"/>
          <w:cols w:equalWidth="0" w:num="1">
            <w:col w:w="11240"/>
          </w:cols>
          <w:pgMar w:left="320" w:top="10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0"/>
          <w:szCs w:val="10"/>
          <w:color w:val="auto"/>
        </w:rPr>
        <w:t>AMERICAS 130188170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2">
            <w:col w:w="4620" w:space="720"/>
            <w:col w:w="5900"/>
          </w:cols>
          <w:pgMar w:left="320" w:top="1030" w:right="339" w:bottom="1440" w:gutter="0" w:footer="0" w:header="0"/>
          <w:type w:val="continuous"/>
        </w:sectPr>
      </w:pPr>
    </w:p>
    <w:bookmarkStart w:id="441" w:name="page442"/>
    <w:bookmarkEnd w:id="44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Excess Collection Account</w:t>
      </w:r>
      <w:r>
        <w:rPr>
          <w:rFonts w:ascii="Times New Roman" w:cs="Times New Roman" w:eastAsia="Times New Roman" w:hAnsi="Times New Roman"/>
          <w:sz w:val="22"/>
          <w:szCs w:val="22"/>
          <w:color w:val="auto"/>
        </w:rPr>
        <w:t>” is defined in Section 2.1(b).</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Excess Tesla Percentage</w:t>
      </w:r>
      <w:r>
        <w:rPr>
          <w:rFonts w:ascii="Times New Roman" w:cs="Times New Roman" w:eastAsia="Times New Roman" w:hAnsi="Times New Roman"/>
          <w:sz w:val="22"/>
          <w:szCs w:val="22"/>
          <w:color w:val="auto"/>
        </w:rPr>
        <w:t>” means, as of any date of determination, the greater of (1) zero and (2) the percentage equal to (x) a fraction (expressed as a percentage) equal to the aggregate Net Book Value of all Vehicles manufactured by Tesla and leased under the Leases divided by the aggregate Net Book Value of all Vehicles leased under the Leases minus (y) 15 percentage points.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Expected Final Distribution Date</w:t>
      </w:r>
      <w:r>
        <w:rPr>
          <w:rFonts w:ascii="Times New Roman" w:cs="Times New Roman" w:eastAsia="Times New Roman" w:hAnsi="Times New Roman"/>
          <w:sz w:val="22"/>
          <w:szCs w:val="22"/>
          <w:color w:val="auto"/>
        </w:rPr>
        <w:t>” means the February 2029 Distribution Date.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Final Distribution Date</w:t>
      </w:r>
      <w:r>
        <w:rPr>
          <w:rFonts w:ascii="Times New Roman" w:cs="Times New Roman" w:eastAsia="Times New Roman" w:hAnsi="Times New Roman"/>
          <w:sz w:val="22"/>
          <w:szCs w:val="22"/>
          <w:color w:val="auto"/>
        </w:rPr>
        <w:t>” means the February 2030 Distribution Date.</w:t>
      </w:r>
    </w:p>
    <w:p>
      <w:pPr>
        <w:spacing w:after="0" w:line="227"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Interest Period</w:t>
      </w:r>
      <w:r>
        <w:rPr>
          <w:rFonts w:ascii="Times New Roman" w:cs="Times New Roman" w:eastAsia="Times New Roman" w:hAnsi="Times New Roman"/>
          <w:sz w:val="22"/>
          <w:szCs w:val="22"/>
          <w:color w:val="auto"/>
        </w:rPr>
        <w:t>” means a period commencing on and including the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each calendar month and ending on and including the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in the following calendar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(x) the initial Series 2023-8 Interest Period with respect to the Class A Notes, the Class B Notes and the Class C Notes commenced on and included the Class A/B/C Notes Closing Date and ended on and included October 19, 2023 and (y) the initial Series 2023-8 Interest Period with respect to the Class D Notes shall commence on and include the Class D Closing Date and shall end on and include March 19, 2025.</w:t>
      </w:r>
    </w:p>
    <w:p>
      <w:pPr>
        <w:spacing w:after="0" w:line="20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Invested Amount</w:t>
      </w:r>
      <w:r>
        <w:rPr>
          <w:rFonts w:ascii="Times New Roman" w:cs="Times New Roman" w:eastAsia="Times New Roman" w:hAnsi="Times New Roman"/>
          <w:sz w:val="22"/>
          <w:szCs w:val="22"/>
          <w:color w:val="auto"/>
        </w:rPr>
        <w:t>” 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Invested Percentage</w:t>
      </w:r>
      <w:r>
        <w:rPr>
          <w:rFonts w:ascii="Times New Roman" w:cs="Times New Roman" w:eastAsia="Times New Roman" w:hAnsi="Times New Roman"/>
          <w:sz w:val="22"/>
          <w:szCs w:val="22"/>
          <w:color w:val="auto"/>
        </w:rPr>
        <w:t>” means, as of any date of determination:</w:t>
      </w:r>
    </w:p>
    <w:p>
      <w:pPr>
        <w:spacing w:after="0" w:line="220" w:lineRule="exact"/>
        <w:rPr>
          <w:sz w:val="20"/>
          <w:szCs w:val="20"/>
          <w:color w:val="auto"/>
        </w:rPr>
      </w:pPr>
    </w:p>
    <w:p>
      <w:pPr>
        <w:jc w:val="both"/>
        <w:ind w:firstLine="1304"/>
        <w:spacing w:after="0" w:line="249" w:lineRule="auto"/>
        <w:tabs>
          <w:tab w:leader="none" w:pos="1630" w:val="left"/>
        </w:tabs>
        <w:numPr>
          <w:ilvl w:val="0"/>
          <w:numId w:val="4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2023-8 Invested Amount and the Class D Overcollateralization Amount, determined during the Series 2023-8 Revolving Period as of the end of the Related Month (or, until the end of the Related Month during which the Class D Notes Closing Date occurs, on the Class D Notes Closing Date), or, during the Series 2023-8 Controlled Amortization Period and the Series 2023-8 Rapid Amortization Period, as of the end of the Series 2023-8 Revolving Period, and the denominator of which shall be the greater of (I) the Aggregate Asset Amount as of the end of the Related Month or, until the end of the initial Related Month, as 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83" w:lineRule="exact"/>
        <w:rPr>
          <w:rFonts w:ascii="Times New Roman" w:cs="Times New Roman" w:eastAsia="Times New Roman" w:hAnsi="Times New Roman"/>
          <w:sz w:val="22"/>
          <w:szCs w:val="22"/>
          <w:color w:val="auto"/>
        </w:rPr>
      </w:pPr>
    </w:p>
    <w:p>
      <w:pPr>
        <w:jc w:val="both"/>
        <w:ind w:firstLine="1304"/>
        <w:spacing w:after="0" w:line="281" w:lineRule="auto"/>
        <w:tabs>
          <w:tab w:leader="none" w:pos="1604" w:val="left"/>
        </w:tabs>
        <w:numPr>
          <w:ilvl w:val="0"/>
          <w:numId w:val="4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used with respect to Interest Collections, the percentage equivalent (which percentage shall never exceed 100%) of a fraction, the numerator of which shall be the Accrued Amounts with respect to the Series 2023-8 Notes on such date of determination, and the denominator of which shall be the aggregate Accrued Amounts with respect to all Series of Notes</w:t>
      </w:r>
    </w:p>
    <w:p>
      <w:pPr>
        <w:spacing w:after="0" w:line="200" w:lineRule="exact"/>
        <w:rPr>
          <w:sz w:val="20"/>
          <w:szCs w:val="20"/>
          <w:color w:val="auto"/>
        </w:rPr>
      </w:pP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bl>
    <w:p>
      <w:pPr>
        <w:sectPr>
          <w:pgSz w:w="11900" w:h="16838" w:orient="portrait"/>
          <w:cols w:equalWidth="0" w:num="1">
            <w:col w:w="11240"/>
          </w:cols>
          <w:pgMar w:left="320" w:top="1030" w:right="339" w:bottom="1440" w:gutter="0" w:footer="0" w:header="0"/>
        </w:sectPr>
      </w:pPr>
    </w:p>
    <w:bookmarkStart w:id="442" w:name="page443"/>
    <w:bookmarkEnd w:id="442"/>
    <w:p>
      <w:pPr>
        <w:jc w:val="both"/>
        <w:spacing w:after="0" w:line="263" w:lineRule="auto"/>
        <w:rPr>
          <w:sz w:val="20"/>
          <w:szCs w:val="20"/>
          <w:color w:val="auto"/>
        </w:rPr>
      </w:pPr>
      <w:r>
        <w:rPr>
          <w:rFonts w:ascii="Times New Roman" w:cs="Times New Roman" w:eastAsia="Times New Roman" w:hAnsi="Times New Roman"/>
          <w:sz w:val="22"/>
          <w:szCs w:val="22"/>
          <w:color w:val="auto"/>
        </w:rPr>
        <w:t>on such date of determination. For so long as ABRCF owns 100% of the Class C Notes, the accrued and unpaid interest with respect to the Class C Notes shall be $0 for purposes of calculating the Accrued Amounts with respect to the Series 2023-8 Notes.</w:t>
      </w:r>
    </w:p>
    <w:p>
      <w:pPr>
        <w:spacing w:after="0" w:line="16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Lease Interest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Interest Collections which pursuant to Section 2.2(a), (b), (c) or (d) would have been allocated to the Series 2023-8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2023-8 Accrued Interest Account (excluding any amounts paid into the Series 2023-8 Accrued Interest Account pursuant to the proviso in Sections 2.2(c)(ii) and/or 2.2(d)(ii)) from and excluding the preceding Distribution Date to and including the Business Day immediately preceding such Distribution Date over (2) the Class R Monthly Interest with respect to the Series 2023-8 Interest Period ended on the day preceding such Distribution Date.</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Lease Payment Deficit</w:t>
      </w:r>
      <w:r>
        <w:rPr>
          <w:rFonts w:ascii="Times New Roman" w:cs="Times New Roman" w:eastAsia="Times New Roman" w:hAnsi="Times New Roman"/>
          <w:sz w:val="22"/>
          <w:szCs w:val="22"/>
          <w:color w:val="auto"/>
        </w:rPr>
        <w:t>” means either a Series 2023-8 Lease Interest Payment Deficit or a Series 2023-8 Lease Principal Payment Deficit.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Lease Principal Payment Carryover Deficit</w:t>
      </w:r>
      <w:r>
        <w:rPr>
          <w:rFonts w:ascii="Times New Roman" w:cs="Times New Roman" w:eastAsia="Times New Roman" w:hAnsi="Times New Roman"/>
          <w:sz w:val="22"/>
          <w:szCs w:val="22"/>
          <w:color w:val="auto"/>
        </w:rPr>
        <w:t>” means (a) for the initial Distribution Date, zero and</w:t>
      </w:r>
    </w:p>
    <w:p>
      <w:pPr>
        <w:spacing w:after="0" w:line="28" w:lineRule="exact"/>
        <w:rPr>
          <w:sz w:val="20"/>
          <w:szCs w:val="20"/>
          <w:color w:val="auto"/>
        </w:rPr>
      </w:pPr>
    </w:p>
    <w:p>
      <w:pPr>
        <w:jc w:val="both"/>
        <w:ind w:firstLine="8"/>
        <w:spacing w:after="0" w:line="245" w:lineRule="auto"/>
        <w:tabs>
          <w:tab w:leader="none" w:pos="313" w:val="left"/>
        </w:tabs>
        <w:numPr>
          <w:ilvl w:val="0"/>
          <w:numId w:val="4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other Distribution Date, the excess of (x) the Series 2023-8 Lease Principal Payment Deficit, if any, on the preceding Distribution Date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(y) the amount deposited in the Distribution Account on such preceding Distribution Date pursuant to Section 2.5(b) on account of such Series 2023-8 Lease Principal Payment Deficit.</w:t>
      </w:r>
    </w:p>
    <w:p>
      <w:pPr>
        <w:spacing w:after="0" w:line="20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Lease Principal Payment Deficit</w:t>
      </w:r>
      <w:r>
        <w:rPr>
          <w:rFonts w:ascii="Times New Roman" w:cs="Times New Roman" w:eastAsia="Times New Roman" w:hAnsi="Times New Roman"/>
          <w:sz w:val="22"/>
          <w:szCs w:val="22"/>
          <w:color w:val="auto"/>
        </w:rPr>
        <w:t>” means on any Distribution Date, the sum of (a) the Series 2023-8 Monthly Lease Principal Payment Deficit for such Distribution Date and (b) the Series 2023-8 Lease Principal Payment Carryover Deficit for such Distribution Date.</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Limited Liquidation Event of Default</w:t>
      </w:r>
      <w:r>
        <w:rPr>
          <w:rFonts w:ascii="Times New Roman" w:cs="Times New Roman" w:eastAsia="Times New Roman" w:hAnsi="Times New Roman"/>
          <w:sz w:val="22"/>
          <w:szCs w:val="22"/>
          <w:color w:val="auto"/>
        </w:rPr>
        <w:t xml:space="preserve">” means, so long as such event or condition continues, any event or condition of the type specified in clauses (a) through (g) of Article III;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event or condition of the type specified in clauses (a) through (g) of Article III shall not constitute a Series 2023-8 Limited Liquidation Event of Default if the Trustee shall have received the written consent of the Requisite Series 2023-8 Noteholders waiving the occurrence of such Series 2023-8 Limited Liquidation Event of Default. The Trustee shall promptly (but in any event within two (2) days) provide the Rating Agencies with written notice of such waiver.</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Monthly Lease Principal Payment Deficit</w:t>
      </w:r>
      <w:r>
        <w:rPr>
          <w:rFonts w:ascii="Times New Roman" w:cs="Times New Roman" w:eastAsia="Times New Roman" w:hAnsi="Times New Roman"/>
          <w:sz w:val="22"/>
          <w:szCs w:val="22"/>
          <w:color w:val="auto"/>
        </w:rPr>
        <w:t>” means, on any Distribution Date, an amount equal to the excess, if any, of (1) the excess, if any, of (a) the aggregate amount of Principal Collections which pursuant to Section 2.2(a), (b), (c) or (d) would have been allocated to the Series 2023-8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2023-8 Collection</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ectPr>
          <w:pgSz w:w="11900" w:h="16838" w:orient="portrait"/>
          <w:cols w:equalWidth="0" w:num="1">
            <w:col w:w="11240"/>
          </w:cols>
          <w:pgMar w:left="320" w:top="1030" w:right="339" w:bottom="1440" w:gutter="0" w:footer="0" w:header="0"/>
        </w:sectPr>
      </w:pPr>
    </w:p>
    <w:bookmarkStart w:id="443" w:name="page444"/>
    <w:bookmarkEnd w:id="443"/>
    <w:p>
      <w:pPr>
        <w:jc w:val="both"/>
        <w:spacing w:after="0" w:line="256" w:lineRule="auto"/>
        <w:rPr>
          <w:sz w:val="20"/>
          <w:szCs w:val="20"/>
          <w:color w:val="auto"/>
        </w:rPr>
      </w:pPr>
      <w:r>
        <w:rPr>
          <w:rFonts w:ascii="Times New Roman" w:cs="Times New Roman" w:eastAsia="Times New Roman" w:hAnsi="Times New Roman"/>
          <w:sz w:val="22"/>
          <w:szCs w:val="22"/>
          <w:color w:val="auto"/>
        </w:rPr>
        <w:t>Account (without giving effect to any amounts paid into the Series 2023-8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Moody’s Highest Enhanced Vehicle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Moody’s Highest Enhancement Rate</w:t>
      </w:r>
      <w:r>
        <w:rPr>
          <w:rFonts w:ascii="Times New Roman" w:cs="Times New Roman" w:eastAsia="Times New Roman" w:hAnsi="Times New Roman"/>
          <w:sz w:val="22"/>
          <w:szCs w:val="22"/>
          <w:color w:val="auto"/>
        </w:rPr>
        <w:t xml:space="preserve">” means, as of any date of determination, the sum of (a) 14.25% (with respect to calculating the Class D Required Enhancement Amount) or 27.65% (with respect to calculating the Class A/B/C Required Enhancement Amount), (b) the greater of (x) the highest, for any calendar month within the preceding 12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Measurement Month Average for the immediately preceding Measurement Month and (y) the highest, for any calendar month within the preceding 3 calendar months, of an amount (not less than zero) equal to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Market Value Average as of the Determination Date within such calendar month (excluding the Market Value Average for any Determination Date which has not yet occurred) and (c) a percentage equal to the product of (x) the Series 2023-8 Excess Tesla Percentage and (y) 10%.</w:t>
      </w:r>
    </w:p>
    <w:p>
      <w:pPr>
        <w:spacing w:after="0" w:line="182"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Moody’s Intermediate Enhanced Vehicle Percentage</w:t>
      </w:r>
      <w:r>
        <w:rPr>
          <w:rFonts w:ascii="Times New Roman" w:cs="Times New Roman" w:eastAsia="Times New Roman" w:hAnsi="Times New Roman"/>
          <w:sz w:val="22"/>
          <w:szCs w:val="22"/>
          <w:color w:val="auto"/>
        </w:rPr>
        <w:t xml:space="preserve">” means, as of any date of determination,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sum of (a) the Series 2023-8 Moody’s Lowest Enhanced Vehicle Percentage, (b) the Series 2023-8 Moody’s Highest Enhanced Vehicle Percentage and (c) the Series 2023-8 Moody’s Trucks Percentage.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Moody’s Intermediate Enhancement Rate</w:t>
      </w:r>
      <w:r>
        <w:rPr>
          <w:rFonts w:ascii="Times New Roman" w:cs="Times New Roman" w:eastAsia="Times New Roman" w:hAnsi="Times New Roman"/>
          <w:sz w:val="22"/>
          <w:szCs w:val="22"/>
          <w:color w:val="auto"/>
        </w:rPr>
        <w:t>” means, as of any date of determination, 8.50% (with respect to calculating the Class D Required Enhancement Amount) or 16.25% (with respect to calculating the Class A/B/C Required Enhancement Amount).</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2023-8 Moody’s Lowest Enhanced Vehicle Percentage</w:t>
      </w:r>
      <w:r>
        <w:rPr>
          <w:rFonts w:ascii="Times New Roman" w:cs="Times New Roman" w:eastAsia="Times New Roman" w:hAnsi="Times New Roman"/>
          <w:sz w:val="21"/>
          <w:szCs w:val="21"/>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w:t>
      </w:r>
    </w:p>
    <w:p>
      <w:pPr>
        <w:spacing w:after="0" w:line="200" w:lineRule="exact"/>
        <w:rPr>
          <w:sz w:val="20"/>
          <w:szCs w:val="20"/>
          <w:color w:val="auto"/>
        </w:rPr>
      </w:pP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bl>
    <w:p>
      <w:pPr>
        <w:sectPr>
          <w:pgSz w:w="11900" w:h="16838" w:orient="portrait"/>
          <w:cols w:equalWidth="0" w:num="1">
            <w:col w:w="11240"/>
          </w:cols>
          <w:pgMar w:left="320" w:top="1030" w:right="339" w:bottom="1440" w:gutter="0" w:footer="0" w:header="0"/>
        </w:sectPr>
      </w:pPr>
    </w:p>
    <w:bookmarkStart w:id="444" w:name="page445"/>
    <w:bookmarkEnd w:id="444"/>
    <w:p>
      <w:pPr>
        <w:jc w:val="both"/>
        <w:spacing w:after="0" w:line="253" w:lineRule="auto"/>
        <w:rPr>
          <w:sz w:val="20"/>
          <w:szCs w:val="20"/>
          <w:color w:val="auto"/>
        </w:rPr>
      </w:pPr>
      <w:r>
        <w:rPr>
          <w:rFonts w:ascii="Times New Roman" w:cs="Times New Roman" w:eastAsia="Times New Roman" w:hAnsi="Times New Roman"/>
          <w:sz w:val="22"/>
          <w:szCs w:val="22"/>
          <w:color w:val="auto"/>
        </w:rPr>
        <w:t>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Moody’s Lowest Enhancement Rate</w:t>
      </w:r>
      <w:r>
        <w:rPr>
          <w:rFonts w:ascii="Times New Roman" w:cs="Times New Roman" w:eastAsia="Times New Roman" w:hAnsi="Times New Roman"/>
          <w:sz w:val="22"/>
          <w:szCs w:val="22"/>
          <w:color w:val="auto"/>
        </w:rPr>
        <w:t>” means, as of any date of determination, 5.00% (with respect to calculating the Class D Required Enhancement Amount) or 12.75% (with respect to calculating the Class A/B/C Required Enhancement Amount).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2023-8 Moody’s Required Enhancement Amount</w:t>
      </w:r>
      <w:r>
        <w:rPr>
          <w:rFonts w:ascii="Times New Roman" w:cs="Times New Roman" w:eastAsia="Times New Roman" w:hAnsi="Times New Roman"/>
          <w:sz w:val="21"/>
          <w:szCs w:val="21"/>
          <w:color w:val="auto"/>
        </w:rPr>
        <w:t>” means, as of any date of determination, the product of</w:t>
      </w:r>
    </w:p>
    <w:p>
      <w:pPr>
        <w:spacing w:after="0" w:line="39" w:lineRule="exact"/>
        <w:rPr>
          <w:sz w:val="20"/>
          <w:szCs w:val="20"/>
          <w:color w:val="auto"/>
        </w:rPr>
      </w:pPr>
    </w:p>
    <w:p>
      <w:pPr>
        <w:jc w:val="both"/>
        <w:ind w:firstLine="8"/>
        <w:spacing w:after="0" w:line="247" w:lineRule="auto"/>
        <w:tabs>
          <w:tab w:leader="none" w:pos="265" w:val="left"/>
        </w:tabs>
        <w:numPr>
          <w:ilvl w:val="0"/>
          <w:numId w:val="4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Series 2023-8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2023-8 Senior Invested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Series 2023-8 Allocated Cash Amount.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Moody’s Required Enhancement Percentage</w:t>
      </w:r>
      <w:r>
        <w:rPr>
          <w:rFonts w:ascii="Times New Roman" w:cs="Times New Roman" w:eastAsia="Times New Roman" w:hAnsi="Times New Roman"/>
          <w:sz w:val="22"/>
          <w:szCs w:val="22"/>
          <w:color w:val="auto"/>
        </w:rPr>
        <w:t>” means, as of any date of determination, the sum of</w:t>
      </w:r>
    </w:p>
    <w:p>
      <w:pPr>
        <w:spacing w:after="0" w:line="28" w:lineRule="exact"/>
        <w:rPr>
          <w:sz w:val="20"/>
          <w:szCs w:val="20"/>
          <w:color w:val="auto"/>
        </w:rPr>
      </w:pPr>
    </w:p>
    <w:p>
      <w:pPr>
        <w:jc w:val="both"/>
        <w:ind w:firstLine="8"/>
        <w:spacing w:after="0" w:line="255" w:lineRule="auto"/>
        <w:tabs>
          <w:tab w:leader="none" w:pos="268" w:val="left"/>
        </w:tabs>
        <w:numPr>
          <w:ilvl w:val="0"/>
          <w:numId w:val="4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product of (A) the Series 2023-8 Moody’s Lowest Enhancement Rate as of such date and (B) the Series 2023-8 Moody’s Lowest Enhanced Vehicle Percentage as of such date, (ii) the product of (A) the Series 2023-8 Moody’s Intermediate Enhancement Rate as of such date and (B) the Series 2023-8 Moody’s Intermediate Enhanced Vehicle Percentage as of such date,</w:t>
      </w:r>
    </w:p>
    <w:p>
      <w:pPr>
        <w:spacing w:after="0" w:line="1" w:lineRule="exact"/>
        <w:rPr>
          <w:rFonts w:ascii="Times New Roman" w:cs="Times New Roman" w:eastAsia="Times New Roman" w:hAnsi="Times New Roman"/>
          <w:sz w:val="21"/>
          <w:szCs w:val="21"/>
          <w:color w:val="auto"/>
        </w:rPr>
      </w:pPr>
    </w:p>
    <w:p>
      <w:pPr>
        <w:jc w:val="both"/>
        <w:ind w:firstLine="8"/>
        <w:spacing w:after="0" w:line="251" w:lineRule="auto"/>
        <w:tabs>
          <w:tab w:leader="none" w:pos="381" w:val="left"/>
        </w:tabs>
        <w:numPr>
          <w:ilvl w:val="0"/>
          <w:numId w:val="4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 of (A) the Series 2023-8 Moody’s Highest Enhancement Rate as of such date and (B) the Series 2023-8 Moody’s Highest Enhanced Vehicle Percentage as of such date and (iv) the product of (A) the Series 2023-8 Moody’s Trucks Enhancement Rate as of such date and (B) the Series 2023-8 Moody’s Trucks Percentage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Moody’s Trucks Enhancement Rate</w:t>
      </w:r>
      <w:r>
        <w:rPr>
          <w:rFonts w:ascii="Times New Roman" w:cs="Times New Roman" w:eastAsia="Times New Roman" w:hAnsi="Times New Roman"/>
          <w:sz w:val="22"/>
          <w:szCs w:val="22"/>
          <w:color w:val="auto"/>
        </w:rPr>
        <w:t>” means, as of any date of determination, 35.80%.</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Moody’s Trucks Percentage</w:t>
      </w:r>
      <w:r>
        <w:rPr>
          <w:rFonts w:ascii="Times New Roman" w:cs="Times New Roman" w:eastAsia="Times New Roman" w:hAnsi="Times New Roman"/>
          <w:sz w:val="22"/>
          <w:szCs w:val="22"/>
          <w:color w:val="auto"/>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Note Owner</w:t>
      </w:r>
      <w:r>
        <w:rPr>
          <w:rFonts w:ascii="Times New Roman" w:cs="Times New Roman" w:eastAsia="Times New Roman" w:hAnsi="Times New Roman"/>
          <w:sz w:val="22"/>
          <w:szCs w:val="22"/>
          <w:color w:val="auto"/>
        </w:rPr>
        <w:t>” means each beneficial owner of a Series 2023-8 Note.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Noteholder</w:t>
      </w:r>
      <w:r>
        <w:rPr>
          <w:rFonts w:ascii="Times New Roman" w:cs="Times New Roman" w:eastAsia="Times New Roman" w:hAnsi="Times New Roman"/>
          <w:sz w:val="22"/>
          <w:szCs w:val="22"/>
          <w:color w:val="auto"/>
        </w:rPr>
        <w:t>” means any Class A Noteholder, any Class B Noteholder, any Class C Noteholder, any Class D Noteholder or any Class R Noteholder.</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Notes</w:t>
      </w:r>
      <w:r>
        <w:rPr>
          <w:rFonts w:ascii="Times New Roman" w:cs="Times New Roman" w:eastAsia="Times New Roman" w:hAnsi="Times New Roman"/>
          <w:sz w:val="22"/>
          <w:szCs w:val="22"/>
          <w:color w:val="auto"/>
        </w:rPr>
        <w:t>” means, collectively, the Class A Notes, the Class B Notes, the Class C Notes, the Class D Notes, and the Class 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ectPr>
          <w:pgSz w:w="11900" w:h="16838" w:orient="portrait"/>
          <w:cols w:equalWidth="0" w:num="1">
            <w:col w:w="11240"/>
          </w:cols>
          <w:pgMar w:left="320" w:top="1030" w:right="339" w:bottom="1440" w:gutter="0" w:footer="0" w:header="0"/>
        </w:sectPr>
      </w:pPr>
    </w:p>
    <w:bookmarkStart w:id="445" w:name="page446"/>
    <w:bookmarkEnd w:id="445"/>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Past Due Rent Payment</w:t>
      </w:r>
      <w:r>
        <w:rPr>
          <w:rFonts w:ascii="Times New Roman" w:cs="Times New Roman" w:eastAsia="Times New Roman" w:hAnsi="Times New Roman"/>
          <w:sz w:val="22"/>
          <w:szCs w:val="22"/>
          <w:color w:val="auto"/>
        </w:rPr>
        <w:t>” is defined in Section 2.2(g).</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Percentage</w:t>
      </w:r>
      <w:r>
        <w:rPr>
          <w:rFonts w:ascii="Times New Roman" w:cs="Times New Roman" w:eastAsia="Times New Roman" w:hAnsi="Times New Roman"/>
          <w:sz w:val="22"/>
          <w:szCs w:val="22"/>
          <w:color w:val="auto"/>
        </w:rPr>
        <w:t>” means, as of any date of determination, a fraction, expressed as a percentage, the numerator of which is the Series 2023-8 Invested Amount as of such date and the denominator of which is the Aggregate Invested Amount as of such date.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Principal Allocation</w:t>
      </w:r>
      <w:r>
        <w:rPr>
          <w:rFonts w:ascii="Times New Roman" w:cs="Times New Roman" w:eastAsia="Times New Roman" w:hAnsi="Times New Roman"/>
          <w:sz w:val="22"/>
          <w:szCs w:val="22"/>
          <w:color w:val="auto"/>
        </w:rPr>
        <w:t>” is defined in Section 2.2(a)(ii).</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Rapid Amortization Period</w:t>
      </w:r>
      <w:r>
        <w:rPr>
          <w:rFonts w:ascii="Times New Roman" w:cs="Times New Roman" w:eastAsia="Times New Roman" w:hAnsi="Times New Roman"/>
          <w:sz w:val="22"/>
          <w:szCs w:val="22"/>
          <w:color w:val="auto"/>
        </w:rPr>
        <w:t>” means the period beginning at the close of business on the Business Day immediately preceding the day on which an Amortization Event is deemed to have occurred with respect to the Series 2023-8 Notes and ending upon the earliest to occur of (i) the date on which the Series 2023-8 Notes are fully paid, (ii) the Series 2023-8 Final Distribution Date and (iii) the termination of the Indenture.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Reimbursement Agreement</w:t>
      </w:r>
      <w:r>
        <w:rPr>
          <w:rFonts w:ascii="Times New Roman" w:cs="Times New Roman" w:eastAsia="Times New Roman" w:hAnsi="Times New Roman"/>
          <w:sz w:val="22"/>
          <w:szCs w:val="22"/>
          <w:color w:val="auto"/>
        </w:rPr>
        <w:t>” means any and each agreement providing for the reimbursement of a Multi-Series Letter of Credit Provider for draws under its Multi-Series Letter of Credit as the same may be amended, supplemented, restated or otherwise modified from time to time.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Repurchase Amount</w:t>
      </w:r>
      <w:r>
        <w:rPr>
          <w:rFonts w:ascii="Times New Roman" w:cs="Times New Roman" w:eastAsia="Times New Roman" w:hAnsi="Times New Roman"/>
          <w:sz w:val="22"/>
          <w:szCs w:val="22"/>
          <w:color w:val="auto"/>
        </w:rPr>
        <w:t>” is defined in Section 5.1(a).</w:t>
      </w:r>
    </w:p>
    <w:p>
      <w:pPr>
        <w:spacing w:after="0" w:line="23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Required AESOP I Operating Lease Vehicle Amount</w:t>
      </w:r>
      <w:r>
        <w:rPr>
          <w:rFonts w:ascii="Times New Roman" w:cs="Times New Roman" w:eastAsia="Times New Roman" w:hAnsi="Times New Roman"/>
          <w:sz w:val="22"/>
          <w:szCs w:val="22"/>
          <w:color w:val="auto"/>
        </w:rPr>
        <w:t>” 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Reserve Accounts</w:t>
      </w:r>
      <w:r>
        <w:rPr>
          <w:rFonts w:ascii="Times New Roman" w:cs="Times New Roman" w:eastAsia="Times New Roman" w:hAnsi="Times New Roman"/>
          <w:sz w:val="22"/>
          <w:szCs w:val="22"/>
          <w:color w:val="auto"/>
        </w:rPr>
        <w:t>” means, together, the Class A/B/C Reserve Account and the Class D Reserve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w:t>
      </w:r>
    </w:p>
    <w:p>
      <w:pPr>
        <w:spacing w:after="0" w:line="2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Revolving Period</w:t>
      </w:r>
      <w:r>
        <w:rPr>
          <w:rFonts w:ascii="Times New Roman" w:cs="Times New Roman" w:eastAsia="Times New Roman" w:hAnsi="Times New Roman"/>
          <w:sz w:val="22"/>
          <w:szCs w:val="22"/>
          <w:color w:val="auto"/>
        </w:rPr>
        <w:t>” means the period from and including the Class A/B/C Notes Closing Date to the earlier of (i) the commencement of the Series 2023-8 Controlled Amortization Period and (ii) the commencement of the Series 2023-8 Rapid Amortization Period.</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Senior Invested Amount</w:t>
      </w:r>
      <w:r>
        <w:rPr>
          <w:rFonts w:ascii="Times New Roman" w:cs="Times New Roman" w:eastAsia="Times New Roman" w:hAnsi="Times New Roman"/>
          <w:sz w:val="22"/>
          <w:szCs w:val="22"/>
          <w:color w:val="auto"/>
        </w:rPr>
        <w:t>” means, on any date, the sum of the Class A Invested Amount on such date, the Class B Invested Amount on such date, the Class C Invested Amount on such date and the Class D Invested Amount on such date.</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Senior Monthly Interest</w:t>
      </w:r>
      <w:r>
        <w:rPr>
          <w:rFonts w:ascii="Times New Roman" w:cs="Times New Roman" w:eastAsia="Times New Roman" w:hAnsi="Times New Roman"/>
          <w:sz w:val="22"/>
          <w:szCs w:val="22"/>
          <w:color w:val="auto"/>
        </w:rPr>
        <w:t>” means, with respect to any Distribution Date, the sum of the Class A Monthly Interest, the Class B Monthly Interest, the Class C Monthly Interest and the Class D Monthly Interest, in each case with respect to the Series 2023-8 Interest Period ended on the day preceding such Distribution Date.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Series 2023-8 Senior Notes</w:t>
      </w:r>
      <w:r>
        <w:rPr>
          <w:rFonts w:ascii="Times New Roman" w:cs="Times New Roman" w:eastAsia="Times New Roman" w:hAnsi="Times New Roman"/>
          <w:sz w:val="21"/>
          <w:szCs w:val="21"/>
          <w:color w:val="auto"/>
        </w:rPr>
        <w:t>” means, collectively, the Class A Notes, the Class B Notes, the Class C Notes and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ectPr>
          <w:pgSz w:w="11900" w:h="16838" w:orient="portrait"/>
          <w:cols w:equalWidth="0" w:num="1">
            <w:col w:w="11240"/>
          </w:cols>
          <w:pgMar w:left="320" w:top="1030" w:right="339" w:bottom="1440" w:gutter="0" w:footer="0" w:header="0"/>
        </w:sectPr>
      </w:pPr>
    </w:p>
    <w:bookmarkStart w:id="446" w:name="page447"/>
    <w:bookmarkEnd w:id="446"/>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Shortfall</w:t>
      </w:r>
      <w:r>
        <w:rPr>
          <w:rFonts w:ascii="Times New Roman" w:cs="Times New Roman" w:eastAsia="Times New Roman" w:hAnsi="Times New Roman"/>
          <w:sz w:val="22"/>
          <w:szCs w:val="22"/>
          <w:color w:val="auto"/>
        </w:rPr>
        <w:t>” means, on any Distribution Date, the sum of the Class A Shortfall, the Class B Shortfall, the Class C Shortfall and the Class D Shortfall on such Distribution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Termination Date</w:t>
      </w:r>
      <w:r>
        <w:rPr>
          <w:rFonts w:ascii="Times New Roman" w:cs="Times New Roman" w:eastAsia="Times New Roman" w:hAnsi="Times New Roman"/>
          <w:sz w:val="22"/>
          <w:szCs w:val="22"/>
          <w:color w:val="auto"/>
        </w:rPr>
        <w:t>” means the February 2030 Distribution Date.</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2023-8 Trustee’s Fees</w:t>
      </w:r>
      <w:r>
        <w:rPr>
          <w:rFonts w:ascii="Times New Roman" w:cs="Times New Roman" w:eastAsia="Times New Roman" w:hAnsi="Times New Roman"/>
          <w:sz w:val="22"/>
          <w:szCs w:val="22"/>
          <w:color w:val="auto"/>
        </w:rPr>
        <w:t xml:space="preserve">” means, for any Distribution Date during the Series 2023-8 Rapid Amortization Period on which there exists a Series 2023-8 Lease Interest Payment Deficit, a portion of the fees payable to the Trustee in an amount equal to the product of (i) the Series 2023-8 Percentage as of the beginning of the Series 2023-8 Interest Period ending on the day preceding such Distribution Date and (ii) the fees owing to the Trustee under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Series 2023-8 Trustee’s Fees in the aggregate for all Distribution Dates shall not exceed 1.1% of the Series 2023-8 Required AESOP I Operating Lease Vehicle Amount as of the last day of the Series 2023-8 Revolving Period.</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2024-1 Notes</w:t>
      </w:r>
      <w:r>
        <w:rPr>
          <w:rFonts w:ascii="Times New Roman" w:cs="Times New Roman" w:eastAsia="Times New Roman" w:hAnsi="Times New Roman"/>
          <w:sz w:val="22"/>
          <w:szCs w:val="22"/>
          <w:color w:val="auto"/>
        </w:rPr>
        <w:t>” means the Series of Notes designated as the Series 2024-1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2024-2 Notes</w:t>
      </w:r>
      <w:r>
        <w:rPr>
          <w:rFonts w:ascii="Times New Roman" w:cs="Times New Roman" w:eastAsia="Times New Roman" w:hAnsi="Times New Roman"/>
          <w:sz w:val="22"/>
          <w:szCs w:val="22"/>
          <w:color w:val="auto"/>
        </w:rPr>
        <w:t>” means the Series of Notes designated as the Series 2024-2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2024-3 Notes</w:t>
      </w:r>
      <w:r>
        <w:rPr>
          <w:rFonts w:ascii="Times New Roman" w:cs="Times New Roman" w:eastAsia="Times New Roman" w:hAnsi="Times New Roman"/>
          <w:sz w:val="22"/>
          <w:szCs w:val="22"/>
          <w:color w:val="auto"/>
        </w:rPr>
        <w:t>” means the Series of Notes designated as the Series 2024-3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2025-1 Notes</w:t>
      </w:r>
      <w:r>
        <w:rPr>
          <w:rFonts w:ascii="Times New Roman" w:cs="Times New Roman" w:eastAsia="Times New Roman" w:hAnsi="Times New Roman"/>
          <w:sz w:val="22"/>
          <w:szCs w:val="22"/>
          <w:color w:val="auto"/>
        </w:rPr>
        <w:t>” means the Series of Notes designated as the Series 2025-1 Notes.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Series 2025-2 Notes</w:t>
      </w:r>
      <w:r>
        <w:rPr>
          <w:rFonts w:ascii="Times New Roman" w:cs="Times New Roman" w:eastAsia="Times New Roman" w:hAnsi="Times New Roman"/>
          <w:sz w:val="22"/>
          <w:szCs w:val="22"/>
          <w:color w:val="auto"/>
        </w:rPr>
        <w:t>” means the Series of Notes designated as the Series 2025-2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per annum equal to the secured overnight financing rate as administered by the SOFR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NYFRB’s Website, or any successor source for the secured overnight financing rate identified as such by the SOFR Administrator from time to time.</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(Non-Perfected Lien)</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ectPr>
          <w:pgSz w:w="11900" w:h="16838" w:orient="portrait"/>
          <w:cols w:equalWidth="0" w:num="1">
            <w:col w:w="11240"/>
          </w:cols>
          <w:pgMar w:left="320" w:top="1030" w:right="339" w:bottom="1440" w:gutter="0" w:footer="0" w:header="0"/>
        </w:sectPr>
      </w:pPr>
    </w:p>
    <w:bookmarkStart w:id="447" w:name="page448"/>
    <w:bookmarkEnd w:id="447"/>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Springing Amendment Condition (Trucks)</w:t>
      </w:r>
      <w:r>
        <w:rPr>
          <w:rFonts w:ascii="Times New Roman" w:cs="Times New Roman" w:eastAsia="Times New Roman" w:hAnsi="Times New Roman"/>
          <w:sz w:val="22"/>
          <w:szCs w:val="22"/>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that ABRCF has determined are required to allow for “medium duty” and “heavy duty” trucks to be considered an “Eligible Vehicle” under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Supplement</w:t>
      </w:r>
      <w:r>
        <w:rPr>
          <w:rFonts w:ascii="Times New Roman" w:cs="Times New Roman" w:eastAsia="Times New Roman" w:hAnsi="Times New Roman"/>
          <w:sz w:val="22"/>
          <w:szCs w:val="22"/>
          <w:color w:val="auto"/>
        </w:rPr>
        <w:t>” is defined in the preamble hereto.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A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B Note</w:t>
      </w:r>
      <w:r>
        <w:rPr>
          <w:rFonts w:ascii="Times New Roman" w:cs="Times New Roman" w:eastAsia="Times New Roman" w:hAnsi="Times New Roman"/>
          <w:sz w:val="22"/>
          <w:szCs w:val="22"/>
          <w:color w:val="auto"/>
        </w:rPr>
        <w:t>” is defined in Section 4.2.</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C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D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Class R Note</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Global Series 2023-8 Notes</w:t>
      </w:r>
      <w:r>
        <w:rPr>
          <w:rFonts w:ascii="Times New Roman" w:cs="Times New Roman" w:eastAsia="Times New Roman" w:hAnsi="Times New Roman"/>
          <w:sz w:val="22"/>
          <w:szCs w:val="22"/>
          <w:color w:val="auto"/>
        </w:rPr>
        <w:t>” is defined in Section 4.2.</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 Disbursement</w:t>
      </w:r>
      <w:r>
        <w:rPr>
          <w:rFonts w:ascii="Times New Roman" w:cs="Times New Roman" w:eastAsia="Times New Roman" w:hAnsi="Times New Roman"/>
          <w:sz w:val="22"/>
          <w:szCs w:val="22"/>
          <w:color w:val="auto"/>
        </w:rPr>
        <w:t>” means an amount drawn under a Multi-Series Letter of Credit pursuant to a Certificate of Termination Date Demand.</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Disbursement</w:t>
      </w:r>
      <w:r>
        <w:rPr>
          <w:rFonts w:ascii="Times New Roman" w:cs="Times New Roman" w:eastAsia="Times New Roman" w:hAnsi="Times New Roman"/>
          <w:sz w:val="22"/>
          <w:szCs w:val="22"/>
          <w:color w:val="auto"/>
        </w:rPr>
        <w:t>” means an amount drawn under a Multi-Series Letter of Credit pursuant to a Certificate of Termination Demand.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is defined in the recitals hereto.</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Unpaid Demand Note Disbursement</w:t>
      </w:r>
      <w:r>
        <w:rPr>
          <w:rFonts w:ascii="Times New Roman" w:cs="Times New Roman" w:eastAsia="Times New Roman" w:hAnsi="Times New Roman"/>
          <w:sz w:val="22"/>
          <w:szCs w:val="22"/>
          <w:color w:val="auto"/>
        </w:rPr>
        <w:t>” means an amount drawn under a Multi-Series Letter of Credit pursuant to a Certificate of Unpaid Demand Note Demand.</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xml:space="preserve"> ”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Risk Retention Rules</w:t>
      </w:r>
      <w:r>
        <w:rPr>
          <w:rFonts w:ascii="Times New Roman" w:cs="Times New Roman" w:eastAsia="Times New Roman" w:hAnsi="Times New Roman"/>
          <w:sz w:val="22"/>
          <w:szCs w:val="22"/>
          <w:color w:val="auto"/>
        </w:rPr>
        <w:t>” means the federal interagency credit risk retention rules, codified at 17 C.F.R. Part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w:t>
      </w:r>
    </w:p>
    <w:p>
      <w:pPr>
        <w:spacing w:after="0" w:line="20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Treasury Rate</w:t>
      </w:r>
      <w:r>
        <w:rPr>
          <w:rFonts w:ascii="Times New Roman" w:cs="Times New Roman" w:eastAsia="Times New Roman" w:hAnsi="Times New Roman"/>
          <w:sz w:val="22"/>
          <w:szCs w:val="22"/>
          <w:color w:val="auto"/>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ectPr>
          <w:pgSz w:w="11900" w:h="16838" w:orient="portrait"/>
          <w:cols w:equalWidth="0" w:num="1">
            <w:col w:w="11240"/>
          </w:cols>
          <w:pgMar w:left="320" w:top="1030" w:right="339" w:bottom="1440" w:gutter="0" w:footer="0" w:header="0"/>
        </w:sectPr>
      </w:pPr>
    </w:p>
    <w:bookmarkStart w:id="448" w:name="page449"/>
    <w:bookmarkEnd w:id="448"/>
    <w:p>
      <w:pPr>
        <w:jc w:val="both"/>
        <w:ind w:firstLine="1304"/>
        <w:spacing w:after="0" w:line="263" w:lineRule="auto"/>
        <w:tabs>
          <w:tab w:leader="none" w:pos="1791" w:val="left"/>
        </w:tabs>
        <w:numPr>
          <w:ilvl w:val="0"/>
          <w:numId w:val="4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calculated by reference to the Series 2023-8 Invested Amount (or any component thereof) on any date shall, unless otherwise stated, be calculated after giving effect to any payment of principal made to the applicable Series 2023-8 Noteholders on such date.</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6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SERIES 2023-8 ALLOCATIONS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respect to the Series 2023-8 Notes, the following shall apply:</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Establishment of Series 2023-8 Collection Account, Series 2023-8 Excess Collection Account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Series 2023-8 Accrued Interest Account</w:t>
      </w:r>
      <w:r>
        <w:rPr>
          <w:rFonts w:ascii="Times New Roman" w:cs="Times New Roman" w:eastAsia="Times New Roman" w:hAnsi="Times New Roman"/>
          <w:sz w:val="22"/>
          <w:szCs w:val="22"/>
          <w:color w:val="auto"/>
        </w:rPr>
        <w:t>. (a) All Collections allocable to the Series 2023-8 Notes shall be allocated to the Collection Account.</w:t>
      </w:r>
    </w:p>
    <w:p>
      <w:pPr>
        <w:spacing w:after="0" w:line="167" w:lineRule="exact"/>
        <w:rPr>
          <w:sz w:val="20"/>
          <w:szCs w:val="20"/>
          <w:color w:val="auto"/>
        </w:rPr>
      </w:pPr>
    </w:p>
    <w:p>
      <w:pPr>
        <w:jc w:val="both"/>
        <w:ind w:firstLine="1304"/>
        <w:spacing w:after="0" w:line="252" w:lineRule="auto"/>
        <w:tabs>
          <w:tab w:leader="none" w:pos="1768" w:val="left"/>
        </w:tabs>
        <w:numPr>
          <w:ilvl w:val="0"/>
          <w:numId w:val="4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created three administrative subaccounts within the Collection Account for the benefit of the Series 2023-8 Noteholders: the Series 2023-8 Collection Account (such sub-account, the “</w:t>
      </w:r>
      <w:r>
        <w:rPr>
          <w:rFonts w:ascii="Times New Roman" w:cs="Times New Roman" w:eastAsia="Times New Roman" w:hAnsi="Times New Roman"/>
          <w:sz w:val="22"/>
          <w:szCs w:val="22"/>
          <w:u w:val="single" w:color="auto"/>
          <w:color w:val="auto"/>
        </w:rPr>
        <w:t>Series 2023-8 Collection Account</w:t>
      </w:r>
      <w:r>
        <w:rPr>
          <w:rFonts w:ascii="Times New Roman" w:cs="Times New Roman" w:eastAsia="Times New Roman" w:hAnsi="Times New Roman"/>
          <w:sz w:val="22"/>
          <w:szCs w:val="22"/>
          <w:color w:val="auto"/>
        </w:rPr>
        <w:t>”), the Series 2023-8 Excess Collection Account (such sub-account, the “</w:t>
      </w:r>
      <w:r>
        <w:rPr>
          <w:rFonts w:ascii="Times New Roman" w:cs="Times New Roman" w:eastAsia="Times New Roman" w:hAnsi="Times New Roman"/>
          <w:sz w:val="22"/>
          <w:szCs w:val="22"/>
          <w:u w:val="single" w:color="auto"/>
          <w:color w:val="auto"/>
        </w:rPr>
        <w:t>Series 2023-8 Excess Collection Account</w:t>
      </w:r>
      <w:r>
        <w:rPr>
          <w:rFonts w:ascii="Times New Roman" w:cs="Times New Roman" w:eastAsia="Times New Roman" w:hAnsi="Times New Roman"/>
          <w:sz w:val="22"/>
          <w:szCs w:val="22"/>
          <w:color w:val="auto"/>
        </w:rPr>
        <w:t>”) and the Series 2023-8 Accrued Interest Account (such sub-account, the “</w:t>
      </w:r>
      <w:r>
        <w:rPr>
          <w:rFonts w:ascii="Times New Roman" w:cs="Times New Roman" w:eastAsia="Times New Roman" w:hAnsi="Times New Roman"/>
          <w:sz w:val="22"/>
          <w:szCs w:val="22"/>
          <w:u w:val="single" w:color="auto"/>
          <w:color w:val="auto"/>
        </w:rPr>
        <w:t>Series 2023-8 Accrued Interest Account</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Allocations with Respect to the Series 2023-8 Notes</w:t>
      </w:r>
      <w:r>
        <w:rPr>
          <w:rFonts w:ascii="Times New Roman" w:cs="Times New Roman" w:eastAsia="Times New Roman" w:hAnsi="Times New Roman"/>
          <w:sz w:val="22"/>
          <w:szCs w:val="22"/>
          <w:color w:val="auto"/>
        </w:rPr>
        <w:t>. The net proceeds from the initial sale of the Class A Notes, Class B Notes, Class C Notes and Class R Notes were deposited into the Collection Account on the Class A/B/C Notes Closing Date and the net proceeds from the issuance of Class D Notes and Additional Class R Notes were deposited into the Collection Account on the Class D Notes Closing Date. On each Business Day on which Collections are deposited into the Collection Account (each such date, a “</w:t>
      </w:r>
      <w:r>
        <w:rPr>
          <w:rFonts w:ascii="Times New Roman" w:cs="Times New Roman" w:eastAsia="Times New Roman" w:hAnsi="Times New Roman"/>
          <w:sz w:val="22"/>
          <w:szCs w:val="22"/>
          <w:u w:val="single" w:color="auto"/>
          <w:color w:val="auto"/>
        </w:rPr>
        <w:t>Series 2023-8 Deposit Date</w:t>
      </w:r>
      <w:r>
        <w:rPr>
          <w:rFonts w:ascii="Times New Roman" w:cs="Times New Roman" w:eastAsia="Times New Roman" w:hAnsi="Times New Roman"/>
          <w:sz w:val="22"/>
          <w:szCs w:val="22"/>
          <w:color w:val="auto"/>
        </w:rPr>
        <w:t>”), the Administrator will direct the Trustee in writing pursuant to the Administration Agreement to allocate all amounts deposited into the Collection Account in accordance with the provisions of this Section 2.2.</w:t>
      </w:r>
    </w:p>
    <w:p>
      <w:pPr>
        <w:spacing w:after="0" w:line="180" w:lineRule="exact"/>
        <w:rPr>
          <w:sz w:val="20"/>
          <w:szCs w:val="20"/>
          <w:color w:val="auto"/>
        </w:rPr>
      </w:pPr>
    </w:p>
    <w:p>
      <w:pPr>
        <w:jc w:val="both"/>
        <w:ind w:firstLine="1304"/>
        <w:spacing w:after="0" w:line="256" w:lineRule="auto"/>
        <w:tabs>
          <w:tab w:leader="none" w:pos="1779" w:val="left"/>
        </w:tabs>
        <w:numPr>
          <w:ilvl w:val="0"/>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2023-8 Revolving Period</w:t>
      </w:r>
      <w:r>
        <w:rPr>
          <w:rFonts w:ascii="Times New Roman" w:cs="Times New Roman" w:eastAsia="Times New Roman" w:hAnsi="Times New Roman"/>
          <w:sz w:val="22"/>
          <w:szCs w:val="22"/>
          <w:color w:val="auto"/>
        </w:rPr>
        <w:t>. During the Series 2023-8 Revolving Period, the Administrator will direct the Trustee in writing pursuant to the Administration Agreement to allocate, prior to 11:00 a.m. (New York City time) on each Series 2023-8 Deposit Date, all amounts deposited into the Collection Account as set forth below:</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11"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2023-8 Collection Account an amount equal to the Series 2023-8 Invested Percentage (as of such day) of the aggregate amount of Interest Collections on such day. All such amounts allocated to the Series 2023-8 Collection Account shall be further allocated to the Series 2023-8 Accrued Interest Account; and</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586" w:val="left"/>
        </w:tabs>
        <w:numPr>
          <w:ilvl w:val="1"/>
          <w:numId w:val="4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2023-8 Excess Collection Account an amount equal to the Series 2023-8 Invested Percentage (as of such day) of the aggregate amount of Principal Collections on such day (for any such day, the “</w:t>
      </w:r>
      <w:r>
        <w:rPr>
          <w:rFonts w:ascii="Times New Roman" w:cs="Times New Roman" w:eastAsia="Times New Roman" w:hAnsi="Times New Roman"/>
          <w:sz w:val="22"/>
          <w:szCs w:val="22"/>
          <w:u w:val="single" w:color="auto"/>
          <w:color w:val="auto"/>
        </w:rPr>
        <w:t>Series 2023-8 Principal Allocation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ectPr>
          <w:pgSz w:w="11900" w:h="16838" w:orient="portrait"/>
          <w:cols w:equalWidth="0" w:num="1">
            <w:col w:w="11240"/>
          </w:cols>
          <w:pgMar w:left="320" w:top="1030" w:right="339" w:bottom="1440" w:gutter="0" w:footer="0" w:header="0"/>
        </w:sectPr>
      </w:pPr>
    </w:p>
    <w:bookmarkStart w:id="449" w:name="page450"/>
    <w:bookmarkEnd w:id="449"/>
    <w:p>
      <w:pPr>
        <w:jc w:val="both"/>
        <w:ind w:left="-80" w:firstLine="1304"/>
        <w:spacing w:after="0" w:line="256" w:lineRule="auto"/>
        <w:tabs>
          <w:tab w:leader="none" w:pos="1778" w:val="left"/>
        </w:tabs>
        <w:numPr>
          <w:ilvl w:val="1"/>
          <w:numId w:val="4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2023-8 Controlled Amortization Period</w:t>
      </w:r>
      <w:r>
        <w:rPr>
          <w:rFonts w:ascii="Times New Roman" w:cs="Times New Roman" w:eastAsia="Times New Roman" w:hAnsi="Times New Roman"/>
          <w:sz w:val="22"/>
          <w:szCs w:val="22"/>
          <w:color w:val="auto"/>
        </w:rPr>
        <w:t>. With respect to the Series 2023-8 Controlled Amortization Period, the Administrator will direct the Trustee in writing pursuant to the Administration Agreement to allocate, prior to 11:00 a.m. (New York City time) on any Series 2023-8 Deposit Date, all amounts deposited into the Collection Account as set forth below:</w:t>
      </w:r>
    </w:p>
    <w:p>
      <w:pPr>
        <w:spacing w:after="0" w:line="176" w:lineRule="exact"/>
        <w:rPr>
          <w:rFonts w:ascii="Times New Roman" w:cs="Times New Roman" w:eastAsia="Times New Roman" w:hAnsi="Times New Roman"/>
          <w:sz w:val="22"/>
          <w:szCs w:val="22"/>
          <w:color w:val="auto"/>
        </w:rPr>
      </w:pPr>
    </w:p>
    <w:p>
      <w:pPr>
        <w:ind w:left="2340" w:hanging="468"/>
        <w:spacing w:after="0"/>
        <w:tabs>
          <w:tab w:leader="none" w:pos="2340" w:val="left"/>
        </w:tabs>
        <w:numPr>
          <w:ilvl w:val="2"/>
          <w:numId w:val="4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2023-8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840" w:hanging="264"/>
        <w:spacing w:after="0"/>
        <w:tabs>
          <w:tab w:leader="none" w:pos="840" w:val="left"/>
        </w:tabs>
        <w:numPr>
          <w:ilvl w:val="0"/>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2023-8 Accrued Interest Account; and</w:t>
      </w:r>
    </w:p>
    <w:p>
      <w:pPr>
        <w:spacing w:after="0" w:line="195"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467" w:val="left"/>
        </w:tabs>
        <w:numPr>
          <w:ilvl w:val="2"/>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2023-8 Collection Account an amount equal to the Series 2023-8 Principal Allocation for such day, which amount shall be used to make principal payments in respect of the Series 2023-8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2023-8 Excess Collection Account.</w:t>
      </w:r>
    </w:p>
    <w:p>
      <w:pPr>
        <w:spacing w:after="0" w:line="197" w:lineRule="exact"/>
        <w:rPr>
          <w:rFonts w:ascii="Times New Roman" w:cs="Times New Roman" w:eastAsia="Times New Roman" w:hAnsi="Times New Roman"/>
          <w:sz w:val="22"/>
          <w:szCs w:val="22"/>
          <w:color w:val="auto"/>
        </w:rPr>
      </w:pPr>
    </w:p>
    <w:p>
      <w:pPr>
        <w:jc w:val="both"/>
        <w:ind w:left="-80" w:firstLine="1304"/>
        <w:spacing w:after="0" w:line="250" w:lineRule="auto"/>
        <w:tabs>
          <w:tab w:leader="none" w:pos="1726" w:val="left"/>
        </w:tabs>
        <w:numPr>
          <w:ilvl w:val="1"/>
          <w:numId w:val="4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During the Series 2023-8 Rapid Amortization Period</w:t>
      </w:r>
      <w:r>
        <w:rPr>
          <w:rFonts w:ascii="Times New Roman" w:cs="Times New Roman" w:eastAsia="Times New Roman" w:hAnsi="Times New Roman"/>
          <w:sz w:val="22"/>
          <w:szCs w:val="22"/>
          <w:color w:val="auto"/>
        </w:rPr>
        <w:t>. With respect to the Series 2023-8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2023-8 Deposit Date, all amounts deposited into the Collection Account as set forth below:</w:t>
      </w:r>
    </w:p>
    <w:p>
      <w:pPr>
        <w:spacing w:after="0" w:line="194" w:lineRule="exact"/>
        <w:rPr>
          <w:rFonts w:ascii="Times New Roman" w:cs="Times New Roman" w:eastAsia="Times New Roman" w:hAnsi="Times New Roman"/>
          <w:sz w:val="22"/>
          <w:szCs w:val="22"/>
          <w:color w:val="auto"/>
        </w:rPr>
      </w:pPr>
    </w:p>
    <w:p>
      <w:pPr>
        <w:ind w:left="2340" w:hanging="468"/>
        <w:spacing w:after="0"/>
        <w:tabs>
          <w:tab w:leader="none" w:pos="2340" w:val="left"/>
        </w:tabs>
        <w:numPr>
          <w:ilvl w:val="2"/>
          <w:numId w:val="4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allocate to the Series 2023-8 Collection Account an amount determined as set forth in Section 2.2(a)</w:t>
      </w:r>
    </w:p>
    <w:p>
      <w:pPr>
        <w:spacing w:after="0" w:line="39" w:lineRule="exact"/>
        <w:rPr>
          <w:rFonts w:ascii="Times New Roman" w:cs="Times New Roman" w:eastAsia="Times New Roman" w:hAnsi="Times New Roman"/>
          <w:sz w:val="21"/>
          <w:szCs w:val="21"/>
          <w:color w:val="auto"/>
        </w:rPr>
      </w:pPr>
    </w:p>
    <w:p>
      <w:pPr>
        <w:ind w:left="840" w:hanging="264"/>
        <w:spacing w:after="0"/>
        <w:tabs>
          <w:tab w:leader="none" w:pos="840" w:val="left"/>
        </w:tabs>
        <w:numPr>
          <w:ilvl w:val="0"/>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for such day, which amount shall be further allocated to the Series 2023-8 Accrued Interest Account; and</w:t>
      </w:r>
    </w:p>
    <w:p>
      <w:pPr>
        <w:spacing w:after="0" w:line="195"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467" w:val="left"/>
        </w:tabs>
        <w:numPr>
          <w:ilvl w:val="2"/>
          <w:numId w:val="4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2023-8 Collection Account an amount equal to the Series 2023-8 Principal Allocation for such day, which amount shall be used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after the Class A Notes, the Class B Notes, and the Class C Notes have been paid in full, shall be used to make principal payments in respect of the Class D Notes until the Class D Notes have been paid in full</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ectPr>
          <w:pgSz w:w="11900" w:h="16838" w:orient="portrait"/>
          <w:cols w:equalWidth="0" w:num="1">
            <w:col w:w="11160"/>
          </w:cols>
          <w:pgMar w:left="400" w:top="1030" w:right="339" w:bottom="1440" w:gutter="0" w:footer="0" w:header="0"/>
        </w:sectPr>
      </w:pPr>
    </w:p>
    <w:bookmarkStart w:id="450" w:name="page451"/>
    <w:bookmarkEnd w:id="450"/>
    <w:p>
      <w:pPr>
        <w:jc w:val="both"/>
        <w:ind w:left="580"/>
        <w:spacing w:after="0" w:line="247" w:lineRule="auto"/>
        <w:rPr>
          <w:sz w:val="20"/>
          <w:szCs w:val="20"/>
          <w:color w:val="auto"/>
        </w:rPr>
      </w:pPr>
      <w:r>
        <w:rPr>
          <w:rFonts w:ascii="Times New Roman" w:cs="Times New Roman" w:eastAsia="Times New Roman" w:hAnsi="Times New Roman"/>
          <w:sz w:val="22"/>
          <w:szCs w:val="22"/>
          <w:color w:val="auto"/>
        </w:rPr>
        <w:t xml:space="preserve">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(A) the Administrator determines that the amount anticipated to be available from Interest Collections allocable to the Series 2023-8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2023-8 Notes during the Related Month equal to the lesser of such insufficiency and the Class A/B/C Enhancement Amount to the Series 2023-8 Accrued Interest Account to be treated as Interest Collections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2023-8 Notes and other amounts available pursuant to Section 2.3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2023-8 Notes during the Related Month equal to the lesser of such insufficiency and the Class D Enhancement Amount to the Series 2023-8 Accrued Interest Account to be treated as Interest Collections on such Distribution Date.</w:t>
      </w:r>
    </w:p>
    <w:p>
      <w:pPr>
        <w:spacing w:after="0" w:line="187" w:lineRule="exact"/>
        <w:rPr>
          <w:sz w:val="20"/>
          <w:szCs w:val="20"/>
          <w:color w:val="auto"/>
        </w:rPr>
      </w:pPr>
    </w:p>
    <w:p>
      <w:pPr>
        <w:jc w:val="both"/>
        <w:ind w:left="-80" w:firstLine="1304"/>
        <w:spacing w:after="0" w:line="253" w:lineRule="auto"/>
        <w:tabs>
          <w:tab w:leader="none" w:pos="1697" w:val="left"/>
        </w:tabs>
        <w:numPr>
          <w:ilvl w:val="0"/>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Allocations of Collections after the Occurrence of an Event of Bankruptcy</w:t>
      </w:r>
      <w:r>
        <w:rPr>
          <w:rFonts w:ascii="Times New Roman" w:cs="Times New Roman" w:eastAsia="Times New Roman" w:hAnsi="Times New Roman"/>
          <w:sz w:val="22"/>
          <w:szCs w:val="22"/>
          <w:color w:val="auto"/>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2023-8 Deposit Date, all amounts attributable to the AESOP I Operating Lease Loan Agreement deposited into the Collection Account as set forth below:</w:t>
      </w:r>
    </w:p>
    <w:p>
      <w:pPr>
        <w:spacing w:after="0" w:line="178"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407" w:val="left"/>
        </w:tabs>
        <w:numPr>
          <w:ilvl w:val="1"/>
          <w:numId w:val="4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2023-8 Collection Account an amount equal to the Series 2023-8 AESOP I Operating Lease Vehicle Percentage as of the date of the occurrence of such Event of Bankruptcy of the aggregate amount of Interest Collections made under the AESOP I Operating Lease Loan Agreement for such day. All such amounts allocated to the Series 2023-8 Collection Account shall be further allocated to the Series 2023-8 Accrued Interest Account; and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bl>
    <w:p>
      <w:pPr>
        <w:sectPr>
          <w:pgSz w:w="11900" w:h="16838" w:orient="portrait"/>
          <w:cols w:equalWidth="0" w:num="1">
            <w:col w:w="11160"/>
          </w:cols>
          <w:pgMar w:left="400" w:top="1030" w:right="339" w:bottom="1440" w:gutter="0" w:footer="0" w:header="0"/>
        </w:sectPr>
      </w:pPr>
    </w:p>
    <w:bookmarkStart w:id="451" w:name="page452"/>
    <w:bookmarkEnd w:id="451"/>
    <w:p>
      <w:pPr>
        <w:jc w:val="both"/>
        <w:ind w:left="580" w:firstLine="1292"/>
        <w:spacing w:after="0" w:line="246" w:lineRule="auto"/>
        <w:tabs>
          <w:tab w:leader="none" w:pos="2455" w:val="left"/>
        </w:tabs>
        <w:numPr>
          <w:ilvl w:val="0"/>
          <w:numId w:val="4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allocate to the Series 2023-8 Collection Account an amount equal to the Series 2023-8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(A) the Administrator determines that the amount anticipated to be available from Interest Collections allocable to the Series 2023-8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2023-8 Notes during the Related Month equal to the lesser of such insufficiency and the Class A/B/C Enhancement Amount to the Series 2023-8 Accrued Interest Account to be treated as Interest Collections on such Distribution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2023-8 Notes and other amounts available pursuant to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to pay the sum of (x) the Class D Monthly Interest on the related Distribution Date, and (y) any Class D Shortfall on such Distribution Date (together with interest thereon), will be less than the sum of (I) the Class D Monthly Interest for such Distribution Date and (II) such Class D Shortfall (together with interest thereon) and (B) the Class D Enhancement Amount is greater than zero, then the Administrator shall direct the Trustee in writing to reallocate a portion of the Principal Collections allocated to the Series 2023-8 Notes during the Related Month equal to the lesser of such insufficiency and the Class D Enhancement Amount to the Series 2023-8 Accrued Interest Account to be treated as Interest Collections on such Distribution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bl>
    <w:p>
      <w:pPr>
        <w:sectPr>
          <w:pgSz w:w="11900" w:h="16838" w:orient="portrait"/>
          <w:cols w:equalWidth="0" w:num="1">
            <w:col w:w="11160"/>
          </w:cols>
          <w:pgMar w:left="400" w:top="1030" w:right="339" w:bottom="1440" w:gutter="0" w:footer="0" w:header="0"/>
        </w:sectPr>
      </w:pPr>
    </w:p>
    <w:bookmarkStart w:id="452" w:name="page453"/>
    <w:bookmarkEnd w:id="452"/>
    <w:p>
      <w:pPr>
        <w:jc w:val="both"/>
        <w:ind w:left="-8" w:firstLine="1304"/>
        <w:spacing w:after="0" w:line="262" w:lineRule="auto"/>
        <w:tabs>
          <w:tab w:leader="none" w:pos="1933" w:val="left"/>
        </w:tabs>
        <w:numPr>
          <w:ilvl w:val="1"/>
          <w:numId w:val="4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2023-8 Excess Collection Account</w:t>
      </w:r>
      <w:r>
        <w:rPr>
          <w:rFonts w:ascii="Times New Roman" w:cs="Times New Roman" w:eastAsia="Times New Roman" w:hAnsi="Times New Roman"/>
          <w:sz w:val="21"/>
          <w:szCs w:val="21"/>
          <w:color w:val="auto"/>
        </w:rPr>
        <w:t>. Amounts allocated to the Series 2023-8 Excess Collection Account on any Series 2023-8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w:t>
      </w:r>
    </w:p>
    <w:p>
      <w:pPr>
        <w:spacing w:after="0" w:line="1" w:lineRule="exact"/>
        <w:rPr>
          <w:rFonts w:ascii="Times New Roman" w:cs="Times New Roman" w:eastAsia="Times New Roman" w:hAnsi="Times New Roman"/>
          <w:sz w:val="21"/>
          <w:szCs w:val="21"/>
          <w:color w:val="auto"/>
        </w:rPr>
      </w:pPr>
    </w:p>
    <w:p>
      <w:pPr>
        <w:jc w:val="both"/>
        <w:ind w:left="-8" w:firstLine="8"/>
        <w:spacing w:after="0" w:line="246" w:lineRule="auto"/>
        <w:tabs>
          <w:tab w:leader="none" w:pos="310" w:val="left"/>
        </w:tabs>
        <w:numPr>
          <w:ilvl w:val="0"/>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clauses (x), (y) and (z), that no Amortization Event, Series 2023-8 Enhancement Deficiency or AESOP I Operating Lease Vehicle Deficiency would result therefrom or exist immediately thereafter. Upon the occurrence of an Amortization Event and once a Trust Officer has actual knowledge of the Amortization Event, funds on deposit in the Series 2023-8 Excess Collection Account will be withdrawn by the Trustee, deposited in the Series 2023-8 Collection Account and allocated as Principal Collections to reduce the Series 2023-8 Invested Amount on the immediately succeeding Distribution Date.</w:t>
      </w:r>
    </w:p>
    <w:p>
      <w:pPr>
        <w:spacing w:after="0" w:line="188" w:lineRule="exact"/>
        <w:rPr>
          <w:rFonts w:ascii="Times New Roman" w:cs="Times New Roman" w:eastAsia="Times New Roman" w:hAnsi="Times New Roman"/>
          <w:sz w:val="22"/>
          <w:szCs w:val="22"/>
          <w:color w:val="auto"/>
        </w:rPr>
      </w:pPr>
    </w:p>
    <w:p>
      <w:pPr>
        <w:jc w:val="both"/>
        <w:ind w:left="-8" w:firstLine="1304"/>
        <w:spacing w:after="0" w:line="268" w:lineRule="auto"/>
        <w:tabs>
          <w:tab w:leader="none" w:pos="1814" w:val="left"/>
        </w:tabs>
        <w:numPr>
          <w:ilvl w:val="1"/>
          <w:numId w:val="4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Allocations From Other Series</w:t>
      </w:r>
      <w:r>
        <w:rPr>
          <w:rFonts w:ascii="Times New Roman" w:cs="Times New Roman" w:eastAsia="Times New Roman" w:hAnsi="Times New Roman"/>
          <w:sz w:val="21"/>
          <w:szCs w:val="21"/>
          <w:color w:val="auto"/>
        </w:rPr>
        <w:t>. Amounts allocated to other Series of Notes that have been reallocated by ABRCF to the Series 2023-8 Notes (i) during the Series 2023-8 Revolving Period shall be allocated to the Series 2023-8 Excess Collection Account and applied in accordance with Section 2.2(e) and (ii) during the Series 2023-8 Controlled Amortization Period or the Series 2023-8 Rapid Amortization Period shall be allocated to the Series 2023-8 Collection Account and applied in accordance with Section 2.2(b) or 2.2(c), as applicable, to make principal payments in respect of the Series 2023-8 Notes.</w:t>
      </w:r>
    </w:p>
    <w:p>
      <w:pPr>
        <w:spacing w:after="0" w:line="163" w:lineRule="exact"/>
        <w:rPr>
          <w:rFonts w:ascii="Times New Roman" w:cs="Times New Roman" w:eastAsia="Times New Roman" w:hAnsi="Times New Roman"/>
          <w:sz w:val="21"/>
          <w:szCs w:val="21"/>
          <w:color w:val="auto"/>
        </w:rPr>
      </w:pPr>
    </w:p>
    <w:p>
      <w:pPr>
        <w:jc w:val="both"/>
        <w:ind w:left="-8" w:firstLine="1304"/>
        <w:spacing w:after="0" w:line="250" w:lineRule="auto"/>
        <w:tabs>
          <w:tab w:leader="none" w:pos="1850" w:val="left"/>
        </w:tabs>
        <w:numPr>
          <w:ilvl w:val="1"/>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Past Due Rent Payments</w:t>
      </w:r>
      <w:r>
        <w:rPr>
          <w:rFonts w:ascii="Times New Roman" w:cs="Times New Roman" w:eastAsia="Times New Roman" w:hAnsi="Times New Roman"/>
          <w:sz w:val="22"/>
          <w:szCs w:val="22"/>
          <w:color w:val="auto"/>
        </w:rPr>
        <w:t>. Notwithstanding the foregoing, if in the case of Section 2.2(a) or (b), after the occurrence of a Series 2023-8 Lease Payment Deficit, the Lessees shall make payments of Monthly Base Rent or other amounts payable by the Lessees under the Leases on or prior to the fifth Business Day after the occurrence of such Series 2023-8 Lease Payment Deficit (a “</w:t>
      </w:r>
      <w:r>
        <w:rPr>
          <w:rFonts w:ascii="Times New Roman" w:cs="Times New Roman" w:eastAsia="Times New Roman" w:hAnsi="Times New Roman"/>
          <w:sz w:val="22"/>
          <w:szCs w:val="22"/>
          <w:u w:val="single" w:color="auto"/>
          <w:color w:val="auto"/>
        </w:rPr>
        <w:t>Past Due Rent Payment</w:t>
      </w:r>
      <w:r>
        <w:rPr>
          <w:rFonts w:ascii="Times New Roman" w:cs="Times New Roman" w:eastAsia="Times New Roman" w:hAnsi="Times New Roman"/>
          <w:sz w:val="22"/>
          <w:szCs w:val="22"/>
          <w:color w:val="auto"/>
        </w:rPr>
        <w:t>”), the Administrator shall direct the Trustee in writing pursuant to the Administration Agreement to allocate to the Series 2023-8 Collection Account an amount equal to the Series 2023-8 Invested Percentage as of the date of the occurrence of such Series 2023-8 Lease Payment Deficit of the Collections attributable to such Past Due Rent Payment (the “</w:t>
      </w:r>
      <w:r>
        <w:rPr>
          <w:rFonts w:ascii="Times New Roman" w:cs="Times New Roman" w:eastAsia="Times New Roman" w:hAnsi="Times New Roman"/>
          <w:sz w:val="22"/>
          <w:szCs w:val="22"/>
          <w:u w:val="single" w:color="auto"/>
          <w:color w:val="auto"/>
        </w:rPr>
        <w:t>Series 2023-8 Past Due Rent Payment</w:t>
      </w:r>
      <w:r>
        <w:rPr>
          <w:rFonts w:ascii="Times New Roman" w:cs="Times New Roman" w:eastAsia="Times New Roman" w:hAnsi="Times New Roman"/>
          <w:sz w:val="22"/>
          <w:szCs w:val="22"/>
          <w:color w:val="auto"/>
        </w:rPr>
        <w:t>”). The Administrator shall instruct the Trustee in writing pursuant to the Administration Agreement to withdraw from the Series 2023-8 Collection Account and apply the Series 2023-8 Past Due Rent Payment in the following order:</w:t>
      </w:r>
    </w:p>
    <w:p>
      <w:pPr>
        <w:spacing w:after="0" w:line="179" w:lineRule="exact"/>
        <w:rPr>
          <w:rFonts w:ascii="Times New Roman" w:cs="Times New Roman" w:eastAsia="Times New Roman" w:hAnsi="Times New Roman"/>
          <w:sz w:val="22"/>
          <w:szCs w:val="22"/>
          <w:color w:val="auto"/>
        </w:rPr>
      </w:pPr>
    </w:p>
    <w:p>
      <w:pPr>
        <w:jc w:val="both"/>
        <w:ind w:left="652" w:firstLine="1292"/>
        <w:spacing w:after="0" w:line="252" w:lineRule="auto"/>
        <w:tabs>
          <w:tab w:leader="none" w:pos="2406" w:val="left"/>
        </w:tabs>
        <w:numPr>
          <w:ilvl w:val="2"/>
          <w:numId w:val="4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2023-8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2023-8 Reimbursement Agreement an amount</w:t>
      </w:r>
    </w:p>
    <w:p>
      <w:pPr>
        <w:spacing w:after="0" w:line="200" w:lineRule="exact"/>
        <w:rPr>
          <w:sz w:val="20"/>
          <w:szCs w:val="20"/>
          <w:color w:val="auto"/>
        </w:rPr>
      </w:pPr>
    </w:p>
    <w:p>
      <w:pPr>
        <w:spacing w:after="0" w:line="276" w:lineRule="exact"/>
        <w:rPr>
          <w:sz w:val="20"/>
          <w:szCs w:val="20"/>
          <w:color w:val="auto"/>
        </w:rPr>
      </w:pPr>
    </w:p>
    <w:tbl>
      <w:tblPr>
        <w:tblLayout w:type="fixed"/>
        <w:tblInd w:w="72"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ectPr>
          <w:pgSz w:w="11900" w:h="16838" w:orient="portrait"/>
          <w:cols w:equalWidth="0" w:num="1">
            <w:col w:w="11232"/>
          </w:cols>
          <w:pgMar w:left="328" w:top="1030" w:right="339" w:bottom="1440" w:gutter="0" w:footer="0" w:header="0"/>
        </w:sectPr>
      </w:pPr>
    </w:p>
    <w:bookmarkStart w:id="453" w:name="page454"/>
    <w:bookmarkEnd w:id="453"/>
    <w:p>
      <w:pPr>
        <w:jc w:val="both"/>
        <w:ind w:left="580"/>
        <w:spacing w:after="0" w:line="263" w:lineRule="auto"/>
        <w:rPr>
          <w:sz w:val="20"/>
          <w:szCs w:val="20"/>
          <w:color w:val="auto"/>
        </w:rPr>
      </w:pPr>
      <w:r>
        <w:rPr>
          <w:rFonts w:ascii="Times New Roman" w:cs="Times New Roman" w:eastAsia="Times New Roman" w:hAnsi="Times New Roman"/>
          <w:sz w:val="22"/>
          <w:szCs w:val="22"/>
          <w:color w:val="auto"/>
        </w:rPr>
        <w:t>equal to the lesser of (x) the unreimbursed amount of such Multi-Series Letter of Credit Provider’s Lease Deficit Disbursement with respect to the Class A/B/C Notes and (y) such Multi-Series Letter of Credit Provider’s Class A/B/C Pro Rata Share of the Series 2023-8 Past Due Rent Payment;</w:t>
      </w:r>
    </w:p>
    <w:p>
      <w:pPr>
        <w:spacing w:after="0" w:line="167" w:lineRule="exact"/>
        <w:rPr>
          <w:sz w:val="20"/>
          <w:szCs w:val="20"/>
          <w:color w:val="auto"/>
        </w:rPr>
      </w:pPr>
    </w:p>
    <w:p>
      <w:pPr>
        <w:jc w:val="both"/>
        <w:ind w:left="580" w:firstLine="1292"/>
        <w:spacing w:after="0" w:line="262" w:lineRule="auto"/>
        <w:tabs>
          <w:tab w:leader="none" w:pos="2399" w:val="left"/>
        </w:tabs>
        <w:numPr>
          <w:ilvl w:val="1"/>
          <w:numId w:val="4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2023-8 Lease Payment Deficit resulted in a withdrawal being made from the Class A/B/C Cash Collateral Account, deposit in the Class A/B/C Cash Collateral Account an amount equal to the lesser of (x) the amount of the Series 2023-8 Past Due Rent Payment remaining after any payment pursuant to clause</w:t>
      </w:r>
    </w:p>
    <w:p>
      <w:pPr>
        <w:spacing w:after="0" w:line="2" w:lineRule="exact"/>
        <w:rPr>
          <w:rFonts w:ascii="Times New Roman" w:cs="Times New Roman" w:eastAsia="Times New Roman" w:hAnsi="Times New Roman"/>
          <w:sz w:val="21"/>
          <w:szCs w:val="21"/>
          <w:color w:val="auto"/>
        </w:rPr>
      </w:pPr>
    </w:p>
    <w:p>
      <w:pPr>
        <w:ind w:left="580" w:hanging="4"/>
        <w:spacing w:after="0" w:line="261" w:lineRule="auto"/>
        <w:tabs>
          <w:tab w:leader="none" w:pos="843" w:val="left"/>
        </w:tabs>
        <w:numPr>
          <w:ilvl w:val="0"/>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A/B/C Cash Collateral Account on account of such Series 2023-8 Lease Payment Deficit;</w:t>
      </w:r>
    </w:p>
    <w:p>
      <w:pPr>
        <w:spacing w:after="0" w:line="168"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47" w:val="left"/>
        </w:tabs>
        <w:numPr>
          <w:ilvl w:val="1"/>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2023-8 Lease Payment Deficit resulted in a withdrawal being made from the Class A/B/C Reserve Account pursuant to Section 2.3(d), deposit in the Class A/B/C Reserve Account an amount equal to the lesser of (x) the amount of the Series 2023-8 Past Due Rent Payment remaining after any payments pursuant to clauses (i) and (ii) above and (y) the excess, if any, of the Class A/B/C Required Reserve Account Amount over the Class A/B/C Available Reserve Account Amount on such day;</w:t>
      </w:r>
    </w:p>
    <w:p>
      <w:pPr>
        <w:spacing w:after="0" w:line="194"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20" w:val="left"/>
        </w:tabs>
        <w:numPr>
          <w:ilvl w:val="1"/>
          <w:numId w:val="4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2023-8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2023-8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2023-8 Past Due Rent Payment remaining after any payment pursuant to clauses (i) through (iii) above;</w:t>
      </w:r>
    </w:p>
    <w:p>
      <w:pPr>
        <w:spacing w:after="0" w:line="180" w:lineRule="exact"/>
        <w:rPr>
          <w:rFonts w:ascii="Times New Roman" w:cs="Times New Roman" w:eastAsia="Times New Roman" w:hAnsi="Times New Roman"/>
          <w:sz w:val="22"/>
          <w:szCs w:val="22"/>
          <w:color w:val="auto"/>
        </w:rPr>
      </w:pPr>
    </w:p>
    <w:p>
      <w:pPr>
        <w:jc w:val="both"/>
        <w:ind w:left="580" w:firstLine="1292"/>
        <w:spacing w:after="0" w:line="263" w:lineRule="auto"/>
        <w:tabs>
          <w:tab w:leader="none" w:pos="2389" w:val="left"/>
        </w:tabs>
        <w:numPr>
          <w:ilvl w:val="1"/>
          <w:numId w:val="4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occurrence of such Series 2023-8 Lease Payment Deficit resulted in a withdrawal being made from the Class D Cash Collateral Account, deposit in the Class D Cash Collateral Account an amount equal to the lesser of (x) the amount of the Series 2023-8 Past Due Rent Payment remaining after any payment pursuant to clause (i) through</w:t>
      </w:r>
    </w:p>
    <w:p>
      <w:pPr>
        <w:spacing w:after="0" w:line="1" w:lineRule="exact"/>
        <w:rPr>
          <w:rFonts w:ascii="Times New Roman" w:cs="Times New Roman" w:eastAsia="Times New Roman" w:hAnsi="Times New Roman"/>
          <w:sz w:val="21"/>
          <w:szCs w:val="21"/>
          <w:color w:val="auto"/>
        </w:rPr>
      </w:pPr>
    </w:p>
    <w:p>
      <w:pPr>
        <w:ind w:left="580" w:right="20" w:hanging="4"/>
        <w:spacing w:after="0" w:line="259" w:lineRule="auto"/>
        <w:tabs>
          <w:tab w:leader="none" w:pos="966" w:val="left"/>
        </w:tabs>
        <w:numPr>
          <w:ilvl w:val="0"/>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and (y) the amount withdrawn from the Class D Cash Collateral Account on account of such Series 2023-8 Lease Payment Deficit;</w:t>
      </w:r>
    </w:p>
    <w:p>
      <w:pPr>
        <w:spacing w:after="0" w:line="170" w:lineRule="exact"/>
        <w:rPr>
          <w:rFonts w:ascii="Times New Roman" w:cs="Times New Roman" w:eastAsia="Times New Roman" w:hAnsi="Times New Roman"/>
          <w:sz w:val="22"/>
          <w:szCs w:val="22"/>
          <w:color w:val="auto"/>
        </w:rPr>
      </w:pPr>
    </w:p>
    <w:p>
      <w:pPr>
        <w:jc w:val="both"/>
        <w:ind w:left="580" w:firstLine="1292"/>
        <w:spacing w:after="0" w:line="253" w:lineRule="auto"/>
        <w:tabs>
          <w:tab w:leader="none" w:pos="2438" w:val="left"/>
        </w:tabs>
        <w:numPr>
          <w:ilvl w:val="1"/>
          <w:numId w:val="4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occurrence of such Series 2023-8 Lease Payment Deficit resulted in a withdrawal being made from the Class D Reserve Account pursuant to Section 2.3(d), deposit in the Class D Reserve Account an amount equal to the lesser of (x) the amount of the Series 2023-8 Past Due Rent Payment remaining after any payments pursuant to clauses (i) through (v) above and (y) the excess, if any, of the Class D Required Reserve Account Amount over the Class D Available Reserve Account Amount on such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bl>
    <w:p>
      <w:pPr>
        <w:sectPr>
          <w:pgSz w:w="11900" w:h="16838" w:orient="portrait"/>
          <w:cols w:equalWidth="0" w:num="1">
            <w:col w:w="11160"/>
          </w:cols>
          <w:pgMar w:left="400" w:top="1030" w:right="339" w:bottom="1440" w:gutter="0" w:footer="0" w:header="0"/>
        </w:sectPr>
      </w:pPr>
    </w:p>
    <w:bookmarkStart w:id="454" w:name="page455"/>
    <w:bookmarkEnd w:id="454"/>
    <w:p>
      <w:pPr>
        <w:jc w:val="both"/>
        <w:ind w:left="660" w:firstLine="1292"/>
        <w:spacing w:after="0" w:line="263" w:lineRule="auto"/>
        <w:tabs>
          <w:tab w:leader="none" w:pos="2658"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allocate to the Series 2023-8 Accrued Interest Account the amount, if any, by which the Series 2023-8 Lease Interest Payment Deficit, if any, relating to such Series 2023-8 Lease Payment Deficit exceeds the amount of the Series 2023-8 Past Due Rent Payment applied pursuant to clauses (i) (vi) above; and</w:t>
      </w:r>
    </w:p>
    <w:p>
      <w:pPr>
        <w:spacing w:after="0" w:line="167" w:lineRule="exact"/>
        <w:rPr>
          <w:rFonts w:ascii="Times New Roman" w:cs="Times New Roman" w:eastAsia="Times New Roman" w:hAnsi="Times New Roman"/>
          <w:sz w:val="22"/>
          <w:szCs w:val="22"/>
          <w:color w:val="auto"/>
        </w:rPr>
      </w:pPr>
    </w:p>
    <w:p>
      <w:pPr>
        <w:ind w:left="660" w:firstLine="1292"/>
        <w:spacing w:after="0" w:line="271" w:lineRule="auto"/>
        <w:tabs>
          <w:tab w:leader="none" w:pos="2670" w:val="left"/>
        </w:tabs>
        <w:numPr>
          <w:ilvl w:val="0"/>
          <w:numId w:val="4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treat the remaining amount of the Series 2023-8 Past Due Rent Payment as Principal Collections allocated to the Series 2023-8 Notes in accordance with Section 2.2(a)(ii) or 2.2(b)(ii), as the case may be.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Payments to Noteholders</w:t>
      </w:r>
      <w:r>
        <w:rPr>
          <w:rFonts w:ascii="Times New Roman" w:cs="Times New Roman" w:eastAsia="Times New Roman" w:hAnsi="Times New Roman"/>
          <w:sz w:val="22"/>
          <w:szCs w:val="22"/>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2023-8 Notes.</w:t>
      </w:r>
    </w:p>
    <w:p>
      <w:pPr>
        <w:spacing w:after="0" w:line="179" w:lineRule="exact"/>
        <w:rPr>
          <w:sz w:val="20"/>
          <w:szCs w:val="20"/>
          <w:color w:val="auto"/>
        </w:rPr>
      </w:pPr>
    </w:p>
    <w:p>
      <w:pPr>
        <w:jc w:val="both"/>
        <w:ind w:firstLine="1304"/>
        <w:spacing w:after="0" w:line="260" w:lineRule="auto"/>
        <w:tabs>
          <w:tab w:leader="none" w:pos="1779" w:val="left"/>
        </w:tabs>
        <w:numPr>
          <w:ilvl w:val="1"/>
          <w:numId w:val="4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Note Interest with Respect to the Series 2023-8 Notes</w:t>
      </w:r>
      <w:r>
        <w:rPr>
          <w:rFonts w:ascii="Times New Roman" w:cs="Times New Roman" w:eastAsia="Times New Roman" w:hAnsi="Times New Roman"/>
          <w:sz w:val="21"/>
          <w:szCs w:val="21"/>
          <w:color w:val="auto"/>
        </w:rPr>
        <w:t>. On each Determination Date, the Administrator shall instruct the Trustee and the Paying Agent in writing pursuant to the Administration Agreement as to the amount to be withdrawn and paid pursuant to Section 2.4 from the Series 2023-8 Accrued Interest Account to the extent funds are anticipated to be available from Interest Collections allocable to the Series 2023-8 Notes processed from but not including the preceding Distribution Date through the succeeding Distribution Date in respect of (i) an amount equal to the Class A Monthly Interest for the Series 2023-8 Interest Period ending on the day preceding the related Distribution Date, (ii) an amount equal to the amount of any unpaid Class A Shortfall as of the preceding Distribution Date (together with any accrued interest on such Class A Shortfall),</w:t>
      </w:r>
    </w:p>
    <w:p>
      <w:pPr>
        <w:spacing w:after="0" w:line="1" w:lineRule="exact"/>
        <w:rPr>
          <w:rFonts w:ascii="Times New Roman" w:cs="Times New Roman" w:eastAsia="Times New Roman" w:hAnsi="Times New Roman"/>
          <w:sz w:val="21"/>
          <w:szCs w:val="21"/>
          <w:color w:val="auto"/>
        </w:rPr>
      </w:pPr>
    </w:p>
    <w:p>
      <w:pPr>
        <w:jc w:val="both"/>
        <w:ind w:firstLine="8"/>
        <w:spacing w:after="0" w:line="246" w:lineRule="auto"/>
        <w:tabs>
          <w:tab w:leader="none" w:pos="379" w:val="left"/>
        </w:tabs>
        <w:numPr>
          <w:ilvl w:val="0"/>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Class B Monthly Interest for the Series 2023-8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2023-8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Interest for the Series 2023-8 Interest Period ending on the day preceding the related Distribution Date, (viii) an amount equal to the amount of any unpaid Class D Shortfall as of the preceding Distribution Date (together with any accrued interest on such Class D Shortfall), (ix) an amount equal to the Class R Monthly Interest for the Series 2023-8 Interest Period ending on the day preceding the related Distribution Date and (x)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2023-8 Accrued Interest Account and deposit such amounts in the Series 2023-8 Distribution Account. For the avoidance of doubt, no interest shall accrue or be due and payable with respect to the Class C Notes for so long as ABRCF owns 100% of the Class C Notes.</w:t>
      </w:r>
    </w:p>
    <w:p>
      <w:pPr>
        <w:spacing w:after="0" w:line="193" w:lineRule="exact"/>
        <w:rPr>
          <w:rFonts w:ascii="Times New Roman" w:cs="Times New Roman" w:eastAsia="Times New Roman" w:hAnsi="Times New Roman"/>
          <w:sz w:val="22"/>
          <w:szCs w:val="22"/>
          <w:color w:val="auto"/>
        </w:rPr>
      </w:pPr>
    </w:p>
    <w:p>
      <w:pPr>
        <w:ind w:firstLine="1304"/>
        <w:spacing w:after="0" w:line="271" w:lineRule="auto"/>
        <w:tabs>
          <w:tab w:leader="none" w:pos="1966" w:val="left"/>
        </w:tabs>
        <w:numPr>
          <w:ilvl w:val="1"/>
          <w:numId w:val="4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 On or before 3:00 p.m. (New York City time) on the Business Day immediately preceding each Distribution Date, the Administrator shall</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bl>
    <w:p>
      <w:pPr>
        <w:sectPr>
          <w:pgSz w:w="11900" w:h="16838" w:orient="portrait"/>
          <w:cols w:equalWidth="0" w:num="1">
            <w:col w:w="11240"/>
          </w:cols>
          <w:pgMar w:left="320" w:top="1030" w:right="339" w:bottom="1440" w:gutter="0" w:footer="0" w:header="0"/>
        </w:sectPr>
      </w:pPr>
    </w:p>
    <w:bookmarkStart w:id="455" w:name="page456"/>
    <w:bookmarkEnd w:id="455"/>
    <w:p>
      <w:pPr>
        <w:spacing w:after="0" w:line="271" w:lineRule="auto"/>
        <w:rPr>
          <w:sz w:val="20"/>
          <w:szCs w:val="20"/>
          <w:color w:val="auto"/>
        </w:rPr>
      </w:pPr>
      <w:r>
        <w:rPr>
          <w:rFonts w:ascii="Times New Roman" w:cs="Times New Roman" w:eastAsia="Times New Roman" w:hAnsi="Times New Roman"/>
          <w:sz w:val="22"/>
          <w:szCs w:val="22"/>
          <w:color w:val="auto"/>
        </w:rPr>
        <w:t xml:space="preserve">notify the Trustee of the amount of any Series 2023-8 Lease Payment Deficit, such notification to be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Lease Payment Deficit Notice</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1304"/>
        <w:spacing w:after="0" w:line="257" w:lineRule="auto"/>
        <w:tabs>
          <w:tab w:leader="none" w:pos="1981" w:val="left"/>
        </w:tabs>
        <w:numPr>
          <w:ilvl w:val="0"/>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Multi-Series Letters of Credit For Series 2023-8 Lease Interest Payment Deficits</w:t>
      </w:r>
      <w:r>
        <w:rPr>
          <w:rFonts w:ascii="Times New Roman" w:cs="Times New Roman" w:eastAsia="Times New Roman" w:hAnsi="Times New Roman"/>
          <w:sz w:val="22"/>
          <w:szCs w:val="22"/>
          <w:color w:val="auto"/>
        </w:rPr>
        <w:t>. If the Administrator determines on the Business Day immediately preceding any Distribution Date that on such Distribution Date there will exist a Series 2023-8 Lease Interest Payment Deficit, the Administrator shall:</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46" w:lineRule="auto"/>
        <w:tabs>
          <w:tab w:leader="none" w:pos="2388"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 the least of (x) the excess, if any, of such Series 2023-8 Lease Interest Payment Deficit over the sum of (1) the amounts described in clauses (vii) and (viii) of Section 2.3(a) above and (2) during the Series 2023-8 Rapid Amortization Period, the product of the Class D Percentage and the Series 2023-8 Trustee’s Fees for such Distribution Date, (y) the excess, if any, of (A) the sum of (1) the amounts described in clauses (i) through (vi) of Section 2.3(a) above for such Distribution Date and (2) during the Series 2023-8 Rapid Amortization Period, the product of the Class A/B/C Percentage and the Series 2023-8 Trustee’s Fees for such Distribution Date, over (B) the amounts available from the Series 2023-8 Accrued Interest Account and (z) the Class A/B/C Letter of Credit Liquidity Amount or (II) if no Class A Notes, Class B Notes or Class C Notes remain outstanding, the least of (x) such Series 2023-8 Lease Interest Payment Deficit, (y) the excess, if any, of (A) the sum of (1) the amounts described in clauses (i) through (viii) of Section 2.3(a) above for such Distribution Date and (2) during the Series 2023-8 Rapid Amortization Period, the Series 2023-8 Trustee’s Fees for such Distribution Date, over (B) the amounts available from the Series 2023-8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2023-8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2023-8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Multi-Series Letters of Credit; and</w:t>
      </w:r>
    </w:p>
    <w:p>
      <w:pPr>
        <w:spacing w:after="0" w:line="216"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36" w:val="left"/>
        </w:tabs>
        <w:numPr>
          <w:ilvl w:val="1"/>
          <w:numId w:val="4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2023-8 Lease Interest Payment Deficit, (y) the excess, if any, of (A) the sum of (1) the amounts described in clauses (vii) and (viii) of Section 2.3(a) above for such</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ectPr>
          <w:pgSz w:w="11900" w:h="16838" w:orient="portrait"/>
          <w:cols w:equalWidth="0" w:num="1">
            <w:col w:w="11240"/>
          </w:cols>
          <w:pgMar w:left="320" w:top="1030" w:right="339" w:bottom="1440" w:gutter="0" w:footer="0" w:header="0"/>
        </w:sectPr>
      </w:pPr>
    </w:p>
    <w:bookmarkStart w:id="456" w:name="page457"/>
    <w:bookmarkEnd w:id="456"/>
    <w:p>
      <w:pPr>
        <w:jc w:val="both"/>
        <w:ind w:left="580"/>
        <w:spacing w:after="0" w:line="248" w:lineRule="auto"/>
        <w:rPr>
          <w:sz w:val="20"/>
          <w:szCs w:val="20"/>
          <w:color w:val="auto"/>
        </w:rPr>
      </w:pPr>
      <w:r>
        <w:rPr>
          <w:rFonts w:ascii="Times New Roman" w:cs="Times New Roman" w:eastAsia="Times New Roman" w:hAnsi="Times New Roman"/>
          <w:sz w:val="22"/>
          <w:szCs w:val="22"/>
          <w:color w:val="auto"/>
        </w:rPr>
        <w:t xml:space="preserve">Distribution Date and (2) during the Series 2023-8 Rapid Amortization Period, the product of the Class D Percentage and the Series 2023-8 Trustee’s Fees for such Distribution Date, over (B) the excess of (1) the sum of (X) the amounts available from the Series 2023-8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2023-8 Rapid Amortization Period, the product of the Class A/B/C Percentage and the Series 2023-8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 Deficit Disbursements to be deposited in the Series 2023-8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D Cash Collateral Account has been established and funded, the Trustee shall withdraw from the Class D Cash Collateral Account and deposit in the Series 2023-8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spacing w:after="0" w:line="183" w:lineRule="exact"/>
        <w:rPr>
          <w:sz w:val="20"/>
          <w:szCs w:val="20"/>
          <w:color w:val="auto"/>
        </w:rPr>
      </w:pPr>
    </w:p>
    <w:p>
      <w:pPr>
        <w:jc w:val="both"/>
        <w:ind w:left="-80" w:firstLine="1304"/>
        <w:spacing w:after="0" w:line="251" w:lineRule="auto"/>
        <w:tabs>
          <w:tab w:leader="none" w:pos="1792" w:val="left"/>
        </w:tabs>
        <w:numPr>
          <w:ilvl w:val="0"/>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Withdrawals from Series 2023-8 Reserve Accounts</w:t>
      </w:r>
      <w:r>
        <w:rPr>
          <w:rFonts w:ascii="Times New Roman" w:cs="Times New Roman" w:eastAsia="Times New Roman" w:hAnsi="Times New Roman"/>
          <w:sz w:val="22"/>
          <w:szCs w:val="22"/>
          <w:color w:val="auto"/>
        </w:rPr>
        <w:t xml:space="preserve">. If the Administrator determines on any Distribution Date that the amounts available from the Series 2023-8 Accrued Interest Account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amount, if any, to be drawn under the Multi-Series Letters of Credit and/or withdrawn from the Series 2023-8 Cash Collateral Accounts pursuant to Section 2.3(c) are insufficient to pay the sum of (A) the amounts described in clauses (i) through (x) of Section 2.3(a) above on such Distribution Date and (B) during the Series 2023-8 Rapid Amortization Period, the Series 2023-8 Trustee’s Fees for such Distribution Date, the Administrator shall:</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47" w:lineRule="auto"/>
        <w:tabs>
          <w:tab w:leader="none" w:pos="2328" w:val="left"/>
        </w:tabs>
        <w:numPr>
          <w:ilvl w:val="1"/>
          <w:numId w:val="4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Trustee in writing to withdraw from the Class A/B/C Reserve Account and deposit in the Series 2023-8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2023-8 Rapid Amortization Period, the product of the Class A/B/C Percentage and the Series 2023-8 Trustee’s Fees for such Distribution Date or (II) if no Class A Notes, Class B Notes or Class C Notes remain outstanding, the sum of (1) the amounts described in clauses (i) through (viii) of Section 2.3(a) above with respect to such Distribution Date and (2) during the Series 2023-8 Rapid Amortization Period, the Series 2023-8 Trustee’s Fees for such Distribution Date over (B) the sum of (1) the amounts available from the Series 2023-8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2023-8 Distribution Account; and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ectPr>
          <w:pgSz w:w="11900" w:h="16838" w:orient="portrait"/>
          <w:cols w:equalWidth="0" w:num="1">
            <w:col w:w="11160"/>
          </w:cols>
          <w:pgMar w:left="400" w:top="1030" w:right="339" w:bottom="1440" w:gutter="0" w:footer="0" w:header="0"/>
        </w:sectPr>
      </w:pPr>
    </w:p>
    <w:bookmarkStart w:id="457" w:name="page458"/>
    <w:bookmarkEnd w:id="457"/>
    <w:p>
      <w:pPr>
        <w:jc w:val="both"/>
        <w:ind w:left="660" w:firstLine="1292"/>
        <w:spacing w:after="0" w:line="261" w:lineRule="auto"/>
        <w:tabs>
          <w:tab w:leader="none" w:pos="2538" w:val="left"/>
        </w:tabs>
        <w:numPr>
          <w:ilvl w:val="1"/>
          <w:numId w:val="4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instruct the Trustee in writing to withdraw from the Class D Reserve Account and deposit in the Series 2023-8 Distribution Account on such Distribution Date an amount equal to the lesser of (x) the Class D Available Reserve Account Amount and (y) the excess of (A) the sum of (1) the amounts described in clauses (vii) and (viii) of Section 2.3(a) above with respect to such Distribution Date and (2) during the Series 2023-8 Rapid Amortization Period, the product of the Class D Percentage and the Series 2023-8 Trustee’s Fees for such Distribution Date over (B) the excess with respect to such Distribution Date of (1) the sum of (W) the amounts available from the Series 2023-8 Accrued Interest Account, (X) the amount drawn on the Class A/B/C Letters of Credit (and/or withdrawn from the Class A/B/C Cash Collateral Account) in accordance with 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2023-8 Rapid Amortization Period, the product of the Class A/B/C Percentage and the Series 2023-8 Trustee’s Fees for such Distribution Date. The Trustee shall withdraw such amount from the Class D Reserve Account and deposit such amount in the Series 2023-8 Distribution Account.</w:t>
      </w:r>
    </w:p>
    <w:p>
      <w:pPr>
        <w:spacing w:after="0" w:line="170"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62" w:lineRule="auto"/>
        <w:tabs>
          <w:tab w:leader="none" w:pos="1782" w:val="left"/>
        </w:tabs>
        <w:numPr>
          <w:ilvl w:val="0"/>
          <w:numId w:val="4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Balance</w:t>
      </w:r>
      <w:r>
        <w:rPr>
          <w:rFonts w:ascii="Times New Roman" w:cs="Times New Roman" w:eastAsia="Times New Roman" w:hAnsi="Times New Roman"/>
          <w:sz w:val="21"/>
          <w:szCs w:val="21"/>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2023-8 Accrued Interest Account and the Series 2023-8 Distribution Account,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drawn under the Multi-Series Letters of Credit and/or withdrawn from the Series 2023-8 Cash Collateral Accounts pursuant to Section 2.3(c)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amount, if any, withdrawn from the Series</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2023-8 Reserve Accounts pursuant to Section 2.3(d) as follows:</w:t>
      </w:r>
    </w:p>
    <w:p>
      <w:pPr>
        <w:spacing w:after="0" w:line="195" w:lineRule="exact"/>
        <w:rPr>
          <w:rFonts w:ascii="Times New Roman" w:cs="Times New Roman" w:eastAsia="Times New Roman" w:hAnsi="Times New Roman"/>
          <w:sz w:val="21"/>
          <w:szCs w:val="21"/>
          <w:color w:val="auto"/>
        </w:rPr>
      </w:pPr>
    </w:p>
    <w:p>
      <w:pPr>
        <w:jc w:val="both"/>
        <w:ind w:left="660" w:firstLine="1292"/>
        <w:spacing w:after="0" w:line="248" w:lineRule="auto"/>
        <w:tabs>
          <w:tab w:leader="none" w:pos="2400" w:val="left"/>
        </w:tabs>
        <w:numPr>
          <w:ilvl w:val="1"/>
          <w:numId w:val="4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each Distribution Date during the Series 2023-8 Revolving Period or the Series 2023-8 Controlled Amortization Period, (1) first, to the Administrator, an amount equal to the Series 2023-8 Percentage as of the beginning of the Series 2023-8 Interest Period ending on the day preceding such Distribution Date of the portion of the Monthly Administration Fee payable by ABRCF (as specified in clause (iii) of the definition thereof) for such Series 2023-8 Interest Period, (2) second, to the Trustee, an amount equal to the Series 2023-8 Percentage as of the beginning of such Series 2023-8 Interest Period of the fees owing to the Trustee under the Base Indenture for such Series 2023-8 Interest Period, (3) third to pay any Carrying Charges (other than Carrying Charges provided for above) to the Persons to whom such amounts are owed, an amount equal to the Series 2023-8 Percentage as of the beginning of such Series 2023-8 Interest Period of such Carrying Charges (other than Carrying Charges provided for above) for such Series 2023-8 Interest Period and (4) fourth, the balance, if any, shall be withdrawn by the Paying Agent from the Series 2023-8 Collection Account and deposited in the Series 2023-8 Excess Collection Account; and</w:t>
      </w: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bl>
    <w:p>
      <w:pPr>
        <w:sectPr>
          <w:pgSz w:w="11900" w:h="16838" w:orient="portrait"/>
          <w:cols w:equalWidth="0" w:num="1">
            <w:col w:w="11240"/>
          </w:cols>
          <w:pgMar w:left="320" w:top="1030" w:right="339" w:bottom="1440" w:gutter="0" w:footer="0" w:header="0"/>
        </w:sectPr>
      </w:pPr>
    </w:p>
    <w:bookmarkStart w:id="458" w:name="page459"/>
    <w:bookmarkEnd w:id="458"/>
    <w:p>
      <w:pPr>
        <w:jc w:val="both"/>
        <w:ind w:left="580" w:firstLine="1292"/>
        <w:spacing w:after="0" w:line="262" w:lineRule="auto"/>
        <w:tabs>
          <w:tab w:leader="none" w:pos="2500" w:val="left"/>
        </w:tabs>
        <w:numPr>
          <w:ilvl w:val="2"/>
          <w:numId w:val="4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Distribution Date during the Series 2023-8 Rapid Amortization Period, (1) first, to the Trustee, an amount equal to the Series 2023-8 Percentage as of the beginning of such Series 2023-8 Interest Period ending on the day preceding such Distribution Date of the fees owing to the Trustee under the Base Indenture for such Series 2023-8 Interest Period, (2) second, to the Administrator, an amount equal to the Series 2023-8 Percentage as of the beginning of such Series 2023-8 Interest Period of the portion of the Monthly Administration Fee (as specified in clause</w:t>
      </w:r>
    </w:p>
    <w:p>
      <w:pPr>
        <w:spacing w:after="0" w:line="1" w:lineRule="exact"/>
        <w:rPr>
          <w:rFonts w:ascii="Times New Roman" w:cs="Times New Roman" w:eastAsia="Times New Roman" w:hAnsi="Times New Roman"/>
          <w:sz w:val="21"/>
          <w:szCs w:val="21"/>
          <w:color w:val="auto"/>
        </w:rPr>
      </w:pPr>
    </w:p>
    <w:p>
      <w:pPr>
        <w:jc w:val="both"/>
        <w:ind w:left="580" w:hanging="4"/>
        <w:spacing w:after="0" w:line="246" w:lineRule="auto"/>
        <w:tabs>
          <w:tab w:leader="none" w:pos="976" w:val="left"/>
        </w:tabs>
        <w:numPr>
          <w:ilvl w:val="0"/>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definition thereof) payable by ABRCF for such Series 2023-8 Interest Period, (3) third, to pay any Carrying Charges (other than Carrying Charges provided for above) to the Persons to whom such amounts are owed, an amount equal to the Series 2023-8 Percentage as of the beginning of such Series 2023-8 Interest Period of such Carrying Charges (other than Carrying Charges provided for above) for such Series 2023-8 Interest Period and (4) fourth, so long as the Series 2023-8 Invested Amount is greater than the Monthly Total Principal Allocations for the Related Month, an amount equal to the excess of the Series 2023-8 Invested Amount over the Monthly Total Principal Allocations for the Related Month shall be treated as Principal Collections.</w:t>
      </w:r>
    </w:p>
    <w:p>
      <w:pPr>
        <w:spacing w:after="0" w:line="185"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1"/>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Shortfalls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17" w:val="left"/>
        </w:tabs>
        <w:numPr>
          <w:ilvl w:val="2"/>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Class A Monthly Interest on any Distribution Date, payments of interest to the Class A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Shortfall</w:t>
      </w:r>
      <w:r>
        <w:rPr>
          <w:rFonts w:ascii="Times New Roman" w:cs="Times New Roman" w:eastAsia="Times New Roman" w:hAnsi="Times New Roman"/>
          <w:sz w:val="22"/>
          <w:szCs w:val="22"/>
          <w:color w:val="auto"/>
        </w:rPr>
        <w:t>”. Interest shall accrue on the Class A Shortfall at the Class A Note Rate.</w:t>
      </w:r>
    </w:p>
    <w:p>
      <w:pPr>
        <w:spacing w:after="0" w:line="194"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23" w:val="left"/>
        </w:tabs>
        <w:numPr>
          <w:ilvl w:val="2"/>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B Monthly Interest for the Series 2023-8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B Shortfall</w:t>
      </w:r>
      <w:r>
        <w:rPr>
          <w:rFonts w:ascii="Times New Roman" w:cs="Times New Roman" w:eastAsia="Times New Roman" w:hAnsi="Times New Roman"/>
          <w:sz w:val="22"/>
          <w:szCs w:val="22"/>
          <w:color w:val="auto"/>
        </w:rPr>
        <w:t>”. Interest shall accrue on the Class B Shortfall at the Class B Note Rate.</w:t>
      </w:r>
    </w:p>
    <w:p>
      <w:pPr>
        <w:spacing w:after="0" w:line="180"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73" w:val="left"/>
        </w:tabs>
        <w:numPr>
          <w:ilvl w:val="2"/>
          <w:numId w:val="4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C Monthly Interest for the Series 2023-8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C Shortfall</w:t>
      </w:r>
      <w:r>
        <w:rPr>
          <w:rFonts w:ascii="Times New Roman" w:cs="Times New Roman" w:eastAsia="Times New Roman" w:hAnsi="Times New Roman"/>
          <w:sz w:val="22"/>
          <w:szCs w:val="22"/>
          <w:color w:val="auto"/>
        </w:rPr>
        <w:t>”. Interest shall accrue on the Class C Shortfall at the Class C Note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ectPr>
          <w:pgSz w:w="11900" w:h="16838" w:orient="portrait"/>
          <w:cols w:equalWidth="0" w:num="1">
            <w:col w:w="11160"/>
          </w:cols>
          <w:pgMar w:left="400" w:top="1030" w:right="339" w:bottom="1440" w:gutter="0" w:footer="0" w:header="0"/>
        </w:sectPr>
      </w:pPr>
    </w:p>
    <w:bookmarkStart w:id="459" w:name="page460"/>
    <w:bookmarkEnd w:id="459"/>
    <w:p>
      <w:pPr>
        <w:jc w:val="both"/>
        <w:ind w:left="660" w:firstLine="1292"/>
        <w:spacing w:after="0" w:line="250" w:lineRule="auto"/>
        <w:tabs>
          <w:tab w:leader="none" w:pos="2543"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 of Section 2.3(a) and the Class D Monthly Interest on any Distribution Date, payments of interest to the Class D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D Monthly Interest for the Series 2023-8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D Shortfall</w:t>
      </w:r>
      <w:r>
        <w:rPr>
          <w:rFonts w:ascii="Times New Roman" w:cs="Times New Roman" w:eastAsia="Times New Roman" w:hAnsi="Times New Roman"/>
          <w:sz w:val="22"/>
          <w:szCs w:val="22"/>
          <w:color w:val="auto"/>
        </w:rPr>
        <w:t>”. Interest shall accrue on the Class D Shortfall at the Class D Note Rate.</w:t>
      </w:r>
    </w:p>
    <w:p>
      <w:pPr>
        <w:spacing w:after="0" w:line="193" w:lineRule="exact"/>
        <w:rPr>
          <w:rFonts w:ascii="Times New Roman" w:cs="Times New Roman" w:eastAsia="Times New Roman" w:hAnsi="Times New Roman"/>
          <w:sz w:val="22"/>
          <w:szCs w:val="22"/>
          <w:color w:val="auto"/>
        </w:rPr>
      </w:pPr>
    </w:p>
    <w:p>
      <w:pPr>
        <w:jc w:val="both"/>
        <w:ind w:left="660" w:firstLine="1292"/>
        <w:spacing w:after="0" w:line="250" w:lineRule="auto"/>
        <w:tabs>
          <w:tab w:leader="none" w:pos="2494" w:val="left"/>
        </w:tabs>
        <w:numPr>
          <w:ilvl w:val="0"/>
          <w:numId w:val="4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amounts described in Section 2.3 are insufficient to pay the amounts described in clauses (i) through (viii) of Section 2.3(a) and the Class R Monthly Interest on any Distribution Date, payments of interest to the Class R Noteholders will be reduced on a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basis by the amount of such deficiency. The aggregate amount, if any, of such deficiency on any Distribution Date (which deficiency on any Distribution Date shall not exceed the Class R Monthly Interest for the Series 2023-8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22"/>
          <w:szCs w:val="22"/>
          <w:u w:val="single" w:color="auto"/>
          <w:color w:val="auto"/>
        </w:rPr>
        <w:t>Class R Shortfall</w:t>
      </w:r>
      <w:r>
        <w:rPr>
          <w:rFonts w:ascii="Times New Roman" w:cs="Times New Roman" w:eastAsia="Times New Roman" w:hAnsi="Times New Roman"/>
          <w:sz w:val="22"/>
          <w:szCs w:val="22"/>
          <w:color w:val="auto"/>
        </w:rPr>
        <w:t>”. Interest shall accrue on the Class R Shortfall at the Class R Note Rate.</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Payment of Note Interest</w:t>
      </w:r>
      <w:r>
        <w:rPr>
          <w:rFonts w:ascii="Times New Roman" w:cs="Times New Roman" w:eastAsia="Times New Roman" w:hAnsi="Times New Roman"/>
          <w:sz w:val="22"/>
          <w:szCs w:val="22"/>
          <w:color w:val="auto"/>
        </w:rPr>
        <w:t>. (a) On each Distribution Date, subject to Section 9.8 of the Base Indenture, the Paying Agent shall, in accordance with Section 6.1 of the Base Indenture, pay the following amounts in the following order of priority from amounts deposited into the Series 2023-8 Distribution Account pursuant to Section 2.3:</w:t>
      </w:r>
    </w:p>
    <w:p>
      <w:pPr>
        <w:spacing w:after="0" w:line="173" w:lineRule="exact"/>
        <w:rPr>
          <w:sz w:val="20"/>
          <w:szCs w:val="20"/>
          <w:color w:val="auto"/>
        </w:rPr>
      </w:pPr>
    </w:p>
    <w:p>
      <w:pPr>
        <w:ind w:left="2420" w:hanging="468"/>
        <w:spacing w:after="0"/>
        <w:tabs>
          <w:tab w:leader="none" w:pos="242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Class A Noteholders, the amounts due to the Class A Noteholders described in Sections</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 and (ii);</w:t>
      </w:r>
    </w:p>
    <w:p>
      <w:pPr>
        <w:spacing w:after="0" w:line="20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 the Class B Noteholders, the amounts due to the Class B Noteholders described in Sections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2.3(a)(iii) and (iv);</w:t>
      </w:r>
    </w:p>
    <w:p>
      <w:pPr>
        <w:spacing w:after="0" w:line="195" w:lineRule="exact"/>
        <w:rPr>
          <w:rFonts w:ascii="Times New Roman" w:cs="Times New Roman" w:eastAsia="Times New Roman" w:hAnsi="Times New Roman"/>
          <w:sz w:val="21"/>
          <w:szCs w:val="21"/>
          <w:color w:val="auto"/>
        </w:rPr>
      </w:pPr>
    </w:p>
    <w:p>
      <w:pPr>
        <w:ind w:left="2500" w:hanging="548"/>
        <w:spacing w:after="0"/>
        <w:tabs>
          <w:tab w:leader="none" w:pos="2500" w:val="left"/>
        </w:tabs>
        <w:numPr>
          <w:ilvl w:val="0"/>
          <w:numId w:val="4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the Class C Noteholders, the amounts due to the Class C Noteholders described in Sections</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2.3(a)(v) and (vi);</w:t>
      </w:r>
    </w:p>
    <w:p>
      <w:pPr>
        <w:spacing w:after="0" w:line="209" w:lineRule="exact"/>
        <w:rPr>
          <w:rFonts w:ascii="Times New Roman" w:cs="Times New Roman" w:eastAsia="Times New Roman" w:hAnsi="Times New Roman"/>
          <w:sz w:val="21"/>
          <w:szCs w:val="21"/>
          <w:color w:val="auto"/>
        </w:rPr>
      </w:pPr>
    </w:p>
    <w:p>
      <w:pPr>
        <w:ind w:left="660" w:firstLine="1292"/>
        <w:spacing w:after="0" w:line="271" w:lineRule="auto"/>
        <w:tabs>
          <w:tab w:leader="none" w:pos="2484"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to the Class D Noteholders, the amounts due to the Class D Noteholders described in Sections 2.3(a)(vii) and (viii); and</w:t>
      </w:r>
    </w:p>
    <w:p>
      <w:pPr>
        <w:spacing w:after="0" w:line="157"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4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to the Class R Noteholders, the amounts due to the Class R Noteholders described in Sections</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2.3(a)(ix) and (x).</w:t>
      </w:r>
    </w:p>
    <w:p>
      <w:pPr>
        <w:spacing w:after="0" w:line="19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Payment of Note Principal</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Monthly Payments During Controlled Amortization Period or Rapid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Amortization Period</w:t>
      </w:r>
      <w:r>
        <w:rPr>
          <w:rFonts w:ascii="Times New Roman" w:cs="Times New Roman" w:eastAsia="Times New Roman" w:hAnsi="Times New Roman"/>
          <w:sz w:val="22"/>
          <w:szCs w:val="22"/>
          <w:color w:val="auto"/>
        </w:rPr>
        <w:t>. On each Determination Date, commencing on the second Determination Date during the Series 2023-8 Controlled Amortization Period or the first Determination Date after the commencement of the Series 2023-8 Rapid Amortization Period, the Administrator shall instruct the Trustee and the Paying Agent in writing</w:t>
      </w:r>
    </w:p>
    <w:p>
      <w:pPr>
        <w:spacing w:after="0" w:line="200" w:lineRule="exact"/>
        <w:rPr>
          <w:sz w:val="20"/>
          <w:szCs w:val="20"/>
          <w:color w:val="auto"/>
        </w:rPr>
      </w:pPr>
    </w:p>
    <w:p>
      <w:pPr>
        <w:spacing w:after="0" w:line="27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ectPr>
          <w:pgSz w:w="11900" w:h="16838" w:orient="portrait"/>
          <w:cols w:equalWidth="0" w:num="1">
            <w:col w:w="11240"/>
          </w:cols>
          <w:pgMar w:left="320" w:top="1030" w:right="339" w:bottom="1440" w:gutter="0" w:footer="0" w:header="0"/>
        </w:sectPr>
      </w:pPr>
    </w:p>
    <w:bookmarkStart w:id="460" w:name="page461"/>
    <w:bookmarkEnd w:id="460"/>
    <w:p>
      <w:pPr>
        <w:jc w:val="both"/>
        <w:spacing w:after="0" w:line="264" w:lineRule="auto"/>
        <w:rPr>
          <w:sz w:val="20"/>
          <w:szCs w:val="20"/>
          <w:color w:val="auto"/>
        </w:rPr>
      </w:pPr>
      <w:r>
        <w:rPr>
          <w:rFonts w:ascii="Times New Roman" w:cs="Times New Roman" w:eastAsia="Times New Roman" w:hAnsi="Times New Roman"/>
          <w:sz w:val="21"/>
          <w:szCs w:val="21"/>
          <w:color w:val="auto"/>
        </w:rPr>
        <w:t>pursuant to the Administration Agreement and in accordance with this Section 2.5 as to (1) the amount allocated to the Series 2023-8 Notes during the Related Month pursuant to Section 2.2(b)(ii), (c)(ii) or (d)(ii), as the case may be, (2) any amounts to be drawn on the Series 2023-8 Demand Notes and/or on the Multi-Series Letters of Credit (or withdrawn from the Series 2023-8 Cash Collateral Accounts) pursuant to this Section 2.5 and (3) any amounts to be withdrawn from the Series 2023-8 Reserve Accounts pursuant to this Section 2.5 and deposited into the Series 2023-8 Distribution Account. On the Distribution Date following each such Determination Date, the Trustee shall withdraw the amount allocated to the Series 2023-8 Notes during the Related Month pursuant to Section 2.2(b)(ii), (c)(ii) or (d)(ii), as the case may be, from the Series 2023-8 Collection Account and deposit such amount in the Series 2023-8 Distribution Account, to be paid to the holders of the Series 2023-8 Notes.</w:t>
      </w:r>
    </w:p>
    <w:p>
      <w:pPr>
        <w:spacing w:after="0" w:line="170" w:lineRule="exact"/>
        <w:rPr>
          <w:sz w:val="20"/>
          <w:szCs w:val="20"/>
          <w:color w:val="auto"/>
        </w:rPr>
      </w:pPr>
    </w:p>
    <w:p>
      <w:pPr>
        <w:jc w:val="both"/>
        <w:ind w:firstLine="1304"/>
        <w:spacing w:after="0" w:line="257" w:lineRule="auto"/>
        <w:tabs>
          <w:tab w:leader="none" w:pos="1872" w:val="left"/>
        </w:tabs>
        <w:numPr>
          <w:ilvl w:val="0"/>
          <w:numId w:val="4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Principal Draws on Multi-Series Letters of Credit</w:t>
      </w:r>
      <w:r>
        <w:rPr>
          <w:rFonts w:ascii="Times New Roman" w:cs="Times New Roman" w:eastAsia="Times New Roman" w:hAnsi="Times New Roman"/>
          <w:sz w:val="22"/>
          <w:szCs w:val="22"/>
          <w:color w:val="auto"/>
        </w:rPr>
        <w:t>. If the Administrator determines on the Business Day immediately preceding any Distribution Date during the Series 2023-8 Rapid Amortization Period that on such Distribution Date there will exist a Series 2023-8 Lease Principal Payment Deficit, the Administrator shall instruct the Trustee in writing to:</w:t>
      </w:r>
    </w:p>
    <w:p>
      <w:pPr>
        <w:spacing w:after="0" w:line="173" w:lineRule="exact"/>
        <w:rPr>
          <w:sz w:val="20"/>
          <w:szCs w:val="20"/>
          <w:color w:val="auto"/>
        </w:rPr>
      </w:pPr>
    </w:p>
    <w:p>
      <w:pPr>
        <w:jc w:val="both"/>
        <w:ind w:left="660" w:firstLine="644"/>
        <w:spacing w:after="0" w:line="246" w:lineRule="auto"/>
        <w:tabs>
          <w:tab w:leader="none" w:pos="1822" w:val="left"/>
        </w:tabs>
        <w:numPr>
          <w:ilvl w:val="0"/>
          <w:numId w:val="4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2023-8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2023-8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2023-8 Distribution Account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2023-8 Distribution Account an amount equal to the lesser of (x) the Class A/B/C Cash Collateral Percentage for such date of the lesser of the Series 2023-8 Lease Principal Payment Deficit and the Class A/B/C Principal Deficit Amount for such Distribution Date and (y) the Class A/B/C Available Cash Collateral Account Amount on such date and draw an amount equal to the remainder of such amount on the Multi-Series Letters of Credit that shall be allocable to the Class A/B/C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w:t>
      </w:r>
    </w:p>
    <w:p>
      <w:pPr>
        <w:spacing w:after="0" w:line="200" w:lineRule="exact"/>
        <w:rPr>
          <w:sz w:val="20"/>
          <w:szCs w:val="20"/>
          <w:color w:val="auto"/>
        </w:rPr>
      </w:pPr>
    </w:p>
    <w:p>
      <w:pPr>
        <w:spacing w:after="0" w:line="30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bl>
    <w:p>
      <w:pPr>
        <w:sectPr>
          <w:pgSz w:w="11900" w:h="16838" w:orient="portrait"/>
          <w:cols w:equalWidth="0" w:num="1">
            <w:col w:w="11240"/>
          </w:cols>
          <w:pgMar w:left="320" w:top="1030" w:right="339" w:bottom="1440" w:gutter="0" w:footer="0" w:header="0"/>
        </w:sectPr>
      </w:pPr>
    </w:p>
    <w:bookmarkStart w:id="461" w:name="page462"/>
    <w:bookmarkEnd w:id="461"/>
    <w:p>
      <w:pPr>
        <w:ind w:left="580"/>
        <w:spacing w:after="0" w:line="271" w:lineRule="auto"/>
        <w:rPr>
          <w:sz w:val="20"/>
          <w:szCs w:val="20"/>
          <w:color w:val="auto"/>
        </w:rPr>
      </w:pPr>
      <w:r>
        <w:rPr>
          <w:rFonts w:ascii="Times New Roman" w:cs="Times New Roman" w:eastAsia="Times New Roman" w:hAnsi="Times New Roman"/>
          <w:sz w:val="22"/>
          <w:szCs w:val="22"/>
          <w:color w:val="auto"/>
        </w:rPr>
        <w:t>in the preceding sentence and (y) the excess, if any, of (A) the Class A/B/C Liquidity Amount on such date over (B) the Class A/B/C Required Liquidity Amount on such date;</w:t>
      </w:r>
    </w:p>
    <w:p>
      <w:pPr>
        <w:spacing w:after="0" w:line="171" w:lineRule="exact"/>
        <w:rPr>
          <w:sz w:val="20"/>
          <w:szCs w:val="20"/>
          <w:color w:val="auto"/>
        </w:rPr>
      </w:pPr>
    </w:p>
    <w:p>
      <w:pPr>
        <w:jc w:val="both"/>
        <w:ind w:left="580" w:firstLine="644"/>
        <w:spacing w:after="0" w:line="259" w:lineRule="auto"/>
        <w:tabs>
          <w:tab w:leader="none" w:pos="1735" w:val="left"/>
        </w:tabs>
        <w:numPr>
          <w:ilvl w:val="0"/>
          <w:numId w:val="4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2023-8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2023-8 Lease Principal Payment Deficit over (B) the amount, if any, to be drawn on the 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2023-8 Distribution Account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A/B/C Cash Collateral Account has been established and funded, the Trustee shall withdraw from the Class A/B/C Cash Collateral Account and deposit in the Series 2023-8 Distribution Account an amount equal to the lesser of (x) the Class A/B/C Cash Collateral Percentage for such date of the lesser of (A) the excess of (1) the Series 2023-8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Multi-Series Letters of Credit that shall be allocable to the Class A/B/C Notes;</w:t>
      </w:r>
    </w:p>
    <w:p>
      <w:pPr>
        <w:spacing w:after="0" w:line="200" w:lineRule="exact"/>
        <w:rPr>
          <w:rFonts w:ascii="Times New Roman" w:cs="Times New Roman" w:eastAsia="Times New Roman" w:hAnsi="Times New Roman"/>
          <w:sz w:val="21"/>
          <w:szCs w:val="21"/>
          <w:color w:val="auto"/>
        </w:rPr>
      </w:pPr>
    </w:p>
    <w:p>
      <w:pPr>
        <w:spacing w:after="0" w:line="232" w:lineRule="exact"/>
        <w:rPr>
          <w:rFonts w:ascii="Times New Roman" w:cs="Times New Roman" w:eastAsia="Times New Roman" w:hAnsi="Times New Roman"/>
          <w:sz w:val="21"/>
          <w:szCs w:val="21"/>
          <w:color w:val="auto"/>
        </w:rPr>
      </w:pPr>
    </w:p>
    <w:p>
      <w:pPr>
        <w:jc w:val="both"/>
        <w:ind w:left="580" w:firstLine="644"/>
        <w:spacing w:after="0" w:line="249" w:lineRule="auto"/>
        <w:tabs>
          <w:tab w:leader="none" w:pos="1786" w:val="left"/>
        </w:tabs>
        <w:numPr>
          <w:ilvl w:val="0"/>
          <w:numId w:val="4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giving effect to any payments to be made on such Distribution Date, the Class A Notes, the Class B Notes and the Class C Notes will have been paid in full, draw on the Multi-Series Letters of Credit with respect to the Class D Notes, if any, as provided in this clause (iii). Upon receipt of a notice by the Trustee from the Administrator in respect of a Series 2023-8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2023-8 Lease Principal Payment Deficit over (B) the amount, if any, to be drawn on the Multi-Series Letters of Credit with respect to the Class D Notes and/or withdrawn from the Class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ectPr>
          <w:pgSz w:w="11900" w:h="16838" w:orient="portrait"/>
          <w:cols w:equalWidth="0" w:num="1">
            <w:col w:w="11160"/>
          </w:cols>
          <w:pgMar w:left="400" w:top="1030" w:right="339" w:bottom="1440" w:gutter="0" w:footer="0" w:header="0"/>
        </w:sectPr>
      </w:pPr>
    </w:p>
    <w:bookmarkStart w:id="462" w:name="page463"/>
    <w:bookmarkEnd w:id="462"/>
    <w:p>
      <w:pPr>
        <w:jc w:val="both"/>
        <w:ind w:left="580"/>
        <w:spacing w:after="0" w:line="259" w:lineRule="auto"/>
        <w:rPr>
          <w:sz w:val="20"/>
          <w:szCs w:val="20"/>
          <w:color w:val="auto"/>
        </w:rPr>
      </w:pPr>
      <w:r>
        <w:rPr>
          <w:rFonts w:ascii="Times New Roman" w:cs="Times New Roman" w:eastAsia="Times New Roman" w:hAnsi="Times New Roman"/>
          <w:sz w:val="21"/>
          <w:szCs w:val="21"/>
          <w:color w:val="auto"/>
        </w:rPr>
        <w:t xml:space="preserve">A/B/C Cash Collateral Account on such Distribution Date in accordance with Section 2.5(b)(i) and/or (ii), (y) the Class D Principal Deficit Amount for such Distribution Date 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2023-8 Distribution Account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2023-8 Distribution Account an amount equal to the lesser of (x) the Class D Cash Collateral Percentage for such date of the lesser of (A) the excess of (1) the Series 2023-8 Lease Principal Payment 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spacing w:after="0" w:line="184" w:lineRule="exact"/>
        <w:rPr>
          <w:sz w:val="20"/>
          <w:szCs w:val="20"/>
          <w:color w:val="auto"/>
        </w:rPr>
      </w:pPr>
    </w:p>
    <w:p>
      <w:pPr>
        <w:jc w:val="both"/>
        <w:ind w:left="-80" w:firstLine="1304"/>
        <w:spacing w:after="0" w:line="263" w:lineRule="auto"/>
        <w:tabs>
          <w:tab w:leader="none" w:pos="1672" w:val="left"/>
        </w:tabs>
        <w:numPr>
          <w:ilvl w:val="0"/>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Final Distribution Date</w:t>
      </w:r>
      <w:r>
        <w:rPr>
          <w:rFonts w:ascii="Times New Roman" w:cs="Times New Roman" w:eastAsia="Times New Roman" w:hAnsi="Times New Roman"/>
          <w:sz w:val="22"/>
          <w:szCs w:val="22"/>
          <w:color w:val="auto"/>
        </w:rPr>
        <w:t>. Each of the entire Class A Invested Amount, the entire Class B Invested Amount, the entire Class C Invested Amount, the entire Class D Invested Amount and the entire Class R Invested Amount shall be due and payable on the Series 2023-8 Final Distribution Date. In connection therewith:</w:t>
      </w:r>
    </w:p>
    <w:p>
      <w:pPr>
        <w:spacing w:after="0" w:line="167"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417" w:val="left"/>
        </w:tabs>
        <w:numPr>
          <w:ilvl w:val="1"/>
          <w:numId w:val="4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If the amount to be deposited in the Series 2023-8 Distribution Account in accordance with Section 2.5(a) together with any amounts to be deposited therein in accordance with Section 2.5(b) on the Series 2023-8 Final Distribution Date is less than the Series 2023-8 Senior Invested Amount and there are any Multi-Series Letters of Credit on such date, then, prior to 10:00 a.m. (New York City time) on the second Business Day prior to the Series 2023-8 Final Distribution Date, the Administrator shall instruct the Trustee in writing to make a demand (a “</w:t>
      </w:r>
      <w:r>
        <w:rPr>
          <w:rFonts w:ascii="Times New Roman" w:cs="Times New Roman" w:eastAsia="Times New Roman" w:hAnsi="Times New Roman"/>
          <w:sz w:val="22"/>
          <w:szCs w:val="22"/>
          <w:u w:val="single" w:color="auto"/>
          <w:color w:val="auto"/>
        </w:rPr>
        <w:t>Demand Notice</w:t>
      </w:r>
      <w:r>
        <w:rPr>
          <w:rFonts w:ascii="Times New Roman" w:cs="Times New Roman" w:eastAsia="Times New Roman" w:hAnsi="Times New Roman"/>
          <w:sz w:val="22"/>
          <w:szCs w:val="22"/>
          <w:color w:val="auto"/>
        </w:rPr>
        <w:t xml:space="preserve">”) substantially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on the Demand Note Issuers for payment under the Series 2023-8 Demand Notes in an amount equal to the lesser of (x) such insufficiency and (y) the sum of the Class A/B/C Letter of Credit Amount and the Class D Letter of Credit Amount. The Trustee shall, prior to 12:00 noon (New York City time) on the second Business Day preceding such Series 2023-8 Final Distribution Date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bl>
    <w:p>
      <w:pPr>
        <w:sectPr>
          <w:pgSz w:w="11900" w:h="16838" w:orient="portrait"/>
          <w:cols w:equalWidth="0" w:num="1">
            <w:col w:w="11160"/>
          </w:cols>
          <w:pgMar w:left="400" w:top="1030" w:right="339" w:bottom="1440" w:gutter="0" w:footer="0" w:header="0"/>
        </w:sectPr>
      </w:pPr>
    </w:p>
    <w:bookmarkStart w:id="463" w:name="page464"/>
    <w:bookmarkEnd w:id="463"/>
    <w:p>
      <w:pPr>
        <w:jc w:val="both"/>
        <w:ind w:left="580"/>
        <w:spacing w:after="0" w:line="253" w:lineRule="auto"/>
        <w:rPr>
          <w:sz w:val="20"/>
          <w:szCs w:val="20"/>
          <w:color w:val="auto"/>
        </w:rPr>
      </w:pPr>
      <w:r>
        <w:rPr>
          <w:rFonts w:ascii="Times New Roman" w:cs="Times New Roman" w:eastAsia="Times New Roman" w:hAnsi="Times New Roman"/>
          <w:sz w:val="22"/>
          <w:szCs w:val="22"/>
          <w:color w:val="auto"/>
        </w:rPr>
        <w:t xml:space="preserve">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2023-8 Demand Notes to be deposited into the Series 2023-8 Distribution Account.</w:t>
      </w:r>
    </w:p>
    <w:p>
      <w:pPr>
        <w:spacing w:after="0" w:line="179" w:lineRule="exact"/>
        <w:rPr>
          <w:sz w:val="20"/>
          <w:szCs w:val="20"/>
          <w:color w:val="auto"/>
        </w:rPr>
      </w:pPr>
    </w:p>
    <w:p>
      <w:pPr>
        <w:jc w:val="both"/>
        <w:ind w:left="580" w:firstLine="1292"/>
        <w:spacing w:after="0" w:line="250" w:lineRule="auto"/>
        <w:tabs>
          <w:tab w:leader="none" w:pos="2383" w:val="left"/>
        </w:tabs>
        <w:numPr>
          <w:ilvl w:val="0"/>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Draw</w:t>
      </w:r>
      <w:r>
        <w:rPr>
          <w:rFonts w:ascii="Times New Roman" w:cs="Times New Roman" w:eastAsia="Times New Roman" w:hAnsi="Times New Roman"/>
          <w:sz w:val="22"/>
          <w:szCs w:val="22"/>
          <w:color w:val="auto"/>
        </w:rPr>
        <w:t>. In the event that either (x) on or prior to 10:00 a.m. (New York City time) on the Business Day immediately preceding the Series 2023-8 Final Distribution Date a Demand Notice has been transmitted by the Trustee to the Demand Note Issuers pursuant to clause (i) of this Section 2.5(c) and any Demand Note Issuer shall have failed to pay to the Trustee or deposit into the Series 2023-8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2023-8 Final Distribution Date, then, in the case of (x) or (y) the Trustee shall:</w:t>
      </w:r>
    </w:p>
    <w:p>
      <w:pPr>
        <w:spacing w:after="0" w:line="179" w:lineRule="exact"/>
        <w:rPr>
          <w:rFonts w:ascii="Times New Roman" w:cs="Times New Roman" w:eastAsia="Times New Roman" w:hAnsi="Times New Roman"/>
          <w:sz w:val="22"/>
          <w:szCs w:val="22"/>
          <w:color w:val="auto"/>
        </w:rPr>
      </w:pPr>
    </w:p>
    <w:p>
      <w:pPr>
        <w:jc w:val="both"/>
        <w:ind w:left="1880" w:firstLine="640"/>
        <w:spacing w:after="0" w:line="247" w:lineRule="auto"/>
        <w:tabs>
          <w:tab w:leader="none" w:pos="3115" w:val="left"/>
        </w:tabs>
        <w:numPr>
          <w:ilvl w:val="1"/>
          <w:numId w:val="4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draw on the Multi-Series Letters of Credit by 12:00 noon (New York City time) on such Business Day an amount allocable to the Class A/B/C Notes equal to the lesser of (a) the amount that the Demand Note Issuers so failed to pay under the Series 2023-8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2023-8 Distribution Account an amount equal to the lesser of (x) the Class A/B/C Cash Collateral Percentage on such Business Day of the amount that the Demand Note Issuers so failed to pay under the Series 2023-8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2023-8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2023-8 Distribution Account;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ectPr>
          <w:pgSz w:w="11900" w:h="16838" w:orient="portrait"/>
          <w:cols w:equalWidth="0" w:num="1">
            <w:col w:w="11160"/>
          </w:cols>
          <w:pgMar w:left="400" w:top="1030" w:right="339" w:bottom="1440" w:gutter="0" w:footer="0" w:header="0"/>
        </w:sectPr>
      </w:pPr>
    </w:p>
    <w:bookmarkStart w:id="464" w:name="page465"/>
    <w:bookmarkEnd w:id="464"/>
    <w:p>
      <w:pPr>
        <w:jc w:val="both"/>
        <w:ind w:left="1880" w:firstLine="640"/>
        <w:spacing w:after="0" w:line="247" w:lineRule="auto"/>
        <w:tabs>
          <w:tab w:leader="none" w:pos="3115" w:val="left"/>
        </w:tabs>
        <w:numPr>
          <w:ilvl w:val="1"/>
          <w:numId w:val="4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draw on the Multi-Series Letters of Credit by 12:00 noon (New York City time) on such Business Day an amount allocable to the Class D Notes equal to the lesser of (a) the excess of (x) the amount that the Demand Note Issuers so failed to pay under the Series 2023-8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 (b) the Class D Letter of Credit Amount on such Business Day by presenting to each Multi-Series Letter of Credit Provider with respect to the Class D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D Cash Collateral Account has been established and funded, the Trustee shall withdraw from the Class D Cash Collateral Account and deposit in the Series 2023-8 Distribution Account an amount equal to the lesser of (x) the Class D Cash Collateral Percentage on such Business Day of the excess of (A) the amount that the Demand Note Issuers so failed to pay under the Series 2023-8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2023-8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2023-8 Distribution Account.</w:t>
      </w:r>
    </w:p>
    <w:p>
      <w:pPr>
        <w:spacing w:after="0" w:line="187" w:lineRule="exact"/>
        <w:rPr>
          <w:rFonts w:ascii="Times New Roman" w:cs="Times New Roman" w:eastAsia="Times New Roman" w:hAnsi="Times New Roman"/>
          <w:sz w:val="22"/>
          <w:szCs w:val="22"/>
          <w:color w:val="auto"/>
        </w:rPr>
      </w:pPr>
    </w:p>
    <w:p>
      <w:pPr>
        <w:jc w:val="both"/>
        <w:ind w:left="580" w:firstLine="1292"/>
        <w:spacing w:after="0" w:line="262" w:lineRule="auto"/>
        <w:tabs>
          <w:tab w:leader="none" w:pos="2416" w:val="left"/>
        </w:tabs>
        <w:numPr>
          <w:ilvl w:val="0"/>
          <w:numId w:val="4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Reserve Account Withdrawal</w:t>
      </w:r>
      <w:r>
        <w:rPr>
          <w:rFonts w:ascii="Times New Roman" w:cs="Times New Roman" w:eastAsia="Times New Roman" w:hAnsi="Times New Roman"/>
          <w:sz w:val="21"/>
          <w:szCs w:val="21"/>
          <w:color w:val="auto"/>
        </w:rPr>
        <w:t>. If, after giving effect to the deposit into the Series 2023-8 Distribution Account of the amount to be deposited in accordance with Section 2.5(a) and the amounts described in clauses (i) and (ii) of this Section 2.5(c), the amount to be deposited in the Series 2023-8 Distribution Account with respect to the Series 2023-8 Final Distribution Date is or will be less than the Series 2023-8 Senior Invested Amount, then, prior to 12:00 noon (New York City time) on the second Business Day prior to such Series 2023-8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bl>
    <w:p>
      <w:pPr>
        <w:sectPr>
          <w:pgSz w:w="11900" w:h="16838" w:orient="portrait"/>
          <w:cols w:equalWidth="0" w:num="1">
            <w:col w:w="11160"/>
          </w:cols>
          <w:pgMar w:left="400" w:top="1246" w:right="339" w:bottom="1440" w:gutter="0" w:footer="0" w:header="0"/>
        </w:sectPr>
      </w:pPr>
    </w:p>
    <w:bookmarkStart w:id="465" w:name="page466"/>
    <w:bookmarkEnd w:id="465"/>
    <w:p>
      <w:pPr>
        <w:ind w:left="580"/>
        <w:spacing w:after="0" w:line="271" w:lineRule="auto"/>
        <w:rPr>
          <w:sz w:val="20"/>
          <w:szCs w:val="20"/>
          <w:color w:val="auto"/>
        </w:rPr>
      </w:pPr>
      <w:r>
        <w:rPr>
          <w:rFonts w:ascii="Times New Roman" w:cs="Times New Roman" w:eastAsia="Times New Roman" w:hAnsi="Times New Roman"/>
          <w:sz w:val="22"/>
          <w:szCs w:val="22"/>
          <w:color w:val="auto"/>
        </w:rPr>
        <w:t>remaining insufficiency (after giving effect to any withdrawal from the Class A/B/C Reserve Account) and, in each case, deposit it in the Series 2023-8 Distribution Account on such Series 2023-8 Final Distribution Date.</w:t>
      </w:r>
    </w:p>
    <w:p>
      <w:pPr>
        <w:spacing w:after="0" w:line="171" w:lineRule="exact"/>
        <w:rPr>
          <w:sz w:val="20"/>
          <w:szCs w:val="20"/>
          <w:color w:val="auto"/>
        </w:rPr>
      </w:pPr>
    </w:p>
    <w:p>
      <w:pPr>
        <w:jc w:val="both"/>
        <w:ind w:left="-80" w:firstLine="1304"/>
        <w:spacing w:after="0" w:line="257" w:lineRule="auto"/>
        <w:tabs>
          <w:tab w:leader="none" w:pos="1832" w:val="left"/>
        </w:tabs>
        <w:numPr>
          <w:ilvl w:val="0"/>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Principal Deficit Amount</w:t>
      </w:r>
      <w:r>
        <w:rPr>
          <w:rFonts w:ascii="Times New Roman" w:cs="Times New Roman" w:eastAsia="Times New Roman" w:hAnsi="Times New Roman"/>
          <w:sz w:val="22"/>
          <w:szCs w:val="22"/>
          <w:color w:val="auto"/>
        </w:rPr>
        <w:t>. On each Distribution Date, other than the Series 2023-8 Final Distribution Date, on which the Class A/B/C Principal Deficit Amount is greater than zero, amounts shall be transferred to the Series 2023-8 Distribution Account as follows:</w:t>
      </w:r>
    </w:p>
    <w:p>
      <w:pPr>
        <w:spacing w:after="0" w:line="172" w:lineRule="exact"/>
        <w:rPr>
          <w:rFonts w:ascii="Times New Roman" w:cs="Times New Roman" w:eastAsia="Times New Roman" w:hAnsi="Times New Roman"/>
          <w:sz w:val="22"/>
          <w:szCs w:val="22"/>
          <w:color w:val="auto"/>
        </w:rPr>
      </w:pPr>
    </w:p>
    <w:p>
      <w:pPr>
        <w:jc w:val="both"/>
        <w:ind w:left="580" w:firstLine="1292"/>
        <w:spacing w:after="0" w:line="248" w:lineRule="auto"/>
        <w:tabs>
          <w:tab w:leader="none" w:pos="2296" w:val="left"/>
        </w:tabs>
        <w:numPr>
          <w:ilvl w:val="1"/>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Demand Note Draw</w:t>
      </w:r>
      <w:r>
        <w:rPr>
          <w:rFonts w:ascii="Times New Roman" w:cs="Times New Roman" w:eastAsia="Times New Roman" w:hAnsi="Times New Roman"/>
          <w:sz w:val="22"/>
          <w:szCs w:val="22"/>
          <w:color w:val="auto"/>
        </w:rPr>
        <w:t xml:space="preserve">. If on any Determination Date, the Administrator determines that the Class A/B/C Principal Deficit Amount with respect to the next succeeding Distribution Date will be greater than zero and there are any Multi-Series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2023-8 Demand Note to be deposited into the Series 2023-8 Distribution Account.</w:t>
      </w:r>
    </w:p>
    <w:p>
      <w:pPr>
        <w:spacing w:after="0" w:line="184" w:lineRule="exact"/>
        <w:rPr>
          <w:rFonts w:ascii="Times New Roman" w:cs="Times New Roman" w:eastAsia="Times New Roman" w:hAnsi="Times New Roman"/>
          <w:sz w:val="22"/>
          <w:szCs w:val="22"/>
          <w:color w:val="auto"/>
        </w:rPr>
      </w:pPr>
    </w:p>
    <w:p>
      <w:pPr>
        <w:jc w:val="both"/>
        <w:ind w:left="580" w:firstLine="1292"/>
        <w:spacing w:after="0" w:line="247" w:lineRule="auto"/>
        <w:tabs>
          <w:tab w:leader="none" w:pos="2396" w:val="left"/>
        </w:tabs>
        <w:numPr>
          <w:ilvl w:val="1"/>
          <w:numId w:val="4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Draw</w:t>
      </w:r>
      <w:r>
        <w:rPr>
          <w:rFonts w:ascii="Times New Roman" w:cs="Times New Roman" w:eastAsia="Times New Roman" w:hAnsi="Times New Roman"/>
          <w:sz w:val="22"/>
          <w:szCs w:val="22"/>
          <w:color w:val="auto"/>
        </w:rPr>
        <w:t xml:space="preserve">. In the event that either (x) on or prior to 10:00 a.m. (New York City time) on the Business Day prior to such Distribution Date, any Demand Note Issuer shall have failed to pay to the Trustee or deposit into the Series 2023-8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an amount allocable to the Class A/B/C Notes equal to the lesser of (i) Class A/B/C Letter of Credit Amount and (ii) the aggregate amount that the Demand Note Issuers so failed to pay under the Series 2023-8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2023-8 Distribution Account an amount equal to the lesser of (x) the Class A/B/C Cash Collateral Percentage on such Business Day of the aggregate amount that the Demand Note Issuers so failed to pay under the Series 2023-8 Demand Notes (or, the amount that the</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ectPr>
          <w:pgSz w:w="11900" w:h="16838" w:orient="portrait"/>
          <w:cols w:equalWidth="0" w:num="1">
            <w:col w:w="11160"/>
          </w:cols>
          <w:pgMar w:left="400" w:top="1030" w:right="339" w:bottom="1440" w:gutter="0" w:footer="0" w:header="0"/>
        </w:sectPr>
      </w:pPr>
    </w:p>
    <w:bookmarkStart w:id="466" w:name="page467"/>
    <w:bookmarkEnd w:id="466"/>
    <w:p>
      <w:pPr>
        <w:jc w:val="both"/>
        <w:ind w:left="580"/>
        <w:spacing w:after="0" w:line="250" w:lineRule="auto"/>
        <w:rPr>
          <w:sz w:val="20"/>
          <w:szCs w:val="20"/>
          <w:color w:val="auto"/>
        </w:rPr>
      </w:pPr>
      <w:r>
        <w:rPr>
          <w:rFonts w:ascii="Times New Roman" w:cs="Times New Roman" w:eastAsia="Times New Roman" w:hAnsi="Times New Roman"/>
          <w:sz w:val="22"/>
          <w:szCs w:val="22"/>
          <w:color w:val="auto"/>
        </w:rPr>
        <w:t>Trustee failed to demand for payment thereunder) and (y) the Class A/B/C Available Cash Collateral Account Amount on such Business Day and draw an amount equal to the remainder of the aggregate amount that the Demand Note Issuers so failed to pay under the Series 2023-8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2023-8 Distribution Account.</w:t>
      </w:r>
    </w:p>
    <w:p>
      <w:pPr>
        <w:spacing w:after="0" w:line="194" w:lineRule="exact"/>
        <w:rPr>
          <w:sz w:val="20"/>
          <w:szCs w:val="20"/>
          <w:color w:val="auto"/>
        </w:rPr>
      </w:pPr>
    </w:p>
    <w:p>
      <w:pPr>
        <w:jc w:val="both"/>
        <w:ind w:left="580" w:firstLine="1292"/>
        <w:spacing w:after="0" w:line="250" w:lineRule="auto"/>
        <w:tabs>
          <w:tab w:leader="none" w:pos="2443" w:val="left"/>
        </w:tabs>
        <w:numPr>
          <w:ilvl w:val="1"/>
          <w:numId w:val="4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Withdrawal</w:t>
      </w:r>
      <w:r>
        <w:rPr>
          <w:rFonts w:ascii="Times New Roman" w:cs="Times New Roman" w:eastAsia="Times New Roman" w:hAnsi="Times New Roman"/>
          <w:sz w:val="22"/>
          <w:szCs w:val="22"/>
          <w:color w:val="auto"/>
        </w:rPr>
        <w:t>.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2023-8 Distribution Account in accordance with clauses (i) and (ii) of this Section 2.5(d) and deposit it in the Series 2023-8 Distribution Account on such Distribution Date.</w:t>
      </w:r>
    </w:p>
    <w:p>
      <w:pPr>
        <w:spacing w:after="0" w:line="180" w:lineRule="exact"/>
        <w:rPr>
          <w:rFonts w:ascii="Times New Roman" w:cs="Times New Roman" w:eastAsia="Times New Roman" w:hAnsi="Times New Roman"/>
          <w:sz w:val="22"/>
          <w:szCs w:val="22"/>
          <w:color w:val="auto"/>
        </w:rPr>
      </w:pPr>
    </w:p>
    <w:p>
      <w:pPr>
        <w:jc w:val="both"/>
        <w:ind w:left="-80" w:firstLine="1304"/>
        <w:spacing w:after="0" w:line="275" w:lineRule="auto"/>
        <w:tabs>
          <w:tab w:leader="none" w:pos="1672" w:val="left"/>
        </w:tabs>
        <w:numPr>
          <w:ilvl w:val="0"/>
          <w:numId w:val="4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Principal Deficit Amount</w:t>
      </w:r>
      <w:r>
        <w:rPr>
          <w:rFonts w:ascii="Times New Roman" w:cs="Times New Roman" w:eastAsia="Times New Roman" w:hAnsi="Times New Roman"/>
          <w:sz w:val="21"/>
          <w:szCs w:val="21"/>
          <w:color w:val="auto"/>
        </w:rPr>
        <w:t>. On each Distribution Date, other than the Series 2023-8 Final Distribution Date, on which the Class A Notes, Class B Notes and Class C Notes will have been paid in full and the Class D Principal Deficit Amount is greater than zero, amounts shall be transferred to the Series 2023-8 Distribution Account as follows:</w:t>
      </w:r>
    </w:p>
    <w:p>
      <w:pPr>
        <w:spacing w:after="0" w:line="155" w:lineRule="exact"/>
        <w:rPr>
          <w:rFonts w:ascii="Times New Roman" w:cs="Times New Roman" w:eastAsia="Times New Roman" w:hAnsi="Times New Roman"/>
          <w:sz w:val="21"/>
          <w:szCs w:val="21"/>
          <w:color w:val="auto"/>
        </w:rPr>
      </w:pPr>
    </w:p>
    <w:p>
      <w:pPr>
        <w:jc w:val="both"/>
        <w:ind w:left="580" w:firstLine="1292"/>
        <w:spacing w:after="0" w:line="261" w:lineRule="auto"/>
        <w:tabs>
          <w:tab w:leader="none" w:pos="2390" w:val="left"/>
        </w:tabs>
        <w:numPr>
          <w:ilvl w:val="1"/>
          <w:numId w:val="4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Demand Note Draw</w:t>
      </w:r>
      <w:r>
        <w:rPr>
          <w:rFonts w:ascii="Times New Roman" w:cs="Times New Roman" w:eastAsia="Times New Roman" w:hAnsi="Times New Roman"/>
          <w:sz w:val="21"/>
          <w:szCs w:val="21"/>
          <w:color w:val="auto"/>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2023-8 Demand Note to be deposited into the Series 2023-8 Distribution Account.</w:t>
      </w:r>
    </w:p>
    <w:p>
      <w:pPr>
        <w:spacing w:after="0" w:line="183" w:lineRule="exact"/>
        <w:rPr>
          <w:sz w:val="20"/>
          <w:szCs w:val="20"/>
          <w:color w:val="auto"/>
        </w:rPr>
      </w:pPr>
    </w:p>
    <w:p>
      <w:pPr>
        <w:jc w:val="both"/>
        <w:ind w:left="580" w:firstLine="1292"/>
        <w:spacing w:after="0" w:line="257" w:lineRule="auto"/>
        <w:tabs>
          <w:tab w:leader="none" w:pos="2396" w:val="left"/>
        </w:tabs>
        <w:numPr>
          <w:ilvl w:val="0"/>
          <w:numId w:val="4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Draw</w:t>
      </w:r>
      <w:r>
        <w:rPr>
          <w:rFonts w:ascii="Times New Roman" w:cs="Times New Roman" w:eastAsia="Times New Roman" w:hAnsi="Times New Roman"/>
          <w:sz w:val="22"/>
          <w:szCs w:val="22"/>
          <w:color w:val="auto"/>
        </w:rPr>
        <w:t>. In the event that either (x) on or prior to 10:00 a.m. (New York City time) on the Business Day prior to such Distribution Date, any Demand Note Issuer shall have failed to pay to the Trustee or deposit into the Series 2023-8 Distribution Account the amount specified in such Demand Notice delivered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bl>
    <w:p>
      <w:pPr>
        <w:sectPr>
          <w:pgSz w:w="11900" w:h="16838" w:orient="portrait"/>
          <w:cols w:equalWidth="0" w:num="1">
            <w:col w:w="11160"/>
          </w:cols>
          <w:pgMar w:left="400" w:top="1030" w:right="339" w:bottom="1440" w:gutter="0" w:footer="0" w:header="0"/>
        </w:sectPr>
      </w:pPr>
    </w:p>
    <w:bookmarkStart w:id="467" w:name="page468"/>
    <w:bookmarkEnd w:id="467"/>
    <w:p>
      <w:pPr>
        <w:jc w:val="both"/>
        <w:ind w:left="580"/>
        <w:spacing w:after="0" w:line="247" w:lineRule="auto"/>
        <w:rPr>
          <w:sz w:val="20"/>
          <w:szCs w:val="20"/>
          <w:color w:val="auto"/>
        </w:rPr>
      </w:pPr>
      <w:r>
        <w:rPr>
          <w:rFonts w:ascii="Times New Roman" w:cs="Times New Roman" w:eastAsia="Times New Roman" w:hAnsi="Times New Roman"/>
          <w:sz w:val="22"/>
          <w:szCs w:val="22"/>
          <w:color w:val="auto"/>
        </w:rPr>
        <w:t xml:space="preserve">pursuant to Section 2.5I(i)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 Notes equal to the lesser of (i) Class A/B/C Letter of Credit Amount and (ii) the aggregate amount that the Demand Note Issuers so failed to pay under the Series 2023-8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Class A/B/C Cash Collateral Account has been established and funded, the Trustee shall withdraw from the Class A/B/C Cash Collateral Account and deposit in the Series 2023-8 Distribution Account an amount equal to the lesser of (x) the Class A/B/C Cash Collateral Percentage on such Business Day of the aggregate amount that the Demand Note Issuers so failed to pay under the Series 2023-8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2023-8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2023-8 Distribution Account.</w:t>
      </w:r>
    </w:p>
    <w:p>
      <w:pPr>
        <w:spacing w:after="0" w:line="193" w:lineRule="exact"/>
        <w:rPr>
          <w:sz w:val="20"/>
          <w:szCs w:val="20"/>
          <w:color w:val="auto"/>
        </w:rPr>
      </w:pPr>
    </w:p>
    <w:p>
      <w:pPr>
        <w:jc w:val="both"/>
        <w:ind w:left="580" w:firstLine="1292"/>
        <w:spacing w:after="0" w:line="249" w:lineRule="auto"/>
        <w:tabs>
          <w:tab w:leader="none" w:pos="2537" w:val="left"/>
        </w:tabs>
        <w:numPr>
          <w:ilvl w:val="1"/>
          <w:numId w:val="4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Withdrawal</w:t>
      </w:r>
      <w:r>
        <w:rPr>
          <w:rFonts w:ascii="Times New Roman" w:cs="Times New Roman" w:eastAsia="Times New Roman" w:hAnsi="Times New Roman"/>
          <w:sz w:val="22"/>
          <w:szCs w:val="22"/>
          <w:color w:val="auto"/>
        </w:rPr>
        <w:t>. If the amounts to be deposited in the Series 2023-8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2023-8 Distribution Account in accordance with clauses (i) and (ii) of this Section 2.5(e) and deposit it in the Series 2023-8 Distribution Account on such Distribution Date.</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67" w:lineRule="auto"/>
        <w:tabs>
          <w:tab w:leader="none" w:pos="2431" w:val="left"/>
        </w:tabs>
        <w:numPr>
          <w:ilvl w:val="1"/>
          <w:numId w:val="4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 of Credit Draw</w:t>
      </w:r>
      <w:r>
        <w:rPr>
          <w:rFonts w:ascii="Times New Roman" w:cs="Times New Roman" w:eastAsia="Times New Roman" w:hAnsi="Times New Roman"/>
          <w:sz w:val="21"/>
          <w:szCs w:val="21"/>
          <w:color w:val="auto"/>
        </w:rPr>
        <w:t>. In the event that either (x) on or prior to 10:00 a.m. (New York City time) on the Business Day prior to such Distribution Date, any Demand Note Issuer shall have failed to pay to the Trustee or deposit into the Series 2023-8 Distribution Account the amount specified in such Demand Notice in whole or in part or</w:t>
      </w:r>
    </w:p>
    <w:p>
      <w:pPr>
        <w:spacing w:after="0" w:line="1" w:lineRule="exact"/>
        <w:rPr>
          <w:rFonts w:ascii="Times New Roman" w:cs="Times New Roman" w:eastAsia="Times New Roman" w:hAnsi="Times New Roman"/>
          <w:sz w:val="21"/>
          <w:szCs w:val="21"/>
          <w:color w:val="auto"/>
        </w:rPr>
      </w:pPr>
    </w:p>
    <w:p>
      <w:pPr>
        <w:jc w:val="both"/>
        <w:ind w:left="580" w:hanging="4"/>
        <w:spacing w:after="0" w:line="249" w:lineRule="auto"/>
        <w:tabs>
          <w:tab w:leader="none" w:pos="886" w:val="left"/>
        </w:tabs>
        <w:numPr>
          <w:ilvl w:val="0"/>
          <w:numId w:val="4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bl>
    <w:p>
      <w:pPr>
        <w:sectPr>
          <w:pgSz w:w="11900" w:h="16838" w:orient="portrait"/>
          <w:cols w:equalWidth="0" w:num="1">
            <w:col w:w="11160"/>
          </w:cols>
          <w:pgMar w:left="400" w:top="1030" w:right="339" w:bottom="1440" w:gutter="0" w:footer="0" w:header="0"/>
        </w:sectPr>
      </w:pPr>
    </w:p>
    <w:bookmarkStart w:id="468" w:name="page469"/>
    <w:bookmarkEnd w:id="468"/>
    <w:p>
      <w:pPr>
        <w:jc w:val="both"/>
        <w:ind w:left="580"/>
        <w:spacing w:after="0" w:line="260" w:lineRule="auto"/>
        <w:rPr>
          <w:sz w:val="20"/>
          <w:szCs w:val="20"/>
          <w:color w:val="auto"/>
        </w:rPr>
      </w:pPr>
      <w:r>
        <w:rPr>
          <w:rFonts w:ascii="Times New Roman" w:cs="Times New Roman" w:eastAsia="Times New Roman" w:hAnsi="Times New Roman"/>
          <w:sz w:val="21"/>
          <w:szCs w:val="21"/>
          <w:color w:val="auto"/>
        </w:rPr>
        <w:t xml:space="preserve">Business Day draw on the Multi-Series Letters of Credit with respect to the Class D Notes, if any, an amount allocable to the Class D Notes equal to the lesser of (i) Class D Letter of Credit Amount and (ii) the excess of (A) the aggregate amount that the Demand Note Issuers so failed to pay under the Series 2023-8 Demand Notes (or, the amount that the Trustee failed to demand for payment thereunder) over (B) the amount deposited into the Series 2023-8 Distribution Account in accordance with Section 2.5(e)(ii) and (iii) above, by presenting to each Multi-Series Letter of Credit Provider with respect to the Class D Notes a draft accompanied by a Certificate of Unpaid Demand Note Demand;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Class D Cash Collateral Account has been established and funded, the Trustee shall withdraw from the Class D Cash Collateral Account and deposit in the Series 2023-8 Distribution Account an amount equal to the lesser of (x) the Class D Cash Collateral Percentage on such Business Day of the excess of (A) the aggregate amount that the Demand Note Issuers so failed to pay under the Series 2023-8 Demand Notes (or, the amount that the Trustee failed to demand for payment thereunder) over (B) the amount deposited into the Series 2023-8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2023-8 Distribution Account.</w:t>
      </w:r>
    </w:p>
    <w:p>
      <w:pPr>
        <w:spacing w:after="0" w:line="175" w:lineRule="exact"/>
        <w:rPr>
          <w:sz w:val="20"/>
          <w:szCs w:val="20"/>
          <w:color w:val="auto"/>
        </w:rPr>
      </w:pPr>
    </w:p>
    <w:p>
      <w:pPr>
        <w:jc w:val="both"/>
        <w:ind w:left="580" w:firstLine="1292"/>
        <w:spacing w:after="0" w:line="250" w:lineRule="auto"/>
        <w:tabs>
          <w:tab w:leader="none" w:pos="2573" w:val="left"/>
        </w:tabs>
        <w:numPr>
          <w:ilvl w:val="1"/>
          <w:numId w:val="4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Reserve Account Withdrawal</w:t>
      </w:r>
      <w:r>
        <w:rPr>
          <w:rFonts w:ascii="Times New Roman" w:cs="Times New Roman" w:eastAsia="Times New Roman" w:hAnsi="Times New Roman"/>
          <w:sz w:val="22"/>
          <w:szCs w:val="22"/>
          <w:color w:val="auto"/>
        </w:rPr>
        <w:t>. If the amounts to be deposited in the Series 2023-8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2023-8 Distribution Account in accordance with clauses (i) through (iv) of this Section 2.5(e) and deposit it in the Series 2023-8 Distribution Account on such Distribution Date.</w:t>
      </w:r>
    </w:p>
    <w:p>
      <w:pPr>
        <w:spacing w:after="0" w:line="186" w:lineRule="exact"/>
        <w:rPr>
          <w:rFonts w:ascii="Times New Roman" w:cs="Times New Roman" w:eastAsia="Times New Roman" w:hAnsi="Times New Roman"/>
          <w:sz w:val="22"/>
          <w:szCs w:val="22"/>
          <w:color w:val="auto"/>
        </w:rPr>
      </w:pPr>
    </w:p>
    <w:p>
      <w:pPr>
        <w:ind w:left="1660" w:hanging="436"/>
        <w:spacing w:after="0"/>
        <w:tabs>
          <w:tab w:leader="none" w:pos="1660" w:val="left"/>
        </w:tabs>
        <w:numPr>
          <w:ilvl w:val="0"/>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Distributions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350" w:val="left"/>
        </w:tabs>
        <w:numPr>
          <w:ilvl w:val="1"/>
          <w:numId w:val="4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 Notes</w:t>
      </w:r>
      <w:r>
        <w:rPr>
          <w:rFonts w:ascii="Times New Roman" w:cs="Times New Roman" w:eastAsia="Times New Roman" w:hAnsi="Times New Roman"/>
          <w:sz w:val="22"/>
          <w:szCs w:val="22"/>
          <w:color w:val="auto"/>
        </w:rPr>
        <w:t xml:space="preserve">. On each Distribution Date occurring on or after the date a withdrawal is made from the Series 2023-8 Collection Account pursuant to Section 2.5(a) or amounts are deposited in the Series 2023-8 Distribution Account pursuant to Section 2.3(f)(ii),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A Noteholder from the Series 2023-8 Distribution Account the amount deposited therein pursuant to Section 2.5(a), (b), (c) or (d), to the extent necessary to pay the Class A Controlled Distribution Amount during the Series 2023-8 Controlled Amortization Period or to the extent necessary to pay the Class A Invested Amount during the Series 2023-8 Rapid Amortization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bl>
    <w:p>
      <w:pPr>
        <w:sectPr>
          <w:pgSz w:w="11900" w:h="16838" w:orient="portrait"/>
          <w:cols w:equalWidth="0" w:num="1">
            <w:col w:w="11160"/>
          </w:cols>
          <w:pgMar w:left="400" w:top="1030" w:right="339" w:bottom="1440" w:gutter="0" w:footer="0" w:header="0"/>
        </w:sectPr>
      </w:pPr>
    </w:p>
    <w:bookmarkStart w:id="469" w:name="page470"/>
    <w:bookmarkEnd w:id="469"/>
    <w:p>
      <w:pPr>
        <w:jc w:val="both"/>
        <w:ind w:left="580" w:firstLine="1292"/>
        <w:spacing w:after="0" w:line="250" w:lineRule="auto"/>
        <w:tabs>
          <w:tab w:leader="none" w:pos="2396"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Notes</w:t>
      </w:r>
      <w:r>
        <w:rPr>
          <w:rFonts w:ascii="Times New Roman" w:cs="Times New Roman" w:eastAsia="Times New Roman" w:hAnsi="Times New Roman"/>
          <w:sz w:val="22"/>
          <w:szCs w:val="22"/>
          <w:color w:val="auto"/>
        </w:rPr>
        <w:t xml:space="preserve">. On each Distribution Date occurring on or after the date a withdrawal is made from the Series 2023-8 Collection Account pursuant to Section 2.5(a) or amounts are deposited in the Series 2023-8 Distribution Account pursuant to Section 2.3(f)(ii),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B Noteholder from the Series 2023-8 Distribution Account the amount deposited therein pursuant to Section 2.5(a), (b), (c) or (d) less the aggregate amount applied to make the payments required pursuant to Section 2.5(f)(i), to the extent necessary to pay the Class B Controlled Distribution Amount during the Series 2023-8 Controlled Amortization Period or to the extent necessary to pay the Class B Invested Amount during the Series 2023-8 Rapid Amortization Period.</w:t>
      </w:r>
    </w:p>
    <w:p>
      <w:pPr>
        <w:spacing w:after="0" w:line="186" w:lineRule="exact"/>
        <w:rPr>
          <w:rFonts w:ascii="Times New Roman" w:cs="Times New Roman" w:eastAsia="Times New Roman" w:hAnsi="Times New Roman"/>
          <w:sz w:val="22"/>
          <w:szCs w:val="22"/>
          <w:color w:val="auto"/>
        </w:rPr>
      </w:pPr>
    </w:p>
    <w:p>
      <w:pPr>
        <w:jc w:val="both"/>
        <w:ind w:left="580" w:firstLine="1292"/>
        <w:spacing w:after="0" w:line="249" w:lineRule="auto"/>
        <w:tabs>
          <w:tab w:leader="none" w:pos="2443"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C Notes</w:t>
      </w:r>
      <w:r>
        <w:rPr>
          <w:rFonts w:ascii="Times New Roman" w:cs="Times New Roman" w:eastAsia="Times New Roman" w:hAnsi="Times New Roman"/>
          <w:sz w:val="22"/>
          <w:szCs w:val="22"/>
          <w:color w:val="auto"/>
        </w:rPr>
        <w:t xml:space="preserve">. On each Distribution Date occurring on or after the date a withdrawal is made from the Series 2023-8 Collection Account pursuant to Section 2.5(a) or amounts are deposited in the Series 2023-8 Distribution Account pursuant to Section 2.3(f)(ii), 2.5(b), (c) or (d)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C Noteholder from the Series 2023-8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2023-8 Controlled Amortization Period or to the extent necessary to pay the Class C Invested Amount during the Series 2023-8 Rapid Amortization Period.</w:t>
      </w:r>
    </w:p>
    <w:p>
      <w:pPr>
        <w:spacing w:after="0" w:line="181"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431"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Notes</w:t>
      </w:r>
      <w:r>
        <w:rPr>
          <w:rFonts w:ascii="Times New Roman" w:cs="Times New Roman" w:eastAsia="Times New Roman" w:hAnsi="Times New Roman"/>
          <w:sz w:val="22"/>
          <w:szCs w:val="22"/>
          <w:color w:val="auto"/>
        </w:rPr>
        <w:t xml:space="preserve">. On each Distribution Date occurring on or after the date a withdrawal is made from the Series 2023-8 Collection Account pursuant to Section 2.5(a) or amounts are deposited in the Series 2023-8 Distribution Account pursuant to Section 2.3(f)(ii), 2.5(b), (c), (d) or (e)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D Noteholder from the Series 2023-8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2023-8 Controlled Amortization Period or to the extent necessary to pay the Class D Invested Amount during the Series 2023-8 Rapid Amortization Period.</w:t>
      </w:r>
    </w:p>
    <w:p>
      <w:pPr>
        <w:spacing w:after="0" w:line="186" w:lineRule="exact"/>
        <w:rPr>
          <w:rFonts w:ascii="Times New Roman" w:cs="Times New Roman" w:eastAsia="Times New Roman" w:hAnsi="Times New Roman"/>
          <w:sz w:val="22"/>
          <w:szCs w:val="22"/>
          <w:color w:val="auto"/>
        </w:rPr>
      </w:pPr>
    </w:p>
    <w:p>
      <w:pPr>
        <w:jc w:val="both"/>
        <w:ind w:left="580" w:firstLine="1292"/>
        <w:spacing w:after="0" w:line="250" w:lineRule="auto"/>
        <w:tabs>
          <w:tab w:leader="none" w:pos="2384" w:val="left"/>
        </w:tabs>
        <w:numPr>
          <w:ilvl w:val="0"/>
          <w:numId w:val="4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R Notes</w:t>
      </w:r>
      <w:r>
        <w:rPr>
          <w:rFonts w:ascii="Times New Roman" w:cs="Times New Roman" w:eastAsia="Times New Roman" w:hAnsi="Times New Roman"/>
          <w:sz w:val="22"/>
          <w:szCs w:val="22"/>
          <w:color w:val="auto"/>
        </w:rPr>
        <w:t xml:space="preserve">. On each Distribution Date occurring on or after the date a withdrawal is made from the Series 2023-8 Collection Account pursuant to Section 2.5(a) the Paying Agent shall, in accordance with Section 6.1 of the Base Indenture, pay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to each Class R Noteholder from the Series 2023-8 Distribution Account the amount deposited therein pursuant to Section 2.5(a) less the aggregate amount applied to make the payments required pursuant to Section 2.5(f)(i), Section 2.5(f)(ii), Section 2.5(f)(iii) and Section 2.5(f)(iv), to the extent necessary to pay the Class R Controlled Amortization Amount during the Series 2023-8 Controlled Amortization Period or to the extent necessary to pay the Class R Invested Amount during the Series 2023-8 Rapid Amortization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ectPr>
          <w:pgSz w:w="11900" w:h="16838" w:orient="portrait"/>
          <w:cols w:equalWidth="0" w:num="1">
            <w:col w:w="11160"/>
          </w:cols>
          <w:pgMar w:left="400" w:top="1030" w:right="339" w:bottom="1440" w:gutter="0" w:footer="0" w:header="0"/>
        </w:sectPr>
      </w:pPr>
    </w:p>
    <w:bookmarkStart w:id="470" w:name="page471"/>
    <w:bookmarkEnd w:id="470"/>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2.6. </w:t>
      </w:r>
      <w:r>
        <w:rPr>
          <w:rFonts w:ascii="Times New Roman" w:cs="Times New Roman" w:eastAsia="Times New Roman" w:hAnsi="Times New Roman"/>
          <w:sz w:val="21"/>
          <w:szCs w:val="21"/>
          <w:u w:val="single" w:color="auto"/>
          <w:color w:val="auto"/>
        </w:rPr>
        <w:t>Administrator’s Failure to Instruct the Trustee to Make a Deposit, Draw or Payment</w:t>
      </w:r>
      <w:r>
        <w:rPr>
          <w:rFonts w:ascii="Times New Roman" w:cs="Times New Roman" w:eastAsia="Times New Roman" w:hAnsi="Times New Roman"/>
          <w:sz w:val="21"/>
          <w:szCs w:val="21"/>
          <w:color w:val="auto"/>
        </w:rPr>
        <w:t xml:space="preserve">. If the Administrator fails to give notice or instructions to make (i) any payment from or deposit into the Collection Account, (ii) any draw on the Series 2023-8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2023-8 Demand Notes or the Multi-Series Letters of Credit, or such withdrawal from such Account, in each case without such notice or instruction from the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7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2.7. </w:t>
      </w:r>
      <w:r>
        <w:rPr>
          <w:rFonts w:ascii="Times New Roman" w:cs="Times New Roman" w:eastAsia="Times New Roman" w:hAnsi="Times New Roman"/>
          <w:sz w:val="21"/>
          <w:szCs w:val="21"/>
          <w:u w:val="single" w:color="auto"/>
          <w:color w:val="auto"/>
        </w:rPr>
        <w:t>Series 2023-8 Reserve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Establishment of Class A/B/C Reserve Account</w:t>
      </w:r>
      <w:r>
        <w:rPr>
          <w:rFonts w:ascii="Times New Roman" w:cs="Times New Roman" w:eastAsia="Times New Roman" w:hAnsi="Times New Roman"/>
          <w:sz w:val="21"/>
          <w:szCs w:val="21"/>
          <w:color w:val="auto"/>
        </w:rPr>
        <w:t>. ABRCF has established and shall maintain in the name of the Series 2023-8 Agent for the benefit of the Class A Noteholders, the Class B Noteholders, the Class C Noteholders and the Class D Noteholders, or cause to be established and maintained, an account (the “</w:t>
      </w:r>
      <w:r>
        <w:rPr>
          <w:rFonts w:ascii="Times New Roman" w:cs="Times New Roman" w:eastAsia="Times New Roman" w:hAnsi="Times New Roman"/>
          <w:sz w:val="21"/>
          <w:szCs w:val="21"/>
          <w:u w:val="single" w:color="auto"/>
          <w:color w:val="auto"/>
        </w:rPr>
        <w:t>Class A/B/C Reserve Account</w:t>
      </w:r>
      <w:r>
        <w:rPr>
          <w:rFonts w:ascii="Times New Roman" w:cs="Times New Roman" w:eastAsia="Times New Roman" w:hAnsi="Times New Roman"/>
          <w:sz w:val="21"/>
          <w:szCs w:val="21"/>
          <w:color w:val="auto"/>
        </w:rPr>
        <w:t xml:space="preserve">”), bearing a designation clearly indicating that the funds deposited therein are held for the benefit of the Series 2023-8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w:t>
      </w:r>
    </w:p>
    <w:p>
      <w:pPr>
        <w:spacing w:after="0" w:line="5" w:lineRule="exact"/>
        <w:rPr>
          <w:sz w:val="20"/>
          <w:szCs w:val="20"/>
          <w:color w:val="auto"/>
        </w:rPr>
      </w:pPr>
    </w:p>
    <w:p>
      <w:pPr>
        <w:jc w:val="both"/>
        <w:ind w:firstLine="8"/>
        <w:spacing w:after="0" w:line="246" w:lineRule="auto"/>
        <w:tabs>
          <w:tab w:leader="none" w:pos="426" w:val="left"/>
        </w:tabs>
        <w:numPr>
          <w:ilvl w:val="0"/>
          <w:numId w:val="4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2023-8 Agent in writing to transfer all cash and investments from the non-qualifying Class A/B/C Reserve Account into the new Class A/B/C Reserve Account. The Class A/B/C Reserve Account has initially been established with The Bank of New York Mellon Trust Company, N.A.</w:t>
      </w:r>
    </w:p>
    <w:p>
      <w:pPr>
        <w:spacing w:after="0" w:line="188"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66" w:val="left"/>
        </w:tabs>
        <w:numPr>
          <w:ilvl w:val="1"/>
          <w:numId w:val="4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Class A/B/C Reserve Account</w:t>
      </w:r>
      <w:r>
        <w:rPr>
          <w:rFonts w:ascii="Times New Roman" w:cs="Times New Roman" w:eastAsia="Times New Roman" w:hAnsi="Times New Roman"/>
          <w:sz w:val="21"/>
          <w:szCs w:val="21"/>
          <w:color w:val="auto"/>
        </w:rPr>
        <w:t xml:space="preserve">. The Administrator may instruct the institution maintaining the Class A/B/C Reserve Account to invest funds on deposit in the Class A/B/C Reserve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 on or prior to such Distribution Date;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in the case of Permitted Investments held in the Series 2023-8 Reserve Account and so long as any Series 2023-8 Note is rated by Fitch (x) any Permitted Investment set forth in clauses (ii), (iii), (vi) and (vii) of the definition thereof will have a rating of “AA-” or “F1+” by Fitch and</w:t>
      </w:r>
    </w:p>
    <w:p>
      <w:pPr>
        <w:spacing w:after="0" w:line="6" w:lineRule="exact"/>
        <w:rPr>
          <w:rFonts w:ascii="Times New Roman" w:cs="Times New Roman" w:eastAsia="Times New Roman" w:hAnsi="Times New Roman"/>
          <w:sz w:val="21"/>
          <w:szCs w:val="21"/>
          <w:color w:val="auto"/>
        </w:rPr>
      </w:pPr>
    </w:p>
    <w:p>
      <w:pPr>
        <w:ind w:right="2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(y) any Permitted Investment set forth in clause (v) of the definition thereof will either have a rating of “AAAmmf” by Fitch or, if such fund is not</w:t>
      </w:r>
    </w:p>
    <w:p>
      <w:pPr>
        <w:spacing w:after="0" w:line="200" w:lineRule="exact"/>
        <w:rPr>
          <w:sz w:val="20"/>
          <w:szCs w:val="20"/>
          <w:color w:val="auto"/>
        </w:rPr>
      </w:pP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bl>
    <w:p>
      <w:pPr>
        <w:sectPr>
          <w:pgSz w:w="11900" w:h="16838" w:orient="portrait"/>
          <w:cols w:equalWidth="0" w:num="1">
            <w:col w:w="11240"/>
          </w:cols>
          <w:pgMar w:left="320" w:top="1030" w:right="339" w:bottom="1440" w:gutter="0" w:footer="0" w:header="0"/>
        </w:sectPr>
      </w:pPr>
    </w:p>
    <w:bookmarkStart w:id="471" w:name="page472"/>
    <w:bookmarkEnd w:id="471"/>
    <w:p>
      <w:pPr>
        <w:spacing w:after="0" w:line="255" w:lineRule="auto"/>
        <w:rPr>
          <w:sz w:val="20"/>
          <w:szCs w:val="20"/>
          <w:color w:val="auto"/>
        </w:rPr>
      </w:pPr>
      <w:r>
        <w:rPr>
          <w:rFonts w:ascii="Times New Roman" w:cs="Times New Roman" w:eastAsia="Times New Roman" w:hAnsi="Times New Roman"/>
          <w:sz w:val="22"/>
          <w:szCs w:val="22"/>
          <w:color w:val="auto"/>
        </w:rPr>
        <w:t>rated by Fitch, the then highest rating from two nationally recognized investment rating agencies (other than Fitch). All such Permitted Investments will be credited to the Class A/B/C Reserve Account and any such Permitted Investments that constitute</w:t>
      </w:r>
    </w:p>
    <w:p>
      <w:pPr>
        <w:spacing w:after="0" w:line="1" w:lineRule="exact"/>
        <w:rPr>
          <w:sz w:val="20"/>
          <w:szCs w:val="20"/>
          <w:color w:val="auto"/>
        </w:rPr>
      </w:pPr>
    </w:p>
    <w:p>
      <w:pPr>
        <w:jc w:val="both"/>
        <w:ind w:firstLine="8"/>
        <w:spacing w:after="0" w:line="246" w:lineRule="auto"/>
        <w:tabs>
          <w:tab w:leader="none" w:pos="288" w:val="left"/>
        </w:tabs>
        <w:numPr>
          <w:ilvl w:val="0"/>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spacing w:after="0" w:line="19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14" w:val="left"/>
        </w:tabs>
        <w:numPr>
          <w:ilvl w:val="1"/>
          <w:numId w:val="4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Class A/B/C Reserve Account</w:t>
      </w:r>
      <w:r>
        <w:rPr>
          <w:rFonts w:ascii="Times New Roman" w:cs="Times New Roman" w:eastAsia="Times New Roman" w:hAnsi="Times New Roman"/>
          <w:sz w:val="22"/>
          <w:szCs w:val="22"/>
          <w:color w:val="auto"/>
        </w:rPr>
        <w:t>. All interest and earnings (net of losses and investment expenses) paid on funds on deposit in the Class A/B/C Reserve Account shall be deemed to be on deposit therein and available for distribution.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04" w:val="left"/>
        </w:tabs>
        <w:numPr>
          <w:ilvl w:val="1"/>
          <w:numId w:val="4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A/B/C Reserve Account Constitutes Additional Collateral for Series 2023-8 Senior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2023-8 Senior Notes, ABRCF hereby grants a security interest in and assigns, pledges, grants, transfers and sets over to the Trustee, for the benefit of the Series 2023-8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A/B/C Reserve Account Collateral</w:t>
      </w:r>
      <w:r>
        <w:rPr>
          <w:rFonts w:ascii="Times New Roman" w:cs="Times New Roman" w:eastAsia="Times New Roman" w:hAnsi="Times New Roman"/>
          <w:sz w:val="21"/>
          <w:szCs w:val="21"/>
          <w:color w:val="auto"/>
        </w:rPr>
        <w:t>”).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2023-8 Noteholders. The Series 2023-8 Agent 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w:t>
      </w:r>
    </w:p>
    <w:p>
      <w:pPr>
        <w:spacing w:after="0" w:line="200" w:lineRule="exact"/>
        <w:rPr>
          <w:sz w:val="20"/>
          <w:szCs w:val="20"/>
          <w:color w:val="auto"/>
        </w:rPr>
      </w:pP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ectPr>
          <w:pgSz w:w="11900" w:h="16838" w:orient="portrait"/>
          <w:cols w:equalWidth="0" w:num="1">
            <w:col w:w="11240"/>
          </w:cols>
          <w:pgMar w:left="320" w:top="1030" w:right="33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22"/>
          <w:szCs w:val="22"/>
          <w:color w:val="auto"/>
        </w:rPr>
        <w:t>comply with any entitlement order (as defined in Section 8-102(a)(8) of the New York UCC) issued by the Trustee.</w:t>
      </w:r>
    </w:p>
    <w:p>
      <w:pPr>
        <w:spacing w:after="0" w:line="220" w:lineRule="exact"/>
        <w:rPr>
          <w:sz w:val="20"/>
          <w:szCs w:val="20"/>
          <w:color w:val="auto"/>
        </w:rPr>
      </w:pPr>
    </w:p>
    <w:p>
      <w:pPr>
        <w:jc w:val="both"/>
        <w:ind w:firstLine="1304"/>
        <w:spacing w:after="0" w:line="250" w:lineRule="auto"/>
        <w:tabs>
          <w:tab w:leader="none" w:pos="1806"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Reserve Account Surplus</w:t>
      </w:r>
      <w:r>
        <w:rPr>
          <w:rFonts w:ascii="Times New Roman" w:cs="Times New Roman" w:eastAsia="Times New Roman" w:hAnsi="Times New Roman"/>
          <w:sz w:val="22"/>
          <w:szCs w:val="22"/>
          <w:color w:val="auto"/>
        </w:rPr>
        <w:t>. In the event that the Class A/B/C Reserve Account Surplus on any Distribution Date, after giving effect to all withdrawals from the Class A/B/C Reserve Account, is greater than zero, if no Series 2023-8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spacing w:after="0" w:line="18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28"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Class A/B/C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spacing w:after="0" w:line="17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8"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Reserve Account</w:t>
      </w:r>
      <w:r>
        <w:rPr>
          <w:rFonts w:ascii="Times New Roman" w:cs="Times New Roman" w:eastAsia="Times New Roman" w:hAnsi="Times New Roman"/>
          <w:sz w:val="22"/>
          <w:szCs w:val="22"/>
          <w:color w:val="auto"/>
        </w:rPr>
        <w:t>. ABRCF shall establish and maintain in the name of the Series 2023-8 Agent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Reserve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2023-8 Agent in writing to transfer all cash and investments from the non-qualifying Class D Reserve Account into the new Class D Reserve Account. Initially, the Class D Reserve Account will be established with The Bank of New York Mellon Trust Company, N.A.</w:t>
      </w:r>
    </w:p>
    <w:p>
      <w:pPr>
        <w:spacing w:after="0" w:line="19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1" w:val="left"/>
        </w:tabs>
        <w:numPr>
          <w:ilvl w:val="0"/>
          <w:numId w:val="4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D Reserve Account</w:t>
      </w:r>
      <w:r>
        <w:rPr>
          <w:rFonts w:ascii="Times New Roman" w:cs="Times New Roman" w:eastAsia="Times New Roman" w:hAnsi="Times New Roman"/>
          <w:sz w:val="22"/>
          <w:szCs w:val="22"/>
          <w:color w:val="auto"/>
        </w:rPr>
        <w:t xml:space="preserve">. The Administrator may instruct the institution maintaining the Class D Reserve Account to invest funds on deposit in the Class D Reserve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w:t>
      </w:r>
    </w:p>
    <w:p>
      <w:pPr>
        <w:spacing w:after="0" w:line="200" w:lineRule="exact"/>
        <w:rPr>
          <w:sz w:val="20"/>
          <w:szCs w:val="20"/>
          <w:color w:val="auto"/>
        </w:rPr>
      </w:pPr>
    </w:p>
    <w:p>
      <w:pPr>
        <w:spacing w:after="0" w:line="27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bl>
    <w:p>
      <w:pPr>
        <w:sectPr>
          <w:pgSz w:w="11900" w:h="16838" w:orient="portrait"/>
          <w:cols w:equalWidth="0" w:num="1">
            <w:col w:w="11240"/>
          </w:cols>
          <w:pgMar w:left="320" w:top="1030" w:right="339" w:bottom="1440" w:gutter="0" w:footer="0" w:header="0"/>
        </w:sectPr>
      </w:pPr>
    </w:p>
    <w:bookmarkStart w:id="473" w:name="page474"/>
    <w:bookmarkEnd w:id="473"/>
    <w:p>
      <w:pPr>
        <w:jc w:val="both"/>
        <w:spacing w:after="0" w:line="263" w:lineRule="auto"/>
        <w:rPr>
          <w:sz w:val="20"/>
          <w:szCs w:val="20"/>
          <w:color w:val="auto"/>
        </w:rPr>
      </w:pPr>
      <w:r>
        <w:rPr>
          <w:rFonts w:ascii="Times New Roman" w:cs="Times New Roman" w:eastAsia="Times New Roman" w:hAnsi="Times New Roman"/>
          <w:sz w:val="21"/>
          <w:szCs w:val="21"/>
          <w:color w:val="auto"/>
        </w:rPr>
        <w:t>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spacing w:after="0" w:line="170" w:lineRule="exact"/>
        <w:rPr>
          <w:sz w:val="20"/>
          <w:szCs w:val="20"/>
          <w:color w:val="auto"/>
        </w:rPr>
      </w:pPr>
    </w:p>
    <w:p>
      <w:pPr>
        <w:ind w:firstLine="1304"/>
        <w:spacing w:after="0" w:line="295" w:lineRule="auto"/>
        <w:tabs>
          <w:tab w:leader="none" w:pos="1770" w:val="left"/>
        </w:tabs>
        <w:numPr>
          <w:ilvl w:val="1"/>
          <w:numId w:val="4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Earnings from Class D Reserve Account</w:t>
      </w:r>
      <w:r>
        <w:rPr>
          <w:rFonts w:ascii="Times New Roman" w:cs="Times New Roman" w:eastAsia="Times New Roman" w:hAnsi="Times New Roman"/>
          <w:sz w:val="21"/>
          <w:szCs w:val="21"/>
          <w:color w:val="auto"/>
        </w:rPr>
        <w:t>. All interest and earnings (net of losses and investment expenses) paid on funds on deposit in the Class D Reserve Account shall be deemed to be on deposit therein and available for distribution.</w:t>
      </w:r>
    </w:p>
    <w:p>
      <w:pPr>
        <w:spacing w:after="0" w:line="135" w:lineRule="exact"/>
        <w:rPr>
          <w:rFonts w:ascii="Times New Roman" w:cs="Times New Roman" w:eastAsia="Times New Roman" w:hAnsi="Times New Roman"/>
          <w:sz w:val="21"/>
          <w:szCs w:val="21"/>
          <w:color w:val="auto"/>
        </w:rPr>
      </w:pPr>
    </w:p>
    <w:p>
      <w:pPr>
        <w:jc w:val="both"/>
        <w:ind w:firstLine="1304"/>
        <w:spacing w:after="0" w:line="259" w:lineRule="auto"/>
        <w:tabs>
          <w:tab w:leader="none" w:pos="1729" w:val="left"/>
        </w:tabs>
        <w:numPr>
          <w:ilvl w:val="1"/>
          <w:numId w:val="4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Reserve Account Constitutes Additional Collateral for Class D Notes</w:t>
      </w:r>
      <w:r>
        <w:rPr>
          <w:rFonts w:ascii="Times New Roman" w:cs="Times New Roman" w:eastAsia="Times New Roman" w:hAnsi="Times New Roman"/>
          <w:sz w:val="21"/>
          <w:szCs w:val="21"/>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w:t>
      </w:r>
    </w:p>
    <w:p>
      <w:pPr>
        <w:spacing w:after="0" w:line="5" w:lineRule="exact"/>
        <w:rPr>
          <w:rFonts w:ascii="Times New Roman" w:cs="Times New Roman" w:eastAsia="Times New Roman" w:hAnsi="Times New Roman"/>
          <w:sz w:val="21"/>
          <w:szCs w:val="21"/>
          <w:color w:val="auto"/>
        </w:rPr>
      </w:pPr>
    </w:p>
    <w:p>
      <w:pPr>
        <w:jc w:val="both"/>
        <w:ind w:firstLine="8"/>
        <w:spacing w:after="0" w:line="247" w:lineRule="auto"/>
        <w:tabs>
          <w:tab w:leader="none" w:pos="259" w:val="left"/>
        </w:tabs>
        <w:numPr>
          <w:ilvl w:val="0"/>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(vi) are referred to, collectively, as the “</w:t>
      </w:r>
      <w:r>
        <w:rPr>
          <w:rFonts w:ascii="Times New Roman" w:cs="Times New Roman" w:eastAsia="Times New Roman" w:hAnsi="Times New Roman"/>
          <w:sz w:val="22"/>
          <w:szCs w:val="22"/>
          <w:u w:val="single" w:color="auto"/>
          <w:color w:val="auto"/>
        </w:rPr>
        <w:t>Class D Reserve Account Collateral</w:t>
      </w:r>
      <w:r>
        <w:rPr>
          <w:rFonts w:ascii="Times New Roman" w:cs="Times New Roman" w:eastAsia="Times New Roman" w:hAnsi="Times New Roman"/>
          <w:sz w:val="22"/>
          <w:szCs w:val="22"/>
          <w:color w:val="auto"/>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2023-8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spacing w:after="0" w:line="184" w:lineRule="exact"/>
        <w:rPr>
          <w:rFonts w:ascii="Times New Roman" w:cs="Times New Roman" w:eastAsia="Times New Roman" w:hAnsi="Times New Roman"/>
          <w:sz w:val="22"/>
          <w:szCs w:val="22"/>
          <w:color w:val="auto"/>
        </w:rPr>
      </w:pPr>
    </w:p>
    <w:p>
      <w:pPr>
        <w:ind w:firstLine="1304"/>
        <w:spacing w:after="0" w:line="271" w:lineRule="auto"/>
        <w:tabs>
          <w:tab w:leader="none" w:pos="1764" w:val="left"/>
        </w:tabs>
        <w:numPr>
          <w:ilvl w:val="1"/>
          <w:numId w:val="4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D Reserve Account Surplus</w:t>
      </w:r>
      <w:r>
        <w:rPr>
          <w:rFonts w:ascii="Times New Roman" w:cs="Times New Roman" w:eastAsia="Times New Roman" w:hAnsi="Times New Roman"/>
          <w:sz w:val="22"/>
          <w:szCs w:val="22"/>
          <w:color w:val="auto"/>
        </w:rPr>
        <w:t>. In the event that the Class D Reserve Account Surplus on any Distribution Date, after giving effect to all withdrawals from the Class D</w:t>
      </w: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bl>
    <w:p>
      <w:pPr>
        <w:sectPr>
          <w:pgSz w:w="11900" w:h="16838" w:orient="portrait"/>
          <w:cols w:equalWidth="0" w:num="1">
            <w:col w:w="11240"/>
          </w:cols>
          <w:pgMar w:left="320" w:top="1030" w:right="339" w:bottom="1440" w:gutter="0" w:footer="0" w:header="0"/>
        </w:sectPr>
      </w:pPr>
    </w:p>
    <w:bookmarkStart w:id="474" w:name="page475"/>
    <w:bookmarkEnd w:id="474"/>
    <w:p>
      <w:pPr>
        <w:jc w:val="both"/>
        <w:spacing w:after="0" w:line="256" w:lineRule="auto"/>
        <w:rPr>
          <w:sz w:val="20"/>
          <w:szCs w:val="20"/>
          <w:color w:val="auto"/>
        </w:rPr>
      </w:pPr>
      <w:r>
        <w:rPr>
          <w:rFonts w:ascii="Times New Roman" w:cs="Times New Roman" w:eastAsia="Times New Roman" w:hAnsi="Times New Roman"/>
          <w:sz w:val="22"/>
          <w:szCs w:val="22"/>
          <w:color w:val="auto"/>
        </w:rPr>
        <w:t>Reserve Account, is greater than zero, if no Series 2023-8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spacing w:after="0" w:line="176" w:lineRule="exact"/>
        <w:rPr>
          <w:sz w:val="20"/>
          <w:szCs w:val="20"/>
          <w:color w:val="auto"/>
        </w:rPr>
      </w:pPr>
    </w:p>
    <w:p>
      <w:pPr>
        <w:jc w:val="both"/>
        <w:ind w:firstLine="1304"/>
        <w:spacing w:after="0" w:line="256" w:lineRule="auto"/>
        <w:tabs>
          <w:tab w:leader="none" w:pos="1743" w:val="left"/>
        </w:tabs>
        <w:numPr>
          <w:ilvl w:val="0"/>
          <w:numId w:val="4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Class D Reserve Account</w:t>
      </w:r>
      <w:r>
        <w:rPr>
          <w:rFonts w:ascii="Times New Roman" w:cs="Times New Roman" w:eastAsia="Times New Roman" w:hAnsi="Times New Roman"/>
          <w:sz w:val="22"/>
          <w:szCs w:val="22"/>
          <w:color w:val="auto"/>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spacing w:after="0" w:line="176"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u w:val="single" w:color="auto"/>
          <w:color w:val="auto"/>
        </w:rPr>
        <w:t>Multi-Series Letters of Credit and Series 2023-8 Cash Collateral Accounts</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Multi-Series Letters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Credit and Series 2023-8 Cash Collateral Account Constitute Additional Collateral for Series 2023-8 Senior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2023-8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w:t>
      </w:r>
    </w:p>
    <w:p>
      <w:pPr>
        <w:spacing w:after="0" w:line="5" w:lineRule="exact"/>
        <w:rPr>
          <w:sz w:val="20"/>
          <w:szCs w:val="20"/>
          <w:color w:val="auto"/>
        </w:rPr>
      </w:pPr>
    </w:p>
    <w:p>
      <w:pPr>
        <w:jc w:val="both"/>
        <w:ind w:firstLine="8"/>
        <w:spacing w:after="0" w:line="258" w:lineRule="auto"/>
        <w:tabs>
          <w:tab w:leader="none" w:pos="395" w:val="left"/>
        </w:tabs>
        <w:numPr>
          <w:ilvl w:val="0"/>
          <w:numId w:val="4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Class A/B/C Cash Collateral Account Collateral</w:t>
      </w:r>
      <w:r>
        <w:rPr>
          <w:rFonts w:ascii="Times New Roman" w:cs="Times New Roman" w:eastAsia="Times New Roman" w:hAnsi="Times New Roman"/>
          <w:sz w:val="21"/>
          <w:szCs w:val="21"/>
          <w:color w:val="auto"/>
        </w:rPr>
        <w:t>”).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2023-8 Agent hereby agrees (i) to act as the securities 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spacing w:after="0" w:line="200" w:lineRule="exact"/>
        <w:rPr>
          <w:sz w:val="20"/>
          <w:szCs w:val="20"/>
          <w:color w:val="auto"/>
        </w:rPr>
      </w:pP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bl>
    <w:p>
      <w:pPr>
        <w:sectPr>
          <w:pgSz w:w="11900" w:h="16838" w:orient="portrait"/>
          <w:cols w:equalWidth="0" w:num="1">
            <w:col w:w="11240"/>
          </w:cols>
          <w:pgMar w:left="320" w:top="1030" w:right="339" w:bottom="1440" w:gutter="0" w:footer="0" w:header="0"/>
        </w:sectPr>
      </w:pPr>
    </w:p>
    <w:bookmarkStart w:id="475" w:name="page476"/>
    <w:bookmarkEnd w:id="475"/>
    <w:p>
      <w:pPr>
        <w:jc w:val="both"/>
        <w:ind w:left="-80" w:firstLine="1304"/>
        <w:spacing w:after="0" w:line="259" w:lineRule="auto"/>
        <w:tabs>
          <w:tab w:leader="none" w:pos="1711" w:val="left"/>
        </w:tabs>
        <w:numPr>
          <w:ilvl w:val="0"/>
          <w:numId w:val="4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Letters of Credit and Class D Cash Collateral Account Constitute Additional Collateral for Class D Notes</w:t>
      </w:r>
      <w:r>
        <w:rPr>
          <w:rFonts w:ascii="Times New Roman" w:cs="Times New Roman" w:eastAsia="Times New Roman" w:hAnsi="Times New Roman"/>
          <w:sz w:val="21"/>
          <w:szCs w:val="21"/>
          <w:color w:val="auto"/>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of Credit related to supporting another Series of Notes);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21"/>
          <w:szCs w:val="21"/>
          <w:u w:val="single" w:color="auto"/>
          <w:color w:val="auto"/>
        </w:rPr>
        <w:t>Class D Cash Collateral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Account Collateral</w:t>
      </w:r>
      <w:r>
        <w:rPr>
          <w:rFonts w:ascii="Times New Roman" w:cs="Times New Roman" w:eastAsia="Times New Roman" w:hAnsi="Times New Roman"/>
          <w:sz w:val="21"/>
          <w:szCs w:val="21"/>
          <w:color w:val="auto"/>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2023-8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spacing w:after="0" w:line="189" w:lineRule="exact"/>
        <w:rPr>
          <w:rFonts w:ascii="Times New Roman" w:cs="Times New Roman" w:eastAsia="Times New Roman" w:hAnsi="Times New Roman"/>
          <w:sz w:val="21"/>
          <w:szCs w:val="21"/>
          <w:color w:val="auto"/>
        </w:rPr>
      </w:pPr>
    </w:p>
    <w:p>
      <w:pPr>
        <w:jc w:val="both"/>
        <w:ind w:left="-80" w:firstLine="1304"/>
        <w:spacing w:after="0" w:line="247" w:lineRule="auto"/>
        <w:tabs>
          <w:tab w:leader="none" w:pos="1739" w:val="left"/>
        </w:tabs>
        <w:numPr>
          <w:ilvl w:val="0"/>
          <w:numId w:val="4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A/B/C Letter of Credit Expiration Date</w:t>
      </w:r>
      <w:r>
        <w:rPr>
          <w:rFonts w:ascii="Times New Roman" w:cs="Times New Roman" w:eastAsia="Times New Roman" w:hAnsi="Times New Roman"/>
          <w:sz w:val="22"/>
          <w:szCs w:val="22"/>
          <w:color w:val="auto"/>
        </w:rPr>
        <w:t>.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2023-8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bl>
    <w:p>
      <w:pPr>
        <w:sectPr>
          <w:pgSz w:w="11900" w:h="16838" w:orient="portrait"/>
          <w:cols w:equalWidth="0" w:num="1">
            <w:col w:w="11160"/>
          </w:cols>
          <w:pgMar w:left="400" w:top="1030" w:right="339" w:bottom="1440" w:gutter="0" w:footer="0" w:header="0"/>
        </w:sectPr>
      </w:pPr>
    </w:p>
    <w:bookmarkStart w:id="476" w:name="page477"/>
    <w:bookmarkEnd w:id="476"/>
    <w:p>
      <w:pPr>
        <w:jc w:val="both"/>
        <w:spacing w:after="0" w:line="247" w:lineRule="auto"/>
        <w:rPr>
          <w:sz w:val="20"/>
          <w:szCs w:val="20"/>
          <w:color w:val="auto"/>
        </w:rPr>
      </w:pPr>
      <w:r>
        <w:rPr>
          <w:rFonts w:ascii="Times New Roman" w:cs="Times New Roman" w:eastAsia="Times New Roman" w:hAnsi="Times New Roman"/>
          <w:sz w:val="22"/>
          <w:szCs w:val="22"/>
          <w:color w:val="auto"/>
        </w:rPr>
        <w:t>Class A/B/C Notes under each substitute Multi-Series Letter of Credit which has been obtained from a Series 2023-8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Enhancement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2023-8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2023-8 Eligible Letter of Credit Provider and is in full force and effect, on such date, and (y) 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spacing w:after="0" w:line="179" w:lineRule="exact"/>
        <w:rPr>
          <w:sz w:val="20"/>
          <w:szCs w:val="20"/>
          <w:color w:val="auto"/>
        </w:rPr>
      </w:pPr>
    </w:p>
    <w:p>
      <w:pPr>
        <w:jc w:val="both"/>
        <w:ind w:firstLine="1304"/>
        <w:spacing w:after="0" w:line="260" w:lineRule="auto"/>
        <w:tabs>
          <w:tab w:leader="none" w:pos="1899" w:val="left"/>
        </w:tabs>
        <w:numPr>
          <w:ilvl w:val="1"/>
          <w:numId w:val="4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Class D Letter of Credit Expiration Date</w:t>
      </w:r>
      <w:r>
        <w:rPr>
          <w:rFonts w:ascii="Times New Roman" w:cs="Times New Roman" w:eastAsia="Times New Roman" w:hAnsi="Times New Roman"/>
          <w:sz w:val="21"/>
          <w:szCs w:val="21"/>
          <w:color w:val="auto"/>
        </w:rPr>
        <w:t>.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2023-8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13" w:val="left"/>
        </w:tabs>
        <w:numPr>
          <w:ilvl w:val="0"/>
          <w:numId w:val="4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D Notes and available to be drawn under such Multi-Series Letter</w:t>
      </w:r>
    </w:p>
    <w:p>
      <w:pPr>
        <w:spacing w:after="0" w:line="200" w:lineRule="exact"/>
        <w:rPr>
          <w:sz w:val="20"/>
          <w:szCs w:val="20"/>
          <w:color w:val="auto"/>
        </w:rPr>
      </w:pP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bl>
    <w:p>
      <w:pPr>
        <w:sectPr>
          <w:pgSz w:w="11900" w:h="16838" w:orient="portrait"/>
          <w:cols w:equalWidth="0" w:num="1">
            <w:col w:w="11240"/>
          </w:cols>
          <w:pgMar w:left="320" w:top="1030" w:right="339" w:bottom="1440" w:gutter="0" w:footer="0" w:header="0"/>
        </w:sectPr>
      </w:pPr>
    </w:p>
    <w:bookmarkStart w:id="477" w:name="page478"/>
    <w:bookmarkEnd w:id="477"/>
    <w:p>
      <w:pPr>
        <w:jc w:val="both"/>
        <w:spacing w:after="0" w:line="247" w:lineRule="auto"/>
        <w:rPr>
          <w:sz w:val="20"/>
          <w:szCs w:val="20"/>
          <w:color w:val="auto"/>
        </w:rPr>
      </w:pPr>
      <w:r>
        <w:rPr>
          <w:rFonts w:ascii="Times New Roman" w:cs="Times New Roman" w:eastAsia="Times New Roman" w:hAnsi="Times New Roman"/>
          <w:sz w:val="22"/>
          <w:szCs w:val="22"/>
          <w:color w:val="auto"/>
        </w:rPr>
        <w:t>of Credit but taking into account the amount allocated to the Class D Notes under each substitute Multi-Series Letter of Credit which has been obtained from a Series 2023-8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 (2) Business Days prior to such Multi-Series Letter of Credit Expiration Date of (x) the greater of (A) the excess, if any, of the Class D Required Enhancement Amount over the Class D Enhancement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2023-8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2023-8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spacing w:after="0" w:line="19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spacing w:after="0" w:line="179" w:lineRule="exact"/>
        <w:rPr>
          <w:sz w:val="20"/>
          <w:szCs w:val="20"/>
          <w:color w:val="auto"/>
        </w:rPr>
      </w:pPr>
    </w:p>
    <w:p>
      <w:pPr>
        <w:jc w:val="both"/>
        <w:ind w:firstLine="1304"/>
        <w:spacing w:after="0" w:line="247" w:lineRule="auto"/>
        <w:tabs>
          <w:tab w:leader="none" w:pos="1779" w:val="left"/>
        </w:tabs>
        <w:numPr>
          <w:ilvl w:val="0"/>
          <w:numId w:val="4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Multi-Series Letter of Credit Providers</w:t>
      </w:r>
      <w:r>
        <w:rPr>
          <w:rFonts w:ascii="Times New Roman" w:cs="Times New Roman" w:eastAsia="Times New Roman" w:hAnsi="Times New Roman"/>
          <w:sz w:val="22"/>
          <w:szCs w:val="22"/>
          <w:color w:val="auto"/>
        </w:rPr>
        <w:t>.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 Class A/B/C Required Enhancement Amount over the Class A/B/C Enhancement Amount, excluding the available amount allocated to the Class A/B/C Notes under the Multi-Series Letter of Credit issued by such Multi-Series Letter of Credit Provider, on such date, and (B) the excess, if any, of the Class A/B/C Required Liquidity Amount over the Class A/B/C Liquidity Amount, excluding the available amount allocated to the Class A/B/C Notes under such Multi-Series Letter</w:t>
      </w:r>
    </w:p>
    <w:p>
      <w:pPr>
        <w:spacing w:after="0" w:line="200" w:lineRule="exact"/>
        <w:rPr>
          <w:sz w:val="20"/>
          <w:szCs w:val="20"/>
          <w:color w:val="auto"/>
        </w:rPr>
      </w:pPr>
    </w:p>
    <w:p>
      <w:pPr>
        <w:spacing w:after="0" w:line="288"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ectPr>
          <w:pgSz w:w="11900" w:h="16838" w:orient="portrait"/>
          <w:cols w:equalWidth="0" w:num="1">
            <w:col w:w="11240"/>
          </w:cols>
          <w:pgMar w:left="320" w:top="1030" w:right="339" w:bottom="1440" w:gutter="0" w:footer="0" w:header="0"/>
        </w:sectPr>
      </w:pPr>
    </w:p>
    <w:bookmarkStart w:id="478" w:name="page479"/>
    <w:bookmarkEnd w:id="478"/>
    <w:p>
      <w:pPr>
        <w:jc w:val="both"/>
        <w:spacing w:after="0" w:line="259" w:lineRule="auto"/>
        <w:rPr>
          <w:sz w:val="20"/>
          <w:szCs w:val="20"/>
          <w:color w:val="auto"/>
        </w:rPr>
      </w:pPr>
      <w:r>
        <w:rPr>
          <w:rFonts w:ascii="Times New Roman" w:cs="Times New Roman" w:eastAsia="Times New Roman" w:hAnsi="Times New Roman"/>
          <w:sz w:val="21"/>
          <w:szCs w:val="21"/>
          <w:color w:val="auto"/>
        </w:rPr>
        <w:t>of Credit, on such date, and (ii) 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Amount, excluding the available amount allocated to the Class D Notes under such Multi-Series Letter of Credit, on such date, and (ii) the amount allocated to the Class D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spacing w:after="0" w:line="187" w:lineRule="exact"/>
        <w:rPr>
          <w:sz w:val="20"/>
          <w:szCs w:val="20"/>
          <w:color w:val="auto"/>
        </w:rPr>
      </w:pPr>
    </w:p>
    <w:p>
      <w:pPr>
        <w:jc w:val="both"/>
        <w:ind w:firstLine="1304"/>
        <w:spacing w:after="0" w:line="259" w:lineRule="auto"/>
        <w:tabs>
          <w:tab w:leader="none" w:pos="1768" w:val="left"/>
        </w:tabs>
        <w:numPr>
          <w:ilvl w:val="1"/>
          <w:numId w:val="4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Date Demands on the Multi-Series Letters of Credit</w:t>
      </w:r>
      <w:r>
        <w:rPr>
          <w:rFonts w:ascii="Times New Roman" w:cs="Times New Roman" w:eastAsia="Times New Roman" w:hAnsi="Times New Roman"/>
          <w:sz w:val="21"/>
          <w:szCs w:val="21"/>
          <w:color w:val="auto"/>
        </w:rPr>
        <w:t xml:space="preserve">. Prior to 10:00 a.m. (New York City time) on the Business Day immediately succeeding the Multi-Series Letter of Credit Termination Date, the Administrator shall determine the Series 2023-8 Demand Note Payment Amount, if any, as of the Multi-Series Letter of Credit Termination Date and, if the Series 2023-8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2023-8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Class A/B/C Cash Collateral Account has been established and funded, the Trustee shall draw an amount equal to the product of (a) 100%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the Class A/B/C Cash Collateral Percentage and (b) the lesser of the amounts referred to in clause (i) and (ii) on such Business Day on the Multi-Series Letters of Credit, as calculated by the Administrator and provided in writing to the Trustee and (II) on each such Multi-Series Letter of Credit allocable to the Class D Notes equal to the lesser of (i) the excess of</w:t>
      </w:r>
    </w:p>
    <w:p>
      <w:pPr>
        <w:spacing w:after="0" w:line="3" w:lineRule="exact"/>
        <w:rPr>
          <w:rFonts w:ascii="Times New Roman" w:cs="Times New Roman" w:eastAsia="Times New Roman" w:hAnsi="Times New Roman"/>
          <w:sz w:val="21"/>
          <w:szCs w:val="21"/>
          <w:color w:val="auto"/>
        </w:rPr>
      </w:pPr>
    </w:p>
    <w:p>
      <w:pPr>
        <w:jc w:val="both"/>
        <w:ind w:firstLine="8"/>
        <w:spacing w:after="0" w:line="252" w:lineRule="auto"/>
        <w:tabs>
          <w:tab w:leader="none" w:pos="306" w:val="left"/>
        </w:tabs>
        <w:numPr>
          <w:ilvl w:val="0"/>
          <w:numId w:val="4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Series 2023-8 Demand Note Payment Amount over (y) the amounts drawn on the Multi-Series Letter of Credit pursuant to this Section 2.8(f) that are allocable to the Class D Notes and (ii) the Class D Letter of Credit Liquidity Amount on the Multi-Series Letters of Credit by presenting to each relevant</w:t>
      </w: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bl>
    <w:p>
      <w:pPr>
        <w:sectPr>
          <w:pgSz w:w="11900" w:h="16838" w:orient="portrait"/>
          <w:cols w:equalWidth="0" w:num="1">
            <w:col w:w="11240"/>
          </w:cols>
          <w:pgMar w:left="320" w:top="1030" w:right="339" w:bottom="1440" w:gutter="0" w:footer="0" w:header="0"/>
        </w:sectPr>
      </w:pPr>
    </w:p>
    <w:bookmarkStart w:id="479" w:name="page480"/>
    <w:bookmarkEnd w:id="479"/>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the Class D Cash Collateral Account has been established and funded, the Trustee shall draw an amount equal to the product of (a) 100%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the Class D Cash Collateral Percentage and (b) the lesser of the amounts referred to in clause (i) and (ii) on such Business Day on the Multi-Series Letters of Credit, as calculated by the Administrator and provided in writing to the Trustee.</w:t>
      </w:r>
    </w:p>
    <w:p>
      <w:pPr>
        <w:spacing w:after="0" w:line="181" w:lineRule="exact"/>
        <w:rPr>
          <w:sz w:val="20"/>
          <w:szCs w:val="20"/>
          <w:color w:val="auto"/>
        </w:rPr>
      </w:pPr>
    </w:p>
    <w:p>
      <w:pPr>
        <w:jc w:val="both"/>
        <w:ind w:firstLine="1304"/>
        <w:spacing w:after="0" w:line="249" w:lineRule="auto"/>
        <w:tabs>
          <w:tab w:leader="none" w:pos="1858"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Draws on the Multi-Series Letters of Credit</w:t>
      </w:r>
      <w:r>
        <w:rPr>
          <w:rFonts w:ascii="Times New Roman" w:cs="Times New Roman" w:eastAsia="Times New Roman" w:hAnsi="Times New Roman"/>
          <w:sz w:val="22"/>
          <w:szCs w:val="22"/>
          <w:color w:val="auto"/>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spacing w:after="0" w:line="183" w:lineRule="exact"/>
        <w:rPr>
          <w:rFonts w:ascii="Times New Roman" w:cs="Times New Roman" w:eastAsia="Times New Roman" w:hAnsi="Times New Roman"/>
          <w:sz w:val="22"/>
          <w:szCs w:val="22"/>
          <w:color w:val="auto"/>
        </w:rPr>
      </w:pPr>
    </w:p>
    <w:p>
      <w:pPr>
        <w:jc w:val="both"/>
        <w:ind w:firstLine="1304"/>
        <w:spacing w:after="0" w:line="260" w:lineRule="auto"/>
        <w:tabs>
          <w:tab w:leader="none" w:pos="1872" w:val="left"/>
        </w:tabs>
        <w:numPr>
          <w:ilvl w:val="0"/>
          <w:numId w:val="4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Establishment of Class A/B/C Cash Collateral Account</w:t>
      </w:r>
      <w:r>
        <w:rPr>
          <w:rFonts w:ascii="Times New Roman" w:cs="Times New Roman" w:eastAsia="Times New Roman" w:hAnsi="Times New Roman"/>
          <w:sz w:val="21"/>
          <w:szCs w:val="21"/>
          <w:color w:val="auto"/>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 w:cs="Times New Roman" w:eastAsia="Times New Roman" w:hAnsi="Times New Roman"/>
          <w:sz w:val="21"/>
          <w:szCs w:val="21"/>
          <w:u w:val="single" w:color="auto"/>
          <w:color w:val="auto"/>
        </w:rPr>
        <w:t>Class A/B/C Cash Collateral Account</w:t>
      </w:r>
      <w:r>
        <w:rPr>
          <w:rFonts w:ascii="Times New Roman" w:cs="Times New Roman" w:eastAsia="Times New Roman" w:hAnsi="Times New Roman"/>
          <w:sz w:val="21"/>
          <w:szCs w:val="21"/>
          <w:color w:val="auto"/>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spacing w:after="0" w:line="179" w:lineRule="exact"/>
        <w:rPr>
          <w:rFonts w:ascii="Times New Roman" w:cs="Times New Roman" w:eastAsia="Times New Roman" w:hAnsi="Times New Roman"/>
          <w:sz w:val="21"/>
          <w:szCs w:val="21"/>
          <w:color w:val="auto"/>
        </w:rPr>
      </w:pPr>
    </w:p>
    <w:p>
      <w:pPr>
        <w:jc w:val="both"/>
        <w:ind w:firstLine="1304"/>
        <w:spacing w:after="0" w:line="257" w:lineRule="auto"/>
        <w:tabs>
          <w:tab w:leader="none" w:pos="1756" w:val="left"/>
        </w:tabs>
        <w:numPr>
          <w:ilvl w:val="0"/>
          <w:numId w:val="4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A/B/C Cash Collateral Account</w:t>
      </w:r>
      <w:r>
        <w:rPr>
          <w:rFonts w:ascii="Times New Roman" w:cs="Times New Roman" w:eastAsia="Times New Roman" w:hAnsi="Times New Roman"/>
          <w:sz w:val="22"/>
          <w:szCs w:val="22"/>
          <w:color w:val="auto"/>
        </w:rPr>
        <w:t>. ABRCF may instruct (by standing instructions or otherwise) the institution maintaining the Class A/B/C Cash Collateral Account to invest funds on deposit in the Class A/B/C Cash Collateral Account from</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bl>
    <w:p>
      <w:pPr>
        <w:sectPr>
          <w:pgSz w:w="11900" w:h="16838" w:orient="portrait"/>
          <w:cols w:equalWidth="0" w:num="1">
            <w:col w:w="11240"/>
          </w:cols>
          <w:pgMar w:left="320" w:top="1030" w:right="339" w:bottom="1440" w:gutter="0" w:footer="0" w:header="0"/>
        </w:sectPr>
      </w:pPr>
    </w:p>
    <w:bookmarkStart w:id="480" w:name="page481"/>
    <w:bookmarkEnd w:id="480"/>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in the case of Permitted Investments held in the Class A/B/C Cash Collateral Account and so long as any Class A Note, Class B Note or Class C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spacing w:after="0" w:line="197" w:lineRule="exact"/>
        <w:rPr>
          <w:sz w:val="20"/>
          <w:szCs w:val="20"/>
          <w:color w:val="auto"/>
        </w:rPr>
      </w:pPr>
    </w:p>
    <w:p>
      <w:pPr>
        <w:jc w:val="both"/>
        <w:ind w:firstLine="1304"/>
        <w:spacing w:after="0" w:line="247" w:lineRule="auto"/>
        <w:tabs>
          <w:tab w:leader="none" w:pos="1797"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Class D Cash Collateral Account</w:t>
      </w:r>
      <w:r>
        <w:rPr>
          <w:rFonts w:ascii="Times New Roman" w:cs="Times New Roman" w:eastAsia="Times New Roman" w:hAnsi="Times New Roman"/>
          <w:sz w:val="22"/>
          <w:szCs w:val="22"/>
          <w:color w:val="auto"/>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 w:cs="Times New Roman" w:eastAsia="Times New Roman" w:hAnsi="Times New Roman"/>
          <w:sz w:val="22"/>
          <w:szCs w:val="22"/>
          <w:u w:val="single" w:color="auto"/>
          <w:color w:val="auto"/>
        </w:rPr>
        <w:t>Class D Cash Collateral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instruct the Trustee in writing to transfer all cash and investments from the non-qualifying Class D Cash Collateral Account into the new Class D Cash Collateral Account.</w:t>
      </w:r>
    </w:p>
    <w:p>
      <w:pPr>
        <w:spacing w:after="0" w:line="189" w:lineRule="exact"/>
        <w:rPr>
          <w:rFonts w:ascii="Times New Roman" w:cs="Times New Roman" w:eastAsia="Times New Roman" w:hAnsi="Times New Roman"/>
          <w:sz w:val="22"/>
          <w:szCs w:val="22"/>
          <w:color w:val="auto"/>
        </w:rPr>
      </w:pPr>
    </w:p>
    <w:p>
      <w:pPr>
        <w:ind w:firstLine="1304"/>
        <w:spacing w:after="0" w:line="284" w:lineRule="auto"/>
        <w:tabs>
          <w:tab w:leader="none" w:pos="1831" w:val="left"/>
        </w:tabs>
        <w:numPr>
          <w:ilvl w:val="0"/>
          <w:numId w:val="4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Class D Cash Collateral Account</w:t>
      </w:r>
      <w:r>
        <w:rPr>
          <w:rFonts w:ascii="Times New Roman" w:cs="Times New Roman" w:eastAsia="Times New Roman" w:hAnsi="Times New Roman"/>
          <w:sz w:val="22"/>
          <w:szCs w:val="22"/>
          <w:color w:val="auto"/>
        </w:rPr>
        <w:t>. ABRCF may instruct (by standing instructions or otherwise) the institution maintaining the Class D Cash</w:t>
      </w: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bl>
    <w:p>
      <w:pPr>
        <w:sectPr>
          <w:pgSz w:w="11900" w:h="16838" w:orient="portrait"/>
          <w:cols w:equalWidth="0" w:num="1">
            <w:col w:w="11240"/>
          </w:cols>
          <w:pgMar w:left="320" w:top="1030" w:right="339" w:bottom="1440" w:gutter="0" w:footer="0" w:header="0"/>
        </w:sectPr>
      </w:pPr>
    </w:p>
    <w:bookmarkStart w:id="481" w:name="page482"/>
    <w:bookmarkEnd w:id="481"/>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Collateral Account to invest funds on deposit in the Class D Cash Collateral Account from time to time in Permitted Investments;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spacing w:after="0" w:line="183" w:lineRule="exact"/>
        <w:rPr>
          <w:sz w:val="20"/>
          <w:szCs w:val="20"/>
          <w:color w:val="auto"/>
        </w:rPr>
      </w:pPr>
    </w:p>
    <w:p>
      <w:pPr>
        <w:jc w:val="both"/>
        <w:ind w:firstLine="1304"/>
        <w:spacing w:after="0" w:line="257" w:lineRule="auto"/>
        <w:tabs>
          <w:tab w:leader="none" w:pos="1932"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2023-8 Cash Collateral Accounts</w:t>
      </w:r>
      <w:r>
        <w:rPr>
          <w:rFonts w:ascii="Times New Roman" w:cs="Times New Roman" w:eastAsia="Times New Roman" w:hAnsi="Times New Roman"/>
          <w:sz w:val="22"/>
          <w:szCs w:val="22"/>
          <w:color w:val="auto"/>
        </w:rPr>
        <w:t>. All interest and earnings (net of losses and investment expenses) paid on funds on deposit in the Series 2023-8 Cash Collateral Accounts shall be deemed to be on deposit therein and available for distribution.</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51" w:val="left"/>
        </w:tabs>
        <w:numPr>
          <w:ilvl w:val="0"/>
          <w:numId w:val="4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Series 2023-8 Cash Collateral Account Surplus</w:t>
      </w:r>
      <w:r>
        <w:rPr>
          <w:rFonts w:ascii="Times New Roman" w:cs="Times New Roman" w:eastAsia="Times New Roman" w:hAnsi="Times New Roman"/>
          <w:sz w:val="22"/>
          <w:szCs w:val="22"/>
          <w:color w:val="auto"/>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2023-8 Reimbursement Agreement, for application in accordance with the provisions of the related Series 2023-8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allocable to the Class D Notes with respect to any Multi-Series Letters of Credit under the related Series 2023-8 Reimbursement Agreement, for application in accordance with the provisions of the related Series 2023-8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189" w:lineRule="exact"/>
        <w:rPr>
          <w:rFonts w:ascii="Times New Roman" w:cs="Times New Roman" w:eastAsia="Times New Roman" w:hAnsi="Times New Roman"/>
          <w:sz w:val="22"/>
          <w:szCs w:val="22"/>
          <w:color w:val="auto"/>
        </w:rPr>
      </w:pPr>
    </w:p>
    <w:p>
      <w:pPr>
        <w:jc w:val="both"/>
        <w:ind w:firstLine="1304"/>
        <w:spacing w:after="0" w:line="281" w:lineRule="auto"/>
        <w:tabs>
          <w:tab w:leader="none" w:pos="1966" w:val="left"/>
        </w:tabs>
        <w:numPr>
          <w:ilvl w:val="0"/>
          <w:numId w:val="4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Series 2023-8 Cash Collateral Account</w:t>
      </w:r>
      <w:r>
        <w:rPr>
          <w:rFonts w:ascii="Times New Roman" w:cs="Times New Roman" w:eastAsia="Times New Roman" w:hAnsi="Times New Roman"/>
          <w:sz w:val="21"/>
          <w:szCs w:val="21"/>
          <w:color w:val="auto"/>
        </w:rPr>
        <w:t>. Upon the termination of this Supplement in accordance with its terms, the Trustee, acting in accordance with the written instructions of the Administrator, after the prior payment of all amounts owing to the Series 2023-8 Noteholders and payable from any Series 2023-8 Cash Collateral Account as</w:t>
      </w:r>
    </w:p>
    <w:p>
      <w:pPr>
        <w:spacing w:after="0" w:line="200" w:lineRule="exact"/>
        <w:rPr>
          <w:sz w:val="20"/>
          <w:szCs w:val="20"/>
          <w:color w:val="auto"/>
        </w:rPr>
      </w:pP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bl>
    <w:p>
      <w:pPr>
        <w:sectPr>
          <w:pgSz w:w="11900" w:h="16838" w:orient="portrait"/>
          <w:cols w:equalWidth="0" w:num="1">
            <w:col w:w="11240"/>
          </w:cols>
          <w:pgMar w:left="320" w:top="1030" w:right="339" w:bottom="1440" w:gutter="0" w:footer="0" w:header="0"/>
        </w:sectPr>
      </w:pPr>
    </w:p>
    <w:bookmarkStart w:id="482" w:name="page483"/>
    <w:bookmarkEnd w:id="482"/>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provided herein, shall (i) withdraw from the Class A/B/C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with respect to any Class A/B/C Letters of Credit under the related Series 2023-8 Reimbursement Agreement, for application in accordance with the provisions of the related Series 2023-8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ABRCF any remaining amount and (ii) withdraw from the Class D Cash Collateral Account all amounts on deposit therein (to the extent not withdrawn pursuant to Section 2.8(m) above) and shall pay such amounts: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the Multi-Series Letter of Credit Providers to the extent of any unreimbursed drawings allocable to the Class D Notes with respect to any Multi-Series Letters of Credit under the related Series 2023-8 Reimbursement Agreement, for application in accordance with the provisions of the related Series 2023-8 Reimbursement Agreement,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ABRCF any remaining amount.</w:t>
      </w:r>
    </w:p>
    <w:p>
      <w:pPr>
        <w:spacing w:after="0" w:line="18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Series 2023-8 Distribution Account</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Establishment of Series 2023-8 Distribution Account</w:t>
      </w:r>
      <w:r>
        <w:rPr>
          <w:rFonts w:ascii="Times New Roman" w:cs="Times New Roman" w:eastAsia="Times New Roman" w:hAnsi="Times New Roman"/>
          <w:sz w:val="22"/>
          <w:szCs w:val="22"/>
          <w:color w:val="auto"/>
        </w:rPr>
        <w:t>. ABRCF has established and shall maintain in the name of the Trustee for the benefit of the Series 2023-8 Noteholders, or cause to be established and maintained, an account (the “</w:t>
      </w:r>
      <w:r>
        <w:rPr>
          <w:rFonts w:ascii="Times New Roman" w:cs="Times New Roman" w:eastAsia="Times New Roman" w:hAnsi="Times New Roman"/>
          <w:sz w:val="22"/>
          <w:szCs w:val="22"/>
          <w:u w:val="single" w:color="auto"/>
          <w:color w:val="auto"/>
        </w:rPr>
        <w:t>Series 2023-8 Distribution Account</w:t>
      </w:r>
      <w:r>
        <w:rPr>
          <w:rFonts w:ascii="Times New Roman" w:cs="Times New Roman" w:eastAsia="Times New Roman" w:hAnsi="Times New Roman"/>
          <w:sz w:val="22"/>
          <w:szCs w:val="22"/>
          <w:color w:val="auto"/>
        </w:rPr>
        <w:t xml:space="preserve">”), bearing a designation clearly indicating that the funds deposited therein are held for the benefit of the Series 2023-8 Noteholders. The Series 2023-8 Distribution Account shall be maintained (i) with a Qualified Institution, or (ii) as a segregated trust account with the corporate trust department of a depository institution or trust company having corporate trust powers and acting as trustee for funds deposited in the Series 2023-8 Distribution Account;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2023-8 Distribution Account with a new Qualified Institution. If the Series 2023-8 Distribution Account is not maintained in accordance with the previous sentence, ABRCF shall establish a new Series 2023-8 Distribution Account, within ten (10) Business Days after obtaining knowledge of such fact, which complies with such sentence, and shall instruct the Series 2023-8 Agent in writing to transfer all cash and investments from the non-qualifying Series 2023-8 Distribution Account into the new Series 2023-8 Distribution Account. The Series 2023-8 Distribution Account has initially been established with The Bank of New York Mellon Trust Company, N.A.</w:t>
      </w:r>
    </w:p>
    <w:p>
      <w:pPr>
        <w:spacing w:after="0" w:line="183" w:lineRule="exact"/>
        <w:rPr>
          <w:sz w:val="20"/>
          <w:szCs w:val="20"/>
          <w:color w:val="auto"/>
        </w:rPr>
      </w:pPr>
    </w:p>
    <w:p>
      <w:pPr>
        <w:jc w:val="both"/>
        <w:ind w:firstLine="1304"/>
        <w:spacing w:after="0" w:line="259" w:lineRule="auto"/>
        <w:tabs>
          <w:tab w:leader="none" w:pos="1858" w:val="left"/>
        </w:tabs>
        <w:numPr>
          <w:ilvl w:val="1"/>
          <w:numId w:val="4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 of the Series 2023-8 Distribution Account</w:t>
      </w:r>
      <w:r>
        <w:rPr>
          <w:rFonts w:ascii="Times New Roman" w:cs="Times New Roman" w:eastAsia="Times New Roman" w:hAnsi="Times New Roman"/>
          <w:sz w:val="21"/>
          <w:szCs w:val="21"/>
          <w:color w:val="auto"/>
        </w:rPr>
        <w:t xml:space="preserve">. The Administrator may instruct the institution maintaining the Series 2023-8 Distribution Account to invest funds on deposit in the Series 2023-8 Distribution Account from time to time in Permitted Investments;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investment shall mature not later than the Business Day prior to the Distribution Date following the date on which such funds were received, unless any Permitted Investment held in the Series 2023-8 Distribution Account is held with the Paying Agent, then such investment may mature on such Distribution Date and such funds shall be available for withdrawal on or prior to such Distribution Date. All such Permitted Investments will be credited to the Series 2023-8 Distribution Account and any such Permitted Investments that constitute (i) physical property (and that is not either a United States security entitlement or a security entitlement) shall be physically delivered to the Trustee;</w:t>
      </w:r>
    </w:p>
    <w:p>
      <w:pPr>
        <w:spacing w:after="0" w:line="4" w:lineRule="exact"/>
        <w:rPr>
          <w:rFonts w:ascii="Times New Roman" w:cs="Times New Roman" w:eastAsia="Times New Roman" w:hAnsi="Times New Roman"/>
          <w:sz w:val="21"/>
          <w:szCs w:val="21"/>
          <w:color w:val="auto"/>
        </w:rPr>
      </w:pPr>
    </w:p>
    <w:p>
      <w:pPr>
        <w:jc w:val="both"/>
        <w:ind w:firstLine="8"/>
        <w:spacing w:after="0" w:line="252" w:lineRule="auto"/>
        <w:tabs>
          <w:tab w:leader="none" w:pos="329" w:val="left"/>
        </w:tabs>
        <w:numPr>
          <w:ilvl w:val="0"/>
          <w:numId w:val="4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w:t>
      </w: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bl>
    <w:p>
      <w:pPr>
        <w:sectPr>
          <w:pgSz w:w="11900" w:h="16838" w:orient="portrait"/>
          <w:cols w:equalWidth="0" w:num="1">
            <w:col w:w="11240"/>
          </w:cols>
          <w:pgMar w:left="320" w:top="1030" w:right="339" w:bottom="1440" w:gutter="0" w:footer="0" w:header="0"/>
        </w:sectPr>
      </w:pPr>
    </w:p>
    <w:bookmarkStart w:id="483" w:name="page484"/>
    <w:bookmarkEnd w:id="483"/>
    <w:p>
      <w:pPr>
        <w:jc w:val="both"/>
        <w:spacing w:after="0" w:line="251" w:lineRule="auto"/>
        <w:rPr>
          <w:sz w:val="20"/>
          <w:szCs w:val="20"/>
          <w:color w:val="auto"/>
        </w:rPr>
      </w:pPr>
      <w:r>
        <w:rPr>
          <w:rFonts w:ascii="Times New Roman" w:cs="Times New Roman" w:eastAsia="Times New Roman" w:hAnsi="Times New Roman"/>
          <w:sz w:val="22"/>
          <w:szCs w:val="22"/>
          <w:color w:val="auto"/>
        </w:rPr>
        <w:t>Trustee to become the registered holder of such securities. The Trustee shall, at the expense of ABRCF, take such action as is required to maintain the Trustee’s security interest in the Permitted Investments credited to the Series 2023-8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2023-8 Distribution Account shall remain uninvested.</w:t>
      </w:r>
    </w:p>
    <w:p>
      <w:pPr>
        <w:spacing w:after="0" w:line="181" w:lineRule="exact"/>
        <w:rPr>
          <w:sz w:val="20"/>
          <w:szCs w:val="20"/>
          <w:color w:val="auto"/>
        </w:rPr>
      </w:pPr>
    </w:p>
    <w:p>
      <w:pPr>
        <w:jc w:val="both"/>
        <w:ind w:firstLine="1304"/>
        <w:spacing w:after="0" w:line="263" w:lineRule="auto"/>
        <w:tabs>
          <w:tab w:leader="none" w:pos="1819" w:val="left"/>
        </w:tabs>
        <w:numPr>
          <w:ilvl w:val="0"/>
          <w:numId w:val="4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Earnings from Series 2023-8 Distribution Account</w:t>
      </w:r>
      <w:r>
        <w:rPr>
          <w:rFonts w:ascii="Times New Roman" w:cs="Times New Roman" w:eastAsia="Times New Roman" w:hAnsi="Times New Roman"/>
          <w:sz w:val="22"/>
          <w:szCs w:val="22"/>
          <w:color w:val="auto"/>
        </w:rPr>
        <w:t>. All interest and earnings (net of losses and investment expenses) paid on funds on deposit in the Series 2023-8 Distribution Account shall be deemed to be on deposit and available for distribution.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9" w:lineRule="auto"/>
        <w:tabs>
          <w:tab w:leader="none" w:pos="1845" w:val="left"/>
        </w:tabs>
        <w:numPr>
          <w:ilvl w:val="0"/>
          <w:numId w:val="4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Series 2023-8 Distribution Account Constitutes Additional Collateral for Series 2023-8 Notes</w:t>
      </w:r>
      <w:r>
        <w:rPr>
          <w:rFonts w:ascii="Times New Roman" w:cs="Times New Roman" w:eastAsia="Times New Roman" w:hAnsi="Times New Roman"/>
          <w:sz w:val="21"/>
          <w:szCs w:val="21"/>
          <w:color w:val="auto"/>
        </w:rPr>
        <w:t>. In order to secure and provide for the repayment and payment of the ABRCF Obligations with respect to the Series 2023-8 Notes, ABRCF hereby grants a security interest in and assigns, pledges, grants, transfers and sets over to the Trustee, for the benefit of the Series 2023-8 Noteholders, all of ABRCF’s right, title and interest in and to the following (whether now or hereafter existing or acquired): (i) the Series 2023-8 Distribution Account, including any security entitlement thereto; (ii) all funds on deposit therein from time to time; (iii) all certificates and instruments, if any, representing or evidencing any or all of the Series 2023-8 Distribution Account or the funds on deposit therein from time to time; (iv) all investments made at any time and from time to time with monies in the Series 2023-8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2023-8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21"/>
          <w:szCs w:val="21"/>
          <w:u w:val="single" w:color="auto"/>
          <w:color w:val="auto"/>
        </w:rPr>
        <w:t>Series 2023-8 Distribution Account Collateral</w:t>
      </w:r>
      <w:r>
        <w:rPr>
          <w:rFonts w:ascii="Times New Roman" w:cs="Times New Roman" w:eastAsia="Times New Roman" w:hAnsi="Times New Roman"/>
          <w:sz w:val="21"/>
          <w:szCs w:val="21"/>
          <w:color w:val="auto"/>
        </w:rPr>
        <w:t>”). The Trustee shall possess all right, title and interest in all funds on deposit from time to time in the Series 2023-8 Distribution Account and in and to all proceeds thereof, and shall be the only person authorized to originate entitlement orders in respect of the Series 2023-8 Distribution Account. The Series 2023-8 Distribution Account Collateral shall be under the sole dominion and control of the Trustee for the benefit of the Series 2023-8 Noteholders. The Series 2023-8 Agent hereby agrees (i) to act as the securities intermediary (as defined in Section 8-102(a)(14) of the New York UCC) with respect to the Series 2023-8 Distribution Account; (ii) that its jurisdiction as securities intermediary is New York, (iii) that each item of property (whether investment property, financial asset, security, instrument or cash) credited to the Series 2023-8 Distribution Account shall be treated as a financial asset (as defined in Section 8-102(a)(9) of the New York UCC) and (iv) to comply with any entitlement order (as defined in Section 8-102(a)(8) of the New York UCC) issued by the Trustee.</w:t>
      </w:r>
    </w:p>
    <w:p>
      <w:pPr>
        <w:spacing w:after="0" w:line="18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Series 2023-8 Accounts Permitted Investments</w:t>
      </w:r>
      <w:r>
        <w:rPr>
          <w:rFonts w:ascii="Times New Roman" w:cs="Times New Roman" w:eastAsia="Times New Roman" w:hAnsi="Times New Roman"/>
          <w:sz w:val="22"/>
          <w:szCs w:val="22"/>
          <w:color w:val="auto"/>
        </w:rPr>
        <w:t>. ABRCF shall not, and shall not permit, funds on deposit in the Series 2023-8 Accounts to be invested in:</w:t>
      </w:r>
    </w:p>
    <w:p>
      <w:pPr>
        <w:spacing w:after="0" w:line="158" w:lineRule="exact"/>
        <w:rPr>
          <w:sz w:val="20"/>
          <w:szCs w:val="20"/>
          <w:color w:val="auto"/>
        </w:rPr>
      </w:pPr>
    </w:p>
    <w:p>
      <w:pPr>
        <w:ind w:left="2440" w:hanging="488"/>
        <w:spacing w:after="0"/>
        <w:tabs>
          <w:tab w:leader="none" w:pos="2440" w:val="left"/>
        </w:tabs>
        <w:numPr>
          <w:ilvl w:val="0"/>
          <w:numId w:val="4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 that do not mature at least one (1) Business Day before the next Distribution</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bl>
    <w:p>
      <w:pPr>
        <w:sectPr>
          <w:pgSz w:w="11900" w:h="16838" w:orient="portrait"/>
          <w:cols w:equalWidth="0" w:num="1">
            <w:col w:w="11240"/>
          </w:cols>
          <w:pgMar w:left="320" w:top="1030" w:right="339" w:bottom="1440" w:gutter="0" w:footer="0" w:header="0"/>
        </w:sectPr>
      </w:pPr>
    </w:p>
    <w:bookmarkStart w:id="484" w:name="page485"/>
    <w:bookmarkEnd w:id="484"/>
    <w:p>
      <w:pPr>
        <w:ind w:left="2440" w:hanging="488"/>
        <w:spacing w:after="0"/>
        <w:tabs>
          <w:tab w:leader="none" w:pos="244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with a maturity in excess of 360 days;</w:t>
      </w:r>
    </w:p>
    <w:p>
      <w:pPr>
        <w:spacing w:after="0" w:line="219"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which is not rated “P-1” by Moody’s;</w:t>
      </w:r>
    </w:p>
    <w:p>
      <w:pPr>
        <w:spacing w:after="0" w:line="233"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or eurodollar time deposits which are not rated at least “P-1” by Moody’s;</w:t>
      </w:r>
    </w:p>
    <w:p>
      <w:pPr>
        <w:spacing w:after="0" w:line="219" w:lineRule="exact"/>
        <w:rPr>
          <w:rFonts w:ascii="Times New Roman" w:cs="Times New Roman" w:eastAsia="Times New Roman" w:hAnsi="Times New Roman"/>
          <w:sz w:val="22"/>
          <w:szCs w:val="22"/>
          <w:color w:val="auto"/>
        </w:rPr>
      </w:pPr>
    </w:p>
    <w:p>
      <w:pPr>
        <w:ind w:left="660" w:firstLine="1292"/>
        <w:spacing w:after="0" w:line="271" w:lineRule="auto"/>
        <w:tabs>
          <w:tab w:leader="none" w:pos="2529"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eurodollar deposits that are not rated “P-1” by Moody’s or that are with financial institutions not organized under the laws of a G-7 nation; or</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501" w:val="left"/>
        </w:tabs>
        <w:numPr>
          <w:ilvl w:val="0"/>
          <w:numId w:val="4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instrument or security not otherwise listed in clause (i) through (vi) of the definition of “Permitted Investments” in the Base Indenture.</w:t>
      </w:r>
    </w:p>
    <w:p>
      <w:pPr>
        <w:spacing w:after="0" w:line="17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Series 2023-8 Demand Notes Constitute Additional Collateral for Series 2023-8 Senior Notes</w:t>
      </w:r>
      <w:r>
        <w:rPr>
          <w:rFonts w:ascii="Times New Roman" w:cs="Times New Roman" w:eastAsia="Times New Roman" w:hAnsi="Times New Roman"/>
          <w:sz w:val="22"/>
          <w:szCs w:val="22"/>
          <w:color w:val="auto"/>
        </w:rPr>
        <w:t>. In order to secure and provide for the repayment and payment of the ABRCF Obligations with respect to the Series 2023-8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2023-8 Demand Notes; (ii) all certificates and instruments, if any, representing or evidencing the Series 2023-8 Demand Notes; and</w:t>
      </w:r>
    </w:p>
    <w:p>
      <w:pPr>
        <w:spacing w:after="0" w:line="3" w:lineRule="exact"/>
        <w:rPr>
          <w:sz w:val="20"/>
          <w:szCs w:val="20"/>
          <w:color w:val="auto"/>
        </w:rPr>
      </w:pPr>
    </w:p>
    <w:p>
      <w:pPr>
        <w:jc w:val="both"/>
        <w:ind w:firstLine="8"/>
        <w:spacing w:after="0" w:line="247" w:lineRule="auto"/>
        <w:tabs>
          <w:tab w:leader="none" w:pos="387" w:val="left"/>
        </w:tabs>
        <w:numPr>
          <w:ilvl w:val="0"/>
          <w:numId w:val="4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of any and all of the foregoing, including, without limitation, cash. On the date hereof, ABRCF shall deliver to the Trustee, for the benefit of the Class A Noteholders, the Class B Noteholders, the Class C Noteholders and the Class D Noteholders, each Series 2023-8 Demand Note, endorsed in blank. The Trustee, for the benefit of the Class A Noteholders, the Class B Noteholders, the Class C Noteholders and the Class D Noteholders, shall be the only Person authorized to make a demand for payments on the Series 2023-8 Demand Notes.</w:t>
      </w:r>
    </w:p>
    <w:p>
      <w:pPr>
        <w:spacing w:after="0" w:line="198"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u w:val="single" w:color="auto"/>
          <w:color w:val="auto"/>
        </w:rPr>
        <w:t>Subordination of the Class B Notes, Class C Notes, Class D Notes and the Class R Notes</w:t>
      </w:r>
      <w:r>
        <w:rPr>
          <w:rFonts w:ascii="Times New Roman" w:cs="Times New Roman" w:eastAsia="Times New Roman" w:hAnsi="Times New Roman"/>
          <w:sz w:val="21"/>
          <w:szCs w:val="21"/>
          <w:color w:val="auto"/>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2023-8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2023-8 Rapid Amortization Period or on the Series 2023-8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spacing w:after="0" w:line="178" w:lineRule="exact"/>
        <w:rPr>
          <w:sz w:val="20"/>
          <w:szCs w:val="20"/>
          <w:color w:val="auto"/>
        </w:rPr>
      </w:pPr>
    </w:p>
    <w:p>
      <w:pPr>
        <w:jc w:val="both"/>
        <w:ind w:firstLine="1304"/>
        <w:spacing w:after="0" w:line="263" w:lineRule="auto"/>
        <w:tabs>
          <w:tab w:leader="none" w:pos="1824" w:val="left"/>
        </w:tabs>
        <w:numPr>
          <w:ilvl w:val="0"/>
          <w:numId w:val="4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w:t>
      </w:r>
    </w:p>
    <w:p>
      <w:pPr>
        <w:spacing w:after="0" w:line="200" w:lineRule="exact"/>
        <w:rPr>
          <w:sz w:val="20"/>
          <w:szCs w:val="20"/>
          <w:color w:val="auto"/>
        </w:rPr>
      </w:pPr>
    </w:p>
    <w:p>
      <w:pPr>
        <w:spacing w:after="0" w:line="264"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bl>
    <w:p>
      <w:pPr>
        <w:sectPr>
          <w:pgSz w:w="11900" w:h="16838" w:orient="portrait"/>
          <w:cols w:equalWidth="0" w:num="1">
            <w:col w:w="11240"/>
          </w:cols>
          <w:pgMar w:left="320" w:top="1030" w:right="339" w:bottom="1440" w:gutter="0" w:footer="0" w:header="0"/>
        </w:sectPr>
      </w:pPr>
    </w:p>
    <w:bookmarkStart w:id="485" w:name="page486"/>
    <w:bookmarkEnd w:id="485"/>
    <w:p>
      <w:pPr>
        <w:jc w:val="both"/>
        <w:spacing w:after="0" w:line="249" w:lineRule="auto"/>
        <w:rPr>
          <w:sz w:val="20"/>
          <w:szCs w:val="20"/>
          <w:color w:val="auto"/>
        </w:rPr>
      </w:pPr>
      <w:r>
        <w:rPr>
          <w:rFonts w:ascii="Times New Roman" w:cs="Times New Roman" w:eastAsia="Times New Roman" w:hAnsi="Times New Roman"/>
          <w:sz w:val="22"/>
          <w:szCs w:val="22"/>
          <w:color w:val="auto"/>
        </w:rPr>
        <w:t>2.12(b). No payments on account of principal shall be made with respect to the Class C Notes on any Distribution Date during the Series 2023-8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2023-8 Rapid Amortization Period or on the Series 2023-8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spacing w:after="0" w:line="183" w:lineRule="exact"/>
        <w:rPr>
          <w:sz w:val="20"/>
          <w:szCs w:val="20"/>
          <w:color w:val="auto"/>
        </w:rPr>
      </w:pPr>
    </w:p>
    <w:p>
      <w:pPr>
        <w:jc w:val="both"/>
        <w:ind w:firstLine="1304"/>
        <w:spacing w:after="0" w:line="248" w:lineRule="auto"/>
        <w:tabs>
          <w:tab w:leader="none" w:pos="1814"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2023-8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2023-8 Rapid Amortization Period or on the Series 2023-8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spacing w:after="0" w:line="18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630" w:val="left"/>
        </w:tabs>
        <w:numPr>
          <w:ilvl w:val="0"/>
          <w:numId w:val="4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2023-8 Controlled Amortization Period or the Series 2023-8 Rapid Amortization Period or on the Series 2023-8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spacing w:after="0" w:line="200" w:lineRule="exact"/>
        <w:rPr>
          <w:sz w:val="20"/>
          <w:szCs w:val="20"/>
          <w:color w:val="auto"/>
        </w:rPr>
      </w:pP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bl>
    <w:p>
      <w:pPr>
        <w:sectPr>
          <w:pgSz w:w="11900" w:h="16838" w:orient="portrait"/>
          <w:cols w:equalWidth="0" w:num="1">
            <w:col w:w="11240"/>
          </w:cols>
          <w:pgMar w:left="320" w:top="1030" w:right="339" w:bottom="1440" w:gutter="0" w:footer="0" w:header="0"/>
        </w:sectPr>
      </w:pPr>
    </w:p>
    <w:bookmarkStart w:id="486" w:name="page487"/>
    <w:bookmarkEnd w:id="486"/>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AMORTIZATION EVENTS</w:t>
      </w:r>
    </w:p>
    <w:p>
      <w:pPr>
        <w:spacing w:after="0" w:line="23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In addition to the Amortization Events set forth in Section 9.1 of the Base Indenture, any of the following shall be an Amortization Event with respect to the Series 2023-8 Notes and collectively shall constitute the Amortization Events set forth in Section 9.1(n) of the Base Indenture with respect to the Series 2023-8 Notes (without notice or other action on the part of the Trustee or any holders of the Series 2023-8 Notes):</w:t>
      </w:r>
    </w:p>
    <w:p>
      <w:pPr>
        <w:spacing w:after="0" w:line="179" w:lineRule="exact"/>
        <w:rPr>
          <w:sz w:val="20"/>
          <w:szCs w:val="20"/>
          <w:color w:val="auto"/>
        </w:rPr>
      </w:pPr>
    </w:p>
    <w:p>
      <w:pPr>
        <w:jc w:val="both"/>
        <w:ind w:firstLine="1304"/>
        <w:spacing w:after="0" w:line="256" w:lineRule="auto"/>
        <w:tabs>
          <w:tab w:leader="none" w:pos="1902" w:val="left"/>
        </w:tabs>
        <w:numPr>
          <w:ilvl w:val="1"/>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Series 2023-8 Enhancement Deficiency shall occur and continue for at least two (2)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event or condition shall not be an Amortization Event if during such two (2) Business Day period such Series 2023-8 Enhancement Deficiency shall have been cured in accordance with the terms and conditions of the Indenture and the Related Documents;</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2" w:val="left"/>
        </w:tabs>
        <w:numPr>
          <w:ilvl w:val="1"/>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either case, such event or condition shall not be an Amortization Event if during such two Business Day period such insufficiency shall have been cured in accordance with the terms and conditions of the Indenture and the Related Documents;</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61" w:val="left"/>
        </w:tabs>
        <w:numPr>
          <w:ilvl w:val="1"/>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Collection Account, the Series 2023-8 Collection Account, the Series 2023-8 Excess Collection Account, the Class A/B/C Reserve Account or the Class D Reserve Account shall be subject to an injunction, estoppel or other stay or a lien (other than liens permitted under the Related Documents);</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76" w:val="left"/>
        </w:tabs>
        <w:numPr>
          <w:ilvl w:val="1"/>
          <w:numId w:val="4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principal of and interest on any Class of the Series 2023-8 Notes is not paid in full on or before the Series 2023-8 Expected Final Distribution Date;</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4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Multi-Series Letter of Credit shall not be in full force and effect for at least two Business Days and either</w:t>
      </w:r>
    </w:p>
    <w:p>
      <w:pPr>
        <w:spacing w:after="0" w:line="39" w:lineRule="exact"/>
        <w:rPr>
          <w:rFonts w:ascii="Times New Roman" w:cs="Times New Roman" w:eastAsia="Times New Roman" w:hAnsi="Times New Roman"/>
          <w:sz w:val="21"/>
          <w:szCs w:val="21"/>
          <w:color w:val="auto"/>
        </w:rPr>
      </w:pPr>
    </w:p>
    <w:p>
      <w:pPr>
        <w:jc w:val="both"/>
        <w:ind w:firstLine="8"/>
        <w:spacing w:after="0" w:line="249" w:lineRule="auto"/>
        <w:tabs>
          <w:tab w:leader="none" w:pos="338" w:val="left"/>
        </w:tabs>
        <w:numPr>
          <w:ilvl w:val="0"/>
          <w:numId w:val="4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Series 2023-8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spacing w:after="0" w:line="181" w:lineRule="exact"/>
        <w:rPr>
          <w:rFonts w:ascii="Times New Roman" w:cs="Times New Roman" w:eastAsia="Times New Roman" w:hAnsi="Times New Roman"/>
          <w:sz w:val="22"/>
          <w:szCs w:val="22"/>
          <w:color w:val="auto"/>
        </w:rPr>
      </w:pPr>
    </w:p>
    <w:p>
      <w:pPr>
        <w:jc w:val="both"/>
        <w:ind w:firstLine="1304"/>
        <w:spacing w:after="0" w:line="265" w:lineRule="auto"/>
        <w:tabs>
          <w:tab w:leader="none" w:pos="1739" w:val="left"/>
        </w:tabs>
        <w:numPr>
          <w:ilvl w:val="1"/>
          <w:numId w:val="4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funding of any Series 2023-8 Cash Collateral Account, such Series 2023-8 Cash Collateral Account shall be subject to an injunction, estoppel or other stay or a lien (other than Liens permitted under the Related Documents) for at least two Business Days and either (x) a Series 2023-8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w:t>
      </w:r>
    </w:p>
    <w:p>
      <w:pPr>
        <w:spacing w:after="0" w:line="200" w:lineRule="exact"/>
        <w:rPr>
          <w:sz w:val="20"/>
          <w:szCs w:val="20"/>
          <w:color w:val="auto"/>
        </w:rPr>
      </w:pP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bl>
    <w:p>
      <w:pPr>
        <w:sectPr>
          <w:pgSz w:w="11900" w:h="16838" w:orient="portrait"/>
          <w:cols w:equalWidth="0" w:num="1">
            <w:col w:w="11240"/>
          </w:cols>
          <w:pgMar w:left="320" w:top="1350" w:right="339" w:bottom="1440" w:gutter="0" w:footer="0" w:header="0"/>
        </w:sectPr>
      </w:pPr>
    </w:p>
    <w:bookmarkStart w:id="487" w:name="page488"/>
    <w:bookmarkEnd w:id="487"/>
    <w:p>
      <w:pPr>
        <w:ind w:right="20"/>
        <w:spacing w:after="0" w:line="271" w:lineRule="auto"/>
        <w:rPr>
          <w:sz w:val="20"/>
          <w:szCs w:val="20"/>
          <w:color w:val="auto"/>
        </w:rPr>
      </w:pPr>
      <w:r>
        <w:rPr>
          <w:rFonts w:ascii="Times New Roman" w:cs="Times New Roman" w:eastAsia="Times New Roman" w:hAnsi="Times New Roman"/>
          <w:sz w:val="22"/>
          <w:szCs w:val="22"/>
          <w:color w:val="auto"/>
        </w:rPr>
        <w:t>Liquidity Amount or (z) the Class D Liquidity Amount, excluding therefrom the Class D Available Cash Collateral Account Amount, would be less than the Class D Required Liquidity Amount; and</w:t>
      </w:r>
    </w:p>
    <w:p>
      <w:pPr>
        <w:spacing w:after="0" w:line="171" w:lineRule="exact"/>
        <w:rPr>
          <w:sz w:val="20"/>
          <w:szCs w:val="20"/>
          <w:color w:val="auto"/>
        </w:rPr>
      </w:pPr>
    </w:p>
    <w:p>
      <w:pPr>
        <w:jc w:val="both"/>
        <w:ind w:firstLine="1304"/>
        <w:spacing w:after="0" w:line="248" w:lineRule="auto"/>
        <w:tabs>
          <w:tab w:leader="none" w:pos="1774" w:val="left"/>
        </w:tabs>
        <w:numPr>
          <w:ilvl w:val="0"/>
          <w:numId w:val="4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Event of Bankruptcy shall have occurred with respect to any Multi-Series Letter of Credit Provider or any Multi-Series Letter of Credit Provider repudiates its Multi-Series Letter of Credit or refuses to honor a proper draw thereon and either (x) a Series 2023-8 Enhancement Deficiency would result from excluding the Class A/B/C Applicable Multi-Series L/C Amount attributable to such Multi-Series Letter of Credit from the Class A/B/C Enhancement Amount or the Class D Applicable Multi-Series L/C Amount attributable to such Multi-Series Letter of Credit from the Class D Enhancement Amount or (y) 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SERIES 2023-8 NOTES</w:t>
      </w:r>
    </w:p>
    <w:p>
      <w:pPr>
        <w:spacing w:after="0" w:line="23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4.1. </w:t>
      </w:r>
      <w:r>
        <w:rPr>
          <w:rFonts w:ascii="Times New Roman" w:cs="Times New Roman" w:eastAsia="Times New Roman" w:hAnsi="Times New Roman"/>
          <w:sz w:val="21"/>
          <w:szCs w:val="21"/>
          <w:u w:val="single" w:color="auto"/>
          <w:color w:val="auto"/>
        </w:rPr>
        <w:t>Restricted Global Series 2023-8 Notes</w:t>
      </w:r>
      <w:r>
        <w:rPr>
          <w:rFonts w:ascii="Times New Roman" w:cs="Times New Roman" w:eastAsia="Times New Roman" w:hAnsi="Times New Roman"/>
          <w:sz w:val="21"/>
          <w:szCs w:val="21"/>
          <w:color w:val="auto"/>
        </w:rPr>
        <w:t>. Each Class of the Series 2023-8 Notes to be issued in the United States will be issued in book-entry form and represented by one or more permanent global Notes in fully registered form without interest coupons (each, a “</w:t>
      </w:r>
      <w:r>
        <w:rPr>
          <w:rFonts w:ascii="Times New Roman" w:cs="Times New Roman" w:eastAsia="Times New Roman" w:hAnsi="Times New Roman"/>
          <w:sz w:val="21"/>
          <w:szCs w:val="21"/>
          <w:u w:val="single" w:color="auto"/>
          <w:color w:val="auto"/>
        </w:rPr>
        <w:t>Restricted Global Class A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B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C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Restricted Global Class D Note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Restricted Global Class R Note</w:t>
      </w:r>
      <w:r>
        <w:rPr>
          <w:rFonts w:ascii="Times New Roman" w:cs="Times New Roman" w:eastAsia="Times New Roman" w:hAnsi="Times New Roman"/>
          <w:sz w:val="21"/>
          <w:szCs w:val="21"/>
          <w:color w:val="auto"/>
        </w:rPr>
        <w:t>”, as the case may be, and collectively, the “</w:t>
      </w:r>
      <w:r>
        <w:rPr>
          <w:rFonts w:ascii="Times New Roman" w:cs="Times New Roman" w:eastAsia="Times New Roman" w:hAnsi="Times New Roman"/>
          <w:sz w:val="21"/>
          <w:szCs w:val="21"/>
          <w:u w:val="single" w:color="auto"/>
          <w:color w:val="auto"/>
        </w:rPr>
        <w:t>Restricted Global Series 2023-8 Notes</w:t>
      </w:r>
      <w:r>
        <w:rPr>
          <w:rFonts w:ascii="Times New Roman" w:cs="Times New Roman" w:eastAsia="Times New Roman" w:hAnsi="Times New Roman"/>
          <w:sz w:val="21"/>
          <w:szCs w:val="21"/>
          <w:color w:val="auto"/>
        </w:rPr>
        <w:t xml:space="preserve">”), substantially in the form set forth in </w:t>
      </w:r>
      <w:r>
        <w:rPr>
          <w:rFonts w:ascii="Times New Roman" w:cs="Times New Roman" w:eastAsia="Times New Roman" w:hAnsi="Times New Roman"/>
          <w:sz w:val="21"/>
          <w:szCs w:val="21"/>
          <w:u w:val="single" w:color="auto"/>
          <w:color w:val="auto"/>
        </w:rPr>
        <w:t>Exhibits A-1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E-1</w:t>
      </w:r>
      <w:r>
        <w:rPr>
          <w:rFonts w:ascii="Times New Roman" w:cs="Times New Roman" w:eastAsia="Times New Roman" w:hAnsi="Times New Roman"/>
          <w:sz w:val="21"/>
          <w:szCs w:val="21"/>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2023-8 Notes represented thereby, with the Trustee as custodian for DTC, and registered in the name of Cede as DTC’s nominee, duly executed by ABRCF and authenticated by the Trustee in the manner set forth in Section 2.4 of the Base Indenture.</w:t>
      </w:r>
    </w:p>
    <w:p>
      <w:pPr>
        <w:spacing w:after="0" w:line="176"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Temporary Global Series 2023-8 Notes; Permanent Global Series 2023-8 Notes</w:t>
      </w:r>
      <w:r>
        <w:rPr>
          <w:rFonts w:ascii="Times New Roman" w:cs="Times New Roman" w:eastAsia="Times New Roman" w:hAnsi="Times New Roman"/>
          <w:sz w:val="22"/>
          <w:szCs w:val="22"/>
          <w:color w:val="auto"/>
        </w:rPr>
        <w:t>. Each Class of the Series 2023-8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Times New Roman" w:cs="Times New Roman" w:eastAsia="Times New Roman" w:hAnsi="Times New Roman"/>
          <w:sz w:val="22"/>
          <w:szCs w:val="22"/>
          <w:u w:val="single" w:color="auto"/>
          <w:color w:val="auto"/>
        </w:rPr>
        <w:t>Temporary Global Class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B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C Note</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Temporary Global Class D Note</w:t>
      </w:r>
      <w:r>
        <w:rPr>
          <w:rFonts w:ascii="Times New Roman" w:cs="Times New Roman" w:eastAsia="Times New Roman" w:hAnsi="Times New Roman"/>
          <w:sz w:val="22"/>
          <w:szCs w:val="22"/>
          <w:color w:val="auto"/>
        </w:rPr>
        <w:t>” or a “</w:t>
      </w:r>
      <w:r>
        <w:rPr>
          <w:rFonts w:ascii="Times New Roman" w:cs="Times New Roman" w:eastAsia="Times New Roman" w:hAnsi="Times New Roman"/>
          <w:sz w:val="22"/>
          <w:szCs w:val="22"/>
          <w:u w:val="single" w:color="auto"/>
          <w:color w:val="auto"/>
        </w:rPr>
        <w:t>Temporary Global Class R Note</w:t>
      </w:r>
      <w:r>
        <w:rPr>
          <w:rFonts w:ascii="Times New Roman" w:cs="Times New Roman" w:eastAsia="Times New Roman" w:hAnsi="Times New Roman"/>
          <w:sz w:val="22"/>
          <w:szCs w:val="22"/>
          <w:color w:val="auto"/>
        </w:rPr>
        <w:t>”, as the case may be, and collectively, the “</w:t>
      </w:r>
      <w:r>
        <w:rPr>
          <w:rFonts w:ascii="Times New Roman" w:cs="Times New Roman" w:eastAsia="Times New Roman" w:hAnsi="Times New Roman"/>
          <w:sz w:val="22"/>
          <w:szCs w:val="22"/>
          <w:u w:val="single" w:color="auto"/>
          <w:color w:val="auto"/>
        </w:rPr>
        <w:t>Temporary Global Series 2023-8 Notes</w:t>
      </w:r>
      <w:r>
        <w:rPr>
          <w:rFonts w:ascii="Times New Roman" w:cs="Times New Roman" w:eastAsia="Times New Roman" w:hAnsi="Times New Roman"/>
          <w:sz w:val="22"/>
          <w:szCs w:val="22"/>
          <w:color w:val="auto"/>
        </w:rPr>
        <w:t xml:space="preserve"> ”), substantially in the form set forth in </w:t>
      </w:r>
      <w:r>
        <w:rPr>
          <w:rFonts w:ascii="Times New Roman" w:cs="Times New Roman" w:eastAsia="Times New Roman" w:hAnsi="Times New Roman"/>
          <w:sz w:val="22"/>
          <w:szCs w:val="22"/>
          <w:u w:val="single" w:color="auto"/>
          <w:color w:val="auto"/>
        </w:rPr>
        <w:t>Exhibits A-2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E-2</w:t>
      </w:r>
      <w:r>
        <w:rPr>
          <w:rFonts w:ascii="Times New Roman" w:cs="Times New Roman" w:eastAsia="Times New Roman" w:hAnsi="Times New Roman"/>
          <w:sz w:val="22"/>
          <w:szCs w:val="22"/>
          <w:color w:val="auto"/>
        </w:rPr>
        <w:t xml:space="preserve"> which shall be deposited on behalf of the purchasers of such Class of the Series 2023-8 Notes represented thereby with a custodian for, and registered in the name of a nominee of DTC, for the account of Euroclear Bank S.A./N.V., as</w:t>
      </w:r>
    </w:p>
    <w:p>
      <w:pPr>
        <w:spacing w:after="0" w:line="200" w:lineRule="exact"/>
        <w:rPr>
          <w:sz w:val="20"/>
          <w:szCs w:val="20"/>
          <w:color w:val="auto"/>
        </w:rPr>
      </w:pP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ectPr>
          <w:pgSz w:w="11900" w:h="16838" w:orient="portrait"/>
          <w:cols w:equalWidth="0" w:num="1">
            <w:col w:w="11240"/>
          </w:cols>
          <w:pgMar w:left="320" w:top="1030" w:right="339" w:bottom="1440" w:gutter="0" w:footer="0" w:header="0"/>
        </w:sectPr>
      </w:pPr>
    </w:p>
    <w:bookmarkStart w:id="488" w:name="page489"/>
    <w:bookmarkEnd w:id="488"/>
    <w:p>
      <w:pPr>
        <w:jc w:val="both"/>
        <w:spacing w:after="0" w:line="260" w:lineRule="auto"/>
        <w:rPr>
          <w:sz w:val="20"/>
          <w:szCs w:val="20"/>
          <w:color w:val="auto"/>
        </w:rPr>
      </w:pPr>
      <w:r>
        <w:rPr>
          <w:rFonts w:ascii="Times New Roman" w:cs="Times New Roman" w:eastAsia="Times New Roman" w:hAnsi="Times New Roman"/>
          <w:sz w:val="21"/>
          <w:szCs w:val="21"/>
          <w:color w:val="auto"/>
        </w:rPr>
        <w:t>operator of the Euroclear System, or for Clearstream Banking, société anonyme, duly executed by ABRCF and authenticated by the Trustee in the manner set forth in Section 2.4 of the Base Indenture. Interests in each Temporary Global Series 2023-8 Note will be exchangeable, in whole or in part, for interests in one or more permanent global notes in registered form without interest coupons (each, a “</w:t>
      </w:r>
      <w:r>
        <w:rPr>
          <w:rFonts w:ascii="Times New Roman" w:cs="Times New Roman" w:eastAsia="Times New Roman" w:hAnsi="Times New Roman"/>
          <w:sz w:val="21"/>
          <w:szCs w:val="21"/>
          <w:u w:val="single" w:color="auto"/>
          <w:color w:val="auto"/>
        </w:rPr>
        <w:t>Permanent Global Class A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Permanent Global Class B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Permanent Global Class C Note</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Permanent Global Class D Note</w:t>
      </w:r>
      <w:r>
        <w:rPr>
          <w:rFonts w:ascii="Times New Roman" w:cs="Times New Roman" w:eastAsia="Times New Roman" w:hAnsi="Times New Roman"/>
          <w:sz w:val="21"/>
          <w:szCs w:val="21"/>
          <w:color w:val="auto"/>
        </w:rPr>
        <w:t>” or a “</w:t>
      </w:r>
      <w:r>
        <w:rPr>
          <w:rFonts w:ascii="Times New Roman" w:cs="Times New Roman" w:eastAsia="Times New Roman" w:hAnsi="Times New Roman"/>
          <w:sz w:val="21"/>
          <w:szCs w:val="21"/>
          <w:u w:val="single" w:color="auto"/>
          <w:color w:val="auto"/>
        </w:rPr>
        <w:t>Permanent Global Class R Note</w:t>
      </w:r>
      <w:r>
        <w:rPr>
          <w:rFonts w:ascii="Times New Roman" w:cs="Times New Roman" w:eastAsia="Times New Roman" w:hAnsi="Times New Roman"/>
          <w:sz w:val="21"/>
          <w:szCs w:val="21"/>
          <w:color w:val="auto"/>
        </w:rPr>
        <w:t>”, as the case may be, and collectively, the “</w:t>
      </w:r>
      <w:r>
        <w:rPr>
          <w:rFonts w:ascii="Times New Roman" w:cs="Times New Roman" w:eastAsia="Times New Roman" w:hAnsi="Times New Roman"/>
          <w:sz w:val="21"/>
          <w:szCs w:val="21"/>
          <w:u w:val="single" w:color="auto"/>
          <w:color w:val="auto"/>
        </w:rPr>
        <w:t>Permanent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Global Series 2023-8 Notes</w:t>
      </w:r>
      <w:r>
        <w:rPr>
          <w:rFonts w:ascii="Times New Roman" w:cs="Times New Roman" w:eastAsia="Times New Roman" w:hAnsi="Times New Roman"/>
          <w:sz w:val="21"/>
          <w:szCs w:val="21"/>
          <w:color w:val="auto"/>
        </w:rPr>
        <w:t xml:space="preserve">”), substantially in the form of </w:t>
      </w:r>
      <w:r>
        <w:rPr>
          <w:rFonts w:ascii="Times New Roman" w:cs="Times New Roman" w:eastAsia="Times New Roman" w:hAnsi="Times New Roman"/>
          <w:sz w:val="21"/>
          <w:szCs w:val="21"/>
          <w:u w:val="single" w:color="auto"/>
          <w:color w:val="auto"/>
        </w:rPr>
        <w:t>Exhibits A-3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E-3</w:t>
      </w:r>
      <w:r>
        <w:rPr>
          <w:rFonts w:ascii="Times New Roman" w:cs="Times New Roman" w:eastAsia="Times New Roman" w:hAnsi="Times New Roman"/>
          <w:sz w:val="21"/>
          <w:szCs w:val="21"/>
          <w:color w:val="auto"/>
        </w:rPr>
        <w:t xml:space="preserve"> in accordance with the provisions of such Temporary Global Series 2023-8 Note and the Base Indenture (as modified by this Supplement). Interests in a Permanent Global Series 2023-8 Note will be exchangeable for a definitive Series 2023-8 Note in accordance with the provisions of such Permanent Global Series 2023-8 Note and the Base Indenture (as modified by this Supplement). The Restricted Global Class A Notes, the Temporary Global Class A Notes and the Permanent Global Class A Notes are collectively referred to as the “</w:t>
      </w:r>
      <w:r>
        <w:rPr>
          <w:rFonts w:ascii="Times New Roman" w:cs="Times New Roman" w:eastAsia="Times New Roman" w:hAnsi="Times New Roman"/>
          <w:sz w:val="21"/>
          <w:szCs w:val="21"/>
          <w:u w:val="single" w:color="auto"/>
          <w:color w:val="auto"/>
        </w:rPr>
        <w:t>Global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Class A Notes</w:t>
      </w:r>
      <w:r>
        <w:rPr>
          <w:rFonts w:ascii="Times New Roman" w:cs="Times New Roman" w:eastAsia="Times New Roman" w:hAnsi="Times New Roman"/>
          <w:sz w:val="21"/>
          <w:szCs w:val="21"/>
          <w:color w:val="auto"/>
        </w:rPr>
        <w:t>”, the Restricted Global Class B Notes, the Temporary Global Class B Notes and the Permanent Global Class B Notes are collectively referred to as the “</w:t>
      </w:r>
      <w:r>
        <w:rPr>
          <w:rFonts w:ascii="Times New Roman" w:cs="Times New Roman" w:eastAsia="Times New Roman" w:hAnsi="Times New Roman"/>
          <w:sz w:val="21"/>
          <w:szCs w:val="21"/>
          <w:u w:val="single" w:color="auto"/>
          <w:color w:val="auto"/>
        </w:rPr>
        <w:t>Global Class B Notes</w:t>
      </w:r>
      <w:r>
        <w:rPr>
          <w:rFonts w:ascii="Times New Roman" w:cs="Times New Roman" w:eastAsia="Times New Roman" w:hAnsi="Times New Roman"/>
          <w:sz w:val="21"/>
          <w:szCs w:val="21"/>
          <w:color w:val="auto"/>
        </w:rPr>
        <w:t>”, the Restricted Global Class C Notes, the Temporary Global Class C Notes and the Permanent Global Class C Notes are collectively referred to as the “</w:t>
      </w:r>
      <w:r>
        <w:rPr>
          <w:rFonts w:ascii="Times New Roman" w:cs="Times New Roman" w:eastAsia="Times New Roman" w:hAnsi="Times New Roman"/>
          <w:sz w:val="21"/>
          <w:szCs w:val="21"/>
          <w:u w:val="single" w:color="auto"/>
          <w:color w:val="auto"/>
        </w:rPr>
        <w:t>Global Class C Notes</w:t>
      </w:r>
      <w:r>
        <w:rPr>
          <w:rFonts w:ascii="Times New Roman" w:cs="Times New Roman" w:eastAsia="Times New Roman" w:hAnsi="Times New Roman"/>
          <w:sz w:val="21"/>
          <w:szCs w:val="21"/>
          <w:color w:val="auto"/>
        </w:rPr>
        <w:t>”, the Restricted Global Class D Notes, the Temporary Global Class D Notes and the Permanent Global Class D Notes are collectively referred to as the “</w:t>
      </w:r>
      <w:r>
        <w:rPr>
          <w:rFonts w:ascii="Times New Roman" w:cs="Times New Roman" w:eastAsia="Times New Roman" w:hAnsi="Times New Roman"/>
          <w:sz w:val="21"/>
          <w:szCs w:val="21"/>
          <w:u w:val="single" w:color="auto"/>
          <w:color w:val="auto"/>
        </w:rPr>
        <w:t>Global Class D Notes</w:t>
      </w:r>
      <w:r>
        <w:rPr>
          <w:rFonts w:ascii="Times New Roman" w:cs="Times New Roman" w:eastAsia="Times New Roman" w:hAnsi="Times New Roman"/>
          <w:sz w:val="21"/>
          <w:szCs w:val="21"/>
          <w:color w:val="auto"/>
        </w:rPr>
        <w:t>” and the Restricted Global Class R Notes, the Temporary Global Class R Notes and the Permanent Global Class R Notes are collectively referred to as the “</w:t>
      </w:r>
      <w:r>
        <w:rPr>
          <w:rFonts w:ascii="Times New Roman" w:cs="Times New Roman" w:eastAsia="Times New Roman" w:hAnsi="Times New Roman"/>
          <w:sz w:val="21"/>
          <w:szCs w:val="21"/>
          <w:u w:val="single" w:color="auto"/>
          <w:color w:val="auto"/>
        </w:rPr>
        <w:t>Global Class R Notes</w:t>
      </w:r>
      <w:r>
        <w:rPr>
          <w:rFonts w:ascii="Times New Roman" w:cs="Times New Roman" w:eastAsia="Times New Roman" w:hAnsi="Times New Roman"/>
          <w:sz w:val="21"/>
          <w:szCs w:val="21"/>
          <w:color w:val="auto"/>
        </w:rPr>
        <w: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37"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u w:val="single" w:color="auto"/>
          <w:color w:val="auto"/>
        </w:rPr>
        <w:t>Optional Repurchase</w:t>
      </w:r>
      <w:r>
        <w:rPr>
          <w:rFonts w:ascii="Times New Roman" w:cs="Times New Roman" w:eastAsia="Times New Roman" w:hAnsi="Times New Roman"/>
          <w:sz w:val="21"/>
          <w:szCs w:val="21"/>
          <w:color w:val="auto"/>
        </w:rPr>
        <w:t>. (a) The Series 2023-8 Notes shall be subject to repurchase by ABRCF at its option in accordance with Section 6.3 of the Base Indenture on any Distribution Date (any such Distribution Date, a “</w:t>
      </w:r>
      <w:r>
        <w:rPr>
          <w:rFonts w:ascii="Times New Roman" w:cs="Times New Roman" w:eastAsia="Times New Roman" w:hAnsi="Times New Roman"/>
          <w:sz w:val="21"/>
          <w:szCs w:val="21"/>
          <w:u w:val="single" w:color="auto"/>
          <w:color w:val="auto"/>
        </w:rPr>
        <w:t>Clean-up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Repurchase Distribution Date</w:t>
      </w:r>
      <w:r>
        <w:rPr>
          <w:rFonts w:ascii="Times New Roman" w:cs="Times New Roman" w:eastAsia="Times New Roman" w:hAnsi="Times New Roman"/>
          <w:sz w:val="21"/>
          <w:szCs w:val="21"/>
          <w:color w:val="auto"/>
        </w:rPr>
        <w:t>”) after the Series 2023-8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 w:cs="Times New Roman" w:eastAsia="Times New Roman" w:hAnsi="Times New Roman"/>
          <w:sz w:val="21"/>
          <w:szCs w:val="21"/>
          <w:u w:val="single" w:color="auto"/>
          <w:color w:val="auto"/>
        </w:rPr>
        <w:t>Series 2023-8 Repurchase Amount</w:t>
      </w:r>
      <w:r>
        <w:rPr>
          <w:rFonts w:ascii="Times New Roman" w:cs="Times New Roman" w:eastAsia="Times New Roman" w:hAnsi="Times New Roman"/>
          <w:sz w:val="21"/>
          <w:szCs w:val="21"/>
          <w:color w:val="auto"/>
        </w:rPr>
        <w:t xml:space="preserve">”). The repurchase price for any Series 2023-8 Note subject to a Clean-up Repurchase shall equal the aggregate outstanding principal balance of such Series 2023-8 Note (determined after giving effect to any payments of principal and interest on such Distribution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accrued and unpaid interest on such outstanding principal balance.The Series 2023-8 Notes shall also be subject to repurchase at the election of the ABRCF in accordance with Section 6.3 of the Base Indenture, in whole but not in part, on any Distribution Date (any such Distribution Date, an “Optional Repurchase Distribution Date”) that occurs prior to the earlier to occur of (x) the commencement of the Series 2023-8 Rapid Amortization Period and (y) the Clean-up Repurchase Distribution Date (any such repurchase, an “Optional Repurchase”); provided that the Class D Notes shall only be subject to such Optional Repurchase in accordance with this clause (b) on and after the earlier of (x) following the Class D Notes Closing Date, the offering and sale of the Class D Notes to one or more third-party investors and (y) the September 2025 Distribution Date. The repurchase price for any Series 2023-8 Note subject to an Optional Repurchase shall</w:t>
      </w:r>
    </w:p>
    <w:p>
      <w:pPr>
        <w:spacing w:after="0" w:line="200" w:lineRule="exact"/>
        <w:rPr>
          <w:sz w:val="20"/>
          <w:szCs w:val="20"/>
          <w:color w:val="auto"/>
        </w:rPr>
      </w:pP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bl>
    <w:p>
      <w:pPr>
        <w:sectPr>
          <w:pgSz w:w="11900" w:h="16838" w:orient="portrait"/>
          <w:cols w:equalWidth="0" w:num="1">
            <w:col w:w="11240"/>
          </w:cols>
          <w:pgMar w:left="320" w:top="1030" w:right="339" w:bottom="1440" w:gutter="0" w:footer="0" w:header="0"/>
        </w:sectPr>
      </w:pPr>
    </w:p>
    <w:bookmarkStart w:id="489" w:name="page490"/>
    <w:bookmarkEnd w:id="489"/>
    <w:p>
      <w:pPr>
        <w:jc w:val="both"/>
        <w:spacing w:after="0" w:line="256" w:lineRule="auto"/>
        <w:rPr>
          <w:sz w:val="20"/>
          <w:szCs w:val="20"/>
          <w:color w:val="auto"/>
        </w:rPr>
      </w:pPr>
      <w:r>
        <w:rPr>
          <w:rFonts w:ascii="Times New Roman" w:cs="Times New Roman" w:eastAsia="Times New Roman" w:hAnsi="Times New Roman"/>
          <w:sz w:val="22"/>
          <w:szCs w:val="22"/>
          <w:color w:val="auto"/>
        </w:rPr>
        <w:t>equal (1) the aggregate outstanding principal balance of such Series 2023-8 Note (determined after giving effect to any payments made pursuant to Section 2.5(a) on such Distribution Date), plus (2) accrued and unpaid interest on such outstanding principal balance (determined after giving effect to any payments made pursuant to Section 2.4 on such Distribution Date) plus (3) the Make Whole Payment with respect to such Series 2023-8 Note.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The Trustee shall provide to the Series 2023-8 Noteholders, or their designated agent, copies of all information furnished to the Trustee or ABRCF pursuant to the Related Documents, as such information relates to the Series 2023-8 Notes or the Series 2023-8 Collateral.</w:t>
      </w:r>
    </w:p>
    <w:p>
      <w:pPr>
        <w:sectPr>
          <w:pgSz w:w="11900" w:h="16838" w:orient="portrait"/>
          <w:cols w:equalWidth="0" w:num="1">
            <w:col w:w="11240"/>
          </w:cols>
          <w:pgMar w:left="320" w:top="1030" w:right="339" w:bottom="1440" w:gutter="0" w:footer="0" w:header="0"/>
        </w:sectPr>
      </w:pP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Section 5.3.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A-3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B-3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C-3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Exhibit D-3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E-1</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E-2</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E-3</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M:</w:t>
      </w:r>
    </w:p>
    <w:p>
      <w:pPr>
        <w:spacing w:after="0" w:line="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N:</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O:</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P:</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Q:</w:t>
      </w:r>
    </w:p>
    <w:p>
      <w:pPr>
        <w:spacing w:after="0" w:line="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u w:val="single" w:color="auto"/>
          <w:color w:val="auto"/>
        </w:rPr>
        <w:t>Exhibit R:</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 The following exhibits attached hereto supplement the exhibits included in the Base</w:t>
      </w:r>
    </w:p>
    <w:p>
      <w:pPr>
        <w:spacing w:after="0" w:line="200" w:lineRule="exact"/>
        <w:rPr>
          <w:sz w:val="20"/>
          <w:szCs w:val="20"/>
          <w:color w:val="auto"/>
        </w:rPr>
      </w:pPr>
    </w:p>
    <w:p>
      <w:pPr>
        <w:spacing w:after="0" w:line="3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2023-8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2023-8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2023-8 Note, Class A</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2023-8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2023-8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2023-8 Note, Class B</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2023-8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2023-8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2023-8 Note, Class C</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2023-8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2023-8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2023-8 Note, Class D</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Restricted Global Series 2023-8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Temporary Global Series 2023-8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Permanent Global Series 2023-8 Note, Class 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Series 2023-8 Demand Note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Multi-Series Letter of Credit</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Lease Payment Deficit Notice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Demand Notice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Supplemental Indenture No. 6 to the Base Indenture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Operating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Finance Lease</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Operating Lease Loan Agreement</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 Finance Lease Loan Agreement</w:t>
      </w:r>
    </w:p>
    <w:p>
      <w:pPr>
        <w:spacing w:after="0" w:line="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AESOP II Operating Lease</w:t>
      </w:r>
    </w:p>
    <w:p>
      <w:pPr>
        <w:spacing w:after="0" w:line="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Master Exchange Agreement</w:t>
      </w:r>
    </w:p>
    <w:p>
      <w:pPr>
        <w:spacing w:after="0" w:line="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Escrow Agreement</w:t>
      </w:r>
    </w:p>
    <w:p>
      <w:pPr>
        <w:spacing w:after="0" w:line="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Form of Amendment to the Administration Agreement</w:t>
      </w:r>
    </w:p>
    <w:p>
      <w:pPr>
        <w:spacing w:after="0" w:line="200" w:lineRule="exact"/>
        <w:rPr>
          <w:sz w:val="20"/>
          <w:szCs w:val="20"/>
          <w:color w:val="auto"/>
        </w:rPr>
      </w:pPr>
    </w:p>
    <w:p>
      <w:pPr>
        <w:sectPr>
          <w:pgSz w:w="11900" w:h="16838" w:orient="portrait"/>
          <w:cols w:equalWidth="0" w:num="2">
            <w:col w:w="2560" w:space="160"/>
            <w:col w:w="8520"/>
          </w:cols>
          <w:pgMar w:left="320" w:top="1030" w:right="339" w:bottom="1440" w:gutter="0" w:footer="0" w:header="0"/>
          <w:type w:val="continuous"/>
        </w:sectPr>
      </w:pP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bl>
    <w:p>
      <w:pPr>
        <w:sectPr>
          <w:pgSz w:w="11900" w:h="16838" w:orient="portrait"/>
          <w:cols w:equalWidth="0" w:num="1">
            <w:col w:w="11240"/>
          </w:cols>
          <w:pgMar w:left="320" w:top="1030" w:right="339" w:bottom="1440" w:gutter="0" w:footer="0" w:header="0"/>
          <w:type w:val="continuous"/>
        </w:sectPr>
      </w:pPr>
    </w:p>
    <w:bookmarkStart w:id="490" w:name="page491"/>
    <w:bookmarkEnd w:id="490"/>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S:</w:t>
      </w:r>
      <w:r>
        <w:rPr>
          <w:sz w:val="20"/>
          <w:szCs w:val="20"/>
          <w:color w:val="auto"/>
        </w:rPr>
        <w:tab/>
      </w:r>
      <w:r>
        <w:rPr>
          <w:rFonts w:ascii="Times New Roman" w:cs="Times New Roman" w:eastAsia="Times New Roman" w:hAnsi="Times New Roman"/>
          <w:sz w:val="21"/>
          <w:szCs w:val="21"/>
          <w:color w:val="auto"/>
        </w:rPr>
        <w:t>Form of Amendment to the AESOP II Operating Lease Loan Agreement</w:t>
      </w:r>
    </w:p>
    <w:p>
      <w:pPr>
        <w:spacing w:after="0" w:line="29"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T:</w:t>
      </w:r>
      <w:r>
        <w:rPr>
          <w:sz w:val="20"/>
          <w:szCs w:val="20"/>
          <w:color w:val="auto"/>
        </w:rPr>
        <w:tab/>
      </w:r>
      <w:r>
        <w:rPr>
          <w:rFonts w:ascii="Times New Roman" w:cs="Times New Roman" w:eastAsia="Times New Roman" w:hAnsi="Times New Roman"/>
          <w:sz w:val="21"/>
          <w:szCs w:val="21"/>
          <w:color w:val="auto"/>
        </w:rPr>
        <w:t>Form of Amendment to the Original AESOP Nominee Agreement</w:t>
      </w:r>
    </w:p>
    <w:p>
      <w:pPr>
        <w:spacing w:after="0" w:line="17"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U:</w:t>
      </w:r>
      <w:r>
        <w:rPr>
          <w:sz w:val="20"/>
          <w:szCs w:val="20"/>
          <w:color w:val="auto"/>
        </w:rPr>
        <w:tab/>
      </w:r>
      <w:r>
        <w:rPr>
          <w:rFonts w:ascii="Times New Roman" w:cs="Times New Roman" w:eastAsia="Times New Roman" w:hAnsi="Times New Roman"/>
          <w:sz w:val="21"/>
          <w:szCs w:val="21"/>
          <w:color w:val="auto"/>
        </w:rPr>
        <w:t>Form of Amendment to the Disposition Agent Agreement</w:t>
      </w:r>
    </w:p>
    <w:p>
      <w:pPr>
        <w:spacing w:after="0" w:line="17" w:lineRule="exact"/>
        <w:rPr>
          <w:sz w:val="20"/>
          <w:szCs w:val="20"/>
          <w:color w:val="auto"/>
        </w:rPr>
      </w:pPr>
    </w:p>
    <w:p>
      <w:pPr>
        <w:ind w:left="1460"/>
        <w:spacing w:after="0"/>
        <w:tabs>
          <w:tab w:leader="none" w:pos="3180" w:val="left"/>
        </w:tabs>
        <w:rPr>
          <w:sz w:val="20"/>
          <w:szCs w:val="20"/>
          <w:color w:val="auto"/>
        </w:rPr>
      </w:pPr>
      <w:r>
        <w:rPr>
          <w:rFonts w:ascii="Times New Roman" w:cs="Times New Roman" w:eastAsia="Times New Roman" w:hAnsi="Times New Roman"/>
          <w:sz w:val="22"/>
          <w:szCs w:val="22"/>
          <w:u w:val="single" w:color="auto"/>
          <w:color w:val="auto"/>
        </w:rPr>
        <w:t>Exhibit V:</w:t>
      </w:r>
      <w:r>
        <w:rPr>
          <w:sz w:val="20"/>
          <w:szCs w:val="20"/>
          <w:color w:val="auto"/>
        </w:rPr>
        <w:tab/>
      </w:r>
      <w:r>
        <w:rPr>
          <w:rFonts w:ascii="Times New Roman" w:cs="Times New Roman" w:eastAsia="Times New Roman" w:hAnsi="Times New Roman"/>
          <w:sz w:val="21"/>
          <w:szCs w:val="21"/>
          <w:color w:val="auto"/>
        </w:rPr>
        <w:t>Form of Amendment to the Back-up Administration Agreement</w:t>
      </w:r>
    </w:p>
    <w:p>
      <w:pPr>
        <w:spacing w:after="0" w:line="31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Ratification of Base Indenture</w:t>
      </w:r>
      <w:r>
        <w:rPr>
          <w:rFonts w:ascii="Times New Roman" w:cs="Times New Roman" w:eastAsia="Times New Roman" w:hAnsi="Times New Roman"/>
          <w:sz w:val="22"/>
          <w:szCs w:val="22"/>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73" w:lineRule="exact"/>
        <w:rPr>
          <w:sz w:val="20"/>
          <w:szCs w:val="20"/>
          <w:color w:val="auto"/>
        </w:rPr>
      </w:pPr>
    </w:p>
    <w:p>
      <w:pPr>
        <w:jc w:val="both"/>
        <w:ind w:firstLine="1296"/>
        <w:spacing w:after="0" w:line="309" w:lineRule="auto"/>
        <w:rPr>
          <w:sz w:val="20"/>
          <w:szCs w:val="20"/>
          <w:color w:val="auto"/>
        </w:rPr>
      </w:pPr>
      <w:r>
        <w:rPr>
          <w:rFonts w:ascii="Times New Roman" w:cs="Times New Roman" w:eastAsia="Times New Roman" w:hAnsi="Times New Roman"/>
          <w:sz w:val="21"/>
          <w:szCs w:val="21"/>
          <w:color w:val="auto"/>
        </w:rPr>
        <w:t xml:space="preserve">Section 5.5.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Supplement may be executed in any number of counterparts, each of which so executed shall be deemed to be an original, but all of such counterparts shall together constitute but one and the same instrument.</w:t>
      </w:r>
    </w:p>
    <w:p>
      <w:pPr>
        <w:spacing w:after="0" w:line="12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Supplement shall be construed in accordance with the law of the State of New York, and the obligations, rights and remedies of the parties hereto shall be determined in accordance with such law.</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This Supplement may be modified or amended from time to time in accordance with the terms of the Base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2023-8 Noteholders;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 so long as (i) no Amortization Event has occurred and is continuing and (ii) the Rating Agency Consent Condition is met with respect to the outstanding Series 2023-8 Notes (other than the Class R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and (B) ABRCF shall be able to modify or amend any Series 2023-8 Maximum Amount at any time with the consent of a Requisite Series 2023-8 Noteholders.</w:t>
      </w:r>
    </w:p>
    <w:p>
      <w:pPr>
        <w:spacing w:after="0" w:line="191"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5.8. </w:t>
      </w:r>
      <w:r>
        <w:rPr>
          <w:rFonts w:ascii="Times New Roman" w:cs="Times New Roman" w:eastAsia="Times New Roman" w:hAnsi="Times New Roman"/>
          <w:sz w:val="22"/>
          <w:szCs w:val="22"/>
          <w:u w:val="single" w:color="auto"/>
          <w:color w:val="auto"/>
        </w:rPr>
        <w:t>Discharge of Base Indenture</w:t>
      </w:r>
      <w:r>
        <w:rPr>
          <w:rFonts w:ascii="Times New Roman" w:cs="Times New Roman" w:eastAsia="Times New Roman" w:hAnsi="Times New Roman"/>
          <w:sz w:val="22"/>
          <w:szCs w:val="22"/>
          <w:color w:val="auto"/>
        </w:rPr>
        <w:t>. Notwithstanding anything to the contrary contained in the Base Indenture, no discharge of the Indenture pursuant to Section 11.1(b)</w:t>
      </w:r>
    </w:p>
    <w:p>
      <w:pPr>
        <w:spacing w:after="0" w:line="200" w:lineRule="exact"/>
        <w:rPr>
          <w:sz w:val="20"/>
          <w:szCs w:val="20"/>
          <w:color w:val="auto"/>
        </w:rPr>
      </w:pP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bl>
    <w:p>
      <w:pPr>
        <w:sectPr>
          <w:pgSz w:w="11900" w:h="16838" w:orient="portrait"/>
          <w:cols w:equalWidth="0" w:num="1">
            <w:col w:w="11240"/>
          </w:cols>
          <w:pgMar w:left="320" w:top="1057" w:right="339" w:bottom="1440" w:gutter="0" w:footer="0" w:header="0"/>
        </w:sectPr>
      </w:pPr>
    </w:p>
    <w:bookmarkStart w:id="491" w:name="page492"/>
    <w:bookmarkEnd w:id="49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of the Base Indenture will be effective as to the Series 2023-8 Notes without the consent of the Requisite Series 2023-8 Noteholders.</w:t>
      </w:r>
    </w:p>
    <w:p>
      <w:pPr>
        <w:spacing w:after="0" w:line="17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Notice to Rating Agencies</w:t>
      </w:r>
      <w:r>
        <w:rPr>
          <w:rFonts w:ascii="Times New Roman" w:cs="Times New Roman" w:eastAsia="Times New Roman" w:hAnsi="Times New Roman"/>
          <w:sz w:val="22"/>
          <w:szCs w:val="22"/>
          <w:color w:val="auto"/>
        </w:rPr>
        <w:t>.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Capitalization of ABRCF</w:t>
      </w:r>
      <w:r>
        <w:rPr>
          <w:rFonts w:ascii="Times New Roman" w:cs="Times New Roman" w:eastAsia="Times New Roman" w:hAnsi="Times New Roman"/>
          <w:sz w:val="22"/>
          <w:szCs w:val="22"/>
          <w:color w:val="auto"/>
        </w:rPr>
        <w:t>. ABRCF agrees that on the Class D Notes Closing Date it will have capitalization in an amount equal to or greater than 3% of the sum of (x) the Series 2023-8 Invested Amount and (y) the invested amount of the Series 2010-6 Notes, the Series 2011-4 Notes, the Series 2015-3 Notes, the Series 2020-1 Notes, the Series 2020-2 Notes, the Series 2021-1 Notes, the Series 2021-2 Notes, the Series 2022-1 Notes, the Series 2022-3 Notes, the Series 2022-4 Notes, the Series 2022-5 Notes, the Series 2023-1 Notes, the Series 2023-2 Notes, the Series 2023-3 Notes, the Series 2023-4 Notes, the Series 2023-5 Notes, the Series 2023-6 Notes, the Series 2023-7 Notes, the Series 2024-1 Notes, the Series 2024-2 Notes, the Series 2024-3 Notes, the Series 2025-1 Notes and the Series 2025-2 Notes.</w:t>
      </w:r>
    </w:p>
    <w:p>
      <w:pPr>
        <w:spacing w:after="0" w:line="19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Required Noteholders</w:t>
      </w:r>
      <w:r>
        <w:rPr>
          <w:rFonts w:ascii="Times New Roman" w:cs="Times New Roman" w:eastAsia="Times New Roman" w:hAnsi="Times New Roman"/>
          <w:sz w:val="22"/>
          <w:szCs w:val="22"/>
          <w:color w:val="auto"/>
        </w:rPr>
        <w:t>. Subject to Section 5.7 above, any action pursuant to Section 5.6, Section 8.13 or Article 9 of the Base Indenture that requires the consent of, or is permissible at the direction of, the Required Noteholders with respect to the Series 2023-8 Notes pursuant to the Base Indenture shall only be allowed with the consent of, or at the direction of, the Required Controlling Class Series 2023-8 Noteholders. Any other action pursuant to any Related Document which requires the consent or approval of, or the waiver by, the Required Noteholders with respect to the Series 2023-8 Notes shall require the consent or approval of, or waiver by, the Requisite Series 2023-8 Noteholders.</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Series 2023-8 Demand Notes</w:t>
      </w:r>
      <w:r>
        <w:rPr>
          <w:rFonts w:ascii="Times New Roman" w:cs="Times New Roman" w:eastAsia="Times New Roman" w:hAnsi="Times New Roman"/>
          <w:sz w:val="22"/>
          <w:szCs w:val="22"/>
          <w:color w:val="auto"/>
        </w:rPr>
        <w:t>. Other than pursuant to a demand thereon pursuant to Section 2.5, ABRCF shall not reduce the amount of the Series 2023-8 Demand Notes or forgive amounts payable thereunder so that the outstanding principal amount of the Series 2023-8 Demand Notes after such reduction or forgiveness is less than the sum of (x) the Class A/B/C Letter of Credit Liquidity Amount plus (y) the Class D Letter of Credit Liquidity Amount. ABRCF shall not agree to any amendment of the Series 2023-8 Demand Notes without first satisfying the Rating Agency Confirmation Condition and the Rating Agency Consent Condition.</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Termination of Supplement</w:t>
      </w:r>
      <w:r>
        <w:rPr>
          <w:rFonts w:ascii="Times New Roman" w:cs="Times New Roman" w:eastAsia="Times New Roman" w:hAnsi="Times New Roman"/>
          <w:sz w:val="22"/>
          <w:szCs w:val="22"/>
          <w:color w:val="auto"/>
        </w:rPr>
        <w:t>. This Supplement shall cease to be of further effect when all outstanding Series 2023-8 Notes theretofore authenticated and issued have been delivered (other than destroyed, lost, or stolen Series 2023-8 Notes which have been replaced or paid) to the Trustee for cancellation, ABRCF has paid all sums payable hereunder, and, if the Series 2023-8 Demand Note Payment Amount on the Multi-Series Letter of Credit Termination Date was greater than zero, all amounts have been withdrawn from the Series 2023-8 Cash Collateral Accounts in accordance with Section 2.8(m).</w:t>
      </w:r>
    </w:p>
    <w:p>
      <w:pPr>
        <w:spacing w:after="0" w:line="18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5.14. </w:t>
      </w:r>
      <w:r>
        <w:rPr>
          <w:rFonts w:ascii="Times New Roman" w:cs="Times New Roman" w:eastAsia="Times New Roman" w:hAnsi="Times New Roman"/>
          <w:sz w:val="22"/>
          <w:szCs w:val="22"/>
          <w:u w:val="single" w:color="auto"/>
          <w:color w:val="auto"/>
        </w:rPr>
        <w:t>Noteholder Consent to Certain Amendments</w:t>
      </w:r>
      <w:r>
        <w:rPr>
          <w:rFonts w:ascii="Times New Roman" w:cs="Times New Roman" w:eastAsia="Times New Roman" w:hAnsi="Times New Roman"/>
          <w:sz w:val="22"/>
          <w:szCs w:val="22"/>
          <w:color w:val="auto"/>
        </w:rPr>
        <w:t>. Each Series 2023-8 Noteholder, upon any acquisition of a Series 2023-8 Note, will be deemed to agree and consent to (i) the execution by ABRCF of a Supplemental Indenture to the Base Indenture substantially in</w:t>
      </w:r>
    </w:p>
    <w:p>
      <w:pPr>
        <w:spacing w:after="0" w:line="200" w:lineRule="exact"/>
        <w:rPr>
          <w:sz w:val="20"/>
          <w:szCs w:val="20"/>
          <w:color w:val="auto"/>
        </w:rPr>
      </w:pP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bl>
    <w:p>
      <w:pPr>
        <w:sectPr>
          <w:pgSz w:w="11900" w:h="16838" w:orient="portrait"/>
          <w:cols w:equalWidth="0" w:num="1">
            <w:col w:w="11240"/>
          </w:cols>
          <w:pgMar w:left="320" w:top="1030" w:right="339" w:bottom="1440" w:gutter="0" w:footer="0" w:header="0"/>
        </w:sectPr>
      </w:pPr>
    </w:p>
    <w:bookmarkStart w:id="492" w:name="page493"/>
    <w:bookmarkEnd w:id="492"/>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the form of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hereto, (ii) the execution of an amendment to the AESOP I Operating Lease substantially in the form of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hereto, (iii) the execution of an amendment to the Finance Lease substantially in the form of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hereto, (iv) the execution of an amendment to the AESOP I Operating Lease Loan Agreement substantially in the form of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hereto, (v) the execution of an amendment to the AESOP I Finance Lease Loan Agreement substantially in the form of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 xml:space="preserve"> hereto, (vi) the execution of an amendment to the AESOP II Operating Lease substantially in the form of </w:t>
      </w:r>
      <w:r>
        <w:rPr>
          <w:rFonts w:ascii="Times New Roman" w:cs="Times New Roman" w:eastAsia="Times New Roman" w:hAnsi="Times New Roman"/>
          <w:sz w:val="22"/>
          <w:szCs w:val="22"/>
          <w:u w:val="single" w:color="auto"/>
          <w:color w:val="auto"/>
        </w:rPr>
        <w:t>Exhibit O</w:t>
      </w:r>
      <w:r>
        <w:rPr>
          <w:rFonts w:ascii="Times New Roman" w:cs="Times New Roman" w:eastAsia="Times New Roman" w:hAnsi="Times New Roman"/>
          <w:sz w:val="22"/>
          <w:szCs w:val="22"/>
          <w:color w:val="auto"/>
        </w:rPr>
        <w:t xml:space="preserve"> hereto, (vii) the execution of an amendment to the Master Exchange Agreement substantially in the form of </w:t>
      </w:r>
      <w:r>
        <w:rPr>
          <w:rFonts w:ascii="Times New Roman" w:cs="Times New Roman" w:eastAsia="Times New Roman" w:hAnsi="Times New Roman"/>
          <w:sz w:val="22"/>
          <w:szCs w:val="22"/>
          <w:u w:val="single" w:color="auto"/>
          <w:color w:val="auto"/>
        </w:rPr>
        <w:t>Exhibit P</w:t>
      </w:r>
      <w:r>
        <w:rPr>
          <w:rFonts w:ascii="Times New Roman" w:cs="Times New Roman" w:eastAsia="Times New Roman" w:hAnsi="Times New Roman"/>
          <w:sz w:val="22"/>
          <w:szCs w:val="22"/>
          <w:color w:val="auto"/>
        </w:rPr>
        <w:t xml:space="preserve"> hereto, (viii) the execution of an amendment to the Escrow Agreement substantially in the form of </w:t>
      </w:r>
      <w:r>
        <w:rPr>
          <w:rFonts w:ascii="Times New Roman" w:cs="Times New Roman" w:eastAsia="Times New Roman" w:hAnsi="Times New Roman"/>
          <w:sz w:val="22"/>
          <w:szCs w:val="22"/>
          <w:u w:val="single" w:color="auto"/>
          <w:color w:val="auto"/>
        </w:rPr>
        <w:t>Exhibit Q</w:t>
      </w:r>
      <w:r>
        <w:rPr>
          <w:rFonts w:ascii="Times New Roman" w:cs="Times New Roman" w:eastAsia="Times New Roman" w:hAnsi="Times New Roman"/>
          <w:sz w:val="22"/>
          <w:szCs w:val="22"/>
          <w:color w:val="auto"/>
        </w:rPr>
        <w:t xml:space="preserve"> hereto, (ix) the execution of an amendment to the Administration Agreement substantially in the form of </w:t>
      </w:r>
      <w:r>
        <w:rPr>
          <w:rFonts w:ascii="Times New Roman" w:cs="Times New Roman" w:eastAsia="Times New Roman" w:hAnsi="Times New Roman"/>
          <w:sz w:val="22"/>
          <w:szCs w:val="22"/>
          <w:u w:val="single" w:color="auto"/>
          <w:color w:val="auto"/>
        </w:rPr>
        <w:t>Exhibit R</w:t>
      </w:r>
      <w:r>
        <w:rPr>
          <w:rFonts w:ascii="Times New Roman" w:cs="Times New Roman" w:eastAsia="Times New Roman" w:hAnsi="Times New Roman"/>
          <w:sz w:val="22"/>
          <w:szCs w:val="22"/>
          <w:color w:val="auto"/>
        </w:rPr>
        <w:t xml:space="preserve"> hereto, (x) the execution of an amendment to the AESOP II Operating Lease Loan Agreement substantially in the form of </w:t>
      </w:r>
      <w:r>
        <w:rPr>
          <w:rFonts w:ascii="Times New Roman" w:cs="Times New Roman" w:eastAsia="Times New Roman" w:hAnsi="Times New Roman"/>
          <w:sz w:val="22"/>
          <w:szCs w:val="22"/>
          <w:u w:val="single" w:color="auto"/>
          <w:color w:val="auto"/>
        </w:rPr>
        <w:t>Exhibit S</w:t>
      </w:r>
      <w:r>
        <w:rPr>
          <w:rFonts w:ascii="Times New Roman" w:cs="Times New Roman" w:eastAsia="Times New Roman" w:hAnsi="Times New Roman"/>
          <w:sz w:val="22"/>
          <w:szCs w:val="22"/>
          <w:color w:val="auto"/>
        </w:rPr>
        <w:t xml:space="preserve"> hereto, (xi) the execution of an amendment to the Original AESOP Nominee Agreement substantially in the form of </w:t>
      </w:r>
      <w:r>
        <w:rPr>
          <w:rFonts w:ascii="Times New Roman" w:cs="Times New Roman" w:eastAsia="Times New Roman" w:hAnsi="Times New Roman"/>
          <w:sz w:val="22"/>
          <w:szCs w:val="22"/>
          <w:u w:val="single" w:color="auto"/>
          <w:color w:val="auto"/>
        </w:rPr>
        <w:t>Exhibit T</w:t>
      </w:r>
      <w:r>
        <w:rPr>
          <w:rFonts w:ascii="Times New Roman" w:cs="Times New Roman" w:eastAsia="Times New Roman" w:hAnsi="Times New Roman"/>
          <w:sz w:val="22"/>
          <w:szCs w:val="22"/>
          <w:color w:val="auto"/>
        </w:rPr>
        <w:t xml:space="preserve"> hereto, (xii) the execution of an amendment to the Disposition Agent Agreement substantially in the form of </w:t>
      </w:r>
      <w:r>
        <w:rPr>
          <w:rFonts w:ascii="Times New Roman" w:cs="Times New Roman" w:eastAsia="Times New Roman" w:hAnsi="Times New Roman"/>
          <w:sz w:val="22"/>
          <w:szCs w:val="22"/>
          <w:u w:val="single" w:color="auto"/>
          <w:color w:val="auto"/>
        </w:rPr>
        <w:t>Exhibit U</w:t>
      </w:r>
      <w:r>
        <w:rPr>
          <w:rFonts w:ascii="Times New Roman" w:cs="Times New Roman" w:eastAsia="Times New Roman" w:hAnsi="Times New Roman"/>
          <w:sz w:val="22"/>
          <w:szCs w:val="22"/>
          <w:color w:val="auto"/>
        </w:rPr>
        <w:t xml:space="preserve"> hereto and (xiii) the execution of an amendment to the Back-up Administration Agreement substantially in the form of </w:t>
      </w:r>
      <w:r>
        <w:rPr>
          <w:rFonts w:ascii="Times New Roman" w:cs="Times New Roman" w:eastAsia="Times New Roman" w:hAnsi="Times New Roman"/>
          <w:sz w:val="22"/>
          <w:szCs w:val="22"/>
          <w:u w:val="single" w:color="auto"/>
          <w:color w:val="auto"/>
        </w:rPr>
        <w:t>Exhibit V</w:t>
      </w:r>
      <w:r>
        <w:rPr>
          <w:rFonts w:ascii="Times New Roman" w:cs="Times New Roman" w:eastAsia="Times New Roman" w:hAnsi="Times New Roman"/>
          <w:sz w:val="22"/>
          <w:szCs w:val="22"/>
          <w:color w:val="auto"/>
        </w:rPr>
        <w:t xml:space="preserve"> hereto. Such deemed consent will apply to each proposed amendment set forth in </w:t>
      </w:r>
      <w:r>
        <w:rPr>
          <w:rFonts w:ascii="Times New Roman" w:cs="Times New Roman" w:eastAsia="Times New Roman" w:hAnsi="Times New Roman"/>
          <w:sz w:val="22"/>
          <w:szCs w:val="22"/>
          <w:u w:val="single" w:color="auto"/>
          <w:color w:val="auto"/>
        </w:rPr>
        <w:t>Exhibits J</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individually, and the failure to adopt any of the amendments set forth therein will not revoke the consent with respect to any other amendment.</w:t>
      </w:r>
    </w:p>
    <w:p>
      <w:pPr>
        <w:spacing w:after="0" w:line="188"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5.15.</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1"/>
          <w:szCs w:val="21"/>
          <w:color w:val="auto"/>
        </w:rPr>
        <w:t xml:space="preserve">Section 5.16.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(a) The Trustee and each Series 2023-8 Note Owner agrees, by its acceptance and holding of a beneficial interest in a Series 2023-8 Note, to maintain the confidentiality of all Confidential Information in accordance with procedures adopted by the Trustee or such Series 2023-8 Note Owner in good faith to protect confidential information of third parties delivered to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2023-8 Note Owner; (iv) any Person of the type that would be, to such Person’s knowledge, permitted to acquire an interest in the Series 2023-8 Notes in accordance with the requirements of the Indenture to which such Person sells or offers to sell any such Series 2023-8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ABRCF</w:t>
      </w:r>
    </w:p>
    <w:p>
      <w:pPr>
        <w:spacing w:after="0" w:line="200" w:lineRule="exact"/>
        <w:rPr>
          <w:sz w:val="20"/>
          <w:szCs w:val="20"/>
          <w:color w:val="auto"/>
        </w:rPr>
      </w:pPr>
    </w:p>
    <w:p>
      <w:pPr>
        <w:spacing w:after="0" w:line="291"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bl>
    <w:p>
      <w:pPr>
        <w:sectPr>
          <w:pgSz w:w="11900" w:h="16838" w:orient="portrait"/>
          <w:cols w:equalWidth="0" w:num="1">
            <w:col w:w="11240"/>
          </w:cols>
          <w:pgMar w:left="320" w:top="1030" w:right="339" w:bottom="1440" w:gutter="0" w:footer="0" w:header="0"/>
        </w:sectPr>
      </w:pPr>
    </w:p>
    <w:bookmarkStart w:id="493" w:name="page494"/>
    <w:bookmarkEnd w:id="493"/>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2023-8 Notes has occurred and is continuing, to the extent such Person may reasonably determine such delivery and disclosure to be necessary or appropriate in the enforcement or for the protection of the rights and remedies under the Series 2023-8 Notes, the Indenture or any other Related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delivery to any Series 2023-8 Note Owner of any report or information required by the terms of the Indenture to be provided to such Series 2023-8 Note Owner shall not be a violation of this Section 5.16. Each Series 2023-8 Note Owner agrees, by acceptance of a beneficial interest in a Series 2023-8 Note, except as set forth in clauses (v), (vi) and (ix) above, that it shall use the Confidential Information for the sole purpose of making an investment in the Series 2023-8 Notes or administering its investment in the Series 2023-8 Notes. In the event of any required disclosure of the Confidential Information by such Series 2023-8 Note Owner, such Series 2023-8 Note Owner agrees to use reasonable efforts to protect the confidentiality of the Confidential Information.</w:t>
      </w:r>
    </w:p>
    <w:p>
      <w:pPr>
        <w:spacing w:after="0" w:line="184" w:lineRule="exact"/>
        <w:rPr>
          <w:sz w:val="20"/>
          <w:szCs w:val="20"/>
          <w:color w:val="auto"/>
        </w:rPr>
      </w:pPr>
    </w:p>
    <w:p>
      <w:pPr>
        <w:jc w:val="both"/>
        <w:ind w:firstLine="1304"/>
        <w:spacing w:after="0" w:line="250" w:lineRule="auto"/>
        <w:tabs>
          <w:tab w:leader="none" w:pos="1774" w:val="left"/>
        </w:tabs>
        <w:numPr>
          <w:ilvl w:val="0"/>
          <w:numId w:val="4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Section 5.16,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means information delivered to the Trustee or any Series 2023-8 Note Owner by or on behalf of ABRCF in connection with and relating to the transactions contemplated by or otherwise pursuant to the Indenture and the Related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term does not include information that: (i) was publicly known or otherwise known to the Trustee or such Series 2023-8 Note Owner prior to the time of such disclosure; (ii) subsequently becomes publicly known through no act or omission by the Trustee, any Series 2023-8 Note Owner or any person acting on behalf of the Trustee or any Series 2023-8 Note Owner; (iii) otherwise is known or becomes known to the Trustee or any Series 2023-8 Note Owner other than (x) through disclosure by ABRCF or (y) as a result of the breach of a fiduciary duty to ABRCF or a contractual duty to ABRCF; or (iv) is allowed to be treated as non-confidential by consent of ABRCF.</w:t>
      </w:r>
    </w:p>
    <w:p>
      <w:pPr>
        <w:spacing w:after="0" w:line="180" w:lineRule="exact"/>
        <w:rPr>
          <w:sz w:val="20"/>
          <w:szCs w:val="20"/>
          <w:color w:val="auto"/>
        </w:rPr>
      </w:pPr>
    </w:p>
    <w:p>
      <w:pPr>
        <w:ind w:left="1300"/>
        <w:spacing w:after="0"/>
        <w:tabs>
          <w:tab w:leader="none" w:pos="2640" w:val="left"/>
        </w:tabs>
        <w:rPr>
          <w:sz w:val="20"/>
          <w:szCs w:val="20"/>
          <w:color w:val="auto"/>
        </w:rPr>
      </w:pPr>
      <w:r>
        <w:rPr>
          <w:rFonts w:ascii="Times New Roman" w:cs="Times New Roman" w:eastAsia="Times New Roman" w:hAnsi="Times New Roman"/>
          <w:sz w:val="22"/>
          <w:szCs w:val="22"/>
          <w:color w:val="auto"/>
        </w:rPr>
        <w:t>Section 5.17.</w:t>
      </w:r>
      <w:r>
        <w:rPr>
          <w:sz w:val="20"/>
          <w:szCs w:val="20"/>
          <w:color w:val="auto"/>
        </w:rPr>
        <w:tab/>
      </w:r>
      <w:r>
        <w:rPr>
          <w:rFonts w:ascii="Times New Roman" w:cs="Times New Roman" w:eastAsia="Times New Roman" w:hAnsi="Times New Roman"/>
          <w:sz w:val="21"/>
          <w:szCs w:val="21"/>
          <w:u w:val="single" w:color="auto"/>
          <w:color w:val="auto"/>
        </w:rPr>
        <w:t>[Reserved]</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Further Limitation of Liability</w:t>
      </w:r>
      <w:r>
        <w:rPr>
          <w:rFonts w:ascii="Times New Roman" w:cs="Times New Roman" w:eastAsia="Times New Roman" w:hAnsi="Times New Roman"/>
          <w:sz w:val="22"/>
          <w:szCs w:val="22"/>
          <w:color w:val="auto"/>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5.19. </w:t>
      </w:r>
      <w:r>
        <w:rPr>
          <w:rFonts w:ascii="Times New Roman" w:cs="Times New Roman" w:eastAsia="Times New Roman" w:hAnsi="Times New Roman"/>
          <w:sz w:val="22"/>
          <w:szCs w:val="22"/>
          <w:u w:val="single" w:color="auto"/>
          <w:color w:val="auto"/>
        </w:rPr>
        <w:t>Series 2023-8 Agent</w:t>
      </w:r>
      <w:r>
        <w:rPr>
          <w:rFonts w:ascii="Times New Roman" w:cs="Times New Roman" w:eastAsia="Times New Roman" w:hAnsi="Times New Roman"/>
          <w:sz w:val="22"/>
          <w:szCs w:val="22"/>
          <w:color w:val="auto"/>
        </w:rPr>
        <w:t>. The Series 2023-8 Agent shall be entitled to the same rights, benefits, protections, indemnities and immunities hereunder as are granted to the Trustee under the Base Indenture as if set forth fully herein.</w:t>
      </w:r>
    </w:p>
    <w:p>
      <w:pPr>
        <w:spacing w:after="0" w:line="167" w:lineRule="exact"/>
        <w:rPr>
          <w:sz w:val="20"/>
          <w:szCs w:val="20"/>
          <w:color w:val="auto"/>
        </w:rPr>
      </w:pPr>
    </w:p>
    <w:p>
      <w:pPr>
        <w:jc w:val="both"/>
        <w:ind w:right="2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Force Majeure</w:t>
      </w:r>
      <w:r>
        <w:rPr>
          <w:rFonts w:ascii="Times New Roman" w:cs="Times New Roman" w:eastAsia="Times New Roman" w:hAnsi="Times New Roman"/>
          <w:sz w:val="22"/>
          <w:szCs w:val="22"/>
          <w:color w:val="auto"/>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w:t>
      </w: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bl>
    <w:p>
      <w:pPr>
        <w:sectPr>
          <w:pgSz w:w="11900" w:h="16838" w:orient="portrait"/>
          <w:cols w:equalWidth="0" w:num="1">
            <w:col w:w="11240"/>
          </w:cols>
          <w:pgMar w:left="320" w:top="1030" w:right="339" w:bottom="1440" w:gutter="0" w:footer="0" w:header="0"/>
        </w:sectPr>
      </w:pPr>
    </w:p>
    <w:bookmarkStart w:id="494" w:name="page495"/>
    <w:bookmarkEnd w:id="494"/>
    <w:p>
      <w:pPr>
        <w:jc w:val="both"/>
        <w:spacing w:after="0" w:line="250" w:lineRule="auto"/>
        <w:rPr>
          <w:sz w:val="20"/>
          <w:szCs w:val="20"/>
          <w:color w:val="auto"/>
        </w:rPr>
      </w:pPr>
      <w:r>
        <w:rPr>
          <w:rFonts w:ascii="Times New Roman" w:cs="Times New Roman" w:eastAsia="Times New Roman" w:hAnsi="Times New Roman"/>
          <w:sz w:val="22"/>
          <w:szCs w:val="22"/>
          <w:color w:val="auto"/>
        </w:rPr>
        <w:t>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spacing w:after="0" w:line="194"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5.21. </w:t>
      </w:r>
      <w:r>
        <w:rPr>
          <w:rFonts w:ascii="Times New Roman" w:cs="Times New Roman" w:eastAsia="Times New Roman" w:hAnsi="Times New Roman"/>
          <w:sz w:val="21"/>
          <w:szCs w:val="21"/>
          <w:u w:val="single" w:color="auto"/>
          <w:color w:val="auto"/>
        </w:rPr>
        <w:t>Waiver of Jury Trial, etc</w:t>
      </w:r>
      <w:r>
        <w:rPr>
          <w:rFonts w:ascii="Times New Roman" w:cs="Times New Roman" w:eastAsia="Times New Roman" w:hAnsi="Times New Roman"/>
          <w:sz w:val="21"/>
          <w:szCs w:val="21"/>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2023-8 NOTES, THE SERIES 2023-8</w:t>
      </w:r>
    </w:p>
    <w:p>
      <w:pPr>
        <w:spacing w:after="0" w:line="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DEMAND NOTES, THE MULTI-SERIES LETTER OF CREDIT AND ANY OTHER RELATED DOCUMENTS EXECUTED IN CONNECTION WITH THE ISSUANCE OF THE SERIES 2023-8 NOTES, OR ANY COURSE OF CONDUCT, COURSE OF DEALING, STATEMENTS (WHETHER ORAL OR WRITTEN), OR ACTIONS OF THE PARTIES HERETO. THIS PROVISION IS A MATERIAL INDUCEMENT FOR THE PARTIES HERETO TO ENTER INTO THIS SUPPLEMENT.</w:t>
      </w:r>
    </w:p>
    <w:p>
      <w:pPr>
        <w:spacing w:after="0" w:line="16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5.22. </w:t>
      </w: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2023-8 NOTES, THE SERIES 2023-8 DEMAND NOTES, THE MULTI-SERIES LETTER OF CREDIT AND ANY OTHER RELATED DOCUMENTS EXECUTED IN CONNECTION WITH THE ISSUANCE OF THE SERIES 2023-8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 w:cs="Times New Roman" w:eastAsia="Times New Roman" w:hAnsi="Times New Roman"/>
          <w:sz w:val="21"/>
          <w:szCs w:val="21"/>
          <w:u w:val="single" w:color="auto"/>
          <w:color w:val="auto"/>
        </w:rPr>
        <w:t>FORUM NON CONVENIENS</w:t>
      </w:r>
      <w:r>
        <w:rPr>
          <w:rFonts w:ascii="Times New Roman" w:cs="Times New Roman" w:eastAsia="Times New Roman" w:hAnsi="Times New Roman"/>
          <w:sz w:val="21"/>
          <w:szCs w:val="21"/>
          <w:color w:val="auto"/>
        </w:rPr>
        <w:t xml:space="preserve"> OR OTHERWISE. NOTHING CONTAINED HEREIN SHALL PRECLUDE ANY PARTY HERETO FROM BRINGING AN ACTION OR PROCEEDING ARISING OUT OF OR RELATING TO THIS SUPPLEMENT, THE SERIES 2023-8 NOTES, THE SERIES 2023-8 DEMAND NOTES, THE MULTI-SERIES LETTER OF CREDIT AND ANY OTHER RELATED DOCUMENTS EXECUTED IN CONNECTION WITH THE ISSUANCE OF THE SERIES 2023-8 NOTES IN ANY OTHER COUNTRY, STATE OR PLACE HAVING JURISDICTION OVER SUCH ACTION OR PROCEEDING.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bl>
    <w:p>
      <w:pPr>
        <w:sectPr>
          <w:pgSz w:w="11900" w:h="16838" w:orient="portrait"/>
          <w:cols w:equalWidth="0" w:num="1">
            <w:col w:w="11240"/>
          </w:cols>
          <w:pgMar w:left="320" w:top="1030" w:right="339" w:bottom="1440" w:gutter="0" w:footer="0" w:header="0"/>
        </w:sectPr>
      </w:pPr>
    </w:p>
    <w:bookmarkStart w:id="495" w:name="page496"/>
    <w:bookmarkEnd w:id="495"/>
    <w:p>
      <w:pPr>
        <w:ind w:left="1220"/>
        <w:spacing w:after="0"/>
        <w:tabs>
          <w:tab w:leader="none" w:pos="2560" w:val="left"/>
        </w:tabs>
        <w:rPr>
          <w:sz w:val="20"/>
          <w:szCs w:val="20"/>
          <w:color w:val="auto"/>
        </w:rPr>
      </w:pPr>
      <w:r>
        <w:rPr>
          <w:rFonts w:ascii="Times New Roman" w:cs="Times New Roman" w:eastAsia="Times New Roman" w:hAnsi="Times New Roman"/>
          <w:sz w:val="22"/>
          <w:szCs w:val="22"/>
          <w:color w:val="auto"/>
        </w:rPr>
        <w:t>Section 5.23.</w:t>
      </w:r>
      <w:r>
        <w:rPr>
          <w:sz w:val="20"/>
          <w:szCs w:val="20"/>
          <w:color w:val="auto"/>
        </w:rPr>
        <w:tab/>
      </w:r>
      <w:r>
        <w:rPr>
          <w:rFonts w:ascii="Times New Roman" w:cs="Times New Roman" w:eastAsia="Times New Roman" w:hAnsi="Times New Roman"/>
          <w:sz w:val="21"/>
          <w:szCs w:val="21"/>
          <w:u w:val="single" w:color="auto"/>
          <w:color w:val="auto"/>
        </w:rPr>
        <w:t>Additional Terms of the Series 2023-8 Notes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63" w:lineRule="exact"/>
        <w:rPr>
          <w:sz w:val="20"/>
          <w:szCs w:val="20"/>
          <w:color w:val="auto"/>
        </w:rPr>
      </w:pPr>
    </w:p>
    <w:p>
      <w:pPr>
        <w:ind w:left="1680" w:hanging="456"/>
        <w:spacing w:after="0"/>
        <w:tabs>
          <w:tab w:leader="none" w:pos="1680" w:val="left"/>
        </w:tabs>
        <w:numPr>
          <w:ilvl w:val="0"/>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this Supplement and the Series 2023-8 Notes:</w:t>
      </w:r>
    </w:p>
    <w:p>
      <w:pPr>
        <w:spacing w:after="0" w:line="233" w:lineRule="exact"/>
        <w:rPr>
          <w:rFonts w:ascii="Times New Roman" w:cs="Times New Roman" w:eastAsia="Times New Roman" w:hAnsi="Times New Roman"/>
          <w:sz w:val="22"/>
          <w:szCs w:val="22"/>
          <w:color w:val="auto"/>
        </w:rPr>
      </w:pPr>
    </w:p>
    <w:p>
      <w:pPr>
        <w:jc w:val="both"/>
        <w:ind w:left="580" w:firstLine="1292"/>
        <w:spacing w:after="0" w:line="252" w:lineRule="auto"/>
        <w:tabs>
          <w:tab w:leader="none" w:pos="2361" w:val="left"/>
        </w:tabs>
        <w:numPr>
          <w:ilvl w:val="1"/>
          <w:numId w:val="4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Opinion of Counsel set forth in </w:t>
      </w:r>
      <w:r>
        <w:rPr>
          <w:rFonts w:ascii="Times New Roman" w:cs="Times New Roman" w:eastAsia="Times New Roman" w:hAnsi="Times New Roman"/>
          <w:sz w:val="22"/>
          <w:szCs w:val="22"/>
          <w:u w:val="single" w:color="auto"/>
          <w:color w:val="auto"/>
        </w:rPr>
        <w:t>Section 2.2(f)(i)(x)</w:t>
      </w:r>
      <w:r>
        <w:rPr>
          <w:rFonts w:ascii="Times New Roman" w:cs="Times New Roman" w:eastAsia="Times New Roman" w:hAnsi="Times New Roman"/>
          <w:sz w:val="22"/>
          <w:szCs w:val="22"/>
          <w:color w:val="auto"/>
        </w:rPr>
        <w:t xml:space="preserve"> of the Base Indenture shall not be required with respect to the Class C Notes and the Class R Notes. The Opinion of Counsel set forth in </w:t>
      </w:r>
      <w:r>
        <w:rPr>
          <w:rFonts w:ascii="Times New Roman" w:cs="Times New Roman" w:eastAsia="Times New Roman" w:hAnsi="Times New Roman"/>
          <w:sz w:val="22"/>
          <w:szCs w:val="22"/>
          <w:u w:val="single" w:color="auto"/>
          <w:color w:val="auto"/>
        </w:rPr>
        <w:t>Section 2.2(f)(i)(y)</w:t>
      </w:r>
      <w:r>
        <w:rPr>
          <w:rFonts w:ascii="Times New Roman" w:cs="Times New Roman" w:eastAsia="Times New Roman" w:hAnsi="Times New Roman"/>
          <w:sz w:val="22"/>
          <w:szCs w:val="22"/>
          <w:color w:val="auto"/>
        </w:rPr>
        <w:t xml:space="preserve"> of the Base Indenture shall not be required with respect to the Class C Notes and the Class R Notes for any Series issued after the date hereof.</w:t>
      </w:r>
    </w:p>
    <w:p>
      <w:pPr>
        <w:spacing w:after="0" w:line="179" w:lineRule="exact"/>
        <w:rPr>
          <w:rFonts w:ascii="Times New Roman" w:cs="Times New Roman" w:eastAsia="Times New Roman" w:hAnsi="Times New Roman"/>
          <w:sz w:val="22"/>
          <w:szCs w:val="22"/>
          <w:color w:val="auto"/>
        </w:rPr>
      </w:pPr>
    </w:p>
    <w:p>
      <w:pPr>
        <w:jc w:val="both"/>
        <w:ind w:left="580" w:firstLine="1292"/>
        <w:spacing w:after="0" w:line="268" w:lineRule="auto"/>
        <w:tabs>
          <w:tab w:leader="none" w:pos="2433" w:val="left"/>
        </w:tabs>
        <w:numPr>
          <w:ilvl w:val="1"/>
          <w:numId w:val="4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11"/>
                <w:szCs w:val="11"/>
                <w:color w:val="auto"/>
              </w:rPr>
              <w:t>AMERICAS 130188170</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ectPr>
          <w:pgSz w:w="11900" w:h="16838" w:orient="portrait"/>
          <w:cols w:equalWidth="0" w:num="1">
            <w:col w:w="11160"/>
          </w:cols>
          <w:pgMar w:left="400" w:top="1030" w:right="339" w:bottom="1440" w:gutter="0" w:footer="0" w:header="0"/>
        </w:sectPr>
      </w:pPr>
    </w:p>
    <w:bookmarkStart w:id="496" w:name="page497"/>
    <w:bookmarkEnd w:id="496"/>
    <w:p>
      <w:pPr>
        <w:spacing w:after="0" w:line="9"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ABRCF and the Trustee have caused this Supplement to be duly executed by their respective officers thereunto duly authorized as of the day and year first above written.</w:t>
      </w:r>
    </w:p>
    <w:p>
      <w:pPr>
        <w:spacing w:after="0" w:line="18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AVIS BUDGET RENTAL CAR FUNDING</w:t>
      </w:r>
    </w:p>
    <w:p>
      <w:pPr>
        <w:spacing w:after="0" w:line="2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(AESOP) LLC</w:t>
      </w:r>
    </w:p>
    <w:p>
      <w:pPr>
        <w:spacing w:after="0" w:line="200" w:lineRule="exact"/>
        <w:rPr>
          <w:sz w:val="20"/>
          <w:szCs w:val="20"/>
          <w:color w:val="auto"/>
        </w:rPr>
      </w:pPr>
    </w:p>
    <w:p>
      <w:pPr>
        <w:spacing w:after="0" w:line="34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2"/>
          <w:szCs w:val="22"/>
          <w:color w:val="auto"/>
        </w:rPr>
        <w:t>By: /s/ David Calabria</w:t>
      </w:r>
    </w:p>
    <w:p>
      <w:pPr>
        <w:spacing w:after="0" w:line="3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Name: David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-160020</wp:posOffset>
            </wp:positionV>
            <wp:extent cx="23399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A&amp;R Series 2023-8 Indenture Supplement</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130188170</w:t>
      </w:r>
    </w:p>
    <w:p>
      <w:pPr>
        <w:sectPr>
          <w:pgSz w:w="11900" w:h="16838" w:orient="portrait"/>
          <w:cols w:equalWidth="0" w:num="1">
            <w:col w:w="11220"/>
          </w:cols>
          <w:pgMar w:left="320" w:top="1440" w:right="359" w:bottom="1440" w:gutter="0" w:footer="0" w:header="0"/>
        </w:sectPr>
      </w:pPr>
    </w:p>
    <w:bookmarkStart w:id="497" w:name="page498"/>
    <w:bookmarkEnd w:id="497"/>
    <w:p>
      <w:pPr>
        <w:spacing w:after="0" w:line="25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spacing w:after="0" w:line="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COMPANY, N.A., as Trustee</w:t>
      </w:r>
    </w:p>
    <w:p>
      <w:pPr>
        <w:spacing w:after="0" w:line="27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Andrew Kolesar</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Andrew Kolesar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Agent</w:t>
      </w:r>
    </w:p>
    <w:p>
      <w:pPr>
        <w:spacing w:after="0" w:line="200" w:lineRule="exact"/>
        <w:rPr>
          <w:sz w:val="20"/>
          <w:szCs w:val="20"/>
          <w:color w:val="auto"/>
        </w:rPr>
      </w:pPr>
    </w:p>
    <w:p>
      <w:pPr>
        <w:spacing w:after="0" w:line="34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1"/>
          <w:szCs w:val="21"/>
          <w:color w:val="auto"/>
        </w:rPr>
        <w:t>THE BANK OF NEW YORK MELLON</w:t>
      </w:r>
    </w:p>
    <w:p>
      <w:pPr>
        <w:ind w:left="7060"/>
        <w:spacing w:after="0"/>
        <w:rPr>
          <w:sz w:val="20"/>
          <w:szCs w:val="20"/>
          <w:color w:val="auto"/>
        </w:rPr>
      </w:pPr>
      <w:r>
        <w:rPr>
          <w:rFonts w:ascii="Times New Roman" w:cs="Times New Roman" w:eastAsia="Times New Roman" w:hAnsi="Times New Roman"/>
          <w:sz w:val="22"/>
          <w:szCs w:val="22"/>
          <w:color w:val="auto"/>
        </w:rPr>
        <w:t>TRUST</w:t>
      </w:r>
    </w:p>
    <w:p>
      <w:pPr>
        <w:ind w:left="7420"/>
        <w:spacing w:after="0" w:line="221" w:lineRule="auto"/>
        <w:rPr>
          <w:sz w:val="20"/>
          <w:szCs w:val="20"/>
          <w:color w:val="auto"/>
        </w:rPr>
      </w:pPr>
      <w:r>
        <w:rPr>
          <w:rFonts w:ascii="Times New Roman" w:cs="Times New Roman" w:eastAsia="Times New Roman" w:hAnsi="Times New Roman"/>
          <w:sz w:val="22"/>
          <w:szCs w:val="22"/>
          <w:color w:val="auto"/>
        </w:rPr>
        <w:t>COMPANY, N.A., as Series 2023-8</w:t>
      </w:r>
    </w:p>
    <w:p>
      <w:pPr>
        <w:ind w:left="7420"/>
        <w:spacing w:after="0"/>
        <w:rPr>
          <w:sz w:val="20"/>
          <w:szCs w:val="20"/>
          <w:color w:val="auto"/>
        </w:rPr>
      </w:pPr>
      <w:r>
        <w:rPr>
          <w:rFonts w:ascii="Times New Roman" w:cs="Times New Roman" w:eastAsia="Times New Roman" w:hAnsi="Times New Roman"/>
          <w:sz w:val="22"/>
          <w:szCs w:val="22"/>
          <w:color w:val="auto"/>
        </w:rPr>
        <w:t>Agent</w:t>
      </w:r>
    </w:p>
    <w:p>
      <w:pPr>
        <w:spacing w:after="0" w:line="26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By: /s/ Andrew Kolesar</w:t>
      </w:r>
    </w:p>
    <w:p>
      <w:pPr>
        <w:spacing w:after="0" w:line="3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Name: Andrew Kolesar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-160020</wp:posOffset>
            </wp:positionV>
            <wp:extent cx="23056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Title: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6"/>
          <w:szCs w:val="16"/>
          <w:i w:val="1"/>
          <w:iCs w:val="1"/>
          <w:color w:val="auto"/>
        </w:rPr>
        <w:t>Signature Page to A&amp;R Series 2023-8 Indenture Supplement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130188170</w:t>
      </w:r>
    </w:p>
    <w:p>
      <w:pPr>
        <w:sectPr>
          <w:pgSz w:w="11900" w:h="16838" w:orient="portrait"/>
          <w:cols w:equalWidth="0" w:num="1">
            <w:col w:w="10640"/>
          </w:cols>
          <w:pgMar w:left="400" w:top="1440" w:right="859" w:bottom="1440" w:gutter="0" w:footer="0" w:header="0"/>
        </w:sectPr>
      </w:pPr>
    </w:p>
    <w:bookmarkStart w:id="498" w:name="page499"/>
    <w:bookmarkEnd w:id="498"/>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TABLE OF CONTENTS</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SERIES 2023-8 ALLOCATIONS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98"/>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Establishment of Series 2023-8 Collection Account, Series 2023-8 Excess Collection Account and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2023-8 Accrued Interest Account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Allocations with Respect to the Series 2023-8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Payments to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Interest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 of Note Principal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2.6.</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Administrator’s Failure to Instruct the Trustee to Make a Deposit, Draw or</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Payment</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2023-8 Reserve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Multi-Series Letters of Credit and Series 2023-8 Cash Collateral Accounts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2023-8 Distribution Account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2.10.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2023-8 Accounts Permitted Investments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2.11.</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Series 2023-8 Demand Notes Constitute Additional Collateral for Series</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70"/>
        </w:trPr>
        <w:tc>
          <w:tcPr>
            <w:tcW w:w="1560" w:type="dxa"/>
            <w:vAlign w:val="bottom"/>
          </w:tcPr>
          <w:p>
            <w:pPr>
              <w:spacing w:after="0"/>
              <w:rPr>
                <w:sz w:val="23"/>
                <w:szCs w:val="23"/>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2023-8 Senior Notes</w:t>
            </w:r>
          </w:p>
        </w:tc>
        <w:tc>
          <w:tcPr>
            <w:tcW w:w="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2.12.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Subordination of the Class B Notes, Class C Notes, Class D Notes and the</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Class R 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AMORTIZATION EVENTS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0" w:type="dxa"/>
            <w:vAlign w:val="bottom"/>
          </w:tcPr>
          <w:p>
            <w:pPr>
              <w:spacing w:after="0"/>
              <w:rPr>
                <w:sz w:val="1"/>
                <w:szCs w:val="1"/>
                <w:color w:val="auto"/>
              </w:rPr>
            </w:pPr>
          </w:p>
        </w:tc>
      </w:tr>
      <w:tr>
        <w:trPr>
          <w:trHeight w:val="365"/>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FORM OF SERIES 2023-8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4.1.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Restricted Global Series 2023-8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16"/>
        </w:trPr>
        <w:tc>
          <w:tcPr>
            <w:tcW w:w="156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Section 4.2.</w:t>
            </w:r>
          </w:p>
        </w:tc>
        <w:tc>
          <w:tcPr>
            <w:tcW w:w="9100" w:type="dxa"/>
            <w:vAlign w:val="bottom"/>
          </w:tcPr>
          <w:p>
            <w:pPr>
              <w:ind w:left="260"/>
              <w:spacing w:after="0" w:line="217" w:lineRule="exact"/>
              <w:rPr>
                <w:sz w:val="20"/>
                <w:szCs w:val="20"/>
                <w:color w:val="auto"/>
              </w:rPr>
            </w:pPr>
            <w:r>
              <w:rPr>
                <w:rFonts w:ascii="Times New Roman" w:cs="Times New Roman" w:eastAsia="Times New Roman" w:hAnsi="Times New Roman"/>
                <w:sz w:val="22"/>
                <w:szCs w:val="22"/>
                <w:color w:val="auto"/>
              </w:rPr>
              <w:t>Temporary Global Series 2023-8 Notes; Permanent Global Series 2023-8</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74</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Notes</w:t>
            </w: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GENERAL</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35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Optional Repurchase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Ratification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Counterparts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Governing Law</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5.8.</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Discharge of Base Indenture</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5.9.</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Notice to Rating Agencies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5.10.</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Capitalization of ABRCF</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5.11.</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Required Noteholders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5.12.</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2023-8 Demand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5.13.</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Termination of Supplement</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5.14.</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Noteholder Consent to Certain Amendments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5.15.</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70"/>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5.16.</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Confidential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82"/>
        </w:trPr>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5.17.</w:t>
            </w:r>
          </w:p>
        </w:tc>
        <w:tc>
          <w:tcPr>
            <w:tcW w:w="91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[Reserved]</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0"/>
          <w:szCs w:val="10"/>
          <w:color w:val="auto"/>
        </w:rPr>
        <w:t>AMERICAS 130188170</w:t>
      </w:r>
    </w:p>
    <w:p>
      <w:pPr>
        <w:sectPr>
          <w:pgSz w:w="11900" w:h="16838" w:orient="portrait"/>
          <w:cols w:equalWidth="0" w:num="1">
            <w:col w:w="11220"/>
          </w:cols>
          <w:pgMar w:left="340" w:top="125" w:right="339" w:bottom="1440" w:gutter="0" w:footer="0" w:header="0"/>
          <w:type w:val="continuous"/>
        </w:sectPr>
      </w:pPr>
    </w:p>
    <w:bookmarkStart w:id="499" w:name="page500"/>
    <w:bookmarkEnd w:id="499"/>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00" w:type="dxa"/>
        <w:tblCellMar>
          <w:top w:w="0" w:type="dxa"/>
          <w:left w:w="0" w:type="dxa"/>
          <w:bottom w:w="0" w:type="dxa"/>
          <w:right w:w="0" w:type="dxa"/>
        </w:tblCellMar>
      </w:tblP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5.18.</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Further Limitation of Liability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5.19.</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Series 2023-8 Agent</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5.20.</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Force Majeure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5.21.</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Waiver of Jury Trial, etc</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5.22.</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Submission to Jurisdiction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w:t>
            </w: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Section 5.23.</w:t>
            </w:r>
          </w:p>
        </w:tc>
        <w:tc>
          <w:tcPr>
            <w:tcW w:w="67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Additional Terms of the Series 2023-8 Notes</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130188170</w:t>
      </w:r>
    </w:p>
    <w:p>
      <w:pPr>
        <w:sectPr>
          <w:pgSz w:w="11900" w:h="16838" w:orient="portrait"/>
          <w:cols w:equalWidth="0" w:num="1">
            <w:col w:w="11160"/>
          </w:cols>
          <w:pgMar w:left="400" w:top="368" w:right="339" w:bottom="1440" w:gutter="0" w:footer="0" w:header="0"/>
        </w:sectPr>
      </w:pPr>
    </w:p>
    <w:bookmarkStart w:id="500" w:name="page501"/>
    <w:bookmarkEnd w:id="50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Brian J. Choi, certify that:</w:t>
      </w:r>
    </w:p>
    <w:p>
      <w:pPr>
        <w:spacing w:after="0" w:line="90" w:lineRule="exact"/>
        <w:rPr>
          <w:sz w:val="20"/>
          <w:szCs w:val="20"/>
          <w:color w:val="auto"/>
        </w:rPr>
      </w:pPr>
    </w:p>
    <w:p>
      <w:pPr>
        <w:ind w:left="640" w:hanging="308"/>
        <w:spacing w:after="0"/>
        <w:tabs>
          <w:tab w:leader="none" w:pos="64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4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4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2025</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Brian J.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17780</wp:posOffset>
            </wp:positionV>
            <wp:extent cx="286321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0" w:right="339" w:bottom="1440" w:gutter="0" w:footer="0" w:header="0"/>
        </w:sectPr>
      </w:pPr>
    </w:p>
    <w:bookmarkStart w:id="501" w:name="page502"/>
    <w:bookmarkEnd w:id="50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Daniel Cresitan Cunha, certify that:</w:t>
      </w:r>
    </w:p>
    <w:p>
      <w:pPr>
        <w:spacing w:after="0" w:line="171" w:lineRule="exact"/>
        <w:rPr>
          <w:sz w:val="20"/>
          <w:szCs w:val="20"/>
          <w:color w:val="auto"/>
        </w:rPr>
      </w:pPr>
    </w:p>
    <w:p>
      <w:pPr>
        <w:ind w:left="640" w:hanging="308"/>
        <w:spacing w:after="0"/>
        <w:tabs>
          <w:tab w:leader="none" w:pos="64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4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47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47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4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4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4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2025</w:t>
      </w:r>
    </w:p>
    <w:p>
      <w:pPr>
        <w:spacing w:after="0" w:line="266"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/s/</w:t>
        <w:tab/>
        <w:t>Daniel Cresitan Cunha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17780</wp:posOffset>
            </wp:positionV>
            <wp:extent cx="4166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502" w:name="page503"/>
    <w:bookmarkEnd w:id="50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June 30, 2025, as filed with the Securities and Exchange Commission on the date hereof (the “Report”), Brian J. Choi, as Chief Executive Officer of the Company, and Daniel Cresitan Cunha, as Chief Financial Officer of the Company, each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640" w:hanging="308"/>
        <w:spacing w:after="0"/>
        <w:tabs>
          <w:tab w:leader="none" w:pos="64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J. CHOI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J.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30, 2025</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DANIEL CRESITAN CUNHA</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Daniel Cresitan Cunha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30, 2025</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C5BB4F"/>
    <w:multiLevelType w:val="hybridMultilevel"/>
    <w:lvl w:ilvl="0">
      <w:lvlJc w:val="left"/>
      <w:lvlText w:val="☒"/>
      <w:numFmt w:val="bullet"/>
      <w:start w:val="1"/>
    </w:lvl>
  </w:abstractNum>
  <w:abstractNum w:abstractNumId="1">
    <w:nsid w:val="1803D089"/>
    <w:multiLevelType w:val="hybridMultilevel"/>
    <w:lvl w:ilvl="0">
      <w:lvlJc w:val="left"/>
      <w:lvlText w:val="☐"/>
      <w:numFmt w:val="bullet"/>
      <w:start w:val="1"/>
    </w:lvl>
  </w:abstractNum>
  <w:abstractNum w:abstractNumId="2">
    <w:nsid w:val="4F3A06D4"/>
    <w:multiLevelType w:val="hybridMultilevel"/>
    <w:lvl w:ilvl="0">
      <w:lvlJc w:val="left"/>
      <w:lvlText w:val="•"/>
      <w:numFmt w:val="bullet"/>
      <w:start w:val="1"/>
    </w:lvl>
  </w:abstractNum>
  <w:abstractNum w:abstractNumId="3">
    <w:nsid w:val="59A377B6"/>
    <w:multiLevelType w:val="hybridMultilevel"/>
    <w:lvl w:ilvl="0">
      <w:lvlJc w:val="left"/>
      <w:lvlText w:val="•"/>
      <w:numFmt w:val="bullet"/>
      <w:start w:val="1"/>
    </w:lvl>
  </w:abstractNum>
  <w:abstractNum w:abstractNumId="4">
    <w:nsid w:val="48AEB063"/>
    <w:multiLevelType w:val="hybridMultilevel"/>
    <w:lvl w:ilvl="0">
      <w:lvlJc w:val="left"/>
      <w:lvlText w:val="%1."/>
      <w:numFmt w:val="decimal"/>
      <w:start w:val="1"/>
    </w:lvl>
  </w:abstractNum>
  <w:abstractNum w:abstractNumId="5">
    <w:nsid w:val="24E135"/>
    <w:multiLevelType w:val="hybridMultilevel"/>
    <w:lvl w:ilvl="0">
      <w:lvlJc w:val="left"/>
      <w:lvlText w:val="•"/>
      <w:numFmt w:val="bullet"/>
      <w:start w:val="1"/>
    </w:lvl>
  </w:abstractNum>
  <w:abstractNum w:abstractNumId="6">
    <w:nsid w:val="BB13C1"/>
    <w:multiLevelType w:val="hybridMultilevel"/>
    <w:lvl w:ilvl="0">
      <w:lvlJc w:val="left"/>
      <w:lvlText w:val="(%1)"/>
      <w:numFmt w:val="lowerLetter"/>
      <w:start w:val="1"/>
    </w:lvl>
  </w:abstractNum>
  <w:abstractNum w:abstractNumId="7">
    <w:nsid w:val="271210C7"/>
    <w:multiLevelType w:val="hybridMultilevel"/>
    <w:lvl w:ilvl="0">
      <w:lvlJc w:val="left"/>
      <w:lvlText w:val="(%1)"/>
      <w:numFmt w:val="lowerLetter"/>
      <w:start w:val="1"/>
    </w:lvl>
  </w:abstractNum>
  <w:abstractNum w:abstractNumId="8">
    <w:nsid w:val="217B22E4"/>
    <w:multiLevelType w:val="hybridMultilevel"/>
    <w:lvl w:ilvl="0">
      <w:lvlJc w:val="left"/>
      <w:lvlText w:val="%1."/>
      <w:numFmt w:val="decimal"/>
      <w:start w:val="2"/>
    </w:lvl>
  </w:abstractNum>
  <w:abstractNum w:abstractNumId="9">
    <w:nsid w:val="53E31A24"/>
    <w:multiLevelType w:val="hybridMultilevel"/>
    <w:lvl w:ilvl="0">
      <w:lvlJc w:val="left"/>
      <w:lvlText w:val="(%1)"/>
      <w:numFmt w:val="lowerLetter"/>
      <w:start w:val="1"/>
    </w:lvl>
  </w:abstractNum>
  <w:abstractNum w:abstractNumId="10">
    <w:nsid w:val="6DC45E83"/>
    <w:multiLevelType w:val="hybridMultilevel"/>
    <w:lvl w:ilvl="0">
      <w:lvlJc w:val="left"/>
      <w:lvlText w:val="(%1)"/>
      <w:numFmt w:val="lowerLetter"/>
      <w:start w:val="1"/>
    </w:lvl>
  </w:abstractNum>
  <w:abstractNum w:abstractNumId="11">
    <w:nsid w:val="17304A67"/>
    <w:multiLevelType w:val="hybridMultilevel"/>
    <w:lvl w:ilvl="0">
      <w:lvlJc w:val="left"/>
      <w:lvlText w:val="(%1)"/>
      <w:numFmt w:val="lowerLetter"/>
      <w:start w:val="1"/>
    </w:lvl>
  </w:abstractNum>
  <w:abstractNum w:abstractNumId="12">
    <w:nsid w:val="2BB180D8"/>
    <w:multiLevelType w:val="hybridMultilevel"/>
    <w:lvl w:ilvl="0">
      <w:lvlJc w:val="left"/>
      <w:lvlText w:val="%1."/>
      <w:numFmt w:val="decimal"/>
      <w:start w:val="3"/>
    </w:lvl>
  </w:abstractNum>
  <w:abstractNum w:abstractNumId="13">
    <w:nsid w:val="556B69ED"/>
    <w:multiLevelType w:val="hybridMultilevel"/>
    <w:lvl w:ilvl="0">
      <w:lvlJc w:val="left"/>
      <w:lvlText w:val="%1."/>
      <w:numFmt w:val="decimal"/>
      <w:start w:val="4"/>
    </w:lvl>
  </w:abstractNum>
  <w:abstractNum w:abstractNumId="14">
    <w:nsid w:val="70836196"/>
    <w:multiLevelType w:val="hybridMultilevel"/>
    <w:lvl w:ilvl="0">
      <w:lvlJc w:val="left"/>
      <w:lvlText w:val="%1"/>
      <w:numFmt w:val="decimal"/>
      <w:start w:val="1"/>
    </w:lvl>
    <w:lvl w:ilvl="1">
      <w:lvlJc w:val="left"/>
      <w:lvlText w:val="(%2)"/>
      <w:numFmt w:val="lowerLetter"/>
      <w:start w:val="1"/>
    </w:lvl>
  </w:abstractNum>
  <w:abstractNum w:abstractNumId="15">
    <w:nsid w:val="539F7F12"/>
    <w:multiLevelType w:val="hybridMultilevel"/>
    <w:lvl w:ilvl="0">
      <w:lvlJc w:val="left"/>
      <w:lvlText w:val="%1."/>
      <w:numFmt w:val="decimal"/>
      <w:start w:val="5"/>
    </w:lvl>
    <w:lvl w:ilvl="1">
      <w:lvlJc w:val="left"/>
      <w:lvlText w:val="%2"/>
      <w:numFmt w:val="lowerLetter"/>
      <w:start w:val="1"/>
    </w:lvl>
  </w:abstractNum>
  <w:abstractNum w:abstractNumId="16">
    <w:nsid w:val="2817E7EC"/>
    <w:multiLevelType w:val="hybridMultilevel"/>
    <w:lvl w:ilvl="0">
      <w:lvlJc w:val="left"/>
      <w:lvlText w:val="(%1)"/>
      <w:numFmt w:val="lowerLetter"/>
      <w:start w:val="1"/>
    </w:lvl>
  </w:abstractNum>
  <w:abstractNum w:abstractNumId="17">
    <w:nsid w:val="71482545"/>
    <w:multiLevelType w:val="hybridMultilevel"/>
    <w:lvl w:ilvl="0">
      <w:lvlJc w:val="left"/>
      <w:lvlText w:val="%1."/>
      <w:numFmt w:val="decimal"/>
      <w:start w:val="7"/>
    </w:lvl>
  </w:abstractNum>
  <w:abstractNum w:abstractNumId="18">
    <w:nsid w:val="17D78639"/>
    <w:multiLevelType w:val="hybridMultilevel"/>
    <w:lvl w:ilvl="0">
      <w:lvlJc w:val="left"/>
      <w:lvlText w:val="(%1)"/>
      <w:numFmt w:val="lowerLetter"/>
      <w:start w:val="1"/>
    </w:lvl>
  </w:abstractNum>
  <w:abstractNum w:abstractNumId="19">
    <w:nsid w:val="141D2302"/>
    <w:multiLevelType w:val="hybridMultilevel"/>
    <w:lvl w:ilvl="0">
      <w:lvlJc w:val="left"/>
      <w:lvlText w:val="(%1)"/>
      <w:numFmt w:val="lowerLetter"/>
      <w:start w:val="1"/>
    </w:lvl>
  </w:abstractNum>
  <w:abstractNum w:abstractNumId="20">
    <w:nsid w:val="407168D8"/>
    <w:multiLevelType w:val="hybridMultilevel"/>
    <w:lvl w:ilvl="0">
      <w:lvlJc w:val="left"/>
      <w:lvlText w:val="%1."/>
      <w:numFmt w:val="decimal"/>
      <w:start w:val="8"/>
    </w:lvl>
  </w:abstractNum>
  <w:abstractNum w:abstractNumId="21">
    <w:nsid w:val="6A1B45E5"/>
    <w:multiLevelType w:val="hybridMultilevel"/>
    <w:lvl w:ilvl="0">
      <w:lvlJc w:val="left"/>
      <w:lvlText w:val="%1."/>
      <w:numFmt w:val="decimal"/>
      <w:start w:val="10"/>
    </w:lvl>
  </w:abstractNum>
  <w:abstractNum w:abstractNumId="22">
    <w:nsid w:val="567BD50A"/>
    <w:multiLevelType w:val="hybridMultilevel"/>
    <w:lvl w:ilvl="0">
      <w:lvlJc w:val="left"/>
      <w:lvlText w:val="(%1)"/>
      <w:numFmt w:val="lowerLetter"/>
      <w:start w:val="1"/>
    </w:lvl>
  </w:abstractNum>
  <w:abstractNum w:abstractNumId="23">
    <w:nsid w:val="73BBD7F8"/>
    <w:multiLevelType w:val="hybridMultilevel"/>
    <w:lvl w:ilvl="0">
      <w:lvlJc w:val="left"/>
      <w:lvlText w:val="(%1)"/>
      <w:numFmt w:val="lowerLetter"/>
      <w:start w:val="1"/>
    </w:lvl>
  </w:abstractNum>
  <w:abstractNum w:abstractNumId="24">
    <w:nsid w:val="1876589D"/>
    <w:multiLevelType w:val="hybridMultilevel"/>
    <w:lvl w:ilvl="0">
      <w:lvlJc w:val="left"/>
      <w:lvlText w:val="%1."/>
      <w:numFmt w:val="decimal"/>
      <w:start w:val="11"/>
    </w:lvl>
  </w:abstractNum>
  <w:abstractNum w:abstractNumId="25">
    <w:nsid w:val="327FAC77"/>
    <w:multiLevelType w:val="hybridMultilevel"/>
    <w:lvl w:ilvl="0">
      <w:lvlJc w:val="left"/>
      <w:lvlText w:val="(%1)"/>
      <w:numFmt w:val="lowerLetter"/>
      <w:start w:val="1"/>
    </w:lvl>
  </w:abstractNum>
  <w:abstractNum w:abstractNumId="26">
    <w:nsid w:val="5A606509"/>
    <w:multiLevelType w:val="hybridMultilevel"/>
    <w:lvl w:ilvl="0">
      <w:lvlJc w:val="left"/>
      <w:lvlText w:val="$"/>
      <w:numFmt w:val="bullet"/>
      <w:start w:val="1"/>
    </w:lvl>
  </w:abstractNum>
  <w:abstractNum w:abstractNumId="27">
    <w:nsid w:val="6F38E6D1"/>
    <w:multiLevelType w:val="hybridMultilevel"/>
    <w:lvl w:ilvl="0">
      <w:lvlJc w:val="left"/>
      <w:lvlText w:val="$"/>
      <w:numFmt w:val="bullet"/>
      <w:start w:val="1"/>
    </w:lvl>
  </w:abstractNum>
  <w:abstractNum w:abstractNumId="28">
    <w:nsid w:val="46111BA5"/>
    <w:multiLevelType w:val="hybridMultilevel"/>
    <w:lvl w:ilvl="0">
      <w:lvlJc w:val="left"/>
      <w:lvlText w:val="(%1)"/>
      <w:numFmt w:val="lowerLetter"/>
      <w:start w:val="1"/>
    </w:lvl>
  </w:abstractNum>
  <w:abstractNum w:abstractNumId="29">
    <w:nsid w:val="5E963896"/>
    <w:multiLevelType w:val="hybridMultilevel"/>
    <w:lvl w:ilvl="0">
      <w:lvlJc w:val="left"/>
      <w:lvlText w:val="(%1)"/>
      <w:numFmt w:val="lowerLetter"/>
      <w:start w:val="1"/>
    </w:lvl>
  </w:abstractNum>
  <w:abstractNum w:abstractNumId="30">
    <w:nsid w:val="775BA7C1"/>
    <w:multiLevelType w:val="hybridMultilevel"/>
    <w:lvl w:ilvl="0">
      <w:lvlJc w:val="left"/>
      <w:lvlText w:val="%1."/>
      <w:numFmt w:val="decimal"/>
      <w:start w:val="12"/>
    </w:lvl>
  </w:abstractNum>
  <w:abstractNum w:abstractNumId="31">
    <w:nsid w:val="1DD6D6F4"/>
    <w:multiLevelType w:val="hybridMultilevel"/>
    <w:lvl w:ilvl="0">
      <w:lvlJc w:val="left"/>
      <w:lvlText w:val="%1."/>
      <w:numFmt w:val="decimal"/>
      <w:start w:val="13"/>
    </w:lvl>
  </w:abstractNum>
  <w:abstractNum w:abstractNumId="32">
    <w:nsid w:val="769A091F"/>
    <w:multiLevelType w:val="hybridMultilevel"/>
    <w:lvl w:ilvl="0">
      <w:lvlJc w:val="left"/>
      <w:lvlText w:val="(%1)"/>
      <w:numFmt w:val="lowerLetter"/>
      <w:start w:val="1"/>
    </w:lvl>
  </w:abstractNum>
  <w:abstractNum w:abstractNumId="33">
    <w:nsid w:val="4695AE95"/>
    <w:multiLevelType w:val="hybridMultilevel"/>
    <w:lvl w:ilvl="0">
      <w:lvlJc w:val="left"/>
      <w:lvlText w:val="(%1)"/>
      <w:numFmt w:val="lowerLetter"/>
      <w:start w:val="1"/>
    </w:lvl>
  </w:abstractNum>
  <w:abstractNum w:abstractNumId="34">
    <w:nsid w:val="777A4EAA"/>
    <w:multiLevelType w:val="hybridMultilevel"/>
    <w:lvl w:ilvl="0">
      <w:lvlJc w:val="left"/>
      <w:lvlText w:val="%1."/>
      <w:numFmt w:val="decimal"/>
      <w:start w:val="14"/>
    </w:lvl>
  </w:abstractNum>
  <w:abstractNum w:abstractNumId="35">
    <w:nsid w:val="3F48B982"/>
    <w:multiLevelType w:val="hybridMultilevel"/>
    <w:lvl w:ilvl="0">
      <w:lvlJc w:val="left"/>
      <w:lvlText w:val="(%1)"/>
      <w:numFmt w:val="lowerLetter"/>
      <w:start w:val="1"/>
    </w:lvl>
  </w:abstractNum>
  <w:abstractNum w:abstractNumId="36">
    <w:nsid w:val="46BA8FCA"/>
    <w:multiLevelType w:val="hybridMultilevel"/>
    <w:lvl w:ilvl="0">
      <w:lvlJc w:val="left"/>
      <w:lvlText w:val="%1."/>
      <w:numFmt w:val="decimal"/>
      <w:start w:val="15"/>
    </w:lvl>
  </w:abstractNum>
  <w:abstractNum w:abstractNumId="37">
    <w:nsid w:val="7835626C"/>
    <w:multiLevelType w:val="hybridMultilevel"/>
    <w:lvl w:ilvl="0">
      <w:lvlJc w:val="left"/>
      <w:lvlText w:val="%1"/>
      <w:numFmt w:val="decimal"/>
      <w:start w:val="1"/>
    </w:lvl>
    <w:lvl w:ilvl="1">
      <w:lvlJc w:val="left"/>
      <w:lvlText w:val="(%2)"/>
      <w:numFmt w:val="lowerLetter"/>
      <w:start w:val="1"/>
    </w:lvl>
  </w:abstractNum>
  <w:abstractNum w:abstractNumId="38">
    <w:nsid w:val="665ACA49"/>
    <w:multiLevelType w:val="hybridMultilevel"/>
    <w:lvl w:ilvl="0">
      <w:lvlJc w:val="left"/>
      <w:lvlText w:val="%1."/>
      <w:numFmt w:val="decimal"/>
      <w:start w:val="16"/>
    </w:lvl>
    <w:lvl w:ilvl="1">
      <w:lvlJc w:val="left"/>
      <w:lvlText w:val="%2"/>
      <w:numFmt w:val="lowerLetter"/>
      <w:start w:val="1"/>
    </w:lvl>
  </w:abstractNum>
  <w:abstractNum w:abstractNumId="39">
    <w:nsid w:val="6835B2AE"/>
    <w:multiLevelType w:val="hybridMultilevel"/>
    <w:lvl w:ilvl="0">
      <w:lvlJc w:val="left"/>
      <w:lvlText w:val="(%1)"/>
      <w:numFmt w:val="lowerLetter"/>
      <w:start w:val="1"/>
    </w:lvl>
  </w:abstractNum>
  <w:abstractNum w:abstractNumId="40">
    <w:nsid w:val="4C187C90"/>
    <w:multiLevelType w:val="hybridMultilevel"/>
    <w:lvl w:ilvl="0">
      <w:lvlJc w:val="left"/>
      <w:lvlText w:val="(%1)"/>
      <w:numFmt w:val="lowerLetter"/>
      <w:start w:val="1"/>
    </w:lvl>
  </w:abstractNum>
  <w:abstractNum w:abstractNumId="41">
    <w:nsid w:val="541F28CD"/>
    <w:multiLevelType w:val="hybridMultilevel"/>
    <w:lvl w:ilvl="0">
      <w:lvlJc w:val="left"/>
      <w:lvlText w:val="(%1)"/>
      <w:numFmt w:val="lowerLetter"/>
      <w:start w:val="1"/>
    </w:lvl>
  </w:abstractNum>
  <w:abstractNum w:abstractNumId="42">
    <w:nsid w:val="7F65FD16"/>
    <w:multiLevelType w:val="hybridMultilevel"/>
    <w:lvl w:ilvl="0">
      <w:lvlJc w:val="left"/>
      <w:lvlText w:val="%1"/>
      <w:numFmt w:val="decimal"/>
      <w:start w:val="1"/>
    </w:lvl>
    <w:lvl w:ilvl="1">
      <w:lvlJc w:val="left"/>
      <w:lvlText w:val="(%2)"/>
      <w:numFmt w:val="lowerLetter"/>
      <w:start w:val="1"/>
    </w:lvl>
  </w:abstractNum>
  <w:abstractNum w:abstractNumId="43">
    <w:nsid w:val="77C9FD68"/>
    <w:multiLevelType w:val="hybridMultilevel"/>
    <w:lvl w:ilvl="0">
      <w:lvlJc w:val="left"/>
      <w:lvlText w:val="%1."/>
      <w:numFmt w:val="decimal"/>
      <w:start w:val="17"/>
    </w:lvl>
    <w:lvl w:ilvl="1">
      <w:lvlJc w:val="left"/>
      <w:lvlText w:val="%2"/>
      <w:numFmt w:val="lowerLetter"/>
      <w:start w:val="1"/>
    </w:lvl>
  </w:abstractNum>
  <w:abstractNum w:abstractNumId="44">
    <w:nsid w:val="298A92BA"/>
    <w:multiLevelType w:val="hybridMultilevel"/>
    <w:lvl w:ilvl="0">
      <w:lvlJc w:val="left"/>
      <w:lvlText w:val="(%1)"/>
      <w:numFmt w:val="lowerLetter"/>
      <w:start w:val="1"/>
    </w:lvl>
  </w:abstractNum>
  <w:abstractNum w:abstractNumId="45">
    <w:nsid w:val="6FE95EAC"/>
    <w:multiLevelType w:val="hybridMultilevel"/>
    <w:lvl w:ilvl="0">
      <w:lvlJc w:val="left"/>
      <w:lvlText w:val="(%1)"/>
      <w:numFmt w:val="lowerLetter"/>
      <w:start w:val="1"/>
    </w:lvl>
  </w:abstractNum>
  <w:abstractNum w:abstractNumId="46">
    <w:nsid w:val="4B697C7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7">
    <w:nsid w:val="51A27AA6"/>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48">
    <w:nsid w:val="613183F2"/>
    <w:multiLevelType w:val="hybridMultilevel"/>
    <w:lvl w:ilvl="0">
      <w:lvlJc w:val="left"/>
      <w:lvlText w:val="•"/>
      <w:numFmt w:val="bullet"/>
      <w:start w:val="1"/>
    </w:lvl>
  </w:abstractNum>
  <w:abstractNum w:abstractNumId="49">
    <w:nsid w:val="634102B4"/>
    <w:multiLevelType w:val="hybridMultilevel"/>
    <w:lvl w:ilvl="0">
      <w:lvlJc w:val="left"/>
      <w:lvlText w:val="(%1)"/>
      <w:numFmt w:val="lowerLetter"/>
      <w:start w:val="1"/>
    </w:lvl>
  </w:abstractNum>
  <w:abstractNum w:abstractNumId="50">
    <w:nsid w:val="65BF9DA8"/>
    <w:multiLevelType w:val="hybridMultilevel"/>
    <w:lvl w:ilvl="0">
      <w:lvlJc w:val="left"/>
      <w:lvlText w:val="(%1)"/>
      <w:numFmt w:val="lowerLetter"/>
      <w:start w:val="1"/>
    </w:lvl>
  </w:abstractNum>
  <w:abstractNum w:abstractNumId="51">
    <w:nsid w:val="21A2ECCA"/>
    <w:multiLevelType w:val="hybridMultilevel"/>
    <w:lvl w:ilvl="0">
      <w:lvlJc w:val="left"/>
      <w:lvlText w:val="(%1)"/>
      <w:numFmt w:val="lowerLetter"/>
      <w:start w:val="1"/>
    </w:lvl>
  </w:abstractNum>
  <w:abstractNum w:abstractNumId="52">
    <w:nsid w:val="4D5C4899"/>
    <w:multiLevelType w:val="hybridMultilevel"/>
    <w:lvl w:ilvl="0">
      <w:lvlJc w:val="left"/>
      <w:lvlText w:val="†"/>
      <w:numFmt w:val="bullet"/>
      <w:start w:val="1"/>
    </w:lvl>
  </w:abstractNum>
  <w:abstractNum w:abstractNumId="53">
    <w:nsid w:val="3C3B72B2"/>
    <w:multiLevelType w:val="hybridMultilevel"/>
    <w:lvl w:ilvl="0">
      <w:lvlJc w:val="left"/>
      <w:lvlText w:val="(%1)"/>
      <w:numFmt w:val="lowerLetter"/>
      <w:start w:val="1"/>
    </w:lvl>
  </w:abstractNum>
  <w:abstractNum w:abstractNumId="54">
    <w:nsid w:val="155EC4C2"/>
    <w:multiLevelType w:val="hybridMultilevel"/>
    <w:lvl w:ilvl="0">
      <w:lvlJc w:val="left"/>
      <w:lvlText w:val="(%1)"/>
      <w:numFmt w:val="lowerRoman"/>
      <w:start w:val="2"/>
    </w:lvl>
  </w:abstractNum>
  <w:abstractNum w:abstractNumId="55">
    <w:nsid w:val="65D2A137"/>
    <w:multiLevelType w:val="hybridMultilevel"/>
    <w:lvl w:ilvl="0">
      <w:lvlJc w:val="left"/>
      <w:lvlText w:val="(%1)"/>
      <w:numFmt w:val="lowerLetter"/>
      <w:start w:val="25"/>
    </w:lvl>
  </w:abstractNum>
  <w:abstractNum w:abstractNumId="56">
    <w:nsid w:val="6EBB1F2A"/>
    <w:multiLevelType w:val="hybridMultilevel"/>
    <w:lvl w:ilvl="0">
      <w:lvlJc w:val="left"/>
      <w:lvlText w:val="(%1)"/>
      <w:numFmt w:val="upperLetter"/>
      <w:start w:val="2"/>
    </w:lvl>
  </w:abstractNum>
  <w:abstractNum w:abstractNumId="57">
    <w:nsid w:val="6FBF29CB"/>
    <w:multiLevelType w:val="hybridMultilevel"/>
    <w:lvl w:ilvl="0">
      <w:lvlJc w:val="left"/>
      <w:lvlText w:val="(%1)"/>
      <w:numFmt w:val="upperLetter"/>
      <w:start w:val="1"/>
    </w:lvl>
  </w:abstractNum>
  <w:abstractNum w:abstractNumId="58">
    <w:nsid w:val="550B8808"/>
    <w:multiLevelType w:val="hybridMultilevel"/>
    <w:lvl w:ilvl="0">
      <w:lvlJc w:val="left"/>
      <w:lvlText w:val="(%1)"/>
      <w:numFmt w:val="lowerLetter"/>
      <w:start w:val="1"/>
    </w:lvl>
  </w:abstractNum>
  <w:abstractNum w:abstractNumId="59">
    <w:nsid w:val="34CC3ACF"/>
    <w:multiLevelType w:val="hybridMultilevel"/>
    <w:lvl w:ilvl="0">
      <w:lvlJc w:val="left"/>
      <w:lvlText w:val="(%1)"/>
      <w:numFmt w:val="lowerLetter"/>
      <w:start w:val="2"/>
    </w:lvl>
  </w:abstractNum>
  <w:abstractNum w:abstractNumId="60">
    <w:nsid w:val="4E556261"/>
    <w:multiLevelType w:val="hybridMultilevel"/>
    <w:lvl w:ilvl="0">
      <w:lvlJc w:val="left"/>
      <w:lvlText w:val="(%1)"/>
      <w:numFmt w:val="lowerRoman"/>
      <w:start w:val="1"/>
    </w:lvl>
  </w:abstractNum>
  <w:abstractNum w:abstractNumId="61">
    <w:nsid w:val="4C672FC9"/>
    <w:multiLevelType w:val="hybridMultilevel"/>
    <w:lvl w:ilvl="0">
      <w:lvlJc w:val="left"/>
      <w:lvlText w:val="(%1)"/>
      <w:numFmt w:val="lowerRoman"/>
      <w:start w:val="1"/>
    </w:lvl>
  </w:abstractNum>
  <w:abstractNum w:abstractNumId="62">
    <w:nsid w:val="52A311C3"/>
    <w:multiLevelType w:val="hybridMultilevel"/>
    <w:lvl w:ilvl="0">
      <w:lvlJc w:val="left"/>
      <w:lvlText w:val="(%1)"/>
      <w:numFmt w:val="lowerRoman"/>
      <w:start w:val="3"/>
    </w:lvl>
  </w:abstractNum>
  <w:abstractNum w:abstractNumId="63">
    <w:nsid w:val="44EF6B80"/>
    <w:multiLevelType w:val="hybridMultilevel"/>
    <w:lvl w:ilvl="0">
      <w:lvlJc w:val="left"/>
      <w:lvlText w:val="(%1)"/>
      <w:numFmt w:val="lowerLetter"/>
      <w:start w:val="3"/>
    </w:lvl>
  </w:abstractNum>
  <w:abstractNum w:abstractNumId="64">
    <w:nsid w:val="12FCDE5E"/>
    <w:multiLevelType w:val="hybridMultilevel"/>
    <w:lvl w:ilvl="0">
      <w:lvlJc w:val="left"/>
      <w:lvlText w:val="(%1)"/>
      <w:numFmt w:val="lowerLetter"/>
      <w:start w:val="2"/>
    </w:lvl>
  </w:abstractNum>
  <w:abstractNum w:abstractNumId="65">
    <w:nsid w:val="4A1D606E"/>
    <w:multiLevelType w:val="hybridMultilevel"/>
    <w:lvl w:ilvl="0">
      <w:lvlJc w:val="left"/>
      <w:lvlText w:val="(%1)"/>
      <w:numFmt w:val="lowerLetter"/>
      <w:start w:val="1"/>
    </w:lvl>
    <w:lvl w:ilvl="1">
      <w:lvlJc w:val="left"/>
      <w:lvlText w:val="(%2)"/>
      <w:numFmt w:val="lowerLetter"/>
      <w:start w:val="9"/>
    </w:lvl>
  </w:abstractNum>
  <w:abstractNum w:abstractNumId="66">
    <w:nsid w:val="438250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67">
    <w:nsid w:val="59B76E28"/>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9"/>
    </w:lvl>
  </w:abstractNum>
  <w:abstractNum w:abstractNumId="68">
    <w:nsid w:val="4252C2DA"/>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35"/>
    </w:lvl>
  </w:abstractNum>
  <w:abstractNum w:abstractNumId="69">
    <w:nsid w:val="6A92EF4C"/>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70">
    <w:nsid w:val="41ED20D7"/>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71">
    <w:nsid w:val="E6B3F6A"/>
    <w:multiLevelType w:val="hybridMultilevel"/>
    <w:lvl w:ilvl="0">
      <w:lvlJc w:val="left"/>
      <w:lvlText w:val="(%1)"/>
      <w:numFmt w:val="lowerRoman"/>
      <w:start w:val="2"/>
    </w:lvl>
  </w:abstractNum>
  <w:abstractNum w:abstractNumId="72">
    <w:nsid w:val="3EB21819"/>
    <w:multiLevelType w:val="hybridMultilevel"/>
    <w:lvl w:ilvl="0">
      <w:lvlJc w:val="left"/>
      <w:lvlText w:val="(%1)"/>
      <w:numFmt w:val="lowerLetter"/>
      <w:start w:val="4"/>
    </w:lvl>
  </w:abstractNum>
  <w:abstractNum w:abstractNumId="73">
    <w:nsid w:val="41531DED"/>
    <w:multiLevelType w:val="hybridMultilevel"/>
    <w:lvl w:ilvl="0">
      <w:lvlJc w:val="left"/>
      <w:lvlText w:val="(%1)"/>
      <w:numFmt w:val="lowerRoman"/>
      <w:start w:val="1"/>
    </w:lvl>
  </w:abstractNum>
  <w:abstractNum w:abstractNumId="74">
    <w:nsid w:val="6353CD2"/>
    <w:multiLevelType w:val="hybridMultilevel"/>
    <w:lvl w:ilvl="0">
      <w:lvlJc w:val="left"/>
      <w:lvlText w:val="%1"/>
      <w:numFmt w:val="lowerLetter"/>
      <w:start w:val="1"/>
    </w:lvl>
    <w:lvl w:ilvl="1">
      <w:lvlJc w:val="left"/>
      <w:lvlText w:val="(%2)"/>
      <w:numFmt w:val="lowerLetter"/>
      <w:start w:val="5"/>
    </w:lvl>
  </w:abstractNum>
  <w:abstractNum w:abstractNumId="75">
    <w:nsid w:val="683CAAD3"/>
    <w:multiLevelType w:val="hybridMultilevel"/>
    <w:lvl w:ilvl="0">
      <w:lvlJc w:val="left"/>
      <w:lvlText w:val="(%1)"/>
      <w:numFmt w:val="lowerLetter"/>
      <w:start w:val="24"/>
    </w:lvl>
    <w:lvl w:ilvl="1">
      <w:lvlJc w:val="left"/>
      <w:lvlText w:val="(%2)"/>
      <w:numFmt w:val="lowerLetter"/>
      <w:start w:val="6"/>
    </w:lvl>
  </w:abstractNum>
  <w:abstractNum w:abstractNumId="76">
    <w:nsid w:val="313C7C99"/>
    <w:multiLevelType w:val="hybridMultilevel"/>
    <w:lvl w:ilvl="0">
      <w:lvlJc w:val="left"/>
      <w:lvlText w:val="%1"/>
      <w:numFmt w:val="lowerRoman"/>
      <w:start w:val="1"/>
    </w:lvl>
    <w:lvl w:ilvl="1">
      <w:lvlJc w:val="left"/>
      <w:lvlText w:val="(%2)"/>
      <w:numFmt w:val="lowerRoman"/>
      <w:start w:val="1"/>
    </w:lvl>
  </w:abstractNum>
  <w:abstractNum w:abstractNumId="77">
    <w:nsid w:val="519EB94C"/>
    <w:multiLevelType w:val="hybridMultilevel"/>
    <w:lvl w:ilvl="0">
      <w:lvlJc w:val="left"/>
      <w:lvlText w:val="(%1)"/>
      <w:numFmt w:val="lowerRoman"/>
      <w:start w:val="1"/>
    </w:lvl>
    <w:lvl w:ilvl="1">
      <w:lvlJc w:val="left"/>
      <w:lvlText w:val="(%2)"/>
      <w:numFmt w:val="lowerRoman"/>
      <w:start w:val="3"/>
    </w:lvl>
  </w:abstractNum>
  <w:abstractNum w:abstractNumId="78">
    <w:nsid w:val="39DF2579"/>
    <w:multiLevelType w:val="hybridMultilevel"/>
    <w:lvl w:ilvl="0">
      <w:lvlJc w:val="left"/>
      <w:lvlText w:val="(%1)"/>
      <w:numFmt w:val="lowerRoman"/>
      <w:start w:val="4"/>
    </w:lvl>
    <w:lvl w:ilvl="1">
      <w:lvlJc w:val="left"/>
      <w:lvlText w:val="%2"/>
      <w:numFmt w:val="lowerRoman"/>
      <w:start w:val="1"/>
    </w:lvl>
  </w:abstractNum>
  <w:abstractNum w:abstractNumId="79">
    <w:nsid w:val="126E008B"/>
    <w:multiLevelType w:val="hybridMultilevel"/>
    <w:lvl w:ilvl="0">
      <w:lvlJc w:val="left"/>
      <w:lvlText w:val="(%1)"/>
      <w:numFmt w:val="lowerRoman"/>
      <w:start w:val="6"/>
    </w:lvl>
  </w:abstractNum>
  <w:abstractNum w:abstractNumId="80">
    <w:nsid w:val="34DFBC00"/>
    <w:multiLevelType w:val="hybridMultilevel"/>
    <w:lvl w:ilvl="0">
      <w:lvlJc w:val="left"/>
      <w:lvlText w:val="%1"/>
      <w:numFmt w:val="lowerLetter"/>
      <w:start w:val="1"/>
    </w:lvl>
    <w:lvl w:ilvl="1">
      <w:lvlJc w:val="left"/>
      <w:lvlText w:val="(%2)"/>
      <w:numFmt w:val="lowerLetter"/>
      <w:start w:val="1"/>
    </w:lvl>
  </w:abstractNum>
  <w:abstractNum w:abstractNumId="81">
    <w:nsid w:val="1F9EC322"/>
    <w:multiLevelType w:val="hybridMultilevel"/>
    <w:lvl w:ilvl="0">
      <w:lvlJc w:val="left"/>
      <w:lvlText w:val="(%1)"/>
      <w:numFmt w:val="lowerLetter"/>
      <w:start w:val="61"/>
    </w:lvl>
    <w:lvl w:ilvl="1">
      <w:lvlJc w:val="left"/>
      <w:lvlText w:val="%2"/>
      <w:numFmt w:val="lowerLetter"/>
      <w:start w:val="1"/>
    </w:lvl>
  </w:abstractNum>
  <w:abstractNum w:abstractNumId="82">
    <w:nsid w:val="3410ED56"/>
    <w:multiLevelType w:val="hybridMultilevel"/>
    <w:lvl w:ilvl="0">
      <w:lvlJc w:val="left"/>
      <w:lvlText w:val="(%1)"/>
      <w:numFmt w:val="lowerLetter"/>
      <w:start w:val="2"/>
    </w:lvl>
    <w:lvl w:ilvl="1">
      <w:lvlJc w:val="left"/>
      <w:lvlText w:val="(%2)"/>
      <w:numFmt w:val="lowerLetter"/>
      <w:start w:val="9"/>
    </w:lvl>
  </w:abstractNum>
  <w:abstractNum w:abstractNumId="83">
    <w:nsid w:val="23C049A"/>
    <w:multiLevelType w:val="hybridMultilevel"/>
    <w:lvl w:ilvl="0">
      <w:lvlJc w:val="left"/>
      <w:lvlText w:val="%1"/>
      <w:numFmt w:val="lowerLetter"/>
      <w:start w:val="1"/>
    </w:lvl>
    <w:lvl w:ilvl="1">
      <w:lvlJc w:val="left"/>
      <w:lvlText w:val="(%2)"/>
      <w:numFmt w:val="lowerLetter"/>
      <w:start w:val="35"/>
    </w:lvl>
  </w:abstractNum>
  <w:abstractNum w:abstractNumId="84">
    <w:nsid w:val="5BDA35D4"/>
    <w:multiLevelType w:val="hybridMultilevel"/>
    <w:lvl w:ilvl="0">
      <w:lvlJc w:val="left"/>
      <w:lvlText w:val="(%1)"/>
      <w:numFmt w:val="lowerLetter"/>
      <w:start w:val="4"/>
    </w:lvl>
    <w:lvl w:ilvl="1">
      <w:lvlJc w:val="left"/>
      <w:lvlText w:val="(%2)"/>
      <w:numFmt w:val="lowerLetter"/>
      <w:start w:val="9"/>
    </w:lvl>
  </w:abstractNum>
  <w:abstractNum w:abstractNumId="85">
    <w:nsid w:val="496FB218"/>
    <w:multiLevelType w:val="hybridMultilevel"/>
    <w:lvl w:ilvl="0">
      <w:lvlJc w:val="left"/>
      <w:lvlText w:val="%1"/>
      <w:numFmt w:val="lowerLetter"/>
      <w:start w:val="1"/>
    </w:lvl>
    <w:lvl w:ilvl="1">
      <w:lvlJc w:val="left"/>
      <w:lvlText w:val="(%2)"/>
      <w:numFmt w:val="lowerLetter"/>
      <w:start w:val="35"/>
    </w:lvl>
  </w:abstractNum>
  <w:abstractNum w:abstractNumId="86">
    <w:nsid w:val="680EA5D1"/>
    <w:multiLevelType w:val="hybridMultilevel"/>
    <w:lvl w:ilvl="0">
      <w:lvlJc w:val="left"/>
      <w:lvlText w:val="(%1)"/>
      <w:numFmt w:val="lowerLetter"/>
      <w:start w:val="5"/>
    </w:lvl>
    <w:lvl w:ilvl="1">
      <w:lvlJc w:val="left"/>
      <w:lvlText w:val="(%2)"/>
      <w:numFmt w:val="lowerLetter"/>
      <w:start w:val="9"/>
    </w:lvl>
  </w:abstractNum>
  <w:abstractNum w:abstractNumId="87">
    <w:nsid w:val="4A9554F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88">
    <w:nsid w:val="392EDBE4"/>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89">
    <w:nsid w:val="3D1A2DD9"/>
    <w:multiLevelType w:val="hybridMultilevel"/>
    <w:lvl w:ilvl="0">
      <w:lvlJc w:val="left"/>
      <w:lvlText w:val="(%1)"/>
      <w:numFmt w:val="lowerRoman"/>
      <w:start w:val="3"/>
    </w:lvl>
  </w:abstractNum>
  <w:abstractNum w:abstractNumId="90">
    <w:nsid w:val="7F618FCD"/>
    <w:multiLevelType w:val="hybridMultilevel"/>
    <w:lvl w:ilvl="0">
      <w:lvlJc w:val="left"/>
      <w:lvlText w:val="(%1)"/>
      <w:numFmt w:val="lowerRoman"/>
      <w:start w:val="1"/>
    </w:lvl>
  </w:abstractNum>
  <w:abstractNum w:abstractNumId="91">
    <w:nsid w:val="7843E45"/>
    <w:multiLevelType w:val="hybridMultilevel"/>
    <w:lvl w:ilvl="0">
      <w:lvlJc w:val="left"/>
      <w:lvlText w:val="(%1)"/>
      <w:numFmt w:val="lowerRoman"/>
      <w:start w:val="4"/>
    </w:lvl>
  </w:abstractNum>
  <w:abstractNum w:abstractNumId="92">
    <w:nsid w:val="9815DA3"/>
    <w:multiLevelType w:val="hybridMultilevel"/>
    <w:lvl w:ilvl="0">
      <w:lvlJc w:val="left"/>
      <w:lvlText w:val="(%1)"/>
      <w:numFmt w:val="lowerLetter"/>
      <w:start w:val="2"/>
    </w:lvl>
  </w:abstractNum>
  <w:abstractNum w:abstractNumId="93">
    <w:nsid w:val="5204A191"/>
    <w:multiLevelType w:val="hybridMultilevel"/>
    <w:lvl w:ilvl="0">
      <w:lvlJc w:val="left"/>
      <w:lvlText w:val="(%1)"/>
      <w:numFmt w:val="lowerRoman"/>
      <w:start w:val="1"/>
    </w:lvl>
  </w:abstractNum>
  <w:abstractNum w:abstractNumId="94">
    <w:nsid w:val="4C73A9C6"/>
    <w:multiLevelType w:val="hybridMultilevel"/>
    <w:lvl w:ilvl="0">
      <w:lvlJc w:val="left"/>
      <w:lvlText w:val="(%1)"/>
      <w:numFmt w:val="upperLetter"/>
      <w:start w:val="2"/>
    </w:lvl>
    <w:lvl w:ilvl="1">
      <w:lvlJc w:val="left"/>
      <w:lvlText w:val="(%2)"/>
      <w:numFmt w:val="lowerRoman"/>
      <w:start w:val="2"/>
    </w:lvl>
  </w:abstractNum>
  <w:abstractNum w:abstractNumId="95">
    <w:nsid w:val="1C7E3C01"/>
    <w:multiLevelType w:val="hybridMultilevel"/>
    <w:lvl w:ilvl="0">
      <w:lvlJc w:val="left"/>
      <w:lvlText w:val="(%1)"/>
      <w:numFmt w:val="lowerRoman"/>
      <w:start w:val="3"/>
    </w:lvl>
  </w:abstractNum>
  <w:abstractNum w:abstractNumId="96">
    <w:nsid w:val="1C2201FF"/>
    <w:multiLevelType w:val="hybridMultilevel"/>
    <w:lvl w:ilvl="0">
      <w:lvlJc w:val="left"/>
      <w:lvlText w:val="(%1)"/>
      <w:numFmt w:val="lowerLetter"/>
      <w:start w:val="3"/>
    </w:lvl>
  </w:abstractNum>
  <w:abstractNum w:abstractNumId="97">
    <w:nsid w:val="50ABCEC9"/>
    <w:multiLevelType w:val="hybridMultilevel"/>
    <w:lvl w:ilvl="0">
      <w:lvlJc w:val="left"/>
      <w:lvlText w:val="(%1)"/>
      <w:numFmt w:val="lowerRoman"/>
      <w:start w:val="1"/>
    </w:lvl>
    <w:lvl w:ilvl="1">
      <w:lvlJc w:val="left"/>
      <w:lvlText w:val="(%2)"/>
      <w:numFmt w:val="decimal"/>
      <w:start w:val="1"/>
    </w:lvl>
  </w:abstractNum>
  <w:abstractNum w:abstractNumId="98">
    <w:nsid w:val="7635AA2A"/>
    <w:multiLevelType w:val="hybridMultilevel"/>
    <w:lvl w:ilvl="0">
      <w:lvlJc w:val="left"/>
      <w:lvlText w:val="(%1)"/>
      <w:numFmt w:val="decimal"/>
      <w:start w:val="2"/>
    </w:lvl>
  </w:abstractNum>
  <w:abstractNum w:abstractNumId="99">
    <w:nsid w:val="5E74C4D9"/>
    <w:multiLevelType w:val="hybridMultilevel"/>
    <w:lvl w:ilvl="0">
      <w:lvlJc w:val="left"/>
      <w:lvlText w:val="%1"/>
      <w:numFmt w:val="lowerLetter"/>
      <w:start w:val="1"/>
    </w:lvl>
    <w:lvl w:ilvl="1">
      <w:lvlJc w:val="left"/>
      <w:lvlText w:val="(%2)"/>
      <w:numFmt w:val="lowerLetter"/>
      <w:start w:val="61"/>
    </w:lvl>
  </w:abstractNum>
  <w:abstractNum w:abstractNumId="100">
    <w:nsid w:val="3B3EBE15"/>
    <w:multiLevelType w:val="hybridMultilevel"/>
    <w:lvl w:ilvl="0">
      <w:lvlJc w:val="left"/>
      <w:lvlText w:val="(%1)"/>
      <w:numFmt w:val="lowerLetter"/>
      <w:start w:val="4"/>
    </w:lvl>
    <w:lvl w:ilvl="1">
      <w:lvlJc w:val="left"/>
      <w:lvlText w:val="(%2)"/>
      <w:numFmt w:val="lowerLetter"/>
      <w:start w:val="9"/>
    </w:lvl>
  </w:abstractNum>
  <w:abstractNum w:abstractNumId="101">
    <w:nsid w:val="3822CB01"/>
    <w:multiLevelType w:val="hybridMultilevel"/>
    <w:lvl w:ilvl="0">
      <w:lvlJc w:val="left"/>
      <w:lvlText w:val="(%1)"/>
      <w:numFmt w:val="lowerRoman"/>
      <w:start w:val="2"/>
    </w:lvl>
  </w:abstractNum>
  <w:abstractNum w:abstractNumId="102">
    <w:nsid w:val="6CE00443"/>
    <w:multiLevelType w:val="hybridMultilevel"/>
    <w:lvl w:ilvl="0">
      <w:lvlJc w:val="left"/>
      <w:lvlText w:val="%1"/>
      <w:numFmt w:val="lowerLetter"/>
      <w:start w:val="1"/>
    </w:lvl>
    <w:lvl w:ilvl="1">
      <w:lvlJc w:val="left"/>
      <w:lvlText w:val="(%2)"/>
      <w:numFmt w:val="lowerLetter"/>
      <w:start w:val="61"/>
    </w:lvl>
  </w:abstractNum>
  <w:abstractNum w:abstractNumId="103">
    <w:nsid w:val="79F0D62F"/>
    <w:multiLevelType w:val="hybridMultilevel"/>
    <w:lvl w:ilvl="0">
      <w:lvlJc w:val="left"/>
      <w:lvlText w:val="(%1)"/>
      <w:numFmt w:val="lowerLetter"/>
      <w:start w:val="5"/>
    </w:lvl>
    <w:lvl w:ilvl="1">
      <w:lvlJc w:val="left"/>
      <w:lvlText w:val="(%2)"/>
      <w:numFmt w:val="lowerLetter"/>
      <w:start w:val="9"/>
    </w:lvl>
  </w:abstractNum>
  <w:abstractNum w:abstractNumId="104">
    <w:nsid w:val="7975E8EE"/>
    <w:multiLevelType w:val="hybridMultilevel"/>
    <w:lvl w:ilvl="0">
      <w:lvlJc w:val="left"/>
      <w:lvlText w:val="(%1)"/>
      <w:numFmt w:val="lowerRoman"/>
      <w:start w:val="2"/>
    </w:lvl>
  </w:abstractNum>
  <w:abstractNum w:abstractNumId="105">
    <w:nsid w:val="731541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06">
    <w:nsid w:val="622D810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07">
    <w:nsid w:val="2AB26587"/>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08">
    <w:nsid w:val="44B3FA61"/>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5"/>
    </w:lvl>
  </w:abstractNum>
  <w:abstractNum w:abstractNumId="109">
    <w:nsid w:val="1C0CA67C"/>
    <w:multiLevelType w:val="hybridMultilevel"/>
    <w:lvl w:ilvl="0">
      <w:lvlJc w:val="left"/>
      <w:lvlText w:val="(%1)"/>
      <w:numFmt w:val="lowerRoman"/>
      <w:start w:val="1"/>
    </w:lvl>
  </w:abstractNum>
  <w:abstractNum w:abstractNumId="110">
    <w:nsid w:val="3D206613"/>
    <w:multiLevelType w:val="hybridMultilevel"/>
    <w:lvl w:ilvl="0">
      <w:lvlJc w:val="left"/>
      <w:lvlText w:val="(%1)"/>
      <w:numFmt w:val="lowerRoman"/>
      <w:start w:val="3"/>
    </w:lvl>
  </w:abstractNum>
  <w:abstractNum w:abstractNumId="111">
    <w:nsid w:val="7993B662"/>
    <w:multiLevelType w:val="hybridMultilevel"/>
    <w:lvl w:ilvl="0">
      <w:lvlJc w:val="left"/>
      <w:lvlText w:val="(%1)"/>
      <w:numFmt w:val="decimal"/>
      <w:start w:val="30"/>
    </w:lvl>
    <w:lvl w:ilvl="1">
      <w:lvlJc w:val="left"/>
      <w:lvlText w:val="(%2)"/>
      <w:numFmt w:val="lowerLetter"/>
      <w:start w:val="2"/>
    </w:lvl>
  </w:abstractNum>
  <w:abstractNum w:abstractNumId="112">
    <w:nsid w:val="3BAB699E"/>
    <w:multiLevelType w:val="hybridMultilevel"/>
    <w:lvl w:ilvl="0">
      <w:lvlJc w:val="left"/>
      <w:lvlText w:val="(%1)"/>
      <w:numFmt w:val="lowerLetter"/>
      <w:start w:val="35"/>
    </w:lvl>
    <w:lvl w:ilvl="1">
      <w:lvlJc w:val="left"/>
      <w:lvlText w:val="(%2)"/>
      <w:numFmt w:val="lowerLetter"/>
      <w:start w:val="3"/>
    </w:lvl>
  </w:abstractNum>
  <w:abstractNum w:abstractNumId="113">
    <w:nsid w:val="71315369"/>
    <w:multiLevelType w:val="hybridMultilevel"/>
    <w:lvl w:ilvl="0">
      <w:lvlJc w:val="left"/>
      <w:lvlText w:val="(%1)"/>
      <w:numFmt w:val="lowerLetter"/>
      <w:start w:val="5"/>
    </w:lvl>
  </w:abstractNum>
  <w:abstractNum w:abstractNumId="114">
    <w:nsid w:val="7BCFBAFC"/>
    <w:multiLevelType w:val="hybridMultilevel"/>
    <w:lvl w:ilvl="0">
      <w:lvlJc w:val="left"/>
      <w:lvlText w:val="%1"/>
      <w:numFmt w:val="lowerLetter"/>
      <w:start w:val="1"/>
    </w:lvl>
    <w:lvl w:ilvl="1">
      <w:lvlJc w:val="left"/>
      <w:lvlText w:val="(%2)"/>
      <w:numFmt w:val="lowerLetter"/>
      <w:start w:val="8"/>
    </w:lvl>
  </w:abstractNum>
  <w:abstractNum w:abstractNumId="115">
    <w:nsid w:val="17859F72"/>
    <w:multiLevelType w:val="hybridMultilevel"/>
    <w:lvl w:ilvl="0">
      <w:lvlJc w:val="left"/>
      <w:lvlText w:val="(%1)"/>
      <w:numFmt w:val="lowerLetter"/>
      <w:start w:val="9"/>
    </w:lvl>
    <w:lvl w:ilvl="1">
      <w:lvlJc w:val="left"/>
      <w:lvlText w:val="%2"/>
      <w:numFmt w:val="lowerLetter"/>
      <w:start w:val="1"/>
    </w:lvl>
  </w:abstractNum>
  <w:abstractNum w:abstractNumId="116">
    <w:nsid w:val="3AA10581"/>
    <w:multiLevelType w:val="hybridMultilevel"/>
    <w:lvl w:ilvl="0">
      <w:lvlJc w:val="left"/>
      <w:lvlText w:val="(%1)"/>
      <w:numFmt w:val="lowerLetter"/>
      <w:start w:val="11"/>
    </w:lvl>
  </w:abstractNum>
  <w:abstractNum w:abstractNumId="117">
    <w:nsid w:val="63DE60CD"/>
    <w:multiLevelType w:val="hybridMultilevel"/>
    <w:lvl w:ilvl="0">
      <w:lvlJc w:val="left"/>
      <w:lvlText w:val="(%1)"/>
      <w:numFmt w:val="lowerRoman"/>
      <w:start w:val="3"/>
    </w:lvl>
  </w:abstractNum>
  <w:abstractNum w:abstractNumId="118">
    <w:nsid w:val="621AF471"/>
    <w:multiLevelType w:val="hybridMultilevel"/>
    <w:lvl w:ilvl="0">
      <w:lvlJc w:val="left"/>
      <w:lvlText w:val="(%1)"/>
      <w:numFmt w:val="lowerRoman"/>
      <w:start w:val="3"/>
    </w:lvl>
    <w:lvl w:ilvl="1">
      <w:lvlJc w:val="left"/>
      <w:lvlText w:val="(%2)"/>
      <w:numFmt w:val="lowerLetter"/>
      <w:start w:val="2"/>
    </w:lvl>
  </w:abstractNum>
  <w:abstractNum w:abstractNumId="119">
    <w:nsid w:val="73CFE165"/>
    <w:multiLevelType w:val="hybridMultilevel"/>
    <w:lvl w:ilvl="0">
      <w:lvlJc w:val="left"/>
      <w:lvlText w:val="(%1)"/>
      <w:numFmt w:val="lowerLetter"/>
      <w:start w:val="4"/>
    </w:lvl>
  </w:abstractNum>
  <w:abstractNum w:abstractNumId="120">
    <w:nsid w:val="20F88EA6"/>
    <w:multiLevelType w:val="hybridMultilevel"/>
    <w:lvl w:ilvl="0">
      <w:lvlJc w:val="left"/>
      <w:lvlText w:val="(%1)"/>
      <w:numFmt w:val="lowerLetter"/>
      <w:start w:val="5"/>
    </w:lvl>
  </w:abstractNum>
  <w:abstractNum w:abstractNumId="121">
    <w:nsid w:val="617C843E"/>
    <w:multiLevelType w:val="hybridMultilevel"/>
    <w:lvl w:ilvl="0">
      <w:lvlJc w:val="left"/>
      <w:lvlText w:val="(%1)"/>
      <w:numFmt w:val="lowerLetter"/>
      <w:start w:val="6"/>
    </w:lvl>
  </w:abstractNum>
  <w:abstractNum w:abstractNumId="122">
    <w:nsid w:val="7B541FAB"/>
    <w:multiLevelType w:val="hybridMultilevel"/>
    <w:lvl w:ilvl="0">
      <w:lvlJc w:val="left"/>
      <w:lvlText w:val="(%1)"/>
      <w:numFmt w:val="lowerLetter"/>
      <w:start w:val="7"/>
    </w:lvl>
  </w:abstractNum>
  <w:abstractNum w:abstractNumId="123">
    <w:nsid w:val="2A79EC49"/>
    <w:multiLevelType w:val="hybridMultilevel"/>
    <w:lvl w:ilvl="0">
      <w:lvlJc w:val="left"/>
      <w:lvlText w:val="%1"/>
      <w:numFmt w:val="lowerLetter"/>
      <w:start w:val="1"/>
    </w:lvl>
    <w:lvl w:ilvl="1">
      <w:lvlJc w:val="left"/>
      <w:lvlText w:val="(%2)"/>
      <w:numFmt w:val="lowerLetter"/>
      <w:start w:val="9"/>
    </w:lvl>
  </w:abstractNum>
  <w:abstractNum w:abstractNumId="124">
    <w:nsid w:val="338125CF"/>
    <w:multiLevelType w:val="hybridMultilevel"/>
    <w:lvl w:ilvl="0">
      <w:lvlJc w:val="left"/>
      <w:lvlText w:val="(%1)"/>
      <w:numFmt w:val="lowerLetter"/>
      <w:start w:val="9"/>
    </w:lvl>
    <w:lvl w:ilvl="1">
      <w:lvlJc w:val="left"/>
      <w:lvlText w:val="(%2)"/>
      <w:numFmt w:val="lowerLetter"/>
      <w:start w:val="10"/>
    </w:lvl>
  </w:abstractNum>
  <w:abstractNum w:abstractNumId="125">
    <w:nsid w:val="47C7C971"/>
    <w:multiLevelType w:val="hybridMultilevel"/>
    <w:lvl w:ilvl="0">
      <w:lvlJc w:val="left"/>
      <w:lvlText w:val="%1"/>
      <w:numFmt w:val="lowerLetter"/>
      <w:start w:val="1"/>
    </w:lvl>
    <w:lvl w:ilvl="1">
      <w:lvlJc w:val="left"/>
      <w:lvlText w:val="(%2)"/>
      <w:numFmt w:val="lowerLetter"/>
      <w:start w:val="11"/>
    </w:lvl>
  </w:abstractNum>
  <w:abstractNum w:abstractNumId="126">
    <w:nsid w:val="46F8284B"/>
    <w:multiLevelType w:val="hybridMultilevel"/>
    <w:lvl w:ilvl="0">
      <w:lvlJc w:val="left"/>
      <w:lvlText w:val="(%1)"/>
      <w:numFmt w:val="lowerLetter"/>
      <w:start w:val="61"/>
    </w:lvl>
    <w:lvl w:ilvl="1">
      <w:lvlJc w:val="left"/>
      <w:lvlText w:val="(%2)"/>
      <w:numFmt w:val="lowerLetter"/>
      <w:start w:val="12"/>
    </w:lvl>
  </w:abstractNum>
  <w:abstractNum w:abstractNumId="127">
    <w:nsid w:val="4FA327CE"/>
    <w:multiLevelType w:val="hybridMultilevel"/>
    <w:lvl w:ilvl="0">
      <w:lvlJc w:val="left"/>
      <w:lvlText w:val="(%1)"/>
      <w:numFmt w:val="lowerLetter"/>
      <w:start w:val="14"/>
    </w:lvl>
  </w:abstractNum>
  <w:abstractNum w:abstractNumId="128">
    <w:nsid w:val="1873983A"/>
    <w:multiLevelType w:val="hybridMultilevel"/>
    <w:lvl w:ilvl="0">
      <w:lvlJc w:val="left"/>
      <w:lvlText w:val="(%1)"/>
      <w:numFmt w:val="lowerLetter"/>
      <w:start w:val="2"/>
    </w:lvl>
  </w:abstractNum>
  <w:abstractNum w:abstractNumId="129">
    <w:nsid w:val="3D2DD275"/>
    <w:multiLevelType w:val="hybridMultilevel"/>
    <w:lvl w:ilvl="0">
      <w:lvlJc w:val="left"/>
      <w:lvlText w:val="(%1)"/>
      <w:numFmt w:val="lowerLetter"/>
      <w:start w:val="61"/>
    </w:lvl>
    <w:lvl w:ilvl="1">
      <w:lvlJc w:val="left"/>
      <w:lvlText w:val="(%2)"/>
      <w:numFmt w:val="lowerLetter"/>
      <w:start w:val="3"/>
    </w:lvl>
  </w:abstractNum>
  <w:abstractNum w:abstractNumId="130">
    <w:nsid w:val="2E17ECA7"/>
    <w:multiLevelType w:val="hybridMultilevel"/>
    <w:lvl w:ilvl="0">
      <w:lvlJc w:val="left"/>
      <w:lvlText w:val="(%1)"/>
      <w:numFmt w:val="lowerRoman"/>
      <w:start w:val="1"/>
    </w:lvl>
  </w:abstractNum>
  <w:abstractNum w:abstractNumId="131">
    <w:nsid w:val="53B2564F"/>
    <w:multiLevelType w:val="hybridMultilevel"/>
    <w:lvl w:ilvl="0">
      <w:lvlJc w:val="left"/>
      <w:lvlText w:val="(%1)"/>
      <w:numFmt w:val="lowerRoman"/>
      <w:start w:val="2"/>
    </w:lvl>
  </w:abstractNum>
  <w:abstractNum w:abstractNumId="132">
    <w:nsid w:val="75509D76"/>
    <w:multiLevelType w:val="hybridMultilevel"/>
    <w:lvl w:ilvl="0">
      <w:lvlJc w:val="left"/>
      <w:lvlText w:val="(%1)"/>
      <w:numFmt w:val="lowerRoman"/>
      <w:start w:val="3"/>
    </w:lvl>
  </w:abstractNum>
  <w:abstractNum w:abstractNumId="133">
    <w:nsid w:val="1AF7F0EA"/>
    <w:multiLevelType w:val="hybridMultilevel"/>
    <w:lvl w:ilvl="0">
      <w:lvlJc w:val="left"/>
      <w:lvlText w:val="(%1)"/>
      <w:numFmt w:val="lowerLetter"/>
      <w:start w:val="2"/>
    </w:lvl>
  </w:abstractNum>
  <w:abstractNum w:abstractNumId="134">
    <w:nsid w:val="4DA32C7E"/>
    <w:multiLevelType w:val="hybridMultilevel"/>
    <w:lvl w:ilvl="0">
      <w:lvlJc w:val="left"/>
      <w:lvlText w:val="%1"/>
      <w:numFmt w:val="lowerLetter"/>
      <w:start w:val="1"/>
    </w:lvl>
    <w:lvl w:ilvl="1">
      <w:lvlJc w:val="left"/>
      <w:lvlText w:val="(%2)"/>
      <w:numFmt w:val="lowerLetter"/>
      <w:start w:val="1"/>
    </w:lvl>
  </w:abstractNum>
  <w:abstractNum w:abstractNumId="135">
    <w:nsid w:val="6EC68664"/>
    <w:multiLevelType w:val="hybridMultilevel"/>
    <w:lvl w:ilvl="0">
      <w:lvlJc w:val="left"/>
      <w:lvlText w:val="(%1)"/>
      <w:numFmt w:val="lowerLetter"/>
      <w:start w:val="24"/>
    </w:lvl>
    <w:lvl w:ilvl="1">
      <w:lvlJc w:val="left"/>
      <w:lvlText w:val="%2"/>
      <w:numFmt w:val="lowerLetter"/>
      <w:start w:val="1"/>
    </w:lvl>
  </w:abstractNum>
  <w:abstractNum w:abstractNumId="136">
    <w:nsid w:val="E0D31FF"/>
    <w:multiLevelType w:val="hybridMultilevel"/>
    <w:lvl w:ilvl="0">
      <w:lvlJc w:val="left"/>
      <w:lvlText w:val="(%1)"/>
      <w:numFmt w:val="lowerLetter"/>
      <w:start w:val="6"/>
    </w:lvl>
  </w:abstractNum>
  <w:abstractNum w:abstractNumId="137">
    <w:nsid w:val="2FD0AD81"/>
    <w:multiLevelType w:val="hybridMultilevel"/>
    <w:lvl w:ilvl="0">
      <w:lvlJc w:val="left"/>
      <w:lvlText w:val="(%1)"/>
      <w:numFmt w:val="decimal"/>
      <w:start w:val="2"/>
    </w:lvl>
  </w:abstractNum>
  <w:abstractNum w:abstractNumId="138">
    <w:nsid w:val="1978EBEB"/>
    <w:multiLevelType w:val="hybridMultilevel"/>
    <w:lvl w:ilvl="0">
      <w:lvlJc w:val="left"/>
      <w:lvlText w:val="(%1)"/>
      <w:numFmt w:val="lowerLetter"/>
      <w:start w:val="2"/>
    </w:lvl>
  </w:abstractNum>
  <w:abstractNum w:abstractNumId="139">
    <w:nsid w:val="52C12C61"/>
    <w:multiLevelType w:val="hybridMultilevel"/>
    <w:lvl w:ilvl="0">
      <w:lvlJc w:val="left"/>
      <w:lvlText w:val="(%1)"/>
      <w:numFmt w:val="lowerLetter"/>
      <w:start w:val="2"/>
    </w:lvl>
  </w:abstractNum>
  <w:abstractNum w:abstractNumId="140">
    <w:nsid w:val="4BDD53FD"/>
    <w:multiLevelType w:val="hybridMultilevel"/>
    <w:lvl w:ilvl="0">
      <w:lvlJc w:val="left"/>
      <w:lvlText w:val="(%1)"/>
      <w:numFmt w:val="lowerLetter"/>
      <w:start w:val="2"/>
    </w:lvl>
  </w:abstractNum>
  <w:abstractNum w:abstractNumId="141">
    <w:nsid w:val="569951FE"/>
    <w:multiLevelType w:val="hybridMultilevel"/>
    <w:lvl w:ilvl="0">
      <w:lvlJc w:val="left"/>
      <w:lvlText w:val="(%1)"/>
      <w:numFmt w:val="lowerLetter"/>
      <w:start w:val="1"/>
    </w:lvl>
    <w:lvl w:ilvl="1">
      <w:lvlJc w:val="left"/>
      <w:lvlText w:val="(%2)"/>
      <w:numFmt w:val="lowerRoman"/>
      <w:start w:val="1"/>
    </w:lvl>
  </w:abstractNum>
  <w:abstractNum w:abstractNumId="142">
    <w:nsid w:val="4C54E2C3"/>
    <w:multiLevelType w:val="hybridMultilevel"/>
    <w:lvl w:ilvl="0">
      <w:lvlJc w:val="left"/>
      <w:lvlText w:val="(%1)"/>
      <w:numFmt w:val="lowerLetter"/>
      <w:start w:val="1"/>
    </w:lvl>
  </w:abstractNum>
  <w:abstractNum w:abstractNumId="143">
    <w:nsid w:val="788BD9B"/>
    <w:multiLevelType w:val="hybridMultilevel"/>
    <w:lvl w:ilvl="0">
      <w:lvlJc w:val="left"/>
      <w:lvlText w:val="(%1)"/>
      <w:numFmt w:val="lowerRoman"/>
      <w:start w:val="2"/>
    </w:lvl>
  </w:abstractNum>
  <w:abstractNum w:abstractNumId="144">
    <w:nsid w:val="47CAA567"/>
    <w:multiLevelType w:val="hybridMultilevel"/>
    <w:lvl w:ilvl="0">
      <w:lvlJc w:val="left"/>
      <w:lvlText w:val="(%1)"/>
      <w:numFmt w:val="upperLetter"/>
      <w:start w:val="2"/>
    </w:lvl>
  </w:abstractNum>
  <w:abstractNum w:abstractNumId="145">
    <w:nsid w:val="48249DBF"/>
    <w:multiLevelType w:val="hybridMultilevel"/>
    <w:lvl w:ilvl="0">
      <w:lvlJc w:val="left"/>
      <w:lvlText w:val="(%1)"/>
      <w:numFmt w:val="upperLetter"/>
      <w:start w:val="1"/>
    </w:lvl>
  </w:abstractNum>
  <w:abstractNum w:abstractNumId="146">
    <w:nsid w:val="1F0E5D0D"/>
    <w:multiLevelType w:val="hybridMultilevel"/>
    <w:lvl w:ilvl="0">
      <w:lvlJc w:val="left"/>
      <w:lvlText w:val="(%1)"/>
      <w:numFmt w:val="lowerLetter"/>
      <w:start w:val="1"/>
    </w:lvl>
  </w:abstractNum>
  <w:abstractNum w:abstractNumId="147">
    <w:nsid w:val="26BAAE9"/>
    <w:multiLevelType w:val="hybridMultilevel"/>
    <w:lvl w:ilvl="0">
      <w:lvlJc w:val="left"/>
      <w:lvlText w:val="(%1)"/>
      <w:numFmt w:val="lowerLetter"/>
      <w:start w:val="1"/>
    </w:lvl>
  </w:abstractNum>
  <w:abstractNum w:abstractNumId="148">
    <w:nsid w:val="2C02FE8C"/>
    <w:multiLevelType w:val="hybridMultilevel"/>
    <w:lvl w:ilvl="0">
      <w:lvlJc w:val="left"/>
      <w:lvlText w:val="(%1)"/>
      <w:numFmt w:val="lowerLetter"/>
      <w:start w:val="2"/>
    </w:lvl>
  </w:abstractNum>
  <w:abstractNum w:abstractNumId="149">
    <w:nsid w:val="129517E"/>
    <w:multiLevelType w:val="hybridMultilevel"/>
    <w:lvl w:ilvl="0">
      <w:lvlJc w:val="left"/>
      <w:lvlText w:val="(%1)"/>
      <w:numFmt w:val="lowerRoman"/>
      <w:start w:val="1"/>
    </w:lvl>
  </w:abstractNum>
  <w:abstractNum w:abstractNumId="150">
    <w:nsid w:val="763B8C4E"/>
    <w:multiLevelType w:val="hybridMultilevel"/>
    <w:lvl w:ilvl="0">
      <w:lvlJc w:val="left"/>
      <w:lvlText w:val="(%1)"/>
      <w:numFmt w:val="lowerRoman"/>
      <w:start w:val="1"/>
    </w:lvl>
  </w:abstractNum>
  <w:abstractNum w:abstractNumId="151">
    <w:nsid w:val="4CFB8D32"/>
    <w:multiLevelType w:val="hybridMultilevel"/>
    <w:lvl w:ilvl="0">
      <w:lvlJc w:val="left"/>
      <w:lvlText w:val="(%1)"/>
      <w:numFmt w:val="lowerRoman"/>
      <w:start w:val="3"/>
    </w:lvl>
  </w:abstractNum>
  <w:abstractNum w:abstractNumId="152">
    <w:nsid w:val="62A5D5BD"/>
    <w:multiLevelType w:val="hybridMultilevel"/>
    <w:lvl w:ilvl="0">
      <w:lvlJc w:val="left"/>
      <w:lvlText w:val="(%1)"/>
      <w:numFmt w:val="lowerLetter"/>
      <w:start w:val="3"/>
    </w:lvl>
  </w:abstractNum>
  <w:abstractNum w:abstractNumId="153">
    <w:nsid w:val="718FABF9"/>
    <w:multiLevelType w:val="hybridMultilevel"/>
    <w:lvl w:ilvl="0">
      <w:lvlJc w:val="left"/>
      <w:lvlText w:val="(%1)"/>
      <w:numFmt w:val="lowerLetter"/>
      <w:start w:val="2"/>
    </w:lvl>
  </w:abstractNum>
  <w:abstractNum w:abstractNumId="154">
    <w:nsid w:val="7775797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55">
    <w:nsid w:val="1626FB8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56">
    <w:nsid w:val="3957756A"/>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9"/>
    </w:lvl>
  </w:abstractNum>
  <w:abstractNum w:abstractNumId="157">
    <w:nsid w:val="3E6DA1C7"/>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58">
    <w:nsid w:val="65CA235B"/>
    <w:multiLevelType w:val="hybridMultilevel"/>
    <w:lvl w:ilvl="0">
      <w:lvlJc w:val="left"/>
      <w:lvlText w:val="(%1)"/>
      <w:numFmt w:val="lowerLetter"/>
      <w:start w:val="4"/>
    </w:lvl>
    <w:lvl w:ilvl="1">
      <w:lvlJc w:val="left"/>
      <w:lvlText w:val="(%2)"/>
      <w:numFmt w:val="lowerRoman"/>
      <w:start w:val="1"/>
    </w:lvl>
  </w:abstractNum>
  <w:abstractNum w:abstractNumId="159">
    <w:nsid w:val="51CB0DA4"/>
    <w:multiLevelType w:val="hybridMultilevel"/>
    <w:lvl w:ilvl="0">
      <w:lvlJc w:val="left"/>
      <w:lvlText w:val="%1"/>
      <w:numFmt w:val="lowerLetter"/>
      <w:start w:val="1"/>
    </w:lvl>
    <w:lvl w:ilvl="1">
      <w:lvlJc w:val="left"/>
      <w:lvlText w:val="(%2)"/>
      <w:numFmt w:val="lowerLetter"/>
      <w:start w:val="5"/>
    </w:lvl>
  </w:abstractNum>
  <w:abstractNum w:abstractNumId="160">
    <w:nsid w:val="7B9B743C"/>
    <w:multiLevelType w:val="hybridMultilevel"/>
    <w:lvl w:ilvl="0">
      <w:lvlJc w:val="left"/>
      <w:lvlText w:val="(%1)"/>
      <w:numFmt w:val="lowerLetter"/>
      <w:start w:val="24"/>
    </w:lvl>
    <w:lvl w:ilvl="1">
      <w:lvlJc w:val="left"/>
      <w:lvlText w:val="%2"/>
      <w:numFmt w:val="lowerLetter"/>
      <w:start w:val="1"/>
    </w:lvl>
  </w:abstractNum>
  <w:abstractNum w:abstractNumId="161">
    <w:nsid w:val="13E21002"/>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62">
    <w:nsid w:val="257D63F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63">
    <w:nsid w:val="70EC11B2"/>
    <w:multiLevelType w:val="hybridMultilevel"/>
    <w:lvl w:ilvl="0">
      <w:lvlJc w:val="left"/>
      <w:lvlText w:val="%1"/>
      <w:numFmt w:val="lowerRoman"/>
      <w:start w:val="1"/>
    </w:lvl>
    <w:lvl w:ilvl="1">
      <w:lvlJc w:val="left"/>
      <w:lvlText w:val="(%2)"/>
      <w:numFmt w:val="lowerRoman"/>
      <w:start w:val="3"/>
    </w:lvl>
  </w:abstractNum>
  <w:abstractNum w:abstractNumId="164">
    <w:nsid w:val="2EDA00ED"/>
    <w:multiLevelType w:val="hybridMultilevel"/>
    <w:lvl w:ilvl="0">
      <w:lvlJc w:val="left"/>
      <w:lvlText w:val="(%1)"/>
      <w:numFmt w:val="lowerRoman"/>
      <w:start w:val="4"/>
    </w:lvl>
    <w:lvl w:ilvl="1">
      <w:lvlJc w:val="left"/>
      <w:lvlText w:val="(%2)"/>
      <w:numFmt w:val="lowerRoman"/>
      <w:start w:val="6"/>
    </w:lvl>
  </w:abstractNum>
  <w:abstractNum w:abstractNumId="165">
    <w:nsid w:val="7320907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66">
    <w:nsid w:val="5FB29816"/>
    <w:multiLevelType w:val="hybridMultilevel"/>
    <w:lvl w:ilvl="0">
      <w:lvlJc w:val="left"/>
      <w:lvlText w:val="(%1)"/>
      <w:numFmt w:val="lowerLetter"/>
      <w:start w:val="61"/>
    </w:lvl>
    <w:lvl w:ilvl="1">
      <w:lvlJc w:val="left"/>
      <w:lvlText w:val="(%2)"/>
      <w:numFmt w:val="lowerLetter"/>
      <w:start w:val="2"/>
    </w:lvl>
    <w:lvl w:ilvl="2">
      <w:lvlJc w:val="left"/>
      <w:lvlText w:val="(%3)"/>
      <w:numFmt w:val="lowerLetter"/>
      <w:start w:val="9"/>
    </w:lvl>
  </w:abstractNum>
  <w:abstractNum w:abstractNumId="167">
    <w:nsid w:val="3CE732EC"/>
    <w:multiLevelType w:val="hybridMultilevel"/>
    <w:lvl w:ilvl="0">
      <w:lvlJc w:val="left"/>
      <w:lvlText w:val="(%1)"/>
      <w:numFmt w:val="lowerRoman"/>
      <w:start w:val="2"/>
    </w:lvl>
  </w:abstractNum>
  <w:abstractNum w:abstractNumId="168">
    <w:nsid w:val="22F13DF3"/>
    <w:multiLevelType w:val="hybridMultilevel"/>
    <w:lvl w:ilvl="0">
      <w:lvlJc w:val="left"/>
      <w:lvlText w:val="(%1)"/>
      <w:numFmt w:val="lowerLetter"/>
      <w:start w:val="4"/>
    </w:lvl>
    <w:lvl w:ilvl="1">
      <w:lvlJc w:val="left"/>
      <w:lvlText w:val="(%2)"/>
      <w:numFmt w:val="lowerRoman"/>
      <w:start w:val="1"/>
    </w:lvl>
  </w:abstractNum>
  <w:abstractNum w:abstractNumId="169">
    <w:nsid w:val="792B8401"/>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70">
    <w:nsid w:val="FA85F4D"/>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71">
    <w:nsid w:val="6ECE91F0"/>
    <w:multiLevelType w:val="hybridMultilevel"/>
    <w:lvl w:ilvl="0">
      <w:lvlJc w:val="left"/>
      <w:lvlText w:val="(%1)"/>
      <w:numFmt w:val="lowerLetter"/>
      <w:start w:val="7"/>
    </w:lvl>
    <w:lvl w:ilvl="1">
      <w:lvlJc w:val="left"/>
      <w:lvlText w:val="(%2)"/>
      <w:numFmt w:val="lowerRoman"/>
      <w:start w:val="1"/>
    </w:lvl>
  </w:abstractNum>
  <w:abstractNum w:abstractNumId="172">
    <w:nsid w:val="4FC4D600"/>
    <w:multiLevelType w:val="hybridMultilevel"/>
    <w:lvl w:ilvl="0">
      <w:lvlJc w:val="left"/>
      <w:lvlText w:val="(%1)"/>
      <w:numFmt w:val="lowerRoman"/>
      <w:start w:val="5"/>
    </w:lvl>
  </w:abstractNum>
  <w:abstractNum w:abstractNumId="173">
    <w:nsid w:val="5BFD4210"/>
    <w:multiLevelType w:val="hybridMultilevel"/>
    <w:lvl w:ilvl="0">
      <w:lvlJc w:val="left"/>
      <w:lvlText w:val="(%1)"/>
      <w:numFmt w:val="lowerRoman"/>
      <w:start w:val="1"/>
    </w:lvl>
  </w:abstractNum>
  <w:abstractNum w:abstractNumId="174">
    <w:nsid w:val="76574F8B"/>
    <w:multiLevelType w:val="hybridMultilevel"/>
    <w:lvl w:ilvl="0">
      <w:lvlJc w:val="left"/>
      <w:lvlText w:val="(%1)"/>
      <w:numFmt w:val="lowerLetter"/>
      <w:start w:val="2"/>
    </w:lvl>
  </w:abstractNum>
  <w:abstractNum w:abstractNumId="175">
    <w:nsid w:val="178F7B67"/>
    <w:multiLevelType w:val="hybridMultilevel"/>
    <w:lvl w:ilvl="0">
      <w:lvlJc w:val="left"/>
      <w:lvlText w:val="(%1)"/>
      <w:numFmt w:val="lowerRoman"/>
      <w:start w:val="1"/>
    </w:lvl>
  </w:abstractNum>
  <w:abstractNum w:abstractNumId="176">
    <w:nsid w:val="2421DFCF"/>
    <w:multiLevelType w:val="hybridMultilevel"/>
    <w:lvl w:ilvl="0">
      <w:lvlJc w:val="left"/>
      <w:lvlText w:val="(%1)"/>
      <w:numFmt w:val="lowerRoman"/>
      <w:start w:val="3"/>
    </w:lvl>
  </w:abstractNum>
  <w:abstractNum w:abstractNumId="177">
    <w:nsid w:val="1565AC99"/>
    <w:multiLevelType w:val="hybridMultilevel"/>
    <w:lvl w:ilvl="0">
      <w:lvlJc w:val="left"/>
      <w:lvlText w:val="(%1)"/>
      <w:numFmt w:val="lowerLetter"/>
      <w:start w:val="3"/>
    </w:lvl>
    <w:lvl w:ilvl="1">
      <w:lvlJc w:val="left"/>
      <w:lvlText w:val="(%2)"/>
      <w:numFmt w:val="lowerLetter"/>
      <w:start w:val="9"/>
    </w:lvl>
  </w:abstractNum>
  <w:abstractNum w:abstractNumId="178">
    <w:nsid w:val="19FB2650"/>
    <w:multiLevelType w:val="hybridMultilevel"/>
    <w:lvl w:ilvl="0">
      <w:lvlJc w:val="left"/>
      <w:lvlText w:val="(%1)"/>
      <w:numFmt w:val="lowerRoman"/>
      <w:start w:val="2"/>
    </w:lvl>
    <w:lvl w:ilvl="1">
      <w:lvlJc w:val="left"/>
      <w:lvlText w:val="(%2)"/>
      <w:numFmt w:val="decimal"/>
      <w:start w:val="1"/>
    </w:lvl>
  </w:abstractNum>
  <w:abstractNum w:abstractNumId="179">
    <w:nsid w:val="5024DE5B"/>
    <w:multiLevelType w:val="hybridMultilevel"/>
    <w:lvl w:ilvl="0">
      <w:lvlJc w:val="left"/>
      <w:lvlText w:val="(%1)"/>
      <w:numFmt w:val="lowerLetter"/>
      <w:start w:val="2"/>
    </w:lvl>
  </w:abstractNum>
  <w:abstractNum w:abstractNumId="180">
    <w:nsid w:val="168EFE17"/>
    <w:multiLevelType w:val="hybridMultilevel"/>
    <w:lvl w:ilvl="0">
      <w:lvlJc w:val="left"/>
      <w:lvlText w:val="%1"/>
      <w:numFmt w:val="lowerLetter"/>
      <w:start w:val="1"/>
    </w:lvl>
    <w:lvl w:ilvl="1">
      <w:lvlJc w:val="left"/>
      <w:lvlText w:val="(%2)"/>
      <w:numFmt w:val="lowerLetter"/>
      <w:start w:val="61"/>
    </w:lvl>
  </w:abstractNum>
  <w:abstractNum w:abstractNumId="181">
    <w:nsid w:val="1036B29F"/>
    <w:multiLevelType w:val="hybridMultilevel"/>
    <w:lvl w:ilvl="0">
      <w:lvlJc w:val="left"/>
      <w:lvlText w:val="(%1)"/>
      <w:numFmt w:val="lowerLetter"/>
      <w:start w:val="4"/>
    </w:lvl>
    <w:lvl w:ilvl="1">
      <w:lvlJc w:val="left"/>
      <w:lvlText w:val="%2"/>
      <w:numFmt w:val="lowerLetter"/>
      <w:start w:val="1"/>
    </w:lvl>
  </w:abstractNum>
  <w:abstractNum w:abstractNumId="182">
    <w:nsid w:val="1D206B8E"/>
    <w:multiLevelType w:val="hybridMultilevel"/>
    <w:lvl w:ilvl="0">
      <w:lvlJc w:val="left"/>
      <w:lvlText w:val="(%1)"/>
      <w:numFmt w:val="lowerRoman"/>
      <w:start w:val="1"/>
    </w:lvl>
  </w:abstractNum>
  <w:abstractNum w:abstractNumId="183">
    <w:nsid w:val="7934D3D4"/>
    <w:multiLevelType w:val="hybridMultilevel"/>
    <w:lvl w:ilvl="0">
      <w:lvlJc w:val="left"/>
      <w:lvlText w:val="%1"/>
      <w:numFmt w:val="lowerLetter"/>
      <w:start w:val="1"/>
    </w:lvl>
    <w:lvl w:ilvl="1">
      <w:lvlJc w:val="left"/>
      <w:lvlText w:val="(%2)"/>
      <w:numFmt w:val="lowerLetter"/>
      <w:start w:val="61"/>
    </w:lvl>
  </w:abstractNum>
  <w:abstractNum w:abstractNumId="184">
    <w:nsid w:val="1C65E98"/>
    <w:multiLevelType w:val="hybridMultilevel"/>
    <w:lvl w:ilvl="0">
      <w:lvlJc w:val="left"/>
      <w:lvlText w:val="(%1)"/>
      <w:numFmt w:val="lowerLetter"/>
      <w:start w:val="5"/>
    </w:lvl>
    <w:lvl w:ilvl="1">
      <w:lvlJc w:val="left"/>
      <w:lvlText w:val="(%2)"/>
      <w:numFmt w:val="lowerLetter"/>
      <w:start w:val="9"/>
    </w:lvl>
  </w:abstractNum>
  <w:abstractNum w:abstractNumId="185">
    <w:nsid w:val="1495E50A"/>
    <w:multiLevelType w:val="hybridMultilevel"/>
    <w:lvl w:ilvl="0">
      <w:lvlJc w:val="left"/>
      <w:lvlText w:val="(%1)"/>
      <w:numFmt w:val="lowerRoman"/>
      <w:start w:val="2"/>
    </w:lvl>
  </w:abstractNum>
  <w:abstractNum w:abstractNumId="186">
    <w:nsid w:val="F5BCF61"/>
    <w:multiLevelType w:val="hybridMultilevel"/>
    <w:lvl w:ilvl="0">
      <w:lvlJc w:val="left"/>
      <w:lvlText w:val="%1"/>
      <w:numFmt w:val="lowerLetter"/>
      <w:start w:val="1"/>
    </w:lvl>
    <w:lvl w:ilvl="1">
      <w:lvlJc w:val="left"/>
      <w:lvlText w:val="(%2)"/>
      <w:numFmt w:val="lowerRoman"/>
      <w:start w:val="3"/>
    </w:lvl>
  </w:abstractNum>
  <w:abstractNum w:abstractNumId="187">
    <w:nsid w:val="3B1DD403"/>
    <w:multiLevelType w:val="hybridMultilevel"/>
    <w:lvl w:ilvl="0">
      <w:lvlJc w:val="left"/>
      <w:lvlText w:val="(%1)"/>
      <w:numFmt w:val="lowerLetter"/>
      <w:start w:val="25"/>
    </w:lvl>
    <w:lvl w:ilvl="1">
      <w:lvlJc w:val="left"/>
      <w:lvlText w:val="%2"/>
      <w:numFmt w:val="lowerRoman"/>
      <w:start w:val="1"/>
    </w:lvl>
  </w:abstractNum>
  <w:abstractNum w:abstractNumId="188">
    <w:nsid w:val="530386D1"/>
    <w:multiLevelType w:val="hybridMultilevel"/>
    <w:lvl w:ilvl="0">
      <w:lvlJc w:val="left"/>
      <w:lvlText w:val="(%1)"/>
      <w:numFmt w:val="lowerLetter"/>
      <w:start w:val="9"/>
    </w:lvl>
    <w:lvl w:ilvl="1">
      <w:lvlJc w:val="left"/>
      <w:lvlText w:val="%2"/>
      <w:numFmt w:val="lowerRoman"/>
      <w:start w:val="1"/>
    </w:lvl>
  </w:abstractNum>
  <w:abstractNum w:abstractNumId="189">
    <w:nsid w:val="7525F2BC"/>
    <w:multiLevelType w:val="hybridMultilevel"/>
    <w:lvl w:ilvl="0">
      <w:lvlJc w:val="left"/>
      <w:lvlText w:val="(%1)"/>
      <w:numFmt w:val="lowerLetter"/>
      <w:start w:val="35"/>
    </w:lvl>
    <w:lvl w:ilvl="1">
      <w:lvlJc w:val="left"/>
      <w:lvlText w:val="%2"/>
      <w:numFmt w:val="lowerRoman"/>
      <w:start w:val="1"/>
    </w:lvl>
  </w:abstractNum>
  <w:abstractNum w:abstractNumId="190">
    <w:nsid w:val="CE8E1A7"/>
    <w:multiLevelType w:val="hybridMultilevel"/>
    <w:lvl w:ilvl="0">
      <w:lvlJc w:val="left"/>
      <w:lvlText w:val="(%1)"/>
      <w:numFmt w:val="upperLetter"/>
      <w:start w:val="2"/>
    </w:lvl>
    <w:lvl w:ilvl="1">
      <w:lvlJc w:val="left"/>
      <w:lvlText w:val="(%2)"/>
      <w:numFmt w:val="lowerLetter"/>
      <w:start w:val="5"/>
    </w:lvl>
    <w:lvl w:ilvl="2">
      <w:lvlJc w:val="left"/>
      <w:lvlText w:val="(%3)"/>
      <w:numFmt w:val="lowerLetter"/>
      <w:start w:val="22"/>
    </w:lvl>
  </w:abstractNum>
  <w:abstractNum w:abstractNumId="191">
    <w:nsid w:val="4E9EFB0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92">
    <w:nsid w:val="90802BE"/>
    <w:multiLevelType w:val="hybridMultilevel"/>
    <w:lvl w:ilvl="0">
      <w:lvlJc w:val="left"/>
      <w:lvlText w:val="(%1)"/>
      <w:numFmt w:val="lowerRoman"/>
      <w:start w:val="2"/>
    </w:lvl>
  </w:abstractNum>
  <w:abstractNum w:abstractNumId="193">
    <w:nsid w:val="3266459B"/>
    <w:multiLevelType w:val="hybridMultilevel"/>
    <w:lvl w:ilvl="0">
      <w:lvlJc w:val="left"/>
      <w:lvlText w:val="(%1)"/>
      <w:numFmt w:val="lowerRoman"/>
      <w:start w:val="3"/>
    </w:lvl>
  </w:abstractNum>
  <w:abstractNum w:abstractNumId="194">
    <w:nsid w:val="3F8B0CBF"/>
    <w:multiLevelType w:val="hybridMultilevel"/>
    <w:lvl w:ilvl="0">
      <w:lvlJc w:val="left"/>
      <w:lvlText w:val="(%1)"/>
      <w:numFmt w:val="decimal"/>
      <w:start w:val="30"/>
    </w:lvl>
    <w:lvl w:ilvl="1">
      <w:lvlJc w:val="left"/>
      <w:lvlText w:val="(%2)"/>
      <w:numFmt w:val="lowerLetter"/>
      <w:start w:val="2"/>
    </w:lvl>
  </w:abstractNum>
  <w:abstractNum w:abstractNumId="195">
    <w:nsid w:val="37E203AB"/>
    <w:multiLevelType w:val="hybridMultilevel"/>
    <w:lvl w:ilvl="0">
      <w:lvlJc w:val="left"/>
      <w:lvlText w:val="(%1)"/>
      <w:numFmt w:val="lowerLetter"/>
      <w:start w:val="3"/>
    </w:lvl>
  </w:abstractNum>
  <w:abstractNum w:abstractNumId="196">
    <w:nsid w:val="2586D60E"/>
    <w:multiLevelType w:val="hybridMultilevel"/>
    <w:lvl w:ilvl="0">
      <w:lvlJc w:val="left"/>
      <w:lvlText w:val="(%1)"/>
      <w:numFmt w:val="lowerLetter"/>
      <w:start w:val="6"/>
    </w:lvl>
  </w:abstractNum>
  <w:abstractNum w:abstractNumId="197">
    <w:nsid w:val="1F3DA4D5"/>
    <w:multiLevelType w:val="hybridMultilevel"/>
    <w:lvl w:ilvl="0">
      <w:lvlJc w:val="left"/>
      <w:lvlText w:val="%1"/>
      <w:numFmt w:val="lowerLetter"/>
      <w:start w:val="1"/>
    </w:lvl>
    <w:lvl w:ilvl="1">
      <w:lvlJc w:val="left"/>
      <w:lvlText w:val="(%2)"/>
      <w:numFmt w:val="lowerLetter"/>
      <w:start w:val="9"/>
    </w:lvl>
  </w:abstractNum>
  <w:abstractNum w:abstractNumId="198">
    <w:nsid w:val="74C93698"/>
    <w:multiLevelType w:val="hybridMultilevel"/>
    <w:lvl w:ilvl="0">
      <w:lvlJc w:val="left"/>
      <w:lvlText w:val="(%1)"/>
      <w:numFmt w:val="lowerLetter"/>
      <w:start w:val="9"/>
    </w:lvl>
    <w:lvl w:ilvl="1">
      <w:lvlJc w:val="left"/>
      <w:lvlText w:val="(%2)"/>
      <w:numFmt w:val="lowerLetter"/>
      <w:start w:val="11"/>
    </w:lvl>
  </w:abstractNum>
  <w:abstractNum w:abstractNumId="199">
    <w:nsid w:val="48781401"/>
    <w:multiLevelType w:val="hybridMultilevel"/>
    <w:lvl w:ilvl="0">
      <w:lvlJc w:val="left"/>
      <w:lvlText w:val="(%1)"/>
      <w:numFmt w:val="lowerLetter"/>
      <w:start w:val="61"/>
    </w:lvl>
    <w:lvl w:ilvl="1">
      <w:lvlJc w:val="left"/>
      <w:lvlText w:val="(%2)"/>
      <w:numFmt w:val="lowerLetter"/>
      <w:start w:val="2"/>
    </w:lvl>
  </w:abstractNum>
  <w:abstractNum w:abstractNumId="200">
    <w:nsid w:val="186928D6"/>
    <w:multiLevelType w:val="hybridMultilevel"/>
    <w:lvl w:ilvl="0">
      <w:lvlJc w:val="left"/>
      <w:lvlText w:val="(%1)"/>
      <w:numFmt w:val="lowerLetter"/>
      <w:start w:val="3"/>
    </w:lvl>
  </w:abstractNum>
  <w:abstractNum w:abstractNumId="201">
    <w:nsid w:val="47195E5"/>
    <w:multiLevelType w:val="hybridMultilevel"/>
    <w:lvl w:ilvl="0">
      <w:lvlJc w:val="left"/>
      <w:lvlText w:val="%1"/>
      <w:numFmt w:val="decimal"/>
      <w:start w:val="1"/>
    </w:lvl>
    <w:lvl w:ilvl="1">
      <w:lvlJc w:val="left"/>
      <w:lvlText w:val="(%2)"/>
      <w:numFmt w:val="lowerLetter"/>
      <w:start w:val="4"/>
    </w:lvl>
  </w:abstractNum>
  <w:abstractNum w:abstractNumId="202">
    <w:nsid w:val="3746A5F2"/>
    <w:multiLevelType w:val="hybridMultilevel"/>
    <w:lvl w:ilvl="0">
      <w:lvlJc w:val="left"/>
      <w:lvlText w:val="(%1)"/>
      <w:numFmt w:val="decimal"/>
      <w:start w:val="2"/>
    </w:lvl>
    <w:lvl w:ilvl="1">
      <w:lvlJc w:val="left"/>
      <w:lvlText w:val="%2"/>
      <w:numFmt w:val="lowerLetter"/>
      <w:start w:val="1"/>
    </w:lvl>
  </w:abstractNum>
  <w:abstractNum w:abstractNumId="203">
    <w:nsid w:val="682DFED6"/>
    <w:multiLevelType w:val="hybridMultilevel"/>
    <w:lvl w:ilvl="0">
      <w:lvlJc w:val="left"/>
      <w:lvlText w:val="(%1)"/>
      <w:numFmt w:val="decimal"/>
      <w:start w:val="2"/>
    </w:lvl>
    <w:lvl w:ilvl="1">
      <w:lvlJc w:val="left"/>
      <w:lvlText w:val="%2"/>
      <w:numFmt w:val="lowerLetter"/>
      <w:start w:val="1"/>
    </w:lvl>
  </w:abstractNum>
  <w:abstractNum w:abstractNumId="204">
    <w:nsid w:val="606ED7F6"/>
    <w:multiLevelType w:val="hybridMultilevel"/>
    <w:lvl w:ilvl="0">
      <w:lvlJc w:val="left"/>
      <w:lvlText w:val="%1"/>
      <w:numFmt w:val="lowerLetter"/>
      <w:start w:val="1"/>
    </w:lvl>
    <w:lvl w:ilvl="1">
      <w:lvlJc w:val="left"/>
      <w:lvlText w:val="(%2)"/>
      <w:numFmt w:val="lowerLetter"/>
      <w:start w:val="5"/>
    </w:lvl>
  </w:abstractNum>
  <w:abstractNum w:abstractNumId="205">
    <w:nsid w:val="2D9DF57D"/>
    <w:multiLevelType w:val="hybridMultilevel"/>
    <w:lvl w:ilvl="0">
      <w:lvlJc w:val="left"/>
      <w:lvlText w:val="(%1)"/>
      <w:numFmt w:val="lowerLetter"/>
      <w:start w:val="35"/>
    </w:lvl>
    <w:lvl w:ilvl="1">
      <w:lvlJc w:val="left"/>
      <w:lvlText w:val="%2"/>
      <w:numFmt w:val="lowerLetter"/>
      <w:start w:val="1"/>
    </w:lvl>
  </w:abstractNum>
  <w:abstractNum w:abstractNumId="206">
    <w:nsid w:val="7FBD7A3E"/>
    <w:multiLevelType w:val="hybridMultilevel"/>
    <w:lvl w:ilvl="0">
      <w:lvlJc w:val="left"/>
      <w:lvlText w:val="%1"/>
      <w:numFmt w:val="lowerLetter"/>
      <w:start w:val="1"/>
    </w:lvl>
    <w:lvl w:ilvl="1">
      <w:lvlJc w:val="left"/>
      <w:lvlText w:val="(%2)"/>
      <w:numFmt w:val="lowerLetter"/>
      <w:start w:val="6"/>
    </w:lvl>
  </w:abstractNum>
  <w:abstractNum w:abstractNumId="207">
    <w:nsid w:val="490B7C5"/>
    <w:multiLevelType w:val="hybridMultilevel"/>
    <w:lvl w:ilvl="0">
      <w:lvlJc w:val="left"/>
      <w:lvlText w:val="(%1)"/>
      <w:numFmt w:val="lowerLetter"/>
      <w:start w:val="24"/>
    </w:lvl>
    <w:lvl w:ilvl="1">
      <w:lvlJc w:val="left"/>
      <w:lvlText w:val="%2"/>
      <w:numFmt w:val="lowerLetter"/>
      <w:start w:val="1"/>
    </w:lvl>
  </w:abstractNum>
  <w:abstractNum w:abstractNumId="208">
    <w:nsid w:val="4303A216"/>
    <w:multiLevelType w:val="hybridMultilevel"/>
    <w:lvl w:ilvl="0">
      <w:lvlJc w:val="left"/>
      <w:lvlText w:val="(%1)"/>
      <w:numFmt w:val="lowerLetter"/>
      <w:start w:val="7"/>
    </w:lvl>
  </w:abstractNum>
  <w:abstractNum w:abstractNumId="209">
    <w:nsid w:val="19B8A08E"/>
    <w:multiLevelType w:val="hybridMultilevel"/>
    <w:lvl w:ilvl="0">
      <w:lvlJc w:val="left"/>
      <w:lvlText w:val="(%1)"/>
      <w:numFmt w:val="lowerLetter"/>
      <w:start w:val="9"/>
    </w:lvl>
    <w:lvl w:ilvl="1">
      <w:lvlJc w:val="left"/>
      <w:lvlText w:val="(%2)"/>
      <w:numFmt w:val="lowerLetter"/>
      <w:start w:val="10"/>
    </w:lvl>
  </w:abstractNum>
  <w:abstractNum w:abstractNumId="210">
    <w:nsid w:val="54B59621"/>
    <w:multiLevelType w:val="hybridMultilevel"/>
    <w:lvl w:ilvl="0">
      <w:lvlJc w:val="left"/>
      <w:lvlText w:val="(%1)"/>
      <w:numFmt w:val="lowerLetter"/>
      <w:start w:val="35"/>
    </w:lvl>
    <w:lvl w:ilvl="1">
      <w:lvlJc w:val="left"/>
      <w:lvlText w:val="(%2)"/>
      <w:numFmt w:val="lowerLetter"/>
      <w:start w:val="12"/>
    </w:lvl>
  </w:abstractNum>
  <w:abstractNum w:abstractNumId="211">
    <w:nsid w:val="5992A02E"/>
    <w:multiLevelType w:val="hybridMultilevel"/>
    <w:lvl w:ilvl="0">
      <w:lvlJc w:val="left"/>
      <w:lvlText w:val="%1"/>
      <w:numFmt w:val="lowerLetter"/>
      <w:start w:val="1"/>
    </w:lvl>
    <w:lvl w:ilvl="1">
      <w:lvlJc w:val="left"/>
      <w:lvlText w:val="(%2)"/>
      <w:numFmt w:val="lowerLetter"/>
      <w:start w:val="2"/>
    </w:lvl>
  </w:abstractNum>
  <w:abstractNum w:abstractNumId="212">
    <w:nsid w:val="29EF532D"/>
    <w:multiLevelType w:val="hybridMultilevel"/>
    <w:lvl w:ilvl="0">
      <w:lvlJc w:val="left"/>
      <w:lvlText w:val="(%1)"/>
      <w:numFmt w:val="lowerLetter"/>
      <w:start w:val="35"/>
    </w:lvl>
    <w:lvl w:ilvl="1">
      <w:lvlJc w:val="left"/>
      <w:lvlText w:val="%2"/>
      <w:numFmt w:val="lowerLetter"/>
      <w:start w:val="1"/>
    </w:lvl>
  </w:abstractNum>
  <w:abstractNum w:abstractNumId="213">
    <w:nsid w:val="71D601AF"/>
    <w:multiLevelType w:val="hybridMultilevel"/>
    <w:lvl w:ilvl="0">
      <w:lvlJc w:val="left"/>
      <w:lvlText w:val="(%1)"/>
      <w:numFmt w:val="lowerLetter"/>
      <w:start w:val="3"/>
    </w:lvl>
  </w:abstractNum>
  <w:abstractNum w:abstractNumId="214">
    <w:nsid w:val="52C77402"/>
    <w:multiLevelType w:val="hybridMultilevel"/>
    <w:lvl w:ilvl="0">
      <w:lvlJc w:val="left"/>
      <w:lvlText w:val="(%1)"/>
      <w:numFmt w:val="lowerRoman"/>
      <w:start w:val="1"/>
    </w:lvl>
  </w:abstractNum>
  <w:abstractNum w:abstractNumId="215">
    <w:nsid w:val="2BB5B1C6"/>
    <w:multiLevelType w:val="hybridMultilevel"/>
    <w:lvl w:ilvl="0">
      <w:lvlJc w:val="left"/>
      <w:lvlText w:val="(%1)"/>
      <w:numFmt w:val="lowerRoman"/>
      <w:start w:val="2"/>
    </w:lvl>
  </w:abstractNum>
  <w:abstractNum w:abstractNumId="216">
    <w:nsid w:val="66BE6B9"/>
    <w:multiLevelType w:val="hybridMultilevel"/>
    <w:lvl w:ilvl="0">
      <w:lvlJc w:val="left"/>
      <w:lvlText w:val="(%1)"/>
      <w:numFmt w:val="lowerRoman"/>
      <w:start w:val="5"/>
    </w:lvl>
  </w:abstractNum>
  <w:abstractNum w:abstractNumId="217">
    <w:nsid w:val="62234363"/>
    <w:multiLevelType w:val="hybridMultilevel"/>
    <w:lvl w:ilvl="0">
      <w:lvlJc w:val="left"/>
      <w:lvlText w:val="(%1)"/>
      <w:numFmt w:val="lowerRoman"/>
      <w:start w:val="3"/>
    </w:lvl>
  </w:abstractNum>
  <w:abstractNum w:abstractNumId="218">
    <w:nsid w:val="66D385C9"/>
    <w:multiLevelType w:val="hybridMultilevel"/>
    <w:lvl w:ilvl="0">
      <w:lvlJc w:val="left"/>
      <w:lvlText w:val="(%1)"/>
      <w:numFmt w:val="lowerLetter"/>
      <w:start w:val="2"/>
    </w:lvl>
  </w:abstractNum>
  <w:abstractNum w:abstractNumId="219">
    <w:nsid w:val="596F6D8A"/>
    <w:multiLevelType w:val="hybridMultilevel"/>
    <w:lvl w:ilvl="0">
      <w:lvlJc w:val="left"/>
      <w:lvlText w:val="(%1)"/>
      <w:numFmt w:val="lowerLetter"/>
      <w:start w:val="3"/>
    </w:lvl>
  </w:abstractNum>
  <w:abstractNum w:abstractNumId="220">
    <w:nsid w:val="5749361F"/>
    <w:multiLevelType w:val="hybridMultilevel"/>
    <w:lvl w:ilvl="0">
      <w:lvlJc w:val="left"/>
      <w:lvlText w:val="%1"/>
      <w:numFmt w:val="lowerLetter"/>
      <w:start w:val="1"/>
    </w:lvl>
    <w:lvl w:ilvl="1">
      <w:lvlJc w:val="left"/>
      <w:lvlText w:val="(%2)"/>
      <w:numFmt w:val="lowerLetter"/>
      <w:start w:val="1"/>
    </w:lvl>
  </w:abstractNum>
  <w:abstractNum w:abstractNumId="221">
    <w:nsid w:val="73BC6770"/>
    <w:multiLevelType w:val="hybridMultilevel"/>
    <w:lvl w:ilvl="0">
      <w:lvlJc w:val="left"/>
      <w:lvlText w:val="(%1)"/>
      <w:numFmt w:val="lowerLetter"/>
      <w:start w:val="24"/>
    </w:lvl>
    <w:lvl w:ilvl="1">
      <w:lvlJc w:val="left"/>
      <w:lvlText w:val="(%2)"/>
      <w:numFmt w:val="lowerLetter"/>
      <w:start w:val="6"/>
    </w:lvl>
  </w:abstractNum>
  <w:abstractNum w:abstractNumId="222">
    <w:nsid w:val="280E6897"/>
    <w:multiLevelType w:val="hybridMultilevel"/>
    <w:lvl w:ilvl="0">
      <w:lvlJc w:val="left"/>
      <w:lvlText w:val="(%1)"/>
      <w:numFmt w:val="lowerLetter"/>
      <w:start w:val="25"/>
    </w:lvl>
  </w:abstractNum>
  <w:abstractNum w:abstractNumId="223">
    <w:nsid w:val="605138DE"/>
    <w:multiLevelType w:val="hybridMultilevel"/>
    <w:lvl w:ilvl="0">
      <w:lvlJc w:val="left"/>
      <w:lvlText w:val="(%1)"/>
      <w:numFmt w:val="decimal"/>
      <w:start w:val="2"/>
    </w:lvl>
  </w:abstractNum>
  <w:abstractNum w:abstractNumId="224">
    <w:nsid w:val="2622AD0C"/>
    <w:multiLevelType w:val="hybridMultilevel"/>
    <w:lvl w:ilvl="0">
      <w:lvlJc w:val="left"/>
      <w:lvlText w:val="(%1)"/>
      <w:numFmt w:val="lowerLetter"/>
      <w:start w:val="2"/>
    </w:lvl>
  </w:abstractNum>
  <w:abstractNum w:abstractNumId="225">
    <w:nsid w:val="67997556"/>
    <w:multiLevelType w:val="hybridMultilevel"/>
    <w:lvl w:ilvl="0">
      <w:lvlJc w:val="left"/>
      <w:lvlText w:val="(%1)"/>
      <w:numFmt w:val="lowerLetter"/>
      <w:start w:val="2"/>
    </w:lvl>
  </w:abstractNum>
  <w:abstractNum w:abstractNumId="226">
    <w:nsid w:val="18333C89"/>
    <w:multiLevelType w:val="hybridMultilevel"/>
    <w:lvl w:ilvl="0">
      <w:lvlJc w:val="left"/>
      <w:lvlText w:val="(%1)"/>
      <w:numFmt w:val="lowerRoman"/>
      <w:start w:val="1"/>
    </w:lvl>
  </w:abstractNum>
  <w:abstractNum w:abstractNumId="227">
    <w:nsid w:val="4BA9831A"/>
    <w:multiLevelType w:val="hybridMultilevel"/>
    <w:lvl w:ilvl="0">
      <w:lvlJc w:val="left"/>
      <w:lvlText w:val="(%1)"/>
      <w:numFmt w:val="lowerRoman"/>
      <w:start w:val="1"/>
    </w:lvl>
  </w:abstractNum>
  <w:abstractNum w:abstractNumId="228">
    <w:nsid w:val="6D71A2B"/>
    <w:multiLevelType w:val="hybridMultilevel"/>
    <w:lvl w:ilvl="0">
      <w:lvlJc w:val="left"/>
      <w:lvlText w:val="(%1)"/>
      <w:numFmt w:val="lowerRoman"/>
      <w:start w:val="2"/>
    </w:lvl>
  </w:abstractNum>
  <w:abstractNum w:abstractNumId="229">
    <w:nsid w:val="CFC7321"/>
    <w:multiLevelType w:val="hybridMultilevel"/>
    <w:lvl w:ilvl="0">
      <w:lvlJc w:val="left"/>
      <w:lvlText w:val="%1."/>
      <w:numFmt w:val="decimal"/>
      <w:start w:val="1"/>
    </w:lvl>
  </w:abstractNum>
  <w:abstractNum w:abstractNumId="230">
    <w:nsid w:val="1421971B"/>
    <w:multiLevelType w:val="hybridMultilevel"/>
    <w:lvl w:ilvl="0">
      <w:lvlJc w:val="left"/>
      <w:lvlText w:val="%1."/>
      <w:numFmt w:val="decimal"/>
      <w:start w:val="4"/>
    </w:lvl>
  </w:abstractNum>
  <w:abstractNum w:abstractNumId="231">
    <w:nsid w:val="1F404301"/>
    <w:multiLevelType w:val="hybridMultilevel"/>
    <w:lvl w:ilvl="0">
      <w:lvlJc w:val="left"/>
      <w:lvlText w:val="%1."/>
      <w:numFmt w:val="decimal"/>
      <w:start w:val="2"/>
    </w:lvl>
  </w:abstractNum>
  <w:abstractNum w:abstractNumId="232">
    <w:nsid w:val="116E0907"/>
    <w:multiLevelType w:val="hybridMultilevel"/>
    <w:lvl w:ilvl="0">
      <w:lvlJc w:val="left"/>
      <w:lvlText w:val="(%1)"/>
      <w:numFmt w:val="lowerLetter"/>
      <w:start w:val="1"/>
    </w:lvl>
  </w:abstractNum>
  <w:abstractNum w:abstractNumId="233">
    <w:nsid w:val="4B683D0D"/>
    <w:multiLevelType w:val="hybridMultilevel"/>
    <w:lvl w:ilvl="0">
      <w:lvlJc w:val="left"/>
      <w:lvlText w:val="(%1)"/>
      <w:numFmt w:val="lowerRoman"/>
      <w:start w:val="2"/>
    </w:lvl>
  </w:abstractNum>
  <w:abstractNum w:abstractNumId="234">
    <w:nsid w:val="76E41D8"/>
    <w:multiLevelType w:val="hybridMultilevel"/>
    <w:lvl w:ilvl="0">
      <w:lvlJc w:val="left"/>
      <w:lvlText w:val="(%1)"/>
      <w:numFmt w:val="lowerLetter"/>
      <w:start w:val="25"/>
    </w:lvl>
  </w:abstractNum>
  <w:abstractNum w:abstractNumId="235">
    <w:nsid w:val="71DCE0FD"/>
    <w:multiLevelType w:val="hybridMultilevel"/>
    <w:lvl w:ilvl="0">
      <w:lvlJc w:val="left"/>
      <w:lvlText w:val="(%1)"/>
      <w:numFmt w:val="upperLetter"/>
      <w:start w:val="2"/>
    </w:lvl>
  </w:abstractNum>
  <w:abstractNum w:abstractNumId="236">
    <w:nsid w:val="7906328B"/>
    <w:multiLevelType w:val="hybridMultilevel"/>
    <w:lvl w:ilvl="0">
      <w:lvlJc w:val="left"/>
      <w:lvlText w:val="(%1)"/>
      <w:numFmt w:val="upperLetter"/>
      <w:start w:val="1"/>
    </w:lvl>
  </w:abstractNum>
  <w:abstractNum w:abstractNumId="237">
    <w:nsid w:val="72BBC16"/>
    <w:multiLevelType w:val="hybridMultilevel"/>
    <w:lvl w:ilvl="0">
      <w:lvlJc w:val="left"/>
      <w:lvlText w:val="(%1)"/>
      <w:numFmt w:val="lowerLetter"/>
      <w:start w:val="1"/>
    </w:lvl>
  </w:abstractNum>
  <w:abstractNum w:abstractNumId="238">
    <w:nsid w:val="766D98C2"/>
    <w:multiLevelType w:val="hybridMultilevel"/>
    <w:lvl w:ilvl="0">
      <w:lvlJc w:val="left"/>
      <w:lvlText w:val="(%1)"/>
      <w:numFmt w:val="lowerLetter"/>
      <w:start w:val="1"/>
    </w:lvl>
  </w:abstractNum>
  <w:abstractNum w:abstractNumId="239">
    <w:nsid w:val="3C09D4A1"/>
    <w:multiLevelType w:val="hybridMultilevel"/>
    <w:lvl w:ilvl="0">
      <w:lvlJc w:val="left"/>
      <w:lvlText w:val="(%1)"/>
      <w:numFmt w:val="lowerLetter"/>
      <w:start w:val="2"/>
    </w:lvl>
  </w:abstractNum>
  <w:abstractNum w:abstractNumId="240">
    <w:nsid w:val="20E45CA4"/>
    <w:multiLevelType w:val="hybridMultilevel"/>
    <w:lvl w:ilvl="0">
      <w:lvlJc w:val="left"/>
      <w:lvlText w:val="(%1)"/>
      <w:numFmt w:val="lowerRoman"/>
      <w:start w:val="1"/>
    </w:lvl>
  </w:abstractNum>
  <w:abstractNum w:abstractNumId="241">
    <w:nsid w:val="4B232EE3"/>
    <w:multiLevelType w:val="hybridMultilevel"/>
    <w:lvl w:ilvl="0">
      <w:lvlJc w:val="left"/>
      <w:lvlText w:val="(%1)"/>
      <w:numFmt w:val="lowerRoman"/>
      <w:start w:val="1"/>
    </w:lvl>
  </w:abstractNum>
  <w:abstractNum w:abstractNumId="242">
    <w:nsid w:val="159C74CF"/>
    <w:multiLevelType w:val="hybridMultilevel"/>
    <w:lvl w:ilvl="0">
      <w:lvlJc w:val="left"/>
      <w:lvlText w:val="(%1)"/>
      <w:numFmt w:val="lowerRoman"/>
      <w:start w:val="3"/>
    </w:lvl>
  </w:abstractNum>
  <w:abstractNum w:abstractNumId="243">
    <w:nsid w:val="4AD3AFD2"/>
    <w:multiLevelType w:val="hybridMultilevel"/>
    <w:lvl w:ilvl="0">
      <w:lvlJc w:val="left"/>
      <w:lvlText w:val="(%1)"/>
      <w:numFmt w:val="lowerLetter"/>
      <w:start w:val="3"/>
    </w:lvl>
  </w:abstractNum>
  <w:abstractNum w:abstractNumId="244">
    <w:nsid w:val="3CF93092"/>
    <w:multiLevelType w:val="hybridMultilevel"/>
    <w:lvl w:ilvl="0">
      <w:lvlJc w:val="left"/>
      <w:lvlText w:val="(%1)"/>
      <w:numFmt w:val="lowerLetter"/>
      <w:start w:val="2"/>
    </w:lvl>
  </w:abstractNum>
  <w:abstractNum w:abstractNumId="245">
    <w:nsid w:val="6863E8D2"/>
    <w:multiLevelType w:val="hybridMultilevel"/>
    <w:lvl w:ilvl="0">
      <w:lvlJc w:val="left"/>
      <w:lvlText w:val="(%1)"/>
      <w:numFmt w:val="lowerLetter"/>
      <w:start w:val="1"/>
    </w:lvl>
    <w:lvl w:ilvl="1">
      <w:lvlJc w:val="left"/>
      <w:lvlText w:val="(%2)"/>
      <w:numFmt w:val="lowerRoman"/>
      <w:start w:val="1"/>
    </w:lvl>
  </w:abstractNum>
  <w:abstractNum w:abstractNumId="246">
    <w:nsid w:val="7689619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47">
    <w:nsid w:val="4365174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2"/>
    </w:lvl>
  </w:abstractNum>
  <w:abstractNum w:abstractNumId="248">
    <w:nsid w:val="4A872C3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49">
    <w:nsid w:val="5D5CE76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50">
    <w:nsid w:val="1CD484D5"/>
    <w:multiLevelType w:val="hybridMultilevel"/>
    <w:lvl w:ilvl="0">
      <w:lvlJc w:val="left"/>
      <w:lvlText w:val="(%1)"/>
      <w:numFmt w:val="lowerLetter"/>
      <w:start w:val="4"/>
    </w:lvl>
    <w:lvl w:ilvl="1">
      <w:lvlJc w:val="left"/>
      <w:lvlText w:val="(%2)"/>
      <w:numFmt w:val="lowerLetter"/>
      <w:start w:val="9"/>
    </w:lvl>
  </w:abstractNum>
  <w:abstractNum w:abstractNumId="251">
    <w:nsid w:val="21D06255"/>
    <w:multiLevelType w:val="hybridMultilevel"/>
    <w:lvl w:ilvl="0">
      <w:lvlJc w:val="left"/>
      <w:lvlText w:val="(%1)"/>
      <w:numFmt w:val="lowerRoman"/>
      <w:start w:val="2"/>
    </w:lvl>
  </w:abstractNum>
  <w:abstractNum w:abstractNumId="252">
    <w:nsid w:val="51194ED1"/>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253">
    <w:nsid w:val="44E2ED6C"/>
    <w:multiLevelType w:val="hybridMultilevel"/>
    <w:lvl w:ilvl="0">
      <w:lvlJc w:val="left"/>
      <w:lvlText w:val="(%1)"/>
      <w:numFmt w:val="lowerLetter"/>
      <w:start w:val="24"/>
    </w:lvl>
    <w:lvl w:ilvl="1">
      <w:lvlJc w:val="left"/>
      <w:lvlText w:val="(%2)"/>
      <w:numFmt w:val="lowerLetter"/>
      <w:start w:val="6"/>
    </w:lvl>
    <w:lvl w:ilvl="2">
      <w:lvlJc w:val="left"/>
      <w:lvlText w:val="(%3)"/>
      <w:numFmt w:val="lowerLetter"/>
      <w:start w:val="9"/>
    </w:lvl>
  </w:abstractNum>
  <w:abstractNum w:abstractNumId="254">
    <w:nsid w:val="2219B33"/>
    <w:multiLevelType w:val="hybridMultilevel"/>
    <w:lvl w:ilvl="0">
      <w:lvlJc w:val="left"/>
      <w:lvlText w:val="%1"/>
      <w:numFmt w:val="lowerRoman"/>
      <w:start w:val="1"/>
    </w:lvl>
    <w:lvl w:ilvl="1">
      <w:lvlJc w:val="left"/>
      <w:lvlText w:val="(%2)"/>
      <w:numFmt w:val="lowerRoman"/>
      <w:start w:val="2"/>
    </w:lvl>
  </w:abstractNum>
  <w:abstractNum w:abstractNumId="255">
    <w:nsid w:val="773BFBDD"/>
    <w:multiLevelType w:val="hybridMultilevel"/>
    <w:lvl w:ilvl="0">
      <w:lvlJc w:val="left"/>
      <w:lvlText w:val="(%1)"/>
      <w:numFmt w:val="lowerRoman"/>
      <w:start w:val="1"/>
    </w:lvl>
    <w:lvl w:ilvl="1">
      <w:lvlJc w:val="left"/>
      <w:lvlText w:val="(%2)"/>
      <w:numFmt w:val="lowerRoman"/>
      <w:start w:val="3"/>
    </w:lvl>
  </w:abstractNum>
  <w:abstractNum w:abstractNumId="256">
    <w:nsid w:val="2C7C62C2"/>
    <w:multiLevelType w:val="hybridMultilevel"/>
    <w:lvl w:ilvl="0">
      <w:lvlJc w:val="left"/>
      <w:lvlText w:val="(%1)"/>
      <w:numFmt w:val="lowerRoman"/>
      <w:start w:val="4"/>
    </w:lvl>
    <w:lvl w:ilvl="1">
      <w:lvlJc w:val="left"/>
      <w:lvlText w:val="(%2)"/>
      <w:numFmt w:val="lowerRoman"/>
      <w:start w:val="6"/>
    </w:lvl>
  </w:abstractNum>
  <w:abstractNum w:abstractNumId="257">
    <w:nsid w:val="1A54D7BC"/>
    <w:multiLevelType w:val="hybridMultilevel"/>
    <w:lvl w:ilvl="0">
      <w:lvlJc w:val="left"/>
      <w:lvlText w:val="(%1)"/>
      <w:numFmt w:val="lowerRoman"/>
      <w:start w:val="7"/>
    </w:lvl>
  </w:abstractNum>
  <w:abstractNum w:abstractNumId="258">
    <w:nsid w:val="42E57EF7"/>
    <w:multiLevelType w:val="hybridMultilevel"/>
    <w:lvl w:ilvl="0">
      <w:lvlJc w:val="left"/>
      <w:lvlText w:val="%1"/>
      <w:numFmt w:val="lowerLetter"/>
      <w:start w:val="1"/>
    </w:lvl>
    <w:lvl w:ilvl="1">
      <w:lvlJc w:val="left"/>
      <w:lvlText w:val="(%2)"/>
      <w:numFmt w:val="lowerLetter"/>
      <w:start w:val="1"/>
    </w:lvl>
  </w:abstractNum>
  <w:abstractNum w:abstractNumId="259">
    <w:nsid w:val="33537CED"/>
    <w:multiLevelType w:val="hybridMultilevel"/>
    <w:lvl w:ilvl="0">
      <w:lvlJc w:val="left"/>
      <w:lvlText w:val="(%1)"/>
      <w:numFmt w:val="lowerLetter"/>
      <w:start w:val="61"/>
    </w:lvl>
    <w:lvl w:ilvl="1">
      <w:lvlJc w:val="left"/>
      <w:lvlText w:val="(%2)"/>
      <w:numFmt w:val="lowerLetter"/>
      <w:start w:val="2"/>
    </w:lvl>
  </w:abstractNum>
  <w:abstractNum w:abstractNumId="260">
    <w:nsid w:val="27514ADE"/>
    <w:multiLevelType w:val="hybridMultilevel"/>
    <w:lvl w:ilvl="0">
      <w:lvlJc w:val="left"/>
      <w:lvlText w:val="(%1)"/>
      <w:numFmt w:val="lowerLetter"/>
      <w:start w:val="3"/>
    </w:lvl>
    <w:lvl w:ilvl="1">
      <w:lvlJc w:val="left"/>
      <w:lvlText w:val="(%2)"/>
      <w:numFmt w:val="lowerRoman"/>
      <w:start w:val="1"/>
    </w:lvl>
  </w:abstractNum>
  <w:abstractNum w:abstractNumId="261">
    <w:nsid w:val="57071613"/>
    <w:multiLevelType w:val="hybridMultilevel"/>
    <w:lvl w:ilvl="0">
      <w:lvlJc w:val="left"/>
      <w:lvlText w:val="(%1)"/>
      <w:numFmt w:val="lowerLetter"/>
      <w:start w:val="4"/>
    </w:lvl>
    <w:lvl w:ilvl="1">
      <w:lvlJc w:val="left"/>
      <w:lvlText w:val="(%2)"/>
      <w:numFmt w:val="lowerLetter"/>
      <w:start w:val="9"/>
    </w:lvl>
  </w:abstractNum>
  <w:abstractNum w:abstractNumId="262">
    <w:nsid w:val="5293BFEF"/>
    <w:multiLevelType w:val="hybridMultilevel"/>
    <w:lvl w:ilvl="0">
      <w:lvlJc w:val="left"/>
      <w:lvlText w:val="%1"/>
      <w:numFmt w:val="lowerLetter"/>
      <w:start w:val="1"/>
    </w:lvl>
    <w:lvl w:ilvl="1">
      <w:lvlJc w:val="left"/>
      <w:lvlText w:val="(%2)"/>
      <w:numFmt w:val="lowerLetter"/>
      <w:start w:val="35"/>
    </w:lvl>
  </w:abstractNum>
  <w:abstractNum w:abstractNumId="263">
    <w:nsid w:val="38BF53E5"/>
    <w:multiLevelType w:val="hybridMultilevel"/>
    <w:lvl w:ilvl="0">
      <w:lvlJc w:val="left"/>
      <w:lvlText w:val="(%1)"/>
      <w:numFmt w:val="lowerLetter"/>
      <w:start w:val="5"/>
    </w:lvl>
    <w:lvl w:ilvl="1">
      <w:lvlJc w:val="left"/>
      <w:lvlText w:val="(%2)"/>
      <w:numFmt w:val="lowerLetter"/>
      <w:start w:val="9"/>
    </w:lvl>
  </w:abstractNum>
  <w:abstractNum w:abstractNumId="264">
    <w:nsid w:val="226F532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65">
    <w:nsid w:val="5A0201C7"/>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266">
    <w:nsid w:val="2A9C34E2"/>
    <w:multiLevelType w:val="hybridMultilevel"/>
    <w:lvl w:ilvl="0">
      <w:lvlJc w:val="left"/>
      <w:lvlText w:val="(%1)"/>
      <w:numFmt w:val="lowerRoman"/>
      <w:start w:val="4"/>
    </w:lvl>
  </w:abstractNum>
  <w:abstractNum w:abstractNumId="267">
    <w:nsid w:val="1B7585AB"/>
    <w:multiLevelType w:val="hybridMultilevel"/>
    <w:lvl w:ilvl="0">
      <w:lvlJc w:val="left"/>
      <w:lvlText w:val="(%1)"/>
      <w:numFmt w:val="lowerRoman"/>
      <w:start w:val="1"/>
    </w:lvl>
  </w:abstractNum>
  <w:abstractNum w:abstractNumId="268">
    <w:nsid w:val="612DBDDD"/>
    <w:multiLevelType w:val="hybridMultilevel"/>
    <w:lvl w:ilvl="0">
      <w:lvlJc w:val="left"/>
      <w:lvlText w:val="(%1)"/>
      <w:numFmt w:val="lowerLetter"/>
      <w:start w:val="2"/>
    </w:lvl>
  </w:abstractNum>
  <w:abstractNum w:abstractNumId="269">
    <w:nsid w:val="2109CDA4"/>
    <w:multiLevelType w:val="hybridMultilevel"/>
    <w:lvl w:ilvl="0">
      <w:lvlJc w:val="left"/>
      <w:lvlText w:val="(%1)"/>
      <w:numFmt w:val="lowerRoman"/>
      <w:start w:val="1"/>
    </w:lvl>
  </w:abstractNum>
  <w:abstractNum w:abstractNumId="270">
    <w:nsid w:val="577F5A4D"/>
    <w:multiLevelType w:val="hybridMultilevel"/>
    <w:lvl w:ilvl="0">
      <w:lvlJc w:val="left"/>
      <w:lvlText w:val="(%1)"/>
      <w:numFmt w:val="lowerRoman"/>
      <w:start w:val="2"/>
    </w:lvl>
  </w:abstractNum>
  <w:abstractNum w:abstractNumId="271">
    <w:nsid w:val="2121A81"/>
    <w:multiLevelType w:val="hybridMultilevel"/>
    <w:lvl w:ilvl="0">
      <w:lvlJc w:val="left"/>
      <w:lvlText w:val="(%1)"/>
      <w:numFmt w:val="lowerLetter"/>
      <w:start w:val="3"/>
    </w:lvl>
    <w:lvl w:ilvl="1">
      <w:lvlJc w:val="left"/>
      <w:lvlText w:val="(%2)"/>
      <w:numFmt w:val="lowerLetter"/>
      <w:start w:val="9"/>
    </w:lvl>
  </w:abstractNum>
  <w:abstractNum w:abstractNumId="272">
    <w:nsid w:val="6C2CFC88"/>
    <w:multiLevelType w:val="hybridMultilevel"/>
    <w:lvl w:ilvl="0">
      <w:lvlJc w:val="left"/>
      <w:lvlText w:val="(%1)"/>
      <w:numFmt w:val="lowerRoman"/>
      <w:start w:val="2"/>
    </w:lvl>
    <w:lvl w:ilvl="1">
      <w:lvlJc w:val="left"/>
      <w:lvlText w:val="(%2)"/>
      <w:numFmt w:val="decimal"/>
      <w:start w:val="1"/>
    </w:lvl>
  </w:abstractNum>
  <w:abstractNum w:abstractNumId="273">
    <w:nsid w:val="6D1BCF1C"/>
    <w:multiLevelType w:val="hybridMultilevel"/>
    <w:lvl w:ilvl="0">
      <w:lvlJc w:val="left"/>
      <w:lvlText w:val="%1"/>
      <w:numFmt w:val="lowerRoman"/>
      <w:start w:val="1"/>
    </w:lvl>
    <w:lvl w:ilvl="1">
      <w:lvlJc w:val="left"/>
      <w:lvlText w:val="(%2)"/>
      <w:numFmt w:val="decimal"/>
      <w:start w:val="2"/>
    </w:lvl>
  </w:abstractNum>
  <w:abstractNum w:abstractNumId="274">
    <w:nsid w:val="4CE5CA53"/>
    <w:multiLevelType w:val="hybridMultilevel"/>
    <w:lvl w:ilvl="0">
      <w:lvlJc w:val="left"/>
      <w:lvlText w:val="(%1)"/>
      <w:numFmt w:val="lowerRoman"/>
      <w:start w:val="3"/>
    </w:lvl>
    <w:lvl w:ilvl="1">
      <w:lvlJc w:val="left"/>
      <w:lvlText w:val="%2"/>
      <w:numFmt w:val="decimal"/>
      <w:start w:val="1"/>
    </w:lvl>
  </w:abstractNum>
  <w:abstractNum w:abstractNumId="275">
    <w:nsid w:val="29262D1A"/>
    <w:multiLevelType w:val="hybridMultilevel"/>
    <w:lvl w:ilvl="0">
      <w:lvlJc w:val="left"/>
      <w:lvlText w:val="(%1)"/>
      <w:numFmt w:val="lowerLetter"/>
      <w:start w:val="4"/>
    </w:lvl>
    <w:lvl w:ilvl="1">
      <w:lvlJc w:val="left"/>
      <w:lvlText w:val="(%2)"/>
      <w:numFmt w:val="lowerRoman"/>
      <w:start w:val="1"/>
    </w:lvl>
  </w:abstractNum>
  <w:abstractNum w:abstractNumId="276">
    <w:nsid w:val="557FB7EE"/>
    <w:multiLevelType w:val="hybridMultilevel"/>
    <w:lvl w:ilvl="0">
      <w:lvlJc w:val="left"/>
      <w:lvlText w:val="%1"/>
      <w:numFmt w:val="lowerLetter"/>
      <w:start w:val="1"/>
    </w:lvl>
    <w:lvl w:ilvl="1">
      <w:lvlJc w:val="left"/>
      <w:lvlText w:val="(%2)"/>
      <w:numFmt w:val="lowerLetter"/>
      <w:start w:val="61"/>
    </w:lvl>
  </w:abstractNum>
  <w:abstractNum w:abstractNumId="277">
    <w:nsid w:val="436F2BEB"/>
    <w:multiLevelType w:val="hybridMultilevel"/>
    <w:lvl w:ilvl="0">
      <w:lvlJc w:val="left"/>
      <w:lvlText w:val="(%1)"/>
      <w:numFmt w:val="lowerLetter"/>
      <w:start w:val="5"/>
    </w:lvl>
    <w:lvl w:ilvl="1">
      <w:lvlJc w:val="left"/>
      <w:lvlText w:val="(%2)"/>
      <w:numFmt w:val="lowerLetter"/>
      <w:start w:val="9"/>
    </w:lvl>
  </w:abstractNum>
  <w:abstractNum w:abstractNumId="278">
    <w:nsid w:val="6C8B4466"/>
    <w:multiLevelType w:val="hybridMultilevel"/>
    <w:lvl w:ilvl="0">
      <w:lvlJc w:val="left"/>
      <w:lvlText w:val="(%1)"/>
      <w:numFmt w:val="lowerRoman"/>
      <w:start w:val="2"/>
    </w:lvl>
  </w:abstractNum>
  <w:abstractNum w:abstractNumId="279">
    <w:nsid w:val="2006E424"/>
    <w:multiLevelType w:val="hybridMultilevel"/>
    <w:lvl w:ilvl="0">
      <w:lvlJc w:val="left"/>
      <w:lvlText w:val="%1"/>
      <w:numFmt w:val="lowerLetter"/>
      <w:start w:val="1"/>
    </w:lvl>
    <w:lvl w:ilvl="1">
      <w:lvlJc w:val="left"/>
      <w:lvlText w:val="(%2)"/>
      <w:numFmt w:val="lowerRoman"/>
      <w:start w:val="3"/>
    </w:lvl>
  </w:abstractNum>
  <w:abstractNum w:abstractNumId="280">
    <w:nsid w:val="20CC134C"/>
    <w:multiLevelType w:val="hybridMultilevel"/>
    <w:lvl w:ilvl="0">
      <w:lvlJc w:val="left"/>
      <w:lvlText w:val="(%1)"/>
      <w:numFmt w:val="lowerLetter"/>
      <w:start w:val="25"/>
    </w:lvl>
    <w:lvl w:ilvl="1">
      <w:lvlJc w:val="left"/>
      <w:lvlText w:val="%2"/>
      <w:numFmt w:val="lowerRoman"/>
      <w:start w:val="1"/>
    </w:lvl>
  </w:abstractNum>
  <w:abstractNum w:abstractNumId="281">
    <w:nsid w:val="95FC93B"/>
    <w:multiLevelType w:val="hybridMultilevel"/>
    <w:lvl w:ilvl="0">
      <w:lvlJc w:val="left"/>
      <w:lvlText w:val="%1"/>
      <w:numFmt w:val="lowerLetter"/>
      <w:start w:val="1"/>
    </w:lvl>
    <w:lvl w:ilvl="1">
      <w:lvlJc w:val="left"/>
      <w:lvlText w:val="(%2)"/>
      <w:numFmt w:val="lowerLetter"/>
      <w:start w:val="22"/>
    </w:lvl>
  </w:abstractNum>
  <w:abstractNum w:abstractNumId="282">
    <w:nsid w:val="41D74679"/>
    <w:multiLevelType w:val="hybridMultilevel"/>
    <w:lvl w:ilvl="0">
      <w:lvlJc w:val="left"/>
      <w:lvlText w:val="(%1)"/>
      <w:numFmt w:val="lowerLetter"/>
      <w:start w:val="6"/>
    </w:lvl>
    <w:lvl w:ilvl="1">
      <w:lvlJc w:val="left"/>
      <w:lvlText w:val="(%2)"/>
      <w:numFmt w:val="lowerLetter"/>
      <w:start w:val="9"/>
    </w:lvl>
  </w:abstractNum>
  <w:abstractNum w:abstractNumId="283">
    <w:nsid w:val="71E5621E"/>
    <w:multiLevelType w:val="hybridMultilevel"/>
    <w:lvl w:ilvl="0">
      <w:lvlJc w:val="left"/>
      <w:lvlText w:val="(%1)"/>
      <w:numFmt w:val="lowerRoman"/>
      <w:start w:val="2"/>
    </w:lvl>
  </w:abstractNum>
  <w:abstractNum w:abstractNumId="284">
    <w:nsid w:val="4E42B6A8"/>
    <w:multiLevelType w:val="hybridMultilevel"/>
    <w:lvl w:ilvl="0">
      <w:lvlJc w:val="left"/>
      <w:lvlText w:val="(%1)"/>
      <w:numFmt w:val="decimal"/>
      <w:start w:val="30"/>
    </w:lvl>
    <w:lvl w:ilvl="1">
      <w:lvlJc w:val="left"/>
      <w:lvlText w:val="(%2)"/>
      <w:numFmt w:val="lowerLetter"/>
      <w:start w:val="2"/>
    </w:lvl>
  </w:abstractNum>
  <w:abstractNum w:abstractNumId="285">
    <w:nsid w:val="43F8E1AC"/>
    <w:multiLevelType w:val="hybridMultilevel"/>
    <w:lvl w:ilvl="0">
      <w:lvlJc w:val="left"/>
      <w:lvlText w:val="(%1)"/>
      <w:numFmt w:val="lowerLetter"/>
      <w:start w:val="9"/>
    </w:lvl>
    <w:lvl w:ilvl="1">
      <w:lvlJc w:val="left"/>
      <w:lvlText w:val="(%2)"/>
      <w:numFmt w:val="lowerLetter"/>
      <w:start w:val="3"/>
    </w:lvl>
  </w:abstractNum>
  <w:abstractNum w:abstractNumId="286">
    <w:nsid w:val="69215DFB"/>
    <w:multiLevelType w:val="hybridMultilevel"/>
    <w:lvl w:ilvl="0">
      <w:lvlJc w:val="left"/>
      <w:lvlText w:val="(%1)"/>
      <w:numFmt w:val="lowerLetter"/>
      <w:start w:val="5"/>
    </w:lvl>
  </w:abstractNum>
  <w:abstractNum w:abstractNumId="287">
    <w:nsid w:val="7ABF196A"/>
    <w:multiLevelType w:val="hybridMultilevel"/>
    <w:lvl w:ilvl="0">
      <w:lvlJc w:val="left"/>
      <w:lvlText w:val="%1"/>
      <w:numFmt w:val="lowerLetter"/>
      <w:start w:val="1"/>
    </w:lvl>
    <w:lvl w:ilvl="1">
      <w:lvlJc w:val="left"/>
      <w:lvlText w:val="(%2)"/>
      <w:numFmt w:val="lowerLetter"/>
      <w:start w:val="9"/>
    </w:lvl>
  </w:abstractNum>
  <w:abstractNum w:abstractNumId="288">
    <w:nsid w:val="5E4DB968"/>
    <w:multiLevelType w:val="hybridMultilevel"/>
    <w:lvl w:ilvl="0">
      <w:lvlJc w:val="left"/>
      <w:lvlText w:val="(%1)"/>
      <w:numFmt w:val="lowerLetter"/>
      <w:start w:val="9"/>
    </w:lvl>
    <w:lvl w:ilvl="1">
      <w:lvlJc w:val="left"/>
      <w:lvlText w:val="(%2)"/>
      <w:numFmt w:val="lowerLetter"/>
      <w:start w:val="11"/>
    </w:lvl>
  </w:abstractNum>
  <w:abstractNum w:abstractNumId="289">
    <w:nsid w:val="2C06DCF3"/>
    <w:multiLevelType w:val="hybridMultilevel"/>
    <w:lvl w:ilvl="0">
      <w:lvlJc w:val="left"/>
      <w:lvlText w:val="(%1)"/>
      <w:numFmt w:val="lowerLetter"/>
      <w:start w:val="12"/>
    </w:lvl>
  </w:abstractNum>
  <w:abstractNum w:abstractNumId="290">
    <w:nsid w:val="2E129658"/>
    <w:multiLevelType w:val="hybridMultilevel"/>
    <w:lvl w:ilvl="0">
      <w:lvlJc w:val="left"/>
      <w:lvlText w:val="(%1)"/>
      <w:numFmt w:val="lowerRoman"/>
      <w:start w:val="3"/>
    </w:lvl>
  </w:abstractNum>
  <w:abstractNum w:abstractNumId="291">
    <w:nsid w:val="59F0446"/>
    <w:multiLevelType w:val="hybridMultilevel"/>
    <w:lvl w:ilvl="0">
      <w:lvlJc w:val="left"/>
      <w:lvlText w:val="(%1)"/>
      <w:numFmt w:val="lowerLetter"/>
      <w:start w:val="2"/>
    </w:lvl>
  </w:abstractNum>
  <w:abstractNum w:abstractNumId="292">
    <w:nsid w:val="30DF306"/>
    <w:multiLevelType w:val="hybridMultilevel"/>
    <w:lvl w:ilvl="0">
      <w:lvlJc w:val="left"/>
      <w:lvlText w:val="%1"/>
      <w:numFmt w:val="decimal"/>
      <w:start w:val="1"/>
    </w:lvl>
    <w:lvl w:ilvl="1">
      <w:lvlJc w:val="left"/>
      <w:lvlText w:val="(%2)"/>
      <w:numFmt w:val="lowerLetter"/>
      <w:start w:val="4"/>
    </w:lvl>
  </w:abstractNum>
  <w:abstractNum w:abstractNumId="293">
    <w:nsid w:val="A65647"/>
    <w:multiLevelType w:val="hybridMultilevel"/>
    <w:lvl w:ilvl="0">
      <w:lvlJc w:val="left"/>
      <w:lvlText w:val="(%1)"/>
      <w:numFmt w:val="decimal"/>
      <w:start w:val="2"/>
    </w:lvl>
    <w:lvl w:ilvl="1">
      <w:lvlJc w:val="left"/>
      <w:lvlText w:val="%2"/>
      <w:numFmt w:val="lowerLetter"/>
      <w:start w:val="1"/>
    </w:lvl>
  </w:abstractNum>
  <w:abstractNum w:abstractNumId="294">
    <w:nsid w:val="3E5E582B"/>
    <w:multiLevelType w:val="hybridMultilevel"/>
    <w:lvl w:ilvl="0">
      <w:lvlJc w:val="left"/>
      <w:lvlText w:val="(%1)"/>
      <w:numFmt w:val="lowerLetter"/>
      <w:start w:val="5"/>
    </w:lvl>
  </w:abstractNum>
  <w:abstractNum w:abstractNumId="295">
    <w:nsid w:val="257D4626"/>
    <w:multiLevelType w:val="hybridMultilevel"/>
    <w:lvl w:ilvl="0">
      <w:lvlJc w:val="left"/>
      <w:lvlText w:val="%1"/>
      <w:numFmt w:val="lowerLetter"/>
      <w:start w:val="1"/>
    </w:lvl>
    <w:lvl w:ilvl="1">
      <w:lvlJc w:val="left"/>
      <w:lvlText w:val="(%2)"/>
      <w:numFmt w:val="lowerLetter"/>
      <w:start w:val="6"/>
    </w:lvl>
  </w:abstractNum>
  <w:abstractNum w:abstractNumId="296">
    <w:nsid w:val="5AA8580E"/>
    <w:multiLevelType w:val="hybridMultilevel"/>
    <w:lvl w:ilvl="0">
      <w:lvlJc w:val="left"/>
      <w:lvlText w:val="(%1)"/>
      <w:numFmt w:val="lowerLetter"/>
      <w:start w:val="24"/>
    </w:lvl>
    <w:lvl w:ilvl="1">
      <w:lvlJc w:val="left"/>
      <w:lvlText w:val="%2"/>
      <w:numFmt w:val="lowerLetter"/>
      <w:start w:val="1"/>
    </w:lvl>
  </w:abstractNum>
  <w:abstractNum w:abstractNumId="297">
    <w:nsid w:val="68FA8D0D"/>
    <w:multiLevelType w:val="hybridMultilevel"/>
    <w:lvl w:ilvl="0">
      <w:lvlJc w:val="left"/>
      <w:lvlText w:val="(%1)"/>
      <w:numFmt w:val="lowerLetter"/>
      <w:start w:val="7"/>
    </w:lvl>
  </w:abstractNum>
  <w:abstractNum w:abstractNumId="298">
    <w:nsid w:val="40F2CBD2"/>
    <w:multiLevelType w:val="hybridMultilevel"/>
    <w:lvl w:ilvl="0">
      <w:lvlJc w:val="left"/>
      <w:lvlText w:val="(%1)"/>
      <w:numFmt w:val="lowerLetter"/>
      <w:start w:val="10"/>
    </w:lvl>
  </w:abstractNum>
  <w:abstractNum w:abstractNumId="299">
    <w:nsid w:val="3BD615EB"/>
    <w:multiLevelType w:val="hybridMultilevel"/>
    <w:lvl w:ilvl="0">
      <w:lvlJc w:val="left"/>
      <w:lvlText w:val="(%1)"/>
      <w:numFmt w:val="lowerLetter"/>
      <w:start w:val="12"/>
    </w:lvl>
  </w:abstractNum>
  <w:abstractNum w:abstractNumId="300">
    <w:nsid w:val="A045AB2"/>
    <w:multiLevelType w:val="hybridMultilevel"/>
    <w:lvl w:ilvl="0">
      <w:lvlJc w:val="left"/>
      <w:lvlText w:val="%1"/>
      <w:numFmt w:val="lowerLetter"/>
      <w:start w:val="1"/>
    </w:lvl>
    <w:lvl w:ilvl="1">
      <w:lvlJc w:val="left"/>
      <w:lvlText w:val="(%2)"/>
      <w:numFmt w:val="lowerLetter"/>
      <w:start w:val="2"/>
    </w:lvl>
  </w:abstractNum>
  <w:abstractNum w:abstractNumId="301">
    <w:nsid w:val="1872261F"/>
    <w:multiLevelType w:val="hybridMultilevel"/>
    <w:lvl w:ilvl="0">
      <w:lvlJc w:val="left"/>
      <w:lvlText w:val="(%1)"/>
      <w:numFmt w:val="lowerLetter"/>
      <w:start w:val="35"/>
    </w:lvl>
    <w:lvl w:ilvl="1">
      <w:lvlJc w:val="left"/>
      <w:lvlText w:val="%2"/>
      <w:numFmt w:val="lowerLetter"/>
      <w:start w:val="1"/>
    </w:lvl>
  </w:abstractNum>
  <w:abstractNum w:abstractNumId="302">
    <w:nsid w:val="3DE8306C"/>
    <w:multiLevelType w:val="hybridMultilevel"/>
    <w:lvl w:ilvl="0">
      <w:lvlJc w:val="left"/>
      <w:lvlText w:val="(%1)"/>
      <w:numFmt w:val="lowerLetter"/>
      <w:start w:val="3"/>
    </w:lvl>
  </w:abstractNum>
  <w:abstractNum w:abstractNumId="303">
    <w:nsid w:val="7631573A"/>
    <w:multiLevelType w:val="hybridMultilevel"/>
    <w:lvl w:ilvl="0">
      <w:lvlJc w:val="left"/>
      <w:lvlText w:val="(%1)"/>
      <w:numFmt w:val="lowerRoman"/>
      <w:start w:val="1"/>
    </w:lvl>
  </w:abstractNum>
  <w:abstractNum w:abstractNumId="304">
    <w:nsid w:val="58DF53B"/>
    <w:multiLevelType w:val="hybridMultilevel"/>
    <w:lvl w:ilvl="0">
      <w:lvlJc w:val="left"/>
      <w:lvlText w:val="(%1)"/>
      <w:numFmt w:val="lowerRoman"/>
      <w:start w:val="2"/>
    </w:lvl>
  </w:abstractNum>
  <w:abstractNum w:abstractNumId="305">
    <w:nsid w:val="ACDFAC0"/>
    <w:multiLevelType w:val="hybridMultilevel"/>
    <w:lvl w:ilvl="0">
      <w:lvlJc w:val="left"/>
      <w:lvlText w:val="(%1)"/>
      <w:numFmt w:val="lowerRoman"/>
      <w:start w:val="3"/>
    </w:lvl>
  </w:abstractNum>
  <w:abstractNum w:abstractNumId="306">
    <w:nsid w:val="1F578454"/>
    <w:multiLevelType w:val="hybridMultilevel"/>
    <w:lvl w:ilvl="0">
      <w:lvlJc w:val="left"/>
      <w:lvlText w:val="(%1)"/>
      <w:numFmt w:val="lowerLetter"/>
      <w:start w:val="2"/>
    </w:lvl>
  </w:abstractNum>
  <w:abstractNum w:abstractNumId="307">
    <w:nsid w:val="5B0DAD2A"/>
    <w:multiLevelType w:val="hybridMultilevel"/>
    <w:lvl w:ilvl="0">
      <w:lvlJc w:val="left"/>
      <w:lvlText w:val="(%1)"/>
      <w:numFmt w:val="lowerLetter"/>
      <w:start w:val="3"/>
    </w:lvl>
  </w:abstractNum>
  <w:abstractNum w:abstractNumId="308">
    <w:nsid w:val="4E3D26AB"/>
    <w:multiLevelType w:val="hybridMultilevel"/>
    <w:lvl w:ilvl="0">
      <w:lvlJc w:val="left"/>
      <w:lvlText w:val="%1"/>
      <w:numFmt w:val="lowerLetter"/>
      <w:start w:val="1"/>
    </w:lvl>
    <w:lvl w:ilvl="1">
      <w:lvlJc w:val="left"/>
      <w:lvlText w:val="(%2)"/>
      <w:numFmt w:val="lowerLetter"/>
      <w:start w:val="1"/>
    </w:lvl>
  </w:abstractNum>
  <w:abstractNum w:abstractNumId="309">
    <w:nsid w:val="BE2C8BA"/>
    <w:multiLevelType w:val="hybridMultilevel"/>
    <w:lvl w:ilvl="0">
      <w:lvlJc w:val="left"/>
      <w:lvlText w:val="(%1)"/>
      <w:numFmt w:val="lowerLetter"/>
      <w:start w:val="24"/>
    </w:lvl>
    <w:lvl w:ilvl="1">
      <w:lvlJc w:val="left"/>
      <w:lvlText w:val="(%2)"/>
      <w:numFmt w:val="lowerLetter"/>
      <w:start w:val="6"/>
    </w:lvl>
  </w:abstractNum>
  <w:abstractNum w:abstractNumId="310">
    <w:nsid w:val="7B14914E"/>
    <w:multiLevelType w:val="hybridMultilevel"/>
    <w:lvl w:ilvl="0">
      <w:lvlJc w:val="left"/>
      <w:lvlText w:val="(%1)"/>
      <w:numFmt w:val="lowerLetter"/>
      <w:start w:val="7"/>
    </w:lvl>
  </w:abstractNum>
  <w:abstractNum w:abstractNumId="311">
    <w:nsid w:val="6F0939F8"/>
    <w:multiLevelType w:val="hybridMultilevel"/>
    <w:lvl w:ilvl="0">
      <w:lvlJc w:val="left"/>
      <w:lvlText w:val="(%1)"/>
      <w:numFmt w:val="lowerLetter"/>
      <w:start w:val="2"/>
    </w:lvl>
  </w:abstractNum>
  <w:abstractNum w:abstractNumId="312">
    <w:nsid w:val="154291F6"/>
    <w:multiLevelType w:val="hybridMultilevel"/>
    <w:lvl w:ilvl="0">
      <w:lvlJc w:val="left"/>
      <w:lvlText w:val="(%1)"/>
      <w:numFmt w:val="lowerLetter"/>
      <w:start w:val="2"/>
    </w:lvl>
  </w:abstractNum>
  <w:abstractNum w:abstractNumId="313">
    <w:nsid w:val="3CEBD7C7"/>
    <w:multiLevelType w:val="hybridMultilevel"/>
    <w:lvl w:ilvl="0">
      <w:lvlJc w:val="left"/>
      <w:lvlText w:val="(%1)"/>
      <w:numFmt w:val="lowerLetter"/>
      <w:start w:val="1"/>
    </w:lvl>
    <w:lvl w:ilvl="1">
      <w:lvlJc w:val="left"/>
      <w:lvlText w:val="(%2)"/>
      <w:numFmt w:val="lowerRoman"/>
      <w:start w:val="1"/>
    </w:lvl>
  </w:abstractNum>
  <w:abstractNum w:abstractNumId="314">
    <w:nsid w:val="60EE9C16"/>
    <w:multiLevelType w:val="hybridMultilevel"/>
    <w:lvl w:ilvl="0">
      <w:lvlJc w:val="left"/>
      <w:lvlText w:val="(%1)"/>
      <w:numFmt w:val="lowerLetter"/>
      <w:start w:val="1"/>
    </w:lvl>
  </w:abstractNum>
  <w:abstractNum w:abstractNumId="315">
    <w:nsid w:val="6385489E"/>
    <w:multiLevelType w:val="hybridMultilevel"/>
    <w:lvl w:ilvl="0">
      <w:lvlJc w:val="left"/>
      <w:lvlText w:val="(%1)"/>
      <w:numFmt w:val="lowerRoman"/>
      <w:start w:val="2"/>
    </w:lvl>
  </w:abstractNum>
  <w:abstractNum w:abstractNumId="316">
    <w:nsid w:val="E4B973"/>
    <w:multiLevelType w:val="hybridMultilevel"/>
    <w:lvl w:ilvl="0">
      <w:lvlJc w:val="left"/>
      <w:lvlText w:val="(%1)"/>
      <w:numFmt w:val="upperLetter"/>
      <w:start w:val="2"/>
    </w:lvl>
  </w:abstractNum>
  <w:abstractNum w:abstractNumId="317">
    <w:nsid w:val="4A0FFA11"/>
    <w:multiLevelType w:val="hybridMultilevel"/>
    <w:lvl w:ilvl="0">
      <w:lvlJc w:val="left"/>
      <w:lvlText w:val="(%1)"/>
      <w:numFmt w:val="upperLetter"/>
      <w:start w:val="1"/>
    </w:lvl>
  </w:abstractNum>
  <w:abstractNum w:abstractNumId="318">
    <w:nsid w:val="5E446208"/>
    <w:multiLevelType w:val="hybridMultilevel"/>
    <w:lvl w:ilvl="0">
      <w:lvlJc w:val="left"/>
      <w:lvlText w:val="(%1)"/>
      <w:numFmt w:val="lowerLetter"/>
      <w:start w:val="1"/>
    </w:lvl>
  </w:abstractNum>
  <w:abstractNum w:abstractNumId="319">
    <w:nsid w:val="5F3272DB"/>
    <w:multiLevelType w:val="hybridMultilevel"/>
    <w:lvl w:ilvl="0">
      <w:lvlJc w:val="left"/>
      <w:lvlText w:val="(%1)"/>
      <w:numFmt w:val="lowerLetter"/>
      <w:start w:val="1"/>
    </w:lvl>
  </w:abstractNum>
  <w:abstractNum w:abstractNumId="320">
    <w:nsid w:val="7616D704"/>
    <w:multiLevelType w:val="hybridMultilevel"/>
    <w:lvl w:ilvl="0">
      <w:lvlJc w:val="left"/>
      <w:lvlText w:val="(%1)"/>
      <w:numFmt w:val="lowerLetter"/>
      <w:start w:val="2"/>
    </w:lvl>
  </w:abstractNum>
  <w:abstractNum w:abstractNumId="321">
    <w:nsid w:val="C56F860"/>
    <w:multiLevelType w:val="hybridMultilevel"/>
    <w:lvl w:ilvl="0">
      <w:lvlJc w:val="left"/>
      <w:lvlText w:val="(%1)"/>
      <w:numFmt w:val="lowerRoman"/>
      <w:start w:val="1"/>
    </w:lvl>
  </w:abstractNum>
  <w:abstractNum w:abstractNumId="322">
    <w:nsid w:val="64D17722"/>
    <w:multiLevelType w:val="hybridMultilevel"/>
    <w:lvl w:ilvl="0">
      <w:lvlJc w:val="left"/>
      <w:lvlText w:val="(%1)"/>
      <w:numFmt w:val="lowerRoman"/>
      <w:start w:val="1"/>
    </w:lvl>
  </w:abstractNum>
  <w:abstractNum w:abstractNumId="323">
    <w:nsid w:val="7924CA0A"/>
    <w:multiLevelType w:val="hybridMultilevel"/>
    <w:lvl w:ilvl="0">
      <w:lvlJc w:val="left"/>
      <w:lvlText w:val="(%1)"/>
      <w:numFmt w:val="lowerRoman"/>
      <w:start w:val="3"/>
    </w:lvl>
  </w:abstractNum>
  <w:abstractNum w:abstractNumId="324">
    <w:nsid w:val="CFD4EA7"/>
    <w:multiLevelType w:val="hybridMultilevel"/>
    <w:lvl w:ilvl="0">
      <w:lvlJc w:val="left"/>
      <w:lvlText w:val="(%1)"/>
      <w:numFmt w:val="lowerLetter"/>
      <w:start w:val="3"/>
    </w:lvl>
  </w:abstractNum>
  <w:abstractNum w:abstractNumId="325">
    <w:nsid w:val="232FCF4D"/>
    <w:multiLevelType w:val="hybridMultilevel"/>
    <w:lvl w:ilvl="0">
      <w:lvlJc w:val="left"/>
      <w:lvlText w:val="(%1)"/>
      <w:numFmt w:val="lowerLetter"/>
      <w:start w:val="2"/>
    </w:lvl>
  </w:abstractNum>
  <w:abstractNum w:abstractNumId="326">
    <w:nsid w:val="1EA21031"/>
    <w:multiLevelType w:val="hybridMultilevel"/>
    <w:lvl w:ilvl="0">
      <w:lvlJc w:val="left"/>
      <w:lvlText w:val="(%1)"/>
      <w:numFmt w:val="lowerLetter"/>
      <w:start w:val="1"/>
    </w:lvl>
    <w:lvl w:ilvl="1">
      <w:lvlJc w:val="left"/>
      <w:lvlText w:val="(%2)"/>
      <w:numFmt w:val="lowerRoman"/>
      <w:start w:val="1"/>
    </w:lvl>
  </w:abstractNum>
  <w:abstractNum w:abstractNumId="327">
    <w:nsid w:val="67A5A6B5"/>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28">
    <w:nsid w:val="C2A5C5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2"/>
    </w:lvl>
  </w:abstractNum>
  <w:abstractNum w:abstractNumId="329">
    <w:nsid w:val="5F94DC0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30">
    <w:nsid w:val="237BBCA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31">
    <w:nsid w:val="162EB70D"/>
    <w:multiLevelType w:val="hybridMultilevel"/>
    <w:lvl w:ilvl="0">
      <w:lvlJc w:val="left"/>
      <w:lvlText w:val="(%1)"/>
      <w:numFmt w:val="upperLetter"/>
      <w:start w:val="35"/>
    </w:lvl>
    <w:lvl w:ilvl="1">
      <w:lvlJc w:val="left"/>
      <w:lvlText w:val="(%2)"/>
      <w:numFmt w:val="lowerLetter"/>
      <w:start w:val="4"/>
    </w:lvl>
    <w:lvl w:ilvl="2">
      <w:lvlJc w:val="left"/>
      <w:lvlText w:val="(%3)"/>
      <w:numFmt w:val="lowerLetter"/>
      <w:start w:val="9"/>
    </w:lvl>
  </w:abstractNum>
  <w:abstractNum w:abstractNumId="332">
    <w:nsid w:val="78070222"/>
    <w:multiLevelType w:val="hybridMultilevel"/>
    <w:lvl w:ilvl="0">
      <w:lvlJc w:val="left"/>
      <w:lvlText w:val="(%1)"/>
      <w:numFmt w:val="lowerRoman"/>
      <w:start w:val="2"/>
    </w:lvl>
  </w:abstractNum>
  <w:abstractNum w:abstractNumId="333">
    <w:nsid w:val="6163ED0D"/>
    <w:multiLevelType w:val="hybridMultilevel"/>
    <w:lvl w:ilvl="0">
      <w:lvlJc w:val="left"/>
      <w:lvlText w:val="%1"/>
      <w:numFmt w:val="lowerLetter"/>
      <w:start w:val="1"/>
    </w:lvl>
    <w:lvl w:ilvl="1">
      <w:lvlJc w:val="left"/>
      <w:lvlText w:val="(%2)"/>
      <w:numFmt w:val="lowerLetter"/>
      <w:start w:val="5"/>
    </w:lvl>
  </w:abstractNum>
  <w:abstractNum w:abstractNumId="334">
    <w:nsid w:val="C600E47"/>
    <w:multiLevelType w:val="hybridMultilevel"/>
    <w:lvl w:ilvl="0">
      <w:lvlJc w:val="left"/>
      <w:lvlText w:val="(%1)"/>
      <w:numFmt w:val="lowerLetter"/>
      <w:start w:val="24"/>
    </w:lvl>
    <w:lvl w:ilvl="1">
      <w:lvlJc w:val="left"/>
      <w:lvlText w:val="(%2)"/>
      <w:numFmt w:val="lowerLetter"/>
      <w:start w:val="6"/>
    </w:lvl>
  </w:abstractNum>
  <w:abstractNum w:abstractNumId="335">
    <w:nsid w:val="7D94F75D"/>
    <w:multiLevelType w:val="hybridMultilevel"/>
    <w:lvl w:ilvl="0">
      <w:lvlJc w:val="left"/>
      <w:lvlText w:val="%1"/>
      <w:numFmt w:val="lowerRoman"/>
      <w:start w:val="1"/>
    </w:lvl>
    <w:lvl w:ilvl="1">
      <w:lvlJc w:val="left"/>
      <w:lvlText w:val="(%2)"/>
      <w:numFmt w:val="lowerRoman"/>
      <w:start w:val="1"/>
    </w:lvl>
  </w:abstractNum>
  <w:abstractNum w:abstractNumId="336">
    <w:nsid w:val="6C31E7CD"/>
    <w:multiLevelType w:val="hybridMultilevel"/>
    <w:lvl w:ilvl="0">
      <w:lvlJc w:val="left"/>
      <w:lvlText w:val="(%1)"/>
      <w:numFmt w:val="lowerRoman"/>
      <w:start w:val="1"/>
    </w:lvl>
    <w:lvl w:ilvl="1">
      <w:lvlJc w:val="left"/>
      <w:lvlText w:val="(%2)"/>
      <w:numFmt w:val="lowerRoman"/>
      <w:start w:val="3"/>
    </w:lvl>
  </w:abstractNum>
  <w:abstractNum w:abstractNumId="337">
    <w:nsid w:val="2BB7929B"/>
    <w:multiLevelType w:val="hybridMultilevel"/>
    <w:lvl w:ilvl="0">
      <w:lvlJc w:val="left"/>
      <w:lvlText w:val="(%1)"/>
      <w:numFmt w:val="lowerRoman"/>
      <w:start w:val="4"/>
    </w:lvl>
    <w:lvl w:ilvl="1">
      <w:lvlJc w:val="left"/>
      <w:lvlText w:val="(%2)"/>
      <w:numFmt w:val="lowerRoman"/>
      <w:start w:val="6"/>
    </w:lvl>
  </w:abstractNum>
  <w:abstractNum w:abstractNumId="338">
    <w:nsid w:val="58A2A487"/>
    <w:multiLevelType w:val="hybridMultilevel"/>
    <w:lvl w:ilvl="0">
      <w:lvlJc w:val="left"/>
      <w:lvlText w:val="(%1)"/>
      <w:numFmt w:val="lowerRoman"/>
      <w:start w:val="7"/>
    </w:lvl>
  </w:abstractNum>
  <w:abstractNum w:abstractNumId="339">
    <w:nsid w:val="3A6F0E78"/>
    <w:multiLevelType w:val="hybridMultilevel"/>
    <w:lvl w:ilvl="0">
      <w:lvlJc w:val="left"/>
      <w:lvlText w:val="%1"/>
      <w:numFmt w:val="lowerLetter"/>
      <w:start w:val="1"/>
    </w:lvl>
    <w:lvl w:ilvl="1">
      <w:lvlJc w:val="left"/>
      <w:lvlText w:val="(%2)"/>
      <w:numFmt w:val="lowerLetter"/>
      <w:start w:val="1"/>
    </w:lvl>
  </w:abstractNum>
  <w:abstractNum w:abstractNumId="340">
    <w:nsid w:val="379A5B56"/>
    <w:multiLevelType w:val="hybridMultilevel"/>
    <w:lvl w:ilvl="0">
      <w:lvlJc w:val="left"/>
      <w:lvlText w:val="(%1)"/>
      <w:numFmt w:val="lowerLetter"/>
      <w:start w:val="61"/>
    </w:lvl>
    <w:lvl w:ilvl="1">
      <w:lvlJc w:val="left"/>
      <w:lvlText w:val="%2"/>
      <w:numFmt w:val="lowerLetter"/>
      <w:start w:val="1"/>
    </w:lvl>
  </w:abstractNum>
  <w:abstractNum w:abstractNumId="341">
    <w:nsid w:val="53B735D5"/>
    <w:multiLevelType w:val="hybridMultilevel"/>
    <w:lvl w:ilvl="0">
      <w:lvlJc w:val="left"/>
      <w:lvlText w:val="(%1)"/>
      <w:numFmt w:val="lowerLetter"/>
      <w:start w:val="2"/>
    </w:lvl>
    <w:lvl w:ilvl="1">
      <w:lvlJc w:val="left"/>
      <w:lvlText w:val="(%2)"/>
      <w:numFmt w:val="lowerLetter"/>
      <w:start w:val="9"/>
    </w:lvl>
  </w:abstractNum>
  <w:abstractNum w:abstractNumId="342">
    <w:nsid w:val="29784870"/>
    <w:multiLevelType w:val="hybridMultilevel"/>
    <w:lvl w:ilvl="0">
      <w:lvlJc w:val="left"/>
      <w:lvlText w:val="%1"/>
      <w:numFmt w:val="lowerLetter"/>
      <w:start w:val="1"/>
    </w:lvl>
    <w:lvl w:ilvl="1">
      <w:lvlJc w:val="left"/>
      <w:lvlText w:val="(%2)"/>
      <w:numFmt w:val="lowerLetter"/>
      <w:start w:val="35"/>
    </w:lvl>
  </w:abstractNum>
  <w:abstractNum w:abstractNumId="343">
    <w:nsid w:val="4CDCED4C"/>
    <w:multiLevelType w:val="hybridMultilevel"/>
    <w:lvl w:ilvl="0">
      <w:lvlJc w:val="left"/>
      <w:lvlText w:val="(%1)"/>
      <w:numFmt w:val="lowerLetter"/>
      <w:start w:val="4"/>
    </w:lvl>
    <w:lvl w:ilvl="1">
      <w:lvlJc w:val="left"/>
      <w:lvlText w:val="(%2)"/>
      <w:numFmt w:val="lowerLetter"/>
      <w:start w:val="9"/>
    </w:lvl>
  </w:abstractNum>
  <w:abstractNum w:abstractNumId="344">
    <w:nsid w:val="10A30D9C"/>
    <w:multiLevelType w:val="hybridMultilevel"/>
    <w:lvl w:ilvl="0">
      <w:lvlJc w:val="left"/>
      <w:lvlText w:val="%1"/>
      <w:numFmt w:val="lowerLetter"/>
      <w:start w:val="1"/>
    </w:lvl>
    <w:lvl w:ilvl="1">
      <w:lvlJc w:val="left"/>
      <w:lvlText w:val="(%2)"/>
      <w:numFmt w:val="lowerLetter"/>
      <w:start w:val="35"/>
    </w:lvl>
  </w:abstractNum>
  <w:abstractNum w:abstractNumId="345">
    <w:nsid w:val="A66E486"/>
    <w:multiLevelType w:val="hybridMultilevel"/>
    <w:lvl w:ilvl="0">
      <w:lvlJc w:val="left"/>
      <w:lvlText w:val="(%1)"/>
      <w:numFmt w:val="lowerLetter"/>
      <w:start w:val="5"/>
    </w:lvl>
    <w:lvl w:ilvl="1">
      <w:lvlJc w:val="left"/>
      <w:lvlText w:val="(%2)"/>
      <w:numFmt w:val="lowerLetter"/>
      <w:start w:val="9"/>
    </w:lvl>
  </w:abstractNum>
  <w:abstractNum w:abstractNumId="346">
    <w:nsid w:val="306235E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47">
    <w:nsid w:val="1187C70F"/>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348">
    <w:nsid w:val="5476DE98"/>
    <w:multiLevelType w:val="hybridMultilevel"/>
    <w:lvl w:ilvl="0">
      <w:lvlJc w:val="left"/>
      <w:lvlText w:val="(%1)"/>
      <w:numFmt w:val="lowerRoman"/>
      <w:start w:val="4"/>
    </w:lvl>
  </w:abstractNum>
  <w:abstractNum w:abstractNumId="349">
    <w:nsid w:val="EA697F2"/>
    <w:multiLevelType w:val="hybridMultilevel"/>
    <w:lvl w:ilvl="0">
      <w:lvlJc w:val="left"/>
      <w:lvlText w:val="(%1)"/>
      <w:numFmt w:val="lowerRoman"/>
      <w:start w:val="1"/>
    </w:lvl>
  </w:abstractNum>
  <w:abstractNum w:abstractNumId="350">
    <w:nsid w:val="70BA39EB"/>
    <w:multiLevelType w:val="hybridMultilevel"/>
    <w:lvl w:ilvl="0">
      <w:lvlJc w:val="left"/>
      <w:lvlText w:val="(%1)"/>
      <w:numFmt w:val="lowerRoman"/>
      <w:start w:val="5"/>
    </w:lvl>
  </w:abstractNum>
  <w:abstractNum w:abstractNumId="351">
    <w:nsid w:val="4A8DB59C"/>
    <w:multiLevelType w:val="hybridMultilevel"/>
    <w:lvl w:ilvl="0">
      <w:lvlJc w:val="left"/>
      <w:lvlText w:val="(%1)"/>
      <w:numFmt w:val="lowerLetter"/>
      <w:start w:val="2"/>
    </w:lvl>
  </w:abstractNum>
  <w:abstractNum w:abstractNumId="352">
    <w:nsid w:val="1AFD9053"/>
    <w:multiLevelType w:val="hybridMultilevel"/>
    <w:lvl w:ilvl="0">
      <w:lvlJc w:val="left"/>
      <w:lvlText w:val="(%1)"/>
      <w:numFmt w:val="lowerRoman"/>
      <w:start w:val="1"/>
    </w:lvl>
  </w:abstractNum>
  <w:abstractNum w:abstractNumId="353">
    <w:nsid w:val="558BB10D"/>
    <w:multiLevelType w:val="hybridMultilevel"/>
    <w:lvl w:ilvl="0">
      <w:lvlJc w:val="left"/>
      <w:lvlText w:val="(%1)"/>
      <w:numFmt w:val="lowerRoman"/>
      <w:start w:val="2"/>
    </w:lvl>
  </w:abstractNum>
  <w:abstractNum w:abstractNumId="354">
    <w:nsid w:val="43B27FA7"/>
    <w:multiLevelType w:val="hybridMultilevel"/>
    <w:lvl w:ilvl="0">
      <w:lvlJc w:val="left"/>
      <w:lvlText w:val="(%1)"/>
      <w:numFmt w:val="lowerLetter"/>
      <w:start w:val="3"/>
    </w:lvl>
    <w:lvl w:ilvl="1">
      <w:lvlJc w:val="left"/>
      <w:lvlText w:val="(%2)"/>
      <w:numFmt w:val="lowerLetter"/>
      <w:start w:val="9"/>
    </w:lvl>
  </w:abstractNum>
  <w:abstractNum w:abstractNumId="355">
    <w:nsid w:val="27FADEFA"/>
    <w:multiLevelType w:val="hybridMultilevel"/>
    <w:lvl w:ilvl="0">
      <w:lvlJc w:val="left"/>
      <w:lvlText w:val="(%1)"/>
      <w:numFmt w:val="lowerRoman"/>
      <w:start w:val="2"/>
    </w:lvl>
    <w:lvl w:ilvl="1">
      <w:lvlJc w:val="left"/>
      <w:lvlText w:val="(%2)"/>
      <w:numFmt w:val="decimal"/>
      <w:start w:val="1"/>
    </w:lvl>
  </w:abstractNum>
  <w:abstractNum w:abstractNumId="356">
    <w:nsid w:val="78BB805A"/>
    <w:multiLevelType w:val="hybridMultilevel"/>
    <w:lvl w:ilvl="0">
      <w:lvlJc w:val="left"/>
      <w:lvlText w:val="%1"/>
      <w:numFmt w:val="lowerRoman"/>
      <w:start w:val="1"/>
    </w:lvl>
    <w:lvl w:ilvl="1">
      <w:lvlJc w:val="left"/>
      <w:lvlText w:val="(%2)"/>
      <w:numFmt w:val="decimal"/>
      <w:start w:val="2"/>
    </w:lvl>
  </w:abstractNum>
  <w:abstractNum w:abstractNumId="357">
    <w:nsid w:val="62548FD8"/>
    <w:multiLevelType w:val="hybridMultilevel"/>
    <w:lvl w:ilvl="0">
      <w:lvlJc w:val="left"/>
      <w:lvlText w:val="(%1)"/>
      <w:numFmt w:val="lowerRoman"/>
      <w:start w:val="3"/>
    </w:lvl>
    <w:lvl w:ilvl="1">
      <w:lvlJc w:val="left"/>
      <w:lvlText w:val="%2"/>
      <w:numFmt w:val="decimal"/>
      <w:start w:val="1"/>
    </w:lvl>
  </w:abstractNum>
  <w:abstractNum w:abstractNumId="358">
    <w:nsid w:val="FA085B0"/>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359">
    <w:nsid w:val="4E5DCB5"/>
    <w:multiLevelType w:val="hybridMultilevel"/>
    <w:lvl w:ilvl="0">
      <w:lvlJc w:val="left"/>
      <w:lvlText w:val="%1"/>
      <w:numFmt w:val="lowerLetter"/>
      <w:start w:val="1"/>
    </w:lvl>
    <w:lvl w:ilvl="1">
      <w:lvlJc w:val="left"/>
      <w:lvlText w:val="(%2)"/>
      <w:numFmt w:val="lowerLetter"/>
      <w:start w:val="61"/>
    </w:lvl>
  </w:abstractNum>
  <w:abstractNum w:abstractNumId="360">
    <w:nsid w:val="41E96BDB"/>
    <w:multiLevelType w:val="hybridMultilevel"/>
    <w:lvl w:ilvl="0">
      <w:lvlJc w:val="left"/>
      <w:lvlText w:val="(%1)"/>
      <w:numFmt w:val="lowerLetter"/>
      <w:start w:val="5"/>
    </w:lvl>
    <w:lvl w:ilvl="1">
      <w:lvlJc w:val="left"/>
      <w:lvlText w:val="(%2)"/>
      <w:numFmt w:val="lowerLetter"/>
      <w:start w:val="9"/>
    </w:lvl>
  </w:abstractNum>
  <w:abstractNum w:abstractNumId="361">
    <w:nsid w:val="331C4250"/>
    <w:multiLevelType w:val="hybridMultilevel"/>
    <w:lvl w:ilvl="0">
      <w:lvlJc w:val="left"/>
      <w:lvlText w:val="(%1)"/>
      <w:numFmt w:val="lowerRoman"/>
      <w:start w:val="2"/>
    </w:lvl>
  </w:abstractNum>
  <w:abstractNum w:abstractNumId="362">
    <w:nsid w:val="1B1493C2"/>
    <w:multiLevelType w:val="hybridMultilevel"/>
    <w:lvl w:ilvl="0">
      <w:lvlJc w:val="left"/>
      <w:lvlText w:val="%1"/>
      <w:numFmt w:val="lowerLetter"/>
      <w:start w:val="1"/>
    </w:lvl>
    <w:lvl w:ilvl="1">
      <w:lvlJc w:val="left"/>
      <w:lvlText w:val="(%2)"/>
      <w:numFmt w:val="lowerLetter"/>
      <w:start w:val="22"/>
    </w:lvl>
  </w:abstractNum>
  <w:abstractNum w:abstractNumId="363">
    <w:nsid w:val="39F06DFD"/>
    <w:multiLevelType w:val="hybridMultilevel"/>
    <w:lvl w:ilvl="0">
      <w:lvlJc w:val="left"/>
      <w:lvlText w:val="(%1)"/>
      <w:numFmt w:val="lowerLetter"/>
      <w:start w:val="6"/>
    </w:lvl>
    <w:lvl w:ilvl="1">
      <w:lvlJc w:val="left"/>
      <w:lvlText w:val="(%2)"/>
      <w:numFmt w:val="lowerLetter"/>
      <w:start w:val="9"/>
    </w:lvl>
  </w:abstractNum>
  <w:abstractNum w:abstractNumId="364">
    <w:nsid w:val="14802F5D"/>
    <w:multiLevelType w:val="hybridMultilevel"/>
    <w:lvl w:ilvl="0">
      <w:lvlJc w:val="left"/>
      <w:lvlText w:val="(%1)"/>
      <w:numFmt w:val="lowerRoman"/>
      <w:start w:val="2"/>
    </w:lvl>
  </w:abstractNum>
  <w:abstractNum w:abstractNumId="365">
    <w:nsid w:val="2774A209"/>
    <w:multiLevelType w:val="hybridMultilevel"/>
    <w:lvl w:ilvl="0">
      <w:lvlJc w:val="left"/>
      <w:lvlText w:val="(%1)"/>
      <w:numFmt w:val="decimal"/>
      <w:start w:val="30"/>
    </w:lvl>
    <w:lvl w:ilvl="1">
      <w:lvlJc w:val="left"/>
      <w:lvlText w:val="(%2)"/>
      <w:numFmt w:val="lowerLetter"/>
      <w:start w:val="2"/>
    </w:lvl>
  </w:abstractNum>
  <w:abstractNum w:abstractNumId="366">
    <w:nsid w:val="3785655A"/>
    <w:multiLevelType w:val="hybridMultilevel"/>
    <w:lvl w:ilvl="0">
      <w:lvlJc w:val="left"/>
      <w:lvlText w:val="(%1)"/>
      <w:numFmt w:val="lowerLetter"/>
      <w:start w:val="3"/>
    </w:lvl>
  </w:abstractNum>
  <w:abstractNum w:abstractNumId="367">
    <w:nsid w:val="B2172A"/>
    <w:multiLevelType w:val="hybridMultilevel"/>
    <w:lvl w:ilvl="0">
      <w:lvlJc w:val="left"/>
      <w:lvlText w:val="(%1)"/>
      <w:numFmt w:val="lowerLetter"/>
      <w:start w:val="5"/>
    </w:lvl>
  </w:abstractNum>
  <w:abstractNum w:abstractNumId="368">
    <w:nsid w:val="532C34A5"/>
    <w:multiLevelType w:val="hybridMultilevel"/>
    <w:lvl w:ilvl="0">
      <w:lvlJc w:val="left"/>
      <w:lvlText w:val="%1"/>
      <w:numFmt w:val="lowerLetter"/>
      <w:start w:val="1"/>
    </w:lvl>
    <w:lvl w:ilvl="1">
      <w:lvlJc w:val="left"/>
      <w:lvlText w:val="(%2)"/>
      <w:numFmt w:val="lowerLetter"/>
      <w:start w:val="9"/>
    </w:lvl>
  </w:abstractNum>
  <w:abstractNum w:abstractNumId="369">
    <w:nsid w:val="102809E2"/>
    <w:multiLevelType w:val="hybridMultilevel"/>
    <w:lvl w:ilvl="0">
      <w:lvlJc w:val="left"/>
      <w:lvlText w:val="(%1)"/>
      <w:numFmt w:val="lowerLetter"/>
      <w:start w:val="9"/>
    </w:lvl>
    <w:lvl w:ilvl="1">
      <w:lvlJc w:val="left"/>
      <w:lvlText w:val="%2"/>
      <w:numFmt w:val="lowerLetter"/>
      <w:start w:val="1"/>
    </w:lvl>
  </w:abstractNum>
  <w:abstractNum w:abstractNumId="370">
    <w:nsid w:val="3B2125A3"/>
    <w:multiLevelType w:val="hybridMultilevel"/>
    <w:lvl w:ilvl="0">
      <w:lvlJc w:val="left"/>
      <w:lvlText w:val="(%1)"/>
      <w:numFmt w:val="lowerLetter"/>
      <w:start w:val="11"/>
    </w:lvl>
  </w:abstractNum>
  <w:abstractNum w:abstractNumId="371">
    <w:nsid w:val="AC68FFB"/>
    <w:multiLevelType w:val="hybridMultilevel"/>
    <w:lvl w:ilvl="0">
      <w:lvlJc w:val="left"/>
      <w:lvlText w:val="(%1)"/>
      <w:numFmt w:val="lowerRoman"/>
      <w:start w:val="3"/>
    </w:lvl>
  </w:abstractNum>
  <w:abstractNum w:abstractNumId="372">
    <w:nsid w:val="63DF3FB7"/>
    <w:multiLevelType w:val="hybridMultilevel"/>
    <w:lvl w:ilvl="0">
      <w:lvlJc w:val="left"/>
      <w:lvlText w:val="(%1)"/>
      <w:numFmt w:val="lowerLetter"/>
      <w:start w:val="2"/>
    </w:lvl>
  </w:abstractNum>
  <w:abstractNum w:abstractNumId="373">
    <w:nsid w:val="64996E13"/>
    <w:multiLevelType w:val="hybridMultilevel"/>
    <w:lvl w:ilvl="0">
      <w:lvlJc w:val="left"/>
      <w:lvlText w:val="(%1)"/>
      <w:numFmt w:val="lowerLetter"/>
      <w:start w:val="25"/>
    </w:lvl>
  </w:abstractNum>
  <w:abstractNum w:abstractNumId="374">
    <w:nsid w:val="57A37D47"/>
    <w:multiLevelType w:val="hybridMultilevel"/>
    <w:lvl w:ilvl="0">
      <w:lvlJc w:val="left"/>
      <w:lvlText w:val="(%1)"/>
      <w:numFmt w:val="lowerLetter"/>
      <w:start w:val="4"/>
    </w:lvl>
  </w:abstractNum>
  <w:abstractNum w:abstractNumId="375">
    <w:nsid w:val="74824D54"/>
    <w:multiLevelType w:val="hybridMultilevel"/>
    <w:lvl w:ilvl="0">
      <w:lvlJc w:val="left"/>
      <w:lvlText w:val="(%1)"/>
      <w:numFmt w:val="decimal"/>
      <w:start w:val="2"/>
    </w:lvl>
  </w:abstractNum>
  <w:abstractNum w:abstractNumId="376">
    <w:nsid w:val="6F00529A"/>
    <w:multiLevelType w:val="hybridMultilevel"/>
    <w:lvl w:ilvl="0">
      <w:lvlJc w:val="left"/>
      <w:lvlText w:val="(%1)"/>
      <w:numFmt w:val="lowerLetter"/>
      <w:start w:val="5"/>
    </w:lvl>
  </w:abstractNum>
  <w:abstractNum w:abstractNumId="377">
    <w:nsid w:val="805B331"/>
    <w:multiLevelType w:val="hybridMultilevel"/>
    <w:lvl w:ilvl="0">
      <w:lvlJc w:val="left"/>
      <w:lvlText w:val="(%1)"/>
      <w:numFmt w:val="lowerLetter"/>
      <w:start w:val="35"/>
    </w:lvl>
    <w:lvl w:ilvl="1">
      <w:lvlJc w:val="left"/>
      <w:lvlText w:val="(%2)"/>
      <w:numFmt w:val="lowerLetter"/>
      <w:start w:val="6"/>
    </w:lvl>
  </w:abstractNum>
  <w:abstractNum w:abstractNumId="378">
    <w:nsid w:val="60A1463"/>
    <w:multiLevelType w:val="hybridMultilevel"/>
    <w:lvl w:ilvl="0">
      <w:lvlJc w:val="left"/>
      <w:lvlText w:val="(%1)"/>
      <w:numFmt w:val="lowerLetter"/>
      <w:start w:val="7"/>
    </w:lvl>
  </w:abstractNum>
  <w:abstractNum w:abstractNumId="379">
    <w:nsid w:val="43773132"/>
    <w:multiLevelType w:val="hybridMultilevel"/>
    <w:lvl w:ilvl="0">
      <w:lvlJc w:val="left"/>
      <w:lvlText w:val="%1"/>
      <w:numFmt w:val="lowerLetter"/>
      <w:start w:val="1"/>
    </w:lvl>
    <w:lvl w:ilvl="1">
      <w:lvlJc w:val="left"/>
      <w:lvlText w:val="(%2)"/>
      <w:numFmt w:val="lowerLetter"/>
      <w:start w:val="9"/>
    </w:lvl>
  </w:abstractNum>
  <w:abstractNum w:abstractNumId="380">
    <w:nsid w:val="16AC4B23"/>
    <w:multiLevelType w:val="hybridMultilevel"/>
    <w:lvl w:ilvl="0">
      <w:lvlJc w:val="left"/>
      <w:lvlText w:val="(%1)"/>
      <w:numFmt w:val="lowerLetter"/>
      <w:start w:val="9"/>
    </w:lvl>
    <w:lvl w:ilvl="1">
      <w:lvlJc w:val="left"/>
      <w:lvlText w:val="(%2)"/>
      <w:numFmt w:val="lowerLetter"/>
      <w:start w:val="10"/>
    </w:lvl>
  </w:abstractNum>
  <w:abstractNum w:abstractNumId="381">
    <w:nsid w:val="76C44E4E"/>
    <w:multiLevelType w:val="hybridMultilevel"/>
    <w:lvl w:ilvl="0">
      <w:lvlJc w:val="left"/>
      <w:lvlText w:val="%1"/>
      <w:numFmt w:val="lowerLetter"/>
      <w:start w:val="1"/>
    </w:lvl>
    <w:lvl w:ilvl="1">
      <w:lvlJc w:val="left"/>
      <w:lvlText w:val="(%2)"/>
      <w:numFmt w:val="lowerLetter"/>
      <w:start w:val="11"/>
    </w:lvl>
  </w:abstractNum>
  <w:abstractNum w:abstractNumId="382">
    <w:nsid w:val="E04E6CE"/>
    <w:multiLevelType w:val="hybridMultilevel"/>
    <w:lvl w:ilvl="0">
      <w:lvlJc w:val="left"/>
      <w:lvlText w:val="(%1)"/>
      <w:numFmt w:val="lowerLetter"/>
      <w:start w:val="61"/>
    </w:lvl>
    <w:lvl w:ilvl="1">
      <w:lvlJc w:val="left"/>
      <w:lvlText w:val="(%2)"/>
      <w:numFmt w:val="lowerLetter"/>
      <w:start w:val="12"/>
    </w:lvl>
  </w:abstractNum>
  <w:abstractNum w:abstractNumId="383">
    <w:nsid w:val="31A9DB76"/>
    <w:multiLevelType w:val="hybridMultilevel"/>
    <w:lvl w:ilvl="0">
      <w:lvlJc w:val="left"/>
      <w:lvlText w:val="(%1)"/>
      <w:numFmt w:val="lowerLetter"/>
      <w:start w:val="14"/>
    </w:lvl>
  </w:abstractNum>
  <w:abstractNum w:abstractNumId="384">
    <w:nsid w:val="4C4FFF5B"/>
    <w:multiLevelType w:val="hybridMultilevel"/>
    <w:lvl w:ilvl="0">
      <w:lvlJc w:val="left"/>
      <w:lvlText w:val="(%1)"/>
      <w:numFmt w:val="lowerLetter"/>
      <w:start w:val="2"/>
    </w:lvl>
  </w:abstractNum>
  <w:abstractNum w:abstractNumId="385">
    <w:nsid w:val="51B76675"/>
    <w:multiLevelType w:val="hybridMultilevel"/>
    <w:lvl w:ilvl="0">
      <w:lvlJc w:val="left"/>
      <w:lvlText w:val="(%1)"/>
      <w:numFmt w:val="lowerLetter"/>
      <w:start w:val="3"/>
    </w:lvl>
  </w:abstractNum>
  <w:abstractNum w:abstractNumId="386">
    <w:nsid w:val="59A4BA71"/>
    <w:multiLevelType w:val="hybridMultilevel"/>
    <w:lvl w:ilvl="0">
      <w:lvlJc w:val="left"/>
      <w:lvlText w:val="(%1)"/>
      <w:numFmt w:val="lowerRoman"/>
      <w:start w:val="1"/>
    </w:lvl>
  </w:abstractNum>
  <w:abstractNum w:abstractNumId="387">
    <w:nsid w:val="450B7FB6"/>
    <w:multiLevelType w:val="hybridMultilevel"/>
    <w:lvl w:ilvl="0">
      <w:lvlJc w:val="left"/>
      <w:lvlText w:val="(%1)"/>
      <w:numFmt w:val="lowerRoman"/>
      <w:start w:val="2"/>
    </w:lvl>
  </w:abstractNum>
  <w:abstractNum w:abstractNumId="388">
    <w:nsid w:val="340BF64D"/>
    <w:multiLevelType w:val="hybridMultilevel"/>
    <w:lvl w:ilvl="0">
      <w:lvlJc w:val="left"/>
      <w:lvlText w:val="(%1)"/>
      <w:numFmt w:val="lowerRoman"/>
      <w:start w:val="3"/>
    </w:lvl>
  </w:abstractNum>
  <w:abstractNum w:abstractNumId="389">
    <w:nsid w:val="69454021"/>
    <w:multiLevelType w:val="hybridMultilevel"/>
    <w:lvl w:ilvl="0">
      <w:lvlJc w:val="left"/>
      <w:lvlText w:val="(%1)"/>
      <w:numFmt w:val="lowerLetter"/>
      <w:start w:val="2"/>
    </w:lvl>
  </w:abstractNum>
  <w:abstractNum w:abstractNumId="390">
    <w:nsid w:val="49F15C6B"/>
    <w:multiLevelType w:val="hybridMultilevel"/>
    <w:lvl w:ilvl="0">
      <w:lvlJc w:val="left"/>
      <w:lvlText w:val="%1"/>
      <w:numFmt w:val="lowerLetter"/>
      <w:start w:val="1"/>
    </w:lvl>
    <w:lvl w:ilvl="1">
      <w:lvlJc w:val="left"/>
      <w:lvlText w:val="(%2)"/>
      <w:numFmt w:val="lowerLetter"/>
      <w:start w:val="1"/>
    </w:lvl>
  </w:abstractNum>
  <w:abstractNum w:abstractNumId="391">
    <w:nsid w:val="75F56228"/>
    <w:multiLevelType w:val="hybridMultilevel"/>
    <w:lvl w:ilvl="0">
      <w:lvlJc w:val="left"/>
      <w:lvlText w:val="(%1)"/>
      <w:numFmt w:val="lowerLetter"/>
      <w:start w:val="24"/>
    </w:lvl>
    <w:lvl w:ilvl="1">
      <w:lvlJc w:val="left"/>
      <w:lvlText w:val="(%2)"/>
      <w:numFmt w:val="lowerLetter"/>
      <w:start w:val="6"/>
    </w:lvl>
  </w:abstractNum>
  <w:abstractNum w:abstractNumId="392">
    <w:nsid w:val="1C618271"/>
    <w:multiLevelType w:val="hybridMultilevel"/>
    <w:lvl w:ilvl="0">
      <w:lvlJc w:val="left"/>
      <w:lvlText w:val="(%1)"/>
      <w:numFmt w:val="lowerLetter"/>
      <w:start w:val="7"/>
    </w:lvl>
  </w:abstractNum>
  <w:abstractNum w:abstractNumId="393">
    <w:nsid w:val="6505F02E"/>
    <w:multiLevelType w:val="hybridMultilevel"/>
    <w:lvl w:ilvl="0">
      <w:lvlJc w:val="left"/>
      <w:lvlText w:val="(%1)"/>
      <w:numFmt w:val="lowerLetter"/>
      <w:start w:val="2"/>
    </w:lvl>
  </w:abstractNum>
  <w:abstractNum w:abstractNumId="394">
    <w:nsid w:val="2FE5D025"/>
    <w:multiLevelType w:val="hybridMultilevel"/>
    <w:lvl w:ilvl="0">
      <w:lvlJc w:val="left"/>
      <w:lvlText w:val="(%1)"/>
      <w:numFmt w:val="lowerLetter"/>
      <w:start w:val="2"/>
    </w:lvl>
  </w:abstractNum>
  <w:abstractNum w:abstractNumId="395">
    <w:nsid w:val="30E1B1CF"/>
    <w:multiLevelType w:val="hybridMultilevel"/>
    <w:lvl w:ilvl="0">
      <w:lvlJc w:val="left"/>
      <w:lvlText w:val="(%1)"/>
      <w:numFmt w:val="lowerLetter"/>
      <w:start w:val="1"/>
    </w:lvl>
    <w:lvl w:ilvl="1">
      <w:lvlJc w:val="left"/>
      <w:lvlText w:val="(%2)"/>
      <w:numFmt w:val="lowerRoman"/>
      <w:start w:val="1"/>
    </w:lvl>
  </w:abstractNum>
  <w:abstractNum w:abstractNumId="396">
    <w:nsid w:val="C7A9237"/>
    <w:multiLevelType w:val="hybridMultilevel"/>
    <w:lvl w:ilvl="0">
      <w:lvlJc w:val="left"/>
      <w:lvlText w:val="(%1)"/>
      <w:numFmt w:val="lowerLetter"/>
      <w:start w:val="1"/>
    </w:lvl>
  </w:abstractNum>
  <w:abstractNum w:abstractNumId="397">
    <w:nsid w:val="676B3580"/>
    <w:multiLevelType w:val="hybridMultilevel"/>
    <w:lvl w:ilvl="0">
      <w:lvlJc w:val="left"/>
      <w:lvlText w:val="(%1)"/>
      <w:numFmt w:val="lowerRoman"/>
      <w:start w:val="2"/>
    </w:lvl>
  </w:abstractNum>
  <w:abstractNum w:abstractNumId="398">
    <w:nsid w:val="3193C8F9"/>
    <w:multiLevelType w:val="hybridMultilevel"/>
    <w:lvl w:ilvl="0">
      <w:lvlJc w:val="left"/>
      <w:lvlText w:val="(%1)"/>
      <w:numFmt w:val="upperLetter"/>
      <w:start w:val="2"/>
    </w:lvl>
  </w:abstractNum>
  <w:abstractNum w:abstractNumId="399">
    <w:nsid w:val="5FA6C6DC"/>
    <w:multiLevelType w:val="hybridMultilevel"/>
    <w:lvl w:ilvl="0">
      <w:lvlJc w:val="left"/>
      <w:lvlText w:val="(%1)"/>
      <w:numFmt w:val="upperLetter"/>
      <w:start w:val="1"/>
    </w:lvl>
  </w:abstractNum>
  <w:abstractNum w:abstractNumId="400">
    <w:nsid w:val="77933F62"/>
    <w:multiLevelType w:val="hybridMultilevel"/>
    <w:lvl w:ilvl="0">
      <w:lvlJc w:val="left"/>
      <w:lvlText w:val="(%1)"/>
      <w:numFmt w:val="lowerLetter"/>
      <w:start w:val="1"/>
    </w:lvl>
  </w:abstractNum>
  <w:abstractNum w:abstractNumId="401">
    <w:nsid w:val="6CB4EE9C"/>
    <w:multiLevelType w:val="hybridMultilevel"/>
    <w:lvl w:ilvl="0">
      <w:lvlJc w:val="left"/>
      <w:lvlText w:val="(%1)"/>
      <w:numFmt w:val="lowerLetter"/>
      <w:start w:val="1"/>
    </w:lvl>
  </w:abstractNum>
  <w:abstractNum w:abstractNumId="402">
    <w:nsid w:val="6A6D56D7"/>
    <w:multiLevelType w:val="hybridMultilevel"/>
    <w:lvl w:ilvl="0">
      <w:lvlJc w:val="left"/>
      <w:lvlText w:val="(%1)"/>
      <w:numFmt w:val="lowerLetter"/>
      <w:start w:val="2"/>
    </w:lvl>
  </w:abstractNum>
  <w:abstractNum w:abstractNumId="403">
    <w:nsid w:val="5B727F19"/>
    <w:multiLevelType w:val="hybridMultilevel"/>
    <w:lvl w:ilvl="0">
      <w:lvlJc w:val="left"/>
      <w:lvlText w:val="(%1)"/>
      <w:numFmt w:val="lowerRoman"/>
      <w:start w:val="1"/>
    </w:lvl>
  </w:abstractNum>
  <w:abstractNum w:abstractNumId="404">
    <w:nsid w:val="514E5CB0"/>
    <w:multiLevelType w:val="hybridMultilevel"/>
    <w:lvl w:ilvl="0">
      <w:lvlJc w:val="left"/>
      <w:lvlText w:val="(%1)"/>
      <w:numFmt w:val="lowerRoman"/>
      <w:start w:val="1"/>
    </w:lvl>
  </w:abstractNum>
  <w:abstractNum w:abstractNumId="405">
    <w:nsid w:val="4210D41E"/>
    <w:multiLevelType w:val="hybridMultilevel"/>
    <w:lvl w:ilvl="0">
      <w:lvlJc w:val="left"/>
      <w:lvlText w:val="(%1)"/>
      <w:numFmt w:val="lowerRoman"/>
      <w:start w:val="3"/>
    </w:lvl>
  </w:abstractNum>
  <w:abstractNum w:abstractNumId="406">
    <w:nsid w:val="4FF4CC6D"/>
    <w:multiLevelType w:val="hybridMultilevel"/>
    <w:lvl w:ilvl="0">
      <w:lvlJc w:val="left"/>
      <w:lvlText w:val="(%1)"/>
      <w:numFmt w:val="lowerLetter"/>
      <w:start w:val="3"/>
    </w:lvl>
  </w:abstractNum>
  <w:abstractNum w:abstractNumId="407">
    <w:nsid w:val="404EAF4A"/>
    <w:multiLevelType w:val="hybridMultilevel"/>
    <w:lvl w:ilvl="0">
      <w:lvlJc w:val="left"/>
      <w:lvlText w:val="(%1)"/>
      <w:numFmt w:val="lowerLetter"/>
      <w:start w:val="2"/>
    </w:lvl>
  </w:abstractNum>
  <w:abstractNum w:abstractNumId="408">
    <w:nsid w:val="4A16874F"/>
    <w:multiLevelType w:val="hybridMultilevel"/>
    <w:lvl w:ilvl="0">
      <w:lvlJc w:val="left"/>
      <w:lvlText w:val="(%1)"/>
      <w:numFmt w:val="lowerLetter"/>
      <w:start w:val="1"/>
    </w:lvl>
    <w:lvl w:ilvl="1">
      <w:lvlJc w:val="left"/>
      <w:lvlText w:val="(%2)"/>
      <w:numFmt w:val="lowerRoman"/>
      <w:start w:val="1"/>
    </w:lvl>
  </w:abstractNum>
  <w:abstractNum w:abstractNumId="409">
    <w:nsid w:val="55FEE0D1"/>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10">
    <w:nsid w:val="3C5E07C"/>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2"/>
    </w:lvl>
  </w:abstractNum>
  <w:abstractNum w:abstractNumId="411">
    <w:nsid w:val="60C2D27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12">
    <w:nsid w:val="4CC32F1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413">
    <w:nsid w:val="11CAC74A"/>
    <w:multiLevelType w:val="hybridMultilevel"/>
    <w:lvl w:ilvl="0">
      <w:lvlJc w:val="left"/>
      <w:lvlText w:val="(%1)"/>
      <w:numFmt w:val="lowerLetter"/>
      <w:start w:val="4"/>
    </w:lvl>
    <w:lvl w:ilvl="1">
      <w:lvlJc w:val="left"/>
      <w:lvlText w:val="(%2)"/>
      <w:numFmt w:val="lowerLetter"/>
      <w:start w:val="9"/>
    </w:lvl>
  </w:abstractNum>
  <w:abstractNum w:abstractNumId="414">
    <w:nsid w:val="126CADE9"/>
    <w:multiLevelType w:val="hybridMultilevel"/>
    <w:lvl w:ilvl="0">
      <w:lvlJc w:val="left"/>
      <w:lvlText w:val="(%1)"/>
      <w:numFmt w:val="lowerRoman"/>
      <w:start w:val="2"/>
    </w:lvl>
  </w:abstractNum>
  <w:abstractNum w:abstractNumId="415">
    <w:nsid w:val="19132E7B"/>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416">
    <w:nsid w:val="63822DC0"/>
    <w:multiLevelType w:val="hybridMultilevel"/>
    <w:lvl w:ilvl="0">
      <w:lvlJc w:val="left"/>
      <w:lvlText w:val="(%1)"/>
      <w:numFmt w:val="lowerLetter"/>
      <w:start w:val="24"/>
    </w:lvl>
    <w:lvl w:ilvl="1">
      <w:lvlJc w:val="left"/>
      <w:lvlText w:val="(%2)"/>
      <w:numFmt w:val="lowerLetter"/>
      <w:start w:val="6"/>
    </w:lvl>
    <w:lvl w:ilvl="2">
      <w:lvlJc w:val="left"/>
      <w:lvlText w:val="(%3)"/>
      <w:numFmt w:val="lowerLetter"/>
      <w:start w:val="9"/>
    </w:lvl>
  </w:abstractNum>
  <w:abstractNum w:abstractNumId="417">
    <w:nsid w:val="6C11685A"/>
    <w:multiLevelType w:val="hybridMultilevel"/>
    <w:lvl w:ilvl="0">
      <w:lvlJc w:val="left"/>
      <w:lvlText w:val="%1"/>
      <w:numFmt w:val="lowerRoman"/>
      <w:start w:val="1"/>
    </w:lvl>
    <w:lvl w:ilvl="1">
      <w:lvlJc w:val="left"/>
      <w:lvlText w:val="(%2)"/>
      <w:numFmt w:val="lowerRoman"/>
      <w:start w:val="2"/>
    </w:lvl>
  </w:abstractNum>
  <w:abstractNum w:abstractNumId="418">
    <w:nsid w:val="5E1EAE31"/>
    <w:multiLevelType w:val="hybridMultilevel"/>
    <w:lvl w:ilvl="0">
      <w:lvlJc w:val="left"/>
      <w:lvlText w:val="(%1)"/>
      <w:numFmt w:val="lowerRoman"/>
      <w:start w:val="1"/>
    </w:lvl>
    <w:lvl w:ilvl="1">
      <w:lvlJc w:val="left"/>
      <w:lvlText w:val="(%2)"/>
      <w:numFmt w:val="lowerRoman"/>
      <w:start w:val="3"/>
    </w:lvl>
  </w:abstractNum>
  <w:abstractNum w:abstractNumId="419">
    <w:nsid w:val="178E240D"/>
    <w:multiLevelType w:val="hybridMultilevel"/>
    <w:lvl w:ilvl="0">
      <w:lvlJc w:val="left"/>
      <w:lvlText w:val="(%1)"/>
      <w:numFmt w:val="lowerRoman"/>
      <w:start w:val="4"/>
    </w:lvl>
    <w:lvl w:ilvl="1">
      <w:lvlJc w:val="left"/>
      <w:lvlText w:val="(%2)"/>
      <w:numFmt w:val="lowerRoman"/>
      <w:start w:val="6"/>
    </w:lvl>
  </w:abstractNum>
  <w:abstractNum w:abstractNumId="420">
    <w:nsid w:val="5556A87B"/>
    <w:multiLevelType w:val="hybridMultilevel"/>
    <w:lvl w:ilvl="0">
      <w:lvlJc w:val="left"/>
      <w:lvlText w:val="(%1)"/>
      <w:numFmt w:val="lowerRoman"/>
      <w:start w:val="7"/>
    </w:lvl>
  </w:abstractNum>
  <w:abstractNum w:abstractNumId="421">
    <w:nsid w:val="28100A9C"/>
    <w:multiLevelType w:val="hybridMultilevel"/>
    <w:lvl w:ilvl="0">
      <w:lvlJc w:val="left"/>
      <w:lvlText w:val="%1"/>
      <w:numFmt w:val="lowerLetter"/>
      <w:start w:val="1"/>
    </w:lvl>
    <w:lvl w:ilvl="1">
      <w:lvlJc w:val="left"/>
      <w:lvlText w:val="(%2)"/>
      <w:numFmt w:val="lowerLetter"/>
      <w:start w:val="1"/>
    </w:lvl>
  </w:abstractNum>
  <w:abstractNum w:abstractNumId="422">
    <w:nsid w:val="D838636"/>
    <w:multiLevelType w:val="hybridMultilevel"/>
    <w:lvl w:ilvl="0">
      <w:lvlJc w:val="left"/>
      <w:lvlText w:val="(%1)"/>
      <w:numFmt w:val="lowerLetter"/>
      <w:start w:val="61"/>
    </w:lvl>
    <w:lvl w:ilvl="1">
      <w:lvlJc w:val="left"/>
      <w:lvlText w:val="(%2)"/>
      <w:numFmt w:val="lowerLetter"/>
      <w:start w:val="2"/>
    </w:lvl>
  </w:abstractNum>
  <w:abstractNum w:abstractNumId="423">
    <w:nsid w:val="71B82AED"/>
    <w:multiLevelType w:val="hybridMultilevel"/>
    <w:lvl w:ilvl="0">
      <w:lvlJc w:val="left"/>
      <w:lvlText w:val="(%1)"/>
      <w:numFmt w:val="lowerLetter"/>
      <w:start w:val="3"/>
    </w:lvl>
    <w:lvl w:ilvl="1">
      <w:lvlJc w:val="left"/>
      <w:lvlText w:val="(%2)"/>
      <w:numFmt w:val="lowerRoman"/>
      <w:start w:val="1"/>
    </w:lvl>
  </w:abstractNum>
  <w:abstractNum w:abstractNumId="424">
    <w:nsid w:val="D15FACA"/>
    <w:multiLevelType w:val="hybridMultilevel"/>
    <w:lvl w:ilvl="0">
      <w:lvlJc w:val="left"/>
      <w:lvlText w:val="(%1)"/>
      <w:numFmt w:val="lowerLetter"/>
      <w:start w:val="4"/>
    </w:lvl>
    <w:lvl w:ilvl="1">
      <w:lvlJc w:val="left"/>
      <w:lvlText w:val="(%2)"/>
      <w:numFmt w:val="lowerLetter"/>
      <w:start w:val="9"/>
    </w:lvl>
  </w:abstractNum>
  <w:abstractNum w:abstractNumId="425">
    <w:nsid w:val="3D69565B"/>
    <w:multiLevelType w:val="hybridMultilevel"/>
    <w:lvl w:ilvl="0">
      <w:lvlJc w:val="left"/>
      <w:lvlText w:val="%1"/>
      <w:numFmt w:val="lowerLetter"/>
      <w:start w:val="1"/>
    </w:lvl>
    <w:lvl w:ilvl="1">
      <w:lvlJc w:val="left"/>
      <w:lvlText w:val="(%2)"/>
      <w:numFmt w:val="lowerLetter"/>
      <w:start w:val="35"/>
    </w:lvl>
  </w:abstractNum>
  <w:abstractNum w:abstractNumId="426">
    <w:nsid w:val="2299DCBC"/>
    <w:multiLevelType w:val="hybridMultilevel"/>
    <w:lvl w:ilvl="0">
      <w:lvlJc w:val="left"/>
      <w:lvlText w:val="(%1)"/>
      <w:numFmt w:val="lowerLetter"/>
      <w:start w:val="5"/>
    </w:lvl>
    <w:lvl w:ilvl="1">
      <w:lvlJc w:val="left"/>
      <w:lvlText w:val="(%2)"/>
      <w:numFmt w:val="lowerLetter"/>
      <w:start w:val="9"/>
    </w:lvl>
  </w:abstractNum>
  <w:abstractNum w:abstractNumId="427">
    <w:nsid w:val="19908D0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28">
    <w:nsid w:val="24D48BDB"/>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429">
    <w:nsid w:val="542DA5B5"/>
    <w:multiLevelType w:val="hybridMultilevel"/>
    <w:lvl w:ilvl="0">
      <w:lvlJc w:val="left"/>
      <w:lvlText w:val="(%1)"/>
      <w:numFmt w:val="lowerRoman"/>
      <w:start w:val="4"/>
    </w:lvl>
  </w:abstractNum>
  <w:abstractNum w:abstractNumId="430">
    <w:nsid w:val="793753DE"/>
    <w:multiLevelType w:val="hybridMultilevel"/>
    <w:lvl w:ilvl="0">
      <w:lvlJc w:val="left"/>
      <w:lvlText w:val="(%1)"/>
      <w:numFmt w:val="lowerRoman"/>
      <w:start w:val="1"/>
    </w:lvl>
  </w:abstractNum>
  <w:abstractNum w:abstractNumId="431">
    <w:nsid w:val="1C67CB3D"/>
    <w:multiLevelType w:val="hybridMultilevel"/>
    <w:lvl w:ilvl="0">
      <w:lvlJc w:val="left"/>
      <w:lvlText w:val="(%1)"/>
      <w:numFmt w:val="lowerLetter"/>
      <w:start w:val="2"/>
    </w:lvl>
  </w:abstractNum>
  <w:abstractNum w:abstractNumId="432">
    <w:nsid w:val="40E29452"/>
    <w:multiLevelType w:val="hybridMultilevel"/>
    <w:lvl w:ilvl="0">
      <w:lvlJc w:val="left"/>
      <w:lvlText w:val="(%1)"/>
      <w:numFmt w:val="lowerRoman"/>
      <w:start w:val="1"/>
    </w:lvl>
  </w:abstractNum>
  <w:abstractNum w:abstractNumId="433">
    <w:nsid w:val="63A4AAB6"/>
    <w:multiLevelType w:val="hybridMultilevel"/>
    <w:lvl w:ilvl="0">
      <w:lvlJc w:val="left"/>
      <w:lvlText w:val="(%1)"/>
      <w:numFmt w:val="lowerRoman"/>
      <w:start w:val="2"/>
    </w:lvl>
  </w:abstractNum>
  <w:abstractNum w:abstractNumId="434">
    <w:nsid w:val="77DA4A57"/>
    <w:multiLevelType w:val="hybridMultilevel"/>
    <w:lvl w:ilvl="0">
      <w:lvlJc w:val="left"/>
      <w:lvlText w:val="(%1)"/>
      <w:numFmt w:val="lowerLetter"/>
      <w:start w:val="3"/>
    </w:lvl>
    <w:lvl w:ilvl="1">
      <w:lvlJc w:val="left"/>
      <w:lvlText w:val="(%2)"/>
      <w:numFmt w:val="lowerLetter"/>
      <w:start w:val="9"/>
    </w:lvl>
  </w:abstractNum>
  <w:abstractNum w:abstractNumId="435">
    <w:nsid w:val="1230F102"/>
    <w:multiLevelType w:val="hybridMultilevel"/>
    <w:lvl w:ilvl="0">
      <w:lvlJc w:val="left"/>
      <w:lvlText w:val="(%1)"/>
      <w:numFmt w:val="lowerRoman"/>
      <w:start w:val="2"/>
    </w:lvl>
    <w:lvl w:ilvl="1">
      <w:lvlJc w:val="left"/>
      <w:lvlText w:val="(%2)"/>
      <w:numFmt w:val="decimal"/>
      <w:start w:val="1"/>
    </w:lvl>
  </w:abstractNum>
  <w:abstractNum w:abstractNumId="436">
    <w:nsid w:val="25B57ED4"/>
    <w:multiLevelType w:val="hybridMultilevel"/>
    <w:lvl w:ilvl="0">
      <w:lvlJc w:val="left"/>
      <w:lvlText w:val="%1"/>
      <w:numFmt w:val="lowerRoman"/>
      <w:start w:val="1"/>
    </w:lvl>
    <w:lvl w:ilvl="1">
      <w:lvlJc w:val="left"/>
      <w:lvlText w:val="(%2)"/>
      <w:numFmt w:val="decimal"/>
      <w:start w:val="2"/>
    </w:lvl>
  </w:abstractNum>
  <w:abstractNum w:abstractNumId="437">
    <w:nsid w:val="47CF16C4"/>
    <w:multiLevelType w:val="hybridMultilevel"/>
    <w:lvl w:ilvl="0">
      <w:lvlJc w:val="left"/>
      <w:lvlText w:val="(%1)"/>
      <w:numFmt w:val="lowerRoman"/>
      <w:start w:val="3"/>
    </w:lvl>
    <w:lvl w:ilvl="1">
      <w:lvlJc w:val="left"/>
      <w:lvlText w:val="%2"/>
      <w:numFmt w:val="decimal"/>
      <w:start w:val="1"/>
    </w:lvl>
  </w:abstractNum>
  <w:abstractNum w:abstractNumId="438">
    <w:nsid w:val="527FA04C"/>
    <w:multiLevelType w:val="hybridMultilevel"/>
    <w:lvl w:ilvl="0">
      <w:lvlJc w:val="left"/>
      <w:lvlText w:val="(%1)"/>
      <w:numFmt w:val="lowerLetter"/>
      <w:start w:val="4"/>
    </w:lvl>
    <w:lvl w:ilvl="1">
      <w:lvlJc w:val="left"/>
      <w:lvlText w:val="(%2)"/>
      <w:numFmt w:val="lowerRoman"/>
      <w:start w:val="1"/>
    </w:lvl>
  </w:abstractNum>
  <w:abstractNum w:abstractNumId="439">
    <w:nsid w:val="6FCC0624"/>
    <w:multiLevelType w:val="hybridMultilevel"/>
    <w:lvl w:ilvl="0">
      <w:lvlJc w:val="left"/>
      <w:lvlText w:val="%1"/>
      <w:numFmt w:val="lowerLetter"/>
      <w:start w:val="1"/>
    </w:lvl>
    <w:lvl w:ilvl="1">
      <w:lvlJc w:val="left"/>
      <w:lvlText w:val="(%2)"/>
      <w:numFmt w:val="lowerLetter"/>
      <w:start w:val="61"/>
    </w:lvl>
  </w:abstractNum>
  <w:abstractNum w:abstractNumId="440">
    <w:nsid w:val="1DCDF795"/>
    <w:multiLevelType w:val="hybridMultilevel"/>
    <w:lvl w:ilvl="0">
      <w:lvlJc w:val="left"/>
      <w:lvlText w:val="(%1)"/>
      <w:numFmt w:val="lowerLetter"/>
      <w:start w:val="5"/>
    </w:lvl>
    <w:lvl w:ilvl="1">
      <w:lvlJc w:val="left"/>
      <w:lvlText w:val="(%2)"/>
      <w:numFmt w:val="lowerLetter"/>
      <w:start w:val="9"/>
    </w:lvl>
  </w:abstractNum>
  <w:abstractNum w:abstractNumId="441">
    <w:nsid w:val="564580C8"/>
    <w:multiLevelType w:val="hybridMultilevel"/>
    <w:lvl w:ilvl="0">
      <w:lvlJc w:val="left"/>
      <w:lvlText w:val="(%1)"/>
      <w:numFmt w:val="lowerRoman"/>
      <w:start w:val="2"/>
    </w:lvl>
  </w:abstractNum>
  <w:abstractNum w:abstractNumId="442">
    <w:nsid w:val="508ED897"/>
    <w:multiLevelType w:val="hybridMultilevel"/>
    <w:lvl w:ilvl="0">
      <w:lvlJc w:val="left"/>
      <w:lvlText w:val="%1"/>
      <w:numFmt w:val="lowerLetter"/>
      <w:start w:val="1"/>
    </w:lvl>
    <w:lvl w:ilvl="1">
      <w:lvlJc w:val="left"/>
      <w:lvlText w:val="(%2)"/>
      <w:numFmt w:val="lowerRoman"/>
      <w:start w:val="3"/>
    </w:lvl>
  </w:abstractNum>
  <w:abstractNum w:abstractNumId="443">
    <w:nsid w:val="6A9126B5"/>
    <w:multiLevelType w:val="hybridMultilevel"/>
    <w:lvl w:ilvl="0">
      <w:lvlJc w:val="left"/>
      <w:lvlText w:val="(%1)"/>
      <w:numFmt w:val="lowerLetter"/>
      <w:start w:val="25"/>
    </w:lvl>
    <w:lvl w:ilvl="1">
      <w:lvlJc w:val="left"/>
      <w:lvlText w:val="%2"/>
      <w:numFmt w:val="lowerRoman"/>
      <w:start w:val="1"/>
    </w:lvl>
  </w:abstractNum>
  <w:abstractNum w:abstractNumId="444">
    <w:nsid w:val="68104812"/>
    <w:multiLevelType w:val="hybridMultilevel"/>
    <w:lvl w:ilvl="0">
      <w:lvlJc w:val="left"/>
      <w:lvlText w:val="%1"/>
      <w:numFmt w:val="lowerLetter"/>
      <w:start w:val="1"/>
    </w:lvl>
    <w:lvl w:ilvl="1">
      <w:lvlJc w:val="left"/>
      <w:lvlText w:val="(%2)"/>
      <w:numFmt w:val="lowerLetter"/>
      <w:start w:val="22"/>
    </w:lvl>
  </w:abstractNum>
  <w:abstractNum w:abstractNumId="445">
    <w:nsid w:val="62FB8680"/>
    <w:multiLevelType w:val="hybridMultilevel"/>
    <w:lvl w:ilvl="0">
      <w:lvlJc w:val="left"/>
      <w:lvlText w:val="(%1)"/>
      <w:numFmt w:val="lowerLetter"/>
      <w:start w:val="6"/>
    </w:lvl>
    <w:lvl w:ilvl="1">
      <w:lvlJc w:val="left"/>
      <w:lvlText w:val="(%2)"/>
      <w:numFmt w:val="lowerLetter"/>
      <w:start w:val="9"/>
    </w:lvl>
  </w:abstractNum>
  <w:abstractNum w:abstractNumId="446">
    <w:nsid w:val="3A45530"/>
    <w:multiLevelType w:val="hybridMultilevel"/>
    <w:lvl w:ilvl="0">
      <w:lvlJc w:val="left"/>
      <w:lvlText w:val="(%1)"/>
      <w:numFmt w:val="lowerRoman"/>
      <w:start w:val="2"/>
    </w:lvl>
  </w:abstractNum>
  <w:abstractNum w:abstractNumId="447">
    <w:nsid w:val="4B9275D2"/>
    <w:multiLevelType w:val="hybridMultilevel"/>
    <w:lvl w:ilvl="0">
      <w:lvlJc w:val="left"/>
      <w:lvlText w:val="(%1)"/>
      <w:numFmt w:val="decimal"/>
      <w:start w:val="30"/>
    </w:lvl>
    <w:lvl w:ilvl="1">
      <w:lvlJc w:val="left"/>
      <w:lvlText w:val="(%2)"/>
      <w:numFmt w:val="lowerLetter"/>
      <w:start w:val="2"/>
    </w:lvl>
  </w:abstractNum>
  <w:abstractNum w:abstractNumId="448">
    <w:nsid w:val="4F0CEEDB"/>
    <w:multiLevelType w:val="hybridMultilevel"/>
    <w:lvl w:ilvl="0">
      <w:lvlJc w:val="left"/>
      <w:lvlText w:val="(%1)"/>
      <w:numFmt w:val="lowerLetter"/>
      <w:start w:val="9"/>
    </w:lvl>
    <w:lvl w:ilvl="1">
      <w:lvlJc w:val="left"/>
      <w:lvlText w:val="(%2)"/>
      <w:numFmt w:val="lowerLetter"/>
      <w:start w:val="3"/>
    </w:lvl>
  </w:abstractNum>
  <w:abstractNum w:abstractNumId="449">
    <w:nsid w:val="61C30361"/>
    <w:multiLevelType w:val="hybridMultilevel"/>
    <w:lvl w:ilvl="0">
      <w:lvlJc w:val="left"/>
      <w:lvlText w:val="(%1)"/>
      <w:numFmt w:val="lowerLetter"/>
      <w:start w:val="5"/>
    </w:lvl>
  </w:abstractNum>
  <w:abstractNum w:abstractNumId="450">
    <w:nsid w:val="632099E0"/>
    <w:multiLevelType w:val="hybridMultilevel"/>
    <w:lvl w:ilvl="0">
      <w:lvlJc w:val="left"/>
      <w:lvlText w:val="%1"/>
      <w:numFmt w:val="lowerLetter"/>
      <w:start w:val="1"/>
    </w:lvl>
    <w:lvl w:ilvl="1">
      <w:lvlJc w:val="left"/>
      <w:lvlText w:val="(%2)"/>
      <w:numFmt w:val="lowerLetter"/>
      <w:start w:val="9"/>
    </w:lvl>
  </w:abstractNum>
  <w:abstractNum w:abstractNumId="451">
    <w:nsid w:val="24639756"/>
    <w:multiLevelType w:val="hybridMultilevel"/>
    <w:lvl w:ilvl="0">
      <w:lvlJc w:val="left"/>
      <w:lvlText w:val="(%1)"/>
      <w:numFmt w:val="lowerLetter"/>
      <w:start w:val="9"/>
    </w:lvl>
    <w:lvl w:ilvl="1">
      <w:lvlJc w:val="left"/>
      <w:lvlText w:val="(%2)"/>
      <w:numFmt w:val="lowerLetter"/>
      <w:start w:val="11"/>
    </w:lvl>
  </w:abstractNum>
  <w:abstractNum w:abstractNumId="452">
    <w:nsid w:val="9D30DFD"/>
    <w:multiLevelType w:val="hybridMultilevel"/>
    <w:lvl w:ilvl="0">
      <w:lvlJc w:val="left"/>
      <w:lvlText w:val="(%1)"/>
      <w:numFmt w:val="lowerLetter"/>
      <w:start w:val="12"/>
    </w:lvl>
  </w:abstractNum>
  <w:abstractNum w:abstractNumId="453">
    <w:nsid w:val="70A42016"/>
    <w:multiLevelType w:val="hybridMultilevel"/>
    <w:lvl w:ilvl="0">
      <w:lvlJc w:val="left"/>
      <w:lvlText w:val="(%1)"/>
      <w:numFmt w:val="lowerRoman"/>
      <w:start w:val="3"/>
    </w:lvl>
  </w:abstractNum>
  <w:abstractNum w:abstractNumId="454">
    <w:nsid w:val="161BC243"/>
    <w:multiLevelType w:val="hybridMultilevel"/>
    <w:lvl w:ilvl="0">
      <w:lvlJc w:val="left"/>
      <w:lvlText w:val="(%1)"/>
      <w:numFmt w:val="lowerLetter"/>
      <w:start w:val="2"/>
    </w:lvl>
  </w:abstractNum>
  <w:abstractNum w:abstractNumId="455">
    <w:nsid w:val="16E908C8"/>
    <w:multiLevelType w:val="hybridMultilevel"/>
    <w:lvl w:ilvl="0">
      <w:lvlJc w:val="left"/>
      <w:lvlText w:val="%1"/>
      <w:numFmt w:val="decimal"/>
      <w:start w:val="1"/>
    </w:lvl>
    <w:lvl w:ilvl="1">
      <w:lvlJc w:val="left"/>
      <w:lvlText w:val="(%2)"/>
      <w:numFmt w:val="lowerLetter"/>
      <w:start w:val="4"/>
    </w:lvl>
  </w:abstractNum>
  <w:abstractNum w:abstractNumId="456">
    <w:nsid w:val="2E0D7671"/>
    <w:multiLevelType w:val="hybridMultilevel"/>
    <w:lvl w:ilvl="0">
      <w:lvlJc w:val="left"/>
      <w:lvlText w:val="(%1)"/>
      <w:numFmt w:val="decimal"/>
      <w:start w:val="2"/>
    </w:lvl>
    <w:lvl w:ilvl="1">
      <w:lvlJc w:val="left"/>
      <w:lvlText w:val="%2"/>
      <w:numFmt w:val="lowerLetter"/>
      <w:start w:val="1"/>
    </w:lvl>
  </w:abstractNum>
  <w:abstractNum w:abstractNumId="457">
    <w:nsid w:val="38B59EFF"/>
    <w:multiLevelType w:val="hybridMultilevel"/>
    <w:lvl w:ilvl="0">
      <w:lvlJc w:val="left"/>
      <w:lvlText w:val="(%1)"/>
      <w:numFmt w:val="lowerLetter"/>
      <w:start w:val="5"/>
    </w:lvl>
  </w:abstractNum>
  <w:abstractNum w:abstractNumId="458">
    <w:nsid w:val="307995CA"/>
    <w:multiLevelType w:val="hybridMultilevel"/>
    <w:lvl w:ilvl="0">
      <w:lvlJc w:val="left"/>
      <w:lvlText w:val="%1"/>
      <w:numFmt w:val="lowerLetter"/>
      <w:start w:val="1"/>
    </w:lvl>
    <w:lvl w:ilvl="1">
      <w:lvlJc w:val="left"/>
      <w:lvlText w:val="(%2)"/>
      <w:numFmt w:val="lowerLetter"/>
      <w:start w:val="6"/>
    </w:lvl>
  </w:abstractNum>
  <w:abstractNum w:abstractNumId="459">
    <w:nsid w:val="52E2024D"/>
    <w:multiLevelType w:val="hybridMultilevel"/>
    <w:lvl w:ilvl="0">
      <w:lvlJc w:val="left"/>
      <w:lvlText w:val="(%1)"/>
      <w:numFmt w:val="lowerLetter"/>
      <w:start w:val="24"/>
    </w:lvl>
    <w:lvl w:ilvl="1">
      <w:lvlJc w:val="left"/>
      <w:lvlText w:val="%2"/>
      <w:numFmt w:val="lowerLetter"/>
      <w:start w:val="1"/>
    </w:lvl>
  </w:abstractNum>
  <w:abstractNum w:abstractNumId="460">
    <w:nsid w:val="CE344B5"/>
    <w:multiLevelType w:val="hybridMultilevel"/>
    <w:lvl w:ilvl="0">
      <w:lvlJc w:val="left"/>
      <w:lvlText w:val="(%1)"/>
      <w:numFmt w:val="lowerLetter"/>
      <w:start w:val="7"/>
    </w:lvl>
  </w:abstractNum>
  <w:abstractNum w:abstractNumId="461">
    <w:nsid w:val="29B0E9A8"/>
    <w:multiLevelType w:val="hybridMultilevel"/>
    <w:lvl w:ilvl="0">
      <w:lvlJc w:val="left"/>
      <w:lvlText w:val="(%1)"/>
      <w:numFmt w:val="lowerLetter"/>
      <w:start w:val="10"/>
    </w:lvl>
  </w:abstractNum>
  <w:abstractNum w:abstractNumId="462">
    <w:nsid w:val="6F49CD8A"/>
    <w:multiLevelType w:val="hybridMultilevel"/>
    <w:lvl w:ilvl="0">
      <w:lvlJc w:val="left"/>
      <w:lvlText w:val="(%1)"/>
      <w:numFmt w:val="lowerLetter"/>
      <w:start w:val="12"/>
    </w:lvl>
  </w:abstractNum>
  <w:abstractNum w:abstractNumId="463">
    <w:nsid w:val="4DC5D907"/>
    <w:multiLevelType w:val="hybridMultilevel"/>
    <w:lvl w:ilvl="0">
      <w:lvlJc w:val="left"/>
      <w:lvlText w:val="%1"/>
      <w:numFmt w:val="lowerLetter"/>
      <w:start w:val="1"/>
    </w:lvl>
    <w:lvl w:ilvl="1">
      <w:lvlJc w:val="left"/>
      <w:lvlText w:val="(%2)"/>
      <w:numFmt w:val="lowerLetter"/>
      <w:start w:val="2"/>
    </w:lvl>
  </w:abstractNum>
  <w:abstractNum w:abstractNumId="464">
    <w:nsid w:val="D55945E"/>
    <w:multiLevelType w:val="hybridMultilevel"/>
    <w:lvl w:ilvl="0">
      <w:lvlJc w:val="left"/>
      <w:lvlText w:val="(%1)"/>
      <w:numFmt w:val="lowerLetter"/>
      <w:start w:val="35"/>
    </w:lvl>
    <w:lvl w:ilvl="1">
      <w:lvlJc w:val="left"/>
      <w:lvlText w:val="%2"/>
      <w:numFmt w:val="lowerLetter"/>
      <w:start w:val="1"/>
    </w:lvl>
  </w:abstractNum>
  <w:abstractNum w:abstractNumId="465">
    <w:nsid w:val="672417E1"/>
    <w:multiLevelType w:val="hybridMultilevel"/>
    <w:lvl w:ilvl="0">
      <w:lvlJc w:val="left"/>
      <w:lvlText w:val="(%1)"/>
      <w:numFmt w:val="lowerLetter"/>
      <w:start w:val="3"/>
    </w:lvl>
  </w:abstractNum>
  <w:abstractNum w:abstractNumId="466">
    <w:nsid w:val="5FF6CA09"/>
    <w:multiLevelType w:val="hybridMultilevel"/>
    <w:lvl w:ilvl="0">
      <w:lvlJc w:val="left"/>
      <w:lvlText w:val="(%1)"/>
      <w:numFmt w:val="lowerRoman"/>
      <w:start w:val="1"/>
    </w:lvl>
  </w:abstractNum>
  <w:abstractNum w:abstractNumId="467">
    <w:nsid w:val="330B1333"/>
    <w:multiLevelType w:val="hybridMultilevel"/>
    <w:lvl w:ilvl="0">
      <w:lvlJc w:val="left"/>
      <w:lvlText w:val="(%1)"/>
      <w:numFmt w:val="lowerRoman"/>
      <w:start w:val="2"/>
    </w:lvl>
  </w:abstractNum>
  <w:abstractNum w:abstractNumId="468">
    <w:nsid w:val="2EF32EA6"/>
    <w:multiLevelType w:val="hybridMultilevel"/>
    <w:lvl w:ilvl="0">
      <w:lvlJc w:val="left"/>
      <w:lvlText w:val="(%1)"/>
      <w:numFmt w:val="lowerRoman"/>
      <w:start w:val="3"/>
    </w:lvl>
  </w:abstractNum>
  <w:abstractNum w:abstractNumId="469">
    <w:nsid w:val="32766A55"/>
    <w:multiLevelType w:val="hybridMultilevel"/>
    <w:lvl w:ilvl="0">
      <w:lvlJc w:val="left"/>
      <w:lvlText w:val="(%1)"/>
      <w:numFmt w:val="lowerLetter"/>
      <w:start w:val="2"/>
    </w:lvl>
  </w:abstractNum>
  <w:abstractNum w:abstractNumId="470">
    <w:nsid w:val="22D71957"/>
    <w:multiLevelType w:val="hybridMultilevel"/>
    <w:lvl w:ilvl="0">
      <w:lvlJc w:val="left"/>
      <w:lvlText w:val="(%1)"/>
      <w:numFmt w:val="lowerLetter"/>
      <w:start w:val="3"/>
    </w:lvl>
  </w:abstractNum>
  <w:abstractNum w:abstractNumId="471">
    <w:nsid w:val="4CC1263B"/>
    <w:multiLevelType w:val="hybridMultilevel"/>
    <w:lvl w:ilvl="0">
      <w:lvlJc w:val="left"/>
      <w:lvlText w:val="%1"/>
      <w:numFmt w:val="lowerLetter"/>
      <w:start w:val="1"/>
    </w:lvl>
    <w:lvl w:ilvl="1">
      <w:lvlJc w:val="left"/>
      <w:lvlText w:val="(%2)"/>
      <w:numFmt w:val="lowerLetter"/>
      <w:start w:val="1"/>
    </w:lvl>
  </w:abstractNum>
  <w:abstractNum w:abstractNumId="472">
    <w:nsid w:val="8BBEB1D"/>
    <w:multiLevelType w:val="hybridMultilevel"/>
    <w:lvl w:ilvl="0">
      <w:lvlJc w:val="left"/>
      <w:lvlText w:val="(%1)"/>
      <w:numFmt w:val="lowerLetter"/>
      <w:start w:val="24"/>
    </w:lvl>
    <w:lvl w:ilvl="1">
      <w:lvlJc w:val="left"/>
      <w:lvlText w:val="(%2)"/>
      <w:numFmt w:val="lowerLetter"/>
      <w:start w:val="6"/>
    </w:lvl>
  </w:abstractNum>
  <w:abstractNum w:abstractNumId="473">
    <w:nsid w:val="7365F1EE"/>
    <w:multiLevelType w:val="hybridMultilevel"/>
    <w:lvl w:ilvl="0">
      <w:lvlJc w:val="left"/>
      <w:lvlText w:val="(%1)"/>
      <w:numFmt w:val="lowerLetter"/>
      <w:start w:val="7"/>
    </w:lvl>
  </w:abstractNum>
  <w:abstractNum w:abstractNumId="474">
    <w:nsid w:val="37524CF0"/>
    <w:multiLevelType w:val="hybridMultilevel"/>
    <w:lvl w:ilvl="0">
      <w:lvlJc w:val="left"/>
      <w:lvlText w:val="(%1)"/>
      <w:numFmt w:val="lowerLetter"/>
      <w:start w:val="2"/>
    </w:lvl>
  </w:abstractNum>
  <w:abstractNum w:abstractNumId="475">
    <w:nsid w:val="70CC332F"/>
    <w:multiLevelType w:val="hybridMultilevel"/>
    <w:lvl w:ilvl="0">
      <w:lvlJc w:val="left"/>
      <w:lvlText w:val="(%1)"/>
      <w:numFmt w:val="lowerLetter"/>
      <w:start w:val="1"/>
    </w:lvl>
    <w:lvl w:ilvl="1">
      <w:lvlJc w:val="left"/>
      <w:lvlText w:val="(%2)"/>
      <w:numFmt w:val="lowerRoman"/>
      <w:start w:val="1"/>
    </w:lvl>
  </w:abstractNum>
  <w:abstractNum w:abstractNumId="476">
    <w:nsid w:val="5661786E"/>
    <w:multiLevelType w:val="hybridMultilevel"/>
    <w:lvl w:ilvl="0">
      <w:lvlJc w:val="left"/>
      <w:lvlText w:val="%1."/>
      <w:numFmt w:val="decimal"/>
      <w:start w:val="1"/>
    </w:lvl>
    <w:lvl w:ilvl="1">
      <w:lvlJc w:val="left"/>
      <w:lvlText w:val="%2."/>
      <w:numFmt w:val="lowerLetter"/>
      <w:start w:val="1"/>
    </w:lvl>
  </w:abstractNum>
  <w:abstractNum w:abstractNumId="477">
    <w:nsid w:val="3AF6A220"/>
    <w:multiLevelType w:val="hybridMultilevel"/>
    <w:lvl w:ilvl="0">
      <w:lvlJc w:val="left"/>
      <w:lvlText w:val="%1."/>
      <w:numFmt w:val="decimal"/>
      <w:start w:val="1"/>
    </w:lvl>
    <w:lvl w:ilvl="1">
      <w:lvlJc w:val="left"/>
      <w:lvlText w:val="%2."/>
      <w:numFmt w:val="lowerLetter"/>
      <w:start w:val="1"/>
    </w:lvl>
  </w:abstractNum>
  <w:abstractNum w:abstractNumId="478">
    <w:nsid w:val="3C5EA90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70" Type="http://schemas.openxmlformats.org/officeDocument/2006/relationships/hyperlink" Target="https://www.sec.gov/Archives/edgar/data/723612/000072361206000058/articles.htm" TargetMode="External"/><Relationship Id="rId71" Type="http://schemas.openxmlformats.org/officeDocument/2006/relationships/hyperlink" Target="https://www.sec.gov/Archives/edgar/data/723612/000119312520218349/d84038dex32.htm" TargetMode="External"/><Relationship Id="rId72" Type="http://schemas.openxmlformats.org/officeDocument/2006/relationships/hyperlink" Target="https://www.sec.gov/Archives/edgar/data/723612/000095014225001422/eh250629084_ex0401.htm" TargetMode="External"/><Relationship Id="rId73" Type="http://schemas.openxmlformats.org/officeDocument/2006/relationships/hyperlink" Target="https://www.sec.gov/Archives/edgar/data/723612/000095014225001273/eh250623081_ex1001.htm" TargetMode="External"/><Relationship Id="rId74" Type="http://schemas.openxmlformats.org/officeDocument/2006/relationships/hyperlink" Target="https://www.sec.gov/Archives/edgar/data/723612/000095014225001273/eh250623081_ex1002.htm" TargetMode="External"/><Relationship Id="rId75" Type="http://schemas.openxmlformats.org/officeDocument/2006/relationships/hyperlink" Target="https://www.sec.gov/Archives/edgar/data/723612/000095014225001273/eh250623081_ex1003.htm" TargetMode="External"/><Relationship Id="rId76" Type="http://schemas.openxmlformats.org/officeDocument/2006/relationships/hyperlink" Target="https://www.sec.gov/Archives/edgar/data/723612/000095014225001547/eh250634027_ex1001.htm" TargetMode="External"/><Relationship Id="rId77" Type="http://schemas.openxmlformats.org/officeDocument/2006/relationships/hyperlink" Target="https://www.sec.gov/Archives/edgar/data/723612/000095014225001547/eh250634027_ex1002.htm" TargetMode="External"/><Relationship Id="rId78" Type="http://schemas.openxmlformats.org/officeDocument/2006/relationships/hyperlink" Target="https://www.sec.gov/Archives/edgar/data/723612/000095014225001591/eh250639373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2025-07-30T08:33:31Z</dcterms:created>
  <dcterms:modified xsi:type="dcterms:W3CDTF">2025-07-30T08:33:31Z</dcterms:modified>
</cp:coreProperties>
</file>