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1014730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1040130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263525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291465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left="4040" w:right="1740" w:hanging="2192"/>
        <w:spacing w:after="0" w:line="475" w:lineRule="auto"/>
        <w:tabs>
          <w:tab w:leader="none" w:pos="2013"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March 31, 2026</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jc w:val="center"/>
        <w:ind w:left="4080" w:right="1740" w:hanging="2231"/>
        <w:spacing w:after="0" w:line="495" w:lineRule="auto"/>
        <w:tabs>
          <w:tab w:leader="none" w:pos="201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272415</wp:posOffset>
            </wp:positionV>
            <wp:extent cx="1448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AVIS BUDGET GROUP, INC.</w:t>
      </w:r>
    </w:p>
    <w:p>
      <w:pPr>
        <w:sectPr>
          <w:pgSz w:w="11900" w:h="16838" w:orient="portrait"/>
          <w:cols w:equalWidth="0" w:num="1">
            <w:col w:w="11140"/>
          </w:cols>
          <w:pgMar w:left="320" w:top="1440" w:right="439" w:bottom="1440" w:gutter="0" w:footer="0" w:header="0"/>
        </w:sectPr>
      </w:pPr>
    </w:p>
    <w:p>
      <w:pPr>
        <w:spacing w:after="0" w:line="216" w:lineRule="exact"/>
        <w:rPr>
          <w:sz w:val="24"/>
          <w:szCs w:val="24"/>
          <w:color w:val="auto"/>
        </w:rPr>
      </w:pPr>
    </w:p>
    <w:p>
      <w:pPr>
        <w:ind w:left="38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17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Delaware</w:t>
      </w:r>
    </w:p>
    <w:p>
      <w:pPr>
        <w:spacing w:after="0" w:line="43" w:lineRule="exact"/>
        <w:rPr>
          <w:sz w:val="24"/>
          <w:szCs w:val="24"/>
          <w:color w:val="auto"/>
        </w:rPr>
      </w:pPr>
    </w:p>
    <w:p>
      <w:pPr>
        <w:ind w:left="900"/>
        <w:spacing w:after="0"/>
        <w:rPr>
          <w:sz w:val="20"/>
          <w:szCs w:val="20"/>
          <w:color w:val="auto"/>
        </w:rPr>
      </w:pPr>
      <w:r>
        <w:rPr>
          <w:rFonts w:ascii="Arial" w:cs="Arial" w:eastAsia="Arial" w:hAnsi="Arial"/>
          <w:sz w:val="14"/>
          <w:szCs w:val="14"/>
          <w:i w:val="1"/>
          <w:iCs w:val="1"/>
          <w:color w:val="auto"/>
        </w:rPr>
        <w:t>(State or other jurisdiction of</w:t>
      </w:r>
    </w:p>
    <w:p>
      <w:pPr>
        <w:ind w:left="860"/>
        <w:spacing w:after="0"/>
        <w:rPr>
          <w:sz w:val="20"/>
          <w:szCs w:val="20"/>
          <w:color w:val="auto"/>
        </w:rPr>
      </w:pPr>
      <w:r>
        <w:rPr>
          <w:rFonts w:ascii="Arial" w:cs="Arial" w:eastAsia="Arial" w:hAnsi="Arial"/>
          <w:sz w:val="14"/>
          <w:szCs w:val="14"/>
          <w:i w:val="1"/>
          <w:iCs w:val="1"/>
          <w:color w:val="auto"/>
        </w:rPr>
        <w:t>incorporation or organization)</w:t>
      </w:r>
    </w:p>
    <w:p>
      <w:pPr>
        <w:spacing w:after="0" w:line="1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379 Interpace Parkway</w:t>
      </w:r>
    </w:p>
    <w:p>
      <w:pPr>
        <w:spacing w:after="0" w:line="40"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Parsippany, NJ</w:t>
      </w:r>
    </w:p>
    <w:p>
      <w:pPr>
        <w:spacing w:after="0" w:line="44" w:lineRule="exact"/>
        <w:rPr>
          <w:sz w:val="24"/>
          <w:szCs w:val="24"/>
          <w:color w:val="auto"/>
        </w:rPr>
      </w:pPr>
    </w:p>
    <w:p>
      <w:pPr>
        <w:jc w:val="center"/>
        <w:ind w:right="38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0" w:lineRule="exact"/>
        <w:rPr>
          <w:sz w:val="24"/>
          <w:szCs w:val="24"/>
          <w:color w:val="auto"/>
        </w:rPr>
      </w:pPr>
    </w:p>
    <w:tbl>
      <w:tblPr>
        <w:tblLayout w:type="fixed"/>
        <w:tblInd w:w="80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4160" w:type="dxa"/>
            <w:vAlign w:val="bottom"/>
          </w:tcPr>
          <w:p>
            <w:pPr>
              <w:jc w:val="center"/>
              <w:ind w:left="388"/>
              <w:spacing w:after="0"/>
              <w:rPr>
                <w:sz w:val="20"/>
                <w:szCs w:val="20"/>
                <w:color w:val="auto"/>
              </w:rPr>
            </w:pPr>
            <w:r>
              <w:rPr>
                <w:rFonts w:ascii="Arial" w:cs="Arial" w:eastAsia="Arial" w:hAnsi="Arial"/>
                <w:sz w:val="14"/>
                <w:szCs w:val="14"/>
                <w:b w:val="1"/>
                <w:bCs w:val="1"/>
                <w:color w:val="auto"/>
              </w:rPr>
              <w:t>(973) 496-4700</w:t>
            </w:r>
          </w:p>
        </w:tc>
      </w:tr>
      <w:tr>
        <w:trPr>
          <w:trHeight w:val="196"/>
        </w:trPr>
        <w:tc>
          <w:tcPr>
            <w:tcW w:w="2500" w:type="dxa"/>
            <w:vAlign w:val="bottom"/>
          </w:tcPr>
          <w:p>
            <w:pPr>
              <w:spacing w:after="0"/>
              <w:rPr>
                <w:sz w:val="17"/>
                <w:szCs w:val="17"/>
                <w:color w:val="auto"/>
              </w:rPr>
            </w:pPr>
          </w:p>
        </w:tc>
        <w:tc>
          <w:tcPr>
            <w:tcW w:w="4160" w:type="dxa"/>
            <w:vAlign w:val="bottom"/>
          </w:tcPr>
          <w:p>
            <w:pPr>
              <w:jc w:val="center"/>
              <w:ind w:left="408"/>
              <w:spacing w:after="0"/>
              <w:rPr>
                <w:sz w:val="20"/>
                <w:szCs w:val="20"/>
                <w:color w:val="auto"/>
              </w:rPr>
            </w:pPr>
            <w:r>
              <w:rPr>
                <w:rFonts w:ascii="Arial" w:cs="Arial" w:eastAsia="Arial" w:hAnsi="Arial"/>
                <w:sz w:val="14"/>
                <w:szCs w:val="14"/>
                <w:color w:val="auto"/>
              </w:rPr>
              <w:t>(Registrant’s telephone number, including area code)</w:t>
            </w:r>
          </w:p>
        </w:tc>
      </w:tr>
      <w:tr>
        <w:trPr>
          <w:trHeight w:val="608"/>
        </w:trPr>
        <w:tc>
          <w:tcPr>
            <w:tcW w:w="2500" w:type="dxa"/>
            <w:vAlign w:val="bottom"/>
          </w:tcPr>
          <w:p>
            <w:pPr>
              <w:spacing w:after="0"/>
              <w:rPr>
                <w:sz w:val="24"/>
                <w:szCs w:val="24"/>
                <w:color w:val="auto"/>
              </w:rPr>
            </w:pPr>
          </w:p>
        </w:tc>
        <w:tc>
          <w:tcPr>
            <w:tcW w:w="4160" w:type="dxa"/>
            <w:vAlign w:val="bottom"/>
          </w:tcPr>
          <w:p>
            <w:pPr>
              <w:jc w:val="center"/>
              <w:ind w:left="428"/>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57"/>
        </w:trPr>
        <w:tc>
          <w:tcPr>
            <w:tcW w:w="2500" w:type="dxa"/>
            <w:vAlign w:val="bottom"/>
          </w:tcPr>
          <w:p>
            <w:pPr>
              <w:jc w:val="center"/>
              <w:ind w:right="408"/>
              <w:spacing w:after="0"/>
              <w:rPr>
                <w:sz w:val="20"/>
                <w:szCs w:val="20"/>
                <w:color w:val="auto"/>
              </w:rPr>
            </w:pPr>
            <w:r>
              <w:rPr>
                <w:rFonts w:ascii="Arial" w:cs="Arial" w:eastAsia="Arial" w:hAnsi="Arial"/>
                <w:sz w:val="14"/>
                <w:szCs w:val="14"/>
                <w:b w:val="1"/>
                <w:bCs w:val="1"/>
                <w:color w:val="auto"/>
              </w:rPr>
              <w:t>TITLE OF EACH CLASS</w:t>
            </w:r>
          </w:p>
        </w:tc>
        <w:tc>
          <w:tcPr>
            <w:tcW w:w="4160" w:type="dxa"/>
            <w:vAlign w:val="bottom"/>
          </w:tcPr>
          <w:p>
            <w:pPr>
              <w:jc w:val="center"/>
              <w:ind w:left="388"/>
              <w:spacing w:after="0"/>
              <w:rPr>
                <w:sz w:val="20"/>
                <w:szCs w:val="20"/>
                <w:color w:val="auto"/>
              </w:rPr>
            </w:pPr>
            <w:r>
              <w:rPr>
                <w:rFonts w:ascii="Arial" w:cs="Arial" w:eastAsia="Arial" w:hAnsi="Arial"/>
                <w:sz w:val="14"/>
                <w:szCs w:val="14"/>
                <w:b w:val="1"/>
                <w:bCs w:val="1"/>
                <w:color w:val="auto"/>
              </w:rPr>
              <w:t>TRADING SYMBOL(S)</w:t>
            </w:r>
          </w:p>
        </w:tc>
      </w:tr>
      <w:tr>
        <w:trPr>
          <w:trHeight w:val="196"/>
        </w:trPr>
        <w:tc>
          <w:tcPr>
            <w:tcW w:w="2500" w:type="dxa"/>
            <w:vAlign w:val="bottom"/>
          </w:tcPr>
          <w:p>
            <w:pPr>
              <w:jc w:val="center"/>
              <w:ind w:right="428"/>
              <w:spacing w:after="0"/>
              <w:rPr>
                <w:sz w:val="20"/>
                <w:szCs w:val="20"/>
                <w:color w:val="auto"/>
              </w:rPr>
            </w:pPr>
            <w:r>
              <w:rPr>
                <w:rFonts w:ascii="Arial" w:cs="Arial" w:eastAsia="Arial" w:hAnsi="Arial"/>
                <w:sz w:val="14"/>
                <w:szCs w:val="14"/>
                <w:color w:val="auto"/>
              </w:rPr>
              <w:t>Common Stock, Par Value $.01</w:t>
            </w:r>
          </w:p>
        </w:tc>
        <w:tc>
          <w:tcPr>
            <w:tcW w:w="4160" w:type="dxa"/>
            <w:vAlign w:val="bottom"/>
          </w:tcPr>
          <w:p>
            <w:pPr>
              <w:jc w:val="center"/>
              <w:ind w:left="388"/>
              <w:spacing w:after="0"/>
              <w:rPr>
                <w:sz w:val="20"/>
                <w:szCs w:val="20"/>
                <w:color w:val="auto"/>
              </w:rPr>
            </w:pPr>
            <w:r>
              <w:rPr>
                <w:rFonts w:ascii="Arial" w:cs="Arial" w:eastAsia="Arial" w:hAnsi="Arial"/>
                <w:sz w:val="14"/>
                <w:szCs w:val="14"/>
                <w:color w:val="auto"/>
              </w:rPr>
              <w:t>CAR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06-0918165</w:t>
      </w:r>
    </w:p>
    <w:p>
      <w:pPr>
        <w:spacing w:after="0" w:line="43" w:lineRule="exact"/>
        <w:rPr>
          <w:sz w:val="24"/>
          <w:szCs w:val="24"/>
          <w:color w:val="auto"/>
        </w:rPr>
      </w:pPr>
    </w:p>
    <w:p>
      <w:pPr>
        <w:ind w:left="860"/>
        <w:spacing w:after="0"/>
        <w:rPr>
          <w:sz w:val="20"/>
          <w:szCs w:val="20"/>
          <w:color w:val="auto"/>
        </w:rPr>
      </w:pPr>
      <w:r>
        <w:rPr>
          <w:rFonts w:ascii="Arial" w:cs="Arial" w:eastAsia="Arial" w:hAnsi="Arial"/>
          <w:sz w:val="14"/>
          <w:szCs w:val="14"/>
          <w:i w:val="1"/>
          <w:iCs w:val="1"/>
          <w:color w:val="auto"/>
        </w:rPr>
        <w:t>(I.R.S. Employer</w:t>
      </w:r>
    </w:p>
    <w:p>
      <w:pPr>
        <w:ind w:left="680"/>
        <w:spacing w:after="0"/>
        <w:rPr>
          <w:sz w:val="20"/>
          <w:szCs w:val="20"/>
          <w:color w:val="auto"/>
        </w:rPr>
      </w:pPr>
      <w:r>
        <w:rPr>
          <w:rFonts w:ascii="Arial" w:cs="Arial" w:eastAsia="Arial" w:hAnsi="Arial"/>
          <w:sz w:val="14"/>
          <w:szCs w:val="14"/>
          <w:i w:val="1"/>
          <w:iCs w:val="1"/>
          <w:color w:val="auto"/>
        </w:rPr>
        <w:t>Identification Number)</w:t>
      </w:r>
    </w:p>
    <w:p>
      <w:pPr>
        <w:spacing w:after="0" w:line="217"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07054</w:t>
      </w:r>
    </w:p>
    <w:p>
      <w:pPr>
        <w:spacing w:after="0" w:line="44" w:lineRule="exact"/>
        <w:rPr>
          <w:sz w:val="24"/>
          <w:szCs w:val="24"/>
          <w:color w:val="auto"/>
        </w:rPr>
      </w:pPr>
    </w:p>
    <w:p>
      <w:pPr>
        <w:jc w:val="center"/>
        <w:ind w:right="32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NAME OF EACH EXCHANGE ON WHICH</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REGISTERED</w:t>
      </w:r>
    </w:p>
    <w:p>
      <w:pPr>
        <w:spacing w:after="0" w:line="2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The Nasdaq Global Select Market</w:t>
      </w:r>
    </w:p>
    <w:p>
      <w:pPr>
        <w:spacing w:after="0" w:line="222" w:lineRule="exact"/>
        <w:rPr>
          <w:sz w:val="24"/>
          <w:szCs w:val="24"/>
          <w:color w:val="auto"/>
        </w:rPr>
      </w:pPr>
    </w:p>
    <w:p>
      <w:pPr>
        <w:sectPr>
          <w:pgSz w:w="11900" w:h="16838" w:orient="portrait"/>
          <w:cols w:equalWidth="0" w:num="2">
            <w:col w:w="7460" w:space="600"/>
            <w:col w:w="3080"/>
          </w:cols>
          <w:pgMar w:left="320" w:top="1440" w:right="439" w:bottom="1440" w:gutter="0" w:footer="0" w:header="0"/>
          <w:type w:val="continuous"/>
        </w:sectPr>
      </w:pPr>
    </w:p>
    <w:p>
      <w:pPr>
        <w:spacing w:after="0" w:line="231"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58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00"/>
        <w:spacing w:after="0" w:line="202" w:lineRule="exact"/>
        <w:tabs>
          <w:tab w:leader="none" w:pos="3480" w:val="left"/>
          <w:tab w:leader="none" w:pos="7180" w:val="left"/>
          <w:tab w:leader="none" w:pos="10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68" w:lineRule="exact"/>
        <w:rPr>
          <w:sz w:val="24"/>
          <w:szCs w:val="24"/>
          <w:color w:val="auto"/>
        </w:rPr>
      </w:pPr>
    </w:p>
    <w:p>
      <w:pPr>
        <w:ind w:left="100"/>
        <w:spacing w:after="0" w:line="202" w:lineRule="exact"/>
        <w:tabs>
          <w:tab w:leader="none" w:pos="3480" w:val="left"/>
          <w:tab w:leader="none" w:pos="718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8" w:lineRule="exact"/>
        <w:rPr>
          <w:sz w:val="24"/>
          <w:szCs w:val="24"/>
          <w:color w:val="auto"/>
        </w:rPr>
      </w:pPr>
    </w:p>
    <w:p>
      <w:pPr>
        <w:ind w:right="20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April 22, 2026, the number of shares outstanding of the registrant’s common stock was 35,324,986.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60" w:type="dxa"/>
            <w:vAlign w:val="bottom"/>
            <w:gridSpan w:val="9"/>
          </w:tcPr>
          <w:p>
            <w:pPr>
              <w:ind w:left="18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580" w:type="dxa"/>
            <w:vAlign w:val="bottom"/>
            <w:gridSpan w:val="11"/>
            <w:vMerge w:val="restart"/>
          </w:tcPr>
          <w:p>
            <w:pPr>
              <w:spacing w:after="0"/>
              <w:rPr>
                <w:sz w:val="17"/>
                <w:szCs w:val="17"/>
                <w:color w:val="auto"/>
              </w:rPr>
            </w:pPr>
          </w:p>
        </w:tc>
        <w:tc>
          <w:tcPr>
            <w:tcW w:w="960" w:type="dxa"/>
            <w:vAlign w:val="bottom"/>
            <w:gridSpan w:val="5"/>
          </w:tcPr>
          <w:p>
            <w:pPr>
              <w:jc w:val="right"/>
              <w:ind w:right="60"/>
              <w:spacing w:after="0" w:line="204" w:lineRule="exact"/>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758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96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9260" w:type="dxa"/>
            <w:vAlign w:val="bottom"/>
            <w:gridSpan w:val="19"/>
          </w:tcPr>
          <w:p>
            <w:pPr>
              <w:spacing w:after="0" w:line="196" w:lineRule="exact"/>
              <w:rPr>
                <w:sz w:val="20"/>
                <w:szCs w:val="20"/>
                <w:color w:val="auto"/>
              </w:rPr>
            </w:pPr>
            <w:r>
              <w:rPr>
                <w:rFonts w:ascii="Arial" w:cs="Arial" w:eastAsia="Arial" w:hAnsi="Arial"/>
                <w:sz w:val="18"/>
                <w:szCs w:val="18"/>
                <w:color w:val="0000FF"/>
              </w:rPr>
              <w:t>Condensed Consolidated Statements of Comprehensive Income for the Three Months Ended March 31, 2026</w:t>
            </w:r>
          </w:p>
        </w:tc>
        <w:tc>
          <w:tcPr>
            <w:tcW w:w="9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72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and 2025 (Unaudited)</w:t>
            </w:r>
          </w:p>
        </w:tc>
        <w:tc>
          <w:tcPr>
            <w:tcW w:w="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as of March 31, 2026 and December 31, 2025 (Unaudited)</w:t>
            </w:r>
          </w:p>
        </w:tc>
        <w:tc>
          <w:tcPr>
            <w:tcW w:w="9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3"/>
            <w:shd w:val="clear" w:color="auto" w:fill="0000FF"/>
          </w:tcPr>
          <w:p>
            <w:pPr>
              <w:spacing w:after="0" w:line="20" w:lineRule="exact"/>
              <w:rPr>
                <w:sz w:val="1"/>
                <w:szCs w:val="1"/>
                <w:color w:val="auto"/>
              </w:rPr>
            </w:pPr>
          </w:p>
        </w:tc>
        <w:tc>
          <w:tcPr>
            <w:tcW w:w="27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9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2026 and 2025</w:t>
            </w:r>
          </w:p>
        </w:tc>
        <w:tc>
          <w:tcPr>
            <w:tcW w:w="80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56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(Unaudited)</w:t>
            </w:r>
          </w:p>
        </w:tc>
        <w:tc>
          <w:tcPr>
            <w:tcW w:w="7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2026 and</w:t>
            </w:r>
          </w:p>
        </w:tc>
        <w:tc>
          <w:tcPr>
            <w:tcW w:w="96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5"/>
          </w:tcPr>
          <w:p>
            <w:pPr>
              <w:spacing w:after="0" w:line="202" w:lineRule="exact"/>
              <w:rPr>
                <w:sz w:val="20"/>
                <w:szCs w:val="20"/>
                <w:color w:val="auto"/>
              </w:rPr>
            </w:pPr>
            <w:r>
              <w:rPr>
                <w:rFonts w:ascii="Arial" w:cs="Arial" w:eastAsia="Arial" w:hAnsi="Arial"/>
                <w:sz w:val="18"/>
                <w:szCs w:val="18"/>
                <w:color w:val="0000FF"/>
                <w:w w:val="99"/>
              </w:rPr>
              <w:t>2025 (Unaudited)</w:t>
            </w:r>
          </w:p>
        </w:tc>
        <w:tc>
          <w:tcPr>
            <w:tcW w:w="7400" w:type="dxa"/>
            <w:vAlign w:val="bottom"/>
            <w:tcBorders>
              <w:top w:val="single" w:sz="8" w:color="0000FF"/>
            </w:tcBorders>
            <w:gridSpan w:val="13"/>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218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2720" w:type="dxa"/>
            <w:vAlign w:val="bottom"/>
          </w:tcPr>
          <w:p>
            <w:pPr>
              <w:spacing w:after="0"/>
              <w:rPr>
                <w:sz w:val="18"/>
                <w:szCs w:val="18"/>
                <w:color w:val="auto"/>
              </w:rPr>
            </w:pPr>
          </w:p>
        </w:tc>
        <w:tc>
          <w:tcPr>
            <w:tcW w:w="4540" w:type="dxa"/>
            <w:vAlign w:val="bottom"/>
            <w:gridSpan w:val="8"/>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4"/>
          </w:tcPr>
          <w:p>
            <w:pPr>
              <w:spacing w:after="0"/>
              <w:rPr>
                <w:sz w:val="18"/>
                <w:szCs w:val="18"/>
                <w:color w:val="auto"/>
              </w:rPr>
            </w:pPr>
          </w:p>
        </w:tc>
        <w:tc>
          <w:tcPr>
            <w:tcW w:w="726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7760" w:type="dxa"/>
            <w:vAlign w:val="bottom"/>
            <w:gridSpan w:val="12"/>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760" w:type="dxa"/>
            <w:vAlign w:val="bottom"/>
            <w:gridSpan w:val="12"/>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400" w:type="dxa"/>
            <w:vAlign w:val="bottom"/>
            <w:gridSpan w:val="7"/>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2"/>
          </w:tcPr>
          <w:p>
            <w:pPr>
              <w:spacing w:after="0"/>
              <w:rPr>
                <w:sz w:val="20"/>
                <w:szCs w:val="20"/>
                <w:color w:val="auto"/>
              </w:rPr>
            </w:pPr>
            <w:r>
              <w:rPr>
                <w:rFonts w:ascii="Arial" w:cs="Arial" w:eastAsia="Arial" w:hAnsi="Arial"/>
                <w:sz w:val="18"/>
                <w:szCs w:val="18"/>
                <w:color w:val="0000FF"/>
              </w:rPr>
              <w:t>Other Information</w:t>
            </w:r>
          </w:p>
        </w:tc>
        <w:tc>
          <w:tcPr>
            <w:tcW w:w="4400" w:type="dxa"/>
            <w:vAlign w:val="bottom"/>
            <w:gridSpan w:val="7"/>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860" w:type="dxa"/>
            <w:vAlign w:val="bottom"/>
            <w:gridSpan w:val="14"/>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208"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or fluctuation in economic conditions, resulting in a recession, decreased levels of discretionary consumer spending for travel,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184"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19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including the expiration of tax credits, and accounting standards;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above, including those discussed in “Management’s Discussion and Analysis of Financial Condition and Results of Operations,” in Item 2 and “Risk Factors” in Item 1A in this quarterly report and in similarly-titled sections set forth in Item 7 and in Item 1A and in other portions of our 2025 Annual Report on Form 10-K filed with the Securities and Exchange Commission (the “SEC”) on February 19, 2026 (the “2025 Form 10-K”), may contain forward-looking statements and involve uncertainties that could cause actual results to differ materially from those projected in any forward-looking statements.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jc w:val="center"/>
        <w:ind w:left="83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83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474"/>
        </w:trPr>
        <w:tc>
          <w:tcPr>
            <w:tcW w:w="8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474"/>
        </w:trPr>
        <w:tc>
          <w:tcPr>
            <w:tcW w:w="83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5"/>
        </w:trPr>
        <w:tc>
          <w:tcPr>
            <w:tcW w:w="8320" w:type="dxa"/>
            <w:vAlign w:val="bottom"/>
          </w:tcPr>
          <w:p>
            <w:pPr>
              <w:ind w:left="1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8320" w:type="dxa"/>
            <w:vAlign w:val="bottom"/>
          </w:tcPr>
          <w:p>
            <w:pPr>
              <w:ind w:left="1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Net loss attributable to Avis Budget Group,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32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Avis Budget Group,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474"/>
        </w:trPr>
        <w:tc>
          <w:tcPr>
            <w:tcW w:w="83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9"/>
        </w:trPr>
        <w:tc>
          <w:tcPr>
            <w:tcW w:w="83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0"/>
        </w:trPr>
        <w:tc>
          <w:tcPr>
            <w:tcW w:w="8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20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04"/>
        </w:trPr>
        <w:tc>
          <w:tcPr>
            <w:tcW w:w="820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4"/>
        </w:trPr>
        <w:tc>
          <w:tcPr>
            <w:tcW w:w="820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310"/>
        </w:trPr>
        <w:tc>
          <w:tcPr>
            <w:tcW w:w="82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3,239</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4"/>
        </w:trPr>
        <w:tc>
          <w:tcPr>
            <w:tcW w:w="820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10,464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10,306</w:t>
            </w:r>
          </w:p>
        </w:tc>
        <w:tc>
          <w:tcPr>
            <w:tcW w:w="0" w:type="dxa"/>
            <w:vAlign w:val="bottom"/>
          </w:tcPr>
          <w:p>
            <w:pPr>
              <w:spacing w:after="0"/>
              <w:rPr>
                <w:sz w:val="1"/>
                <w:szCs w:val="1"/>
                <w:color w:val="auto"/>
              </w:rPr>
            </w:pPr>
          </w:p>
        </w:tc>
      </w:tr>
      <w:tr>
        <w:trPr>
          <w:trHeight w:val="289"/>
        </w:trPr>
        <w:tc>
          <w:tcPr>
            <w:tcW w:w="820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18,093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18,720</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07"/>
        </w:trPr>
        <w:tc>
          <w:tcPr>
            <w:tcW w:w="8200" w:type="dxa"/>
            <w:vAlign w:val="bottom"/>
          </w:tcPr>
          <w:p>
            <w:pPr>
              <w:ind w:left="1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20,951</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31,257</w:t>
            </w:r>
          </w:p>
        </w:tc>
        <w:tc>
          <w:tcPr>
            <w:tcW w:w="0" w:type="dxa"/>
            <w:vAlign w:val="bottom"/>
          </w:tcPr>
          <w:p>
            <w:pPr>
              <w:spacing w:after="0"/>
              <w:rPr>
                <w:sz w:val="1"/>
                <w:szCs w:val="1"/>
                <w:color w:val="auto"/>
              </w:rPr>
            </w:pPr>
          </w:p>
        </w:tc>
      </w:tr>
      <w:tr>
        <w:trPr>
          <w:trHeight w:val="27"/>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non-controlling interests and stockholders’ equity</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8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204"/>
        </w:trPr>
        <w:tc>
          <w:tcPr>
            <w:tcW w:w="8200" w:type="dxa"/>
            <w:vAlign w:val="bottom"/>
          </w:tcPr>
          <w:p>
            <w:pPr>
              <w:ind w:left="120"/>
              <w:spacing w:after="0"/>
              <w:rPr>
                <w:sz w:val="20"/>
                <w:szCs w:val="20"/>
                <w:color w:val="auto"/>
              </w:rPr>
            </w:pPr>
            <w:r>
              <w:rPr>
                <w:rFonts w:ascii="Arial" w:cs="Arial" w:eastAsia="Arial" w:hAnsi="Arial"/>
                <w:sz w:val="14"/>
                <w:szCs w:val="14"/>
                <w:color w:val="auto"/>
              </w:rPr>
              <w:t>Short-term debt and current portion of long-term debt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4"/>
        </w:trPr>
        <w:tc>
          <w:tcPr>
            <w:tcW w:w="820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2,889</w:t>
            </w:r>
          </w:p>
        </w:tc>
        <w:tc>
          <w:tcPr>
            <w:tcW w:w="0" w:type="dxa"/>
            <w:vAlign w:val="bottom"/>
          </w:tcPr>
          <w:p>
            <w:pPr>
              <w:spacing w:after="0"/>
              <w:rPr>
                <w:sz w:val="1"/>
                <w:szCs w:val="1"/>
                <w:color w:val="auto"/>
              </w:rPr>
            </w:pPr>
          </w:p>
        </w:tc>
      </w:tr>
      <w:tr>
        <w:trPr>
          <w:trHeight w:val="310"/>
        </w:trPr>
        <w:tc>
          <w:tcPr>
            <w:tcW w:w="820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6,049</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04"/>
        </w:trPr>
        <w:tc>
          <w:tcPr>
            <w:tcW w:w="820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12,047</w:t>
            </w:r>
          </w:p>
        </w:tc>
        <w:tc>
          <w:tcPr>
            <w:tcW w:w="0" w:type="dxa"/>
            <w:vAlign w:val="bottom"/>
          </w:tcPr>
          <w:p>
            <w:pPr>
              <w:spacing w:after="0"/>
              <w:rPr>
                <w:sz w:val="1"/>
                <w:szCs w:val="1"/>
                <w:color w:val="auto"/>
              </w:rPr>
            </w:pPr>
          </w:p>
        </w:tc>
      </w:tr>
      <w:tr>
        <w:trPr>
          <w:trHeight w:val="289"/>
        </w:trPr>
        <w:tc>
          <w:tcPr>
            <w:tcW w:w="820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4,792</w:t>
            </w:r>
          </w:p>
        </w:tc>
        <w:tc>
          <w:tcPr>
            <w:tcW w:w="0" w:type="dxa"/>
            <w:vAlign w:val="bottom"/>
          </w:tcPr>
          <w:p>
            <w:pPr>
              <w:spacing w:after="0"/>
              <w:rPr>
                <w:sz w:val="1"/>
                <w:szCs w:val="1"/>
                <w:color w:val="auto"/>
              </w:rPr>
            </w:pPr>
          </w:p>
        </w:tc>
      </w:tr>
      <w:tr>
        <w:trPr>
          <w:trHeight w:val="202"/>
        </w:trPr>
        <w:tc>
          <w:tcPr>
            <w:tcW w:w="8200" w:type="dxa"/>
            <w:vAlign w:val="bottom"/>
          </w:tcPr>
          <w:p>
            <w:pPr>
              <w:ind w:left="1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13,603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14,396</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207"/>
        </w:trPr>
        <w:tc>
          <w:tcPr>
            <w:tcW w:w="8200" w:type="dxa"/>
            <w:vAlign w:val="bottom"/>
          </w:tcPr>
          <w:p>
            <w:pPr>
              <w:ind w:left="1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4"/>
        </w:trPr>
        <w:tc>
          <w:tcPr>
            <w:tcW w:w="8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21,835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22,252</w:t>
            </w:r>
          </w:p>
        </w:tc>
        <w:tc>
          <w:tcPr>
            <w:tcW w:w="0" w:type="dxa"/>
            <w:vAlign w:val="bottom"/>
          </w:tcPr>
          <w:p>
            <w:pPr>
              <w:spacing w:after="0"/>
              <w:rPr>
                <w:sz w:val="1"/>
                <w:szCs w:val="1"/>
                <w:color w:val="auto"/>
              </w:rPr>
            </w:pPr>
          </w:p>
        </w:tc>
      </w:tr>
      <w:tr>
        <w:trPr>
          <w:trHeight w:val="181"/>
        </w:trPr>
        <w:tc>
          <w:tcPr>
            <w:tcW w:w="820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820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10"/>
        </w:trPr>
        <w:tc>
          <w:tcPr>
            <w:tcW w:w="8200" w:type="dxa"/>
            <w:vAlign w:val="bottom"/>
          </w:tcPr>
          <w:p>
            <w:pPr>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6,607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6,622</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4"/>
        </w:trPr>
        <w:tc>
          <w:tcPr>
            <w:tcW w:w="8200" w:type="dxa"/>
            <w:vAlign w:val="bottom"/>
          </w:tcPr>
          <w:p>
            <w:pPr>
              <w:ind w:left="120"/>
              <w:spacing w:after="0"/>
              <w:rPr>
                <w:sz w:val="20"/>
                <w:szCs w:val="20"/>
                <w:color w:val="auto"/>
              </w:rPr>
            </w:pPr>
            <w:r>
              <w:rPr>
                <w:rFonts w:ascii="Arial" w:cs="Arial" w:eastAsia="Arial" w:hAnsi="Arial"/>
                <w:sz w:val="14"/>
                <w:szCs w:val="14"/>
                <w:color w:val="auto"/>
              </w:rPr>
              <w:t>Treasury stock, at cost—102 shares, in each period</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(10,753)</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204"/>
        </w:trPr>
        <w:tc>
          <w:tcPr>
            <w:tcW w:w="820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199"/>
        </w:trPr>
        <w:tc>
          <w:tcPr>
            <w:tcW w:w="8200" w:type="dxa"/>
            <w:vAlign w:val="bottom"/>
          </w:tcPr>
          <w:p>
            <w:pPr>
              <w:spacing w:after="0"/>
              <w:rPr>
                <w:sz w:val="20"/>
                <w:szCs w:val="20"/>
                <w:color w:val="auto"/>
              </w:rPr>
            </w:pPr>
            <w:r>
              <w:rPr>
                <w:rFonts w:ascii="Arial" w:cs="Arial" w:eastAsia="Arial" w:hAnsi="Arial"/>
                <w:sz w:val="14"/>
                <w:szCs w:val="14"/>
                <w:b w:val="1"/>
                <w:bCs w:val="1"/>
                <w:color w:val="auto"/>
              </w:rPr>
              <w:t>Total liabilities, redeemable non-controlling interests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31,257</w:t>
            </w:r>
          </w:p>
        </w:tc>
        <w:tc>
          <w:tcPr>
            <w:tcW w:w="0" w:type="dxa"/>
            <w:vAlign w:val="bottom"/>
          </w:tcPr>
          <w:p>
            <w:pPr>
              <w:spacing w:after="0"/>
              <w:rPr>
                <w:sz w:val="1"/>
                <w:szCs w:val="1"/>
                <w:color w:val="auto"/>
              </w:rPr>
            </w:pPr>
          </w:p>
        </w:tc>
      </w:tr>
      <w:tr>
        <w:trPr>
          <w:trHeight w:val="25"/>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related reserves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CONDENSED CONSOLIDATED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borrowings (original maturities greater than three months)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borrowings (original maturities greater than three months)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Earnings</w:t>
            </w: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2025</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6,622</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1,139</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(10,753)</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(3,129)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(3,116)</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(281)</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March 31, 2026</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6,607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856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(10,743)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(3,402)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6,620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(210)</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(10,767)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(2,327)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(2,317)</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(504)</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(505)</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(496)</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March 31, 2025</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6,612</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1,524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(10,757)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(2,822)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(2,811)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44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20" w:type="dxa"/>
            <w:vAlign w:val="bottom"/>
            <w:gridSpan w:val="14"/>
          </w:tcPr>
          <w:p>
            <w:pPr>
              <w:jc w:val="center"/>
              <w:ind w:right="80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6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9"/>
              </w:rPr>
              <w:t>(Unaudited)</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6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460" w:type="dxa"/>
            <w:vAlign w:val="bottom"/>
            <w:gridSpan w:val="2"/>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1</w:t>
            </w:r>
          </w:p>
        </w:tc>
        <w:tc>
          <w:tcPr>
            <w:tcW w:w="680" w:type="dxa"/>
            <w:vAlign w:val="bottom"/>
            <w:gridSpan w:val="3"/>
          </w:tcPr>
          <w:p>
            <w:pPr>
              <w:spacing w:after="0"/>
              <w:rPr>
                <w:sz w:val="24"/>
                <w:szCs w:val="24"/>
                <w:color w:val="auto"/>
              </w:rPr>
            </w:pPr>
          </w:p>
        </w:tc>
        <w:tc>
          <w:tcPr>
            <w:tcW w:w="17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Basis of Presentation</w:t>
            </w:r>
          </w:p>
        </w:tc>
        <w:tc>
          <w:tcPr>
            <w:tcW w:w="648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10</w:t>
            </w: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680" w:type="dxa"/>
            <w:vAlign w:val="bottom"/>
            <w:gridSpan w:val="3"/>
          </w:tcPr>
          <w:p>
            <w:pPr>
              <w:spacing w:after="0"/>
              <w:rPr>
                <w:sz w:val="24"/>
                <w:szCs w:val="24"/>
                <w:color w:val="auto"/>
              </w:rPr>
            </w:pPr>
          </w:p>
        </w:tc>
        <w:tc>
          <w:tcPr>
            <w:tcW w:w="8200" w:type="dxa"/>
            <w:vAlign w:val="bottom"/>
            <w:gridSpan w:val="19"/>
          </w:tcPr>
          <w:p>
            <w:pPr>
              <w:spacing w:after="0"/>
              <w:rPr>
                <w:sz w:val="20"/>
                <w:szCs w:val="20"/>
                <w:color w:val="auto"/>
              </w:rPr>
            </w:pPr>
            <w:r>
              <w:rPr>
                <w:rFonts w:ascii="Arial" w:cs="Arial" w:eastAsia="Arial" w:hAnsi="Arial"/>
                <w:sz w:val="18"/>
                <w:szCs w:val="18"/>
                <w:color w:val="0000FF"/>
              </w:rPr>
              <w:t>Leases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3</w:t>
            </w:r>
          </w:p>
        </w:tc>
        <w:tc>
          <w:tcPr>
            <w:tcW w:w="680" w:type="dxa"/>
            <w:vAlign w:val="bottom"/>
            <w:gridSpan w:val="3"/>
          </w:tcPr>
          <w:p>
            <w:pPr>
              <w:spacing w:after="0"/>
              <w:rPr>
                <w:sz w:val="24"/>
                <w:szCs w:val="24"/>
                <w:color w:val="auto"/>
              </w:rPr>
            </w:pPr>
          </w:p>
        </w:tc>
        <w:tc>
          <w:tcPr>
            <w:tcW w:w="8200" w:type="dxa"/>
            <w:vAlign w:val="bottom"/>
            <w:gridSpan w:val="19"/>
          </w:tcPr>
          <w:p>
            <w:pPr>
              <w:spacing w:after="0"/>
              <w:rPr>
                <w:sz w:val="20"/>
                <w:szCs w:val="20"/>
                <w:color w:val="auto"/>
              </w:rPr>
            </w:pPr>
            <w:r>
              <w:rPr>
                <w:rFonts w:ascii="Arial" w:cs="Arial" w:eastAsia="Arial" w:hAnsi="Arial"/>
                <w:sz w:val="18"/>
                <w:szCs w:val="18"/>
                <w:color w:val="0000FF"/>
              </w:rPr>
              <w:t>Restructuring and Other Related Charges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15</w:t>
            </w:r>
          </w:p>
        </w:tc>
      </w:tr>
      <w:tr>
        <w:trPr>
          <w:trHeight w:val="372"/>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80" w:type="dxa"/>
            <w:vAlign w:val="bottom"/>
            <w:tcBorders>
              <w:bottom w:val="single" w:sz="8" w:color="0000FF"/>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5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Earnings Per Share</w:t>
            </w:r>
          </w:p>
        </w:tc>
        <w:tc>
          <w:tcPr>
            <w:tcW w:w="1740" w:type="dxa"/>
            <w:vAlign w:val="bottom"/>
            <w:tcBorders>
              <w:top w:val="single" w:sz="8" w:color="0000FF"/>
            </w:tcBorders>
            <w:gridSpan w:val="9"/>
          </w:tcPr>
          <w:p>
            <w:pPr>
              <w:spacing w:after="0"/>
              <w:rPr>
                <w:sz w:val="24"/>
                <w:szCs w:val="24"/>
                <w:color w:val="auto"/>
              </w:rPr>
            </w:pPr>
          </w:p>
        </w:tc>
        <w:tc>
          <w:tcPr>
            <w:tcW w:w="4880" w:type="dxa"/>
            <w:vAlign w:val="bottom"/>
            <w:gridSpan w:val="4"/>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16</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680" w:type="dxa"/>
            <w:vAlign w:val="bottom"/>
            <w:gridSpan w:val="3"/>
          </w:tcPr>
          <w:p>
            <w:pPr>
              <w:spacing w:after="0"/>
              <w:rPr>
                <w:sz w:val="24"/>
                <w:szCs w:val="24"/>
                <w:color w:val="auto"/>
              </w:rPr>
            </w:pPr>
          </w:p>
        </w:tc>
        <w:tc>
          <w:tcPr>
            <w:tcW w:w="17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Other Current Assets</w:t>
            </w:r>
          </w:p>
        </w:tc>
        <w:tc>
          <w:tcPr>
            <w:tcW w:w="6500" w:type="dxa"/>
            <w:vAlign w:val="bottom"/>
            <w:gridSpan w:val="10"/>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16</w:t>
            </w: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6</w:t>
            </w:r>
          </w:p>
        </w:tc>
        <w:tc>
          <w:tcPr>
            <w:tcW w:w="600" w:type="dxa"/>
            <w:vAlign w:val="bottom"/>
            <w:gridSpan w:val="2"/>
          </w:tcPr>
          <w:p>
            <w:pPr>
              <w:spacing w:after="0"/>
              <w:rPr>
                <w:sz w:val="24"/>
                <w:szCs w:val="24"/>
                <w:color w:val="auto"/>
              </w:rPr>
            </w:pPr>
          </w:p>
        </w:tc>
        <w:tc>
          <w:tcPr>
            <w:tcW w:w="8200" w:type="dxa"/>
            <w:vAlign w:val="bottom"/>
            <w:gridSpan w:val="19"/>
          </w:tcPr>
          <w:p>
            <w:pPr>
              <w:spacing w:after="0"/>
              <w:rPr>
                <w:sz w:val="20"/>
                <w:szCs w:val="20"/>
                <w:color w:val="auto"/>
              </w:rPr>
            </w:pPr>
            <w:r>
              <w:rPr>
                <w:rFonts w:ascii="Arial" w:cs="Arial" w:eastAsia="Arial" w:hAnsi="Arial"/>
                <w:sz w:val="18"/>
                <w:szCs w:val="18"/>
                <w:color w:val="0000FF"/>
              </w:rPr>
              <w:t>Acquisitions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7</w:t>
            </w: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Intangible Assets</w:t>
            </w:r>
          </w:p>
        </w:tc>
        <w:tc>
          <w:tcPr>
            <w:tcW w:w="6820" w:type="dxa"/>
            <w:vAlign w:val="bottom"/>
            <w:gridSpan w:val="14"/>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17</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680" w:type="dxa"/>
            <w:vAlign w:val="bottom"/>
            <w:gridSpan w:val="3"/>
          </w:tcPr>
          <w:p>
            <w:pPr>
              <w:spacing w:after="0"/>
              <w:rPr>
                <w:sz w:val="24"/>
                <w:szCs w:val="24"/>
                <w:color w:val="auto"/>
              </w:rPr>
            </w:pPr>
          </w:p>
        </w:tc>
        <w:tc>
          <w:tcPr>
            <w:tcW w:w="19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Vehicle Rental Activities</w:t>
            </w:r>
          </w:p>
        </w:tc>
        <w:tc>
          <w:tcPr>
            <w:tcW w:w="6280" w:type="dxa"/>
            <w:vAlign w:val="bottom"/>
            <w:gridSpan w:val="8"/>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17</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9</w:t>
            </w:r>
          </w:p>
        </w:tc>
        <w:tc>
          <w:tcPr>
            <w:tcW w:w="680" w:type="dxa"/>
            <w:vAlign w:val="bottom"/>
            <w:gridSpan w:val="3"/>
          </w:tcPr>
          <w:p>
            <w:pPr>
              <w:spacing w:after="0"/>
              <w:rPr>
                <w:sz w:val="24"/>
                <w:szCs w:val="24"/>
                <w:color w:val="auto"/>
              </w:rPr>
            </w:pPr>
          </w:p>
        </w:tc>
        <w:tc>
          <w:tcPr>
            <w:tcW w:w="1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Income Taxes</w:t>
            </w:r>
          </w:p>
        </w:tc>
        <w:tc>
          <w:tcPr>
            <w:tcW w:w="7080" w:type="dxa"/>
            <w:vAlign w:val="bottom"/>
            <w:gridSpan w:val="15"/>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18</w:t>
            </w:r>
          </w:p>
        </w:tc>
      </w:tr>
      <w:tr>
        <w:trPr>
          <w:trHeight w:val="37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10</w:t>
            </w:r>
          </w:p>
        </w:tc>
        <w:tc>
          <w:tcPr>
            <w:tcW w:w="580" w:type="dxa"/>
            <w:vAlign w:val="bottom"/>
          </w:tcPr>
          <w:p>
            <w:pPr>
              <w:spacing w:after="0"/>
              <w:rPr>
                <w:sz w:val="24"/>
                <w:szCs w:val="24"/>
                <w:color w:val="auto"/>
              </w:rPr>
            </w:pPr>
          </w:p>
        </w:tc>
        <w:tc>
          <w:tcPr>
            <w:tcW w:w="3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Accounts Payable and Other Current Liabilities</w:t>
            </w:r>
          </w:p>
        </w:tc>
        <w:tc>
          <w:tcPr>
            <w:tcW w:w="4460" w:type="dxa"/>
            <w:vAlign w:val="bottom"/>
            <w:gridSpan w:val="3"/>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18</w:t>
            </w:r>
          </w:p>
        </w:tc>
      </w:tr>
      <w:tr>
        <w:trPr>
          <w:trHeight w:val="372"/>
        </w:trPr>
        <w:tc>
          <w:tcPr>
            <w:tcW w:w="2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8"/>
                <w:szCs w:val="18"/>
                <w:color w:val="0000FF"/>
              </w:rPr>
              <w:t>Note 11</w:t>
            </w:r>
          </w:p>
        </w:tc>
        <w:tc>
          <w:tcPr>
            <w:tcW w:w="8200" w:type="dxa"/>
            <w:vAlign w:val="bottom"/>
            <w:gridSpan w:val="19"/>
          </w:tcPr>
          <w:p>
            <w:pPr>
              <w:spacing w:after="0"/>
              <w:rPr>
                <w:sz w:val="20"/>
                <w:szCs w:val="20"/>
                <w:color w:val="auto"/>
              </w:rPr>
            </w:pPr>
            <w:r>
              <w:rPr>
                <w:rFonts w:ascii="Arial" w:cs="Arial" w:eastAsia="Arial" w:hAnsi="Arial"/>
                <w:sz w:val="18"/>
                <w:szCs w:val="18"/>
                <w:color w:val="0000FF"/>
              </w:rPr>
              <w:t>Long-term Corporate Debt and Borrowing Arrangements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Note 12</w:t>
            </w:r>
          </w:p>
        </w:tc>
        <w:tc>
          <w:tcPr>
            <w:tcW w:w="47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Debt Under Vehicle Programs and Borrowing Arrangements</w:t>
            </w:r>
          </w:p>
        </w:tc>
        <w:tc>
          <w:tcPr>
            <w:tcW w:w="342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20</w:t>
            </w: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13</w:t>
            </w:r>
          </w:p>
        </w:tc>
        <w:tc>
          <w:tcPr>
            <w:tcW w:w="580" w:type="dxa"/>
            <w:vAlign w:val="bottom"/>
          </w:tcPr>
          <w:p>
            <w:pPr>
              <w:spacing w:after="0"/>
              <w:rPr>
                <w:sz w:val="24"/>
                <w:szCs w:val="24"/>
                <w:color w:val="auto"/>
              </w:rPr>
            </w:pPr>
          </w:p>
        </w:tc>
        <w:tc>
          <w:tcPr>
            <w:tcW w:w="26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Commitments and Contingencies</w:t>
            </w:r>
          </w:p>
        </w:tc>
        <w:tc>
          <w:tcPr>
            <w:tcW w:w="5540" w:type="dxa"/>
            <w:vAlign w:val="bottom"/>
            <w:gridSpan w:val="5"/>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22</w:t>
            </w:r>
          </w:p>
        </w:tc>
      </w:tr>
      <w:tr>
        <w:trPr>
          <w:trHeight w:val="371"/>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14</w:t>
            </w:r>
          </w:p>
        </w:tc>
        <w:tc>
          <w:tcPr>
            <w:tcW w:w="580" w:type="dxa"/>
            <w:vAlign w:val="bottom"/>
          </w:tcPr>
          <w:p>
            <w:pPr>
              <w:spacing w:after="0"/>
              <w:rPr>
                <w:sz w:val="24"/>
                <w:szCs w:val="24"/>
                <w:color w:val="auto"/>
              </w:rPr>
            </w:pPr>
          </w:p>
        </w:tc>
        <w:tc>
          <w:tcPr>
            <w:tcW w:w="8200" w:type="dxa"/>
            <w:vAlign w:val="bottom"/>
            <w:gridSpan w:val="19"/>
          </w:tcPr>
          <w:p>
            <w:pPr>
              <w:spacing w:after="0"/>
              <w:rPr>
                <w:sz w:val="20"/>
                <w:szCs w:val="20"/>
                <w:color w:val="auto"/>
              </w:rPr>
            </w:pPr>
            <w:r>
              <w:rPr>
                <w:rFonts w:ascii="Arial" w:cs="Arial" w:eastAsia="Arial" w:hAnsi="Arial"/>
                <w:sz w:val="18"/>
                <w:szCs w:val="18"/>
                <w:color w:val="0000FF"/>
              </w:rPr>
              <w:t>Stockholders' Equity</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15</w:t>
            </w:r>
          </w:p>
        </w:tc>
        <w:tc>
          <w:tcPr>
            <w:tcW w:w="580" w:type="dxa"/>
            <w:vAlign w:val="bottom"/>
          </w:tcPr>
          <w:p>
            <w:pPr>
              <w:spacing w:after="0"/>
              <w:rPr>
                <w:sz w:val="24"/>
                <w:szCs w:val="24"/>
                <w:color w:val="auto"/>
              </w:rPr>
            </w:pPr>
          </w:p>
        </w:tc>
        <w:tc>
          <w:tcPr>
            <w:tcW w:w="8200" w:type="dxa"/>
            <w:vAlign w:val="bottom"/>
            <w:gridSpan w:val="19"/>
          </w:tcPr>
          <w:p>
            <w:pPr>
              <w:spacing w:after="0"/>
              <w:rPr>
                <w:sz w:val="20"/>
                <w:szCs w:val="20"/>
                <w:color w:val="auto"/>
              </w:rPr>
            </w:pPr>
            <w:r>
              <w:rPr>
                <w:rFonts w:ascii="Arial" w:cs="Arial" w:eastAsia="Arial" w:hAnsi="Arial"/>
                <w:sz w:val="18"/>
                <w:szCs w:val="18"/>
                <w:color w:val="0000FF"/>
              </w:rPr>
              <w:t>Related Party Transactions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16</w:t>
            </w:r>
          </w:p>
        </w:tc>
        <w:tc>
          <w:tcPr>
            <w:tcW w:w="580" w:type="dxa"/>
            <w:vAlign w:val="bottom"/>
            <w:tcBorders>
              <w:bottom w:val="single" w:sz="8" w:color="0000FF"/>
            </w:tcBorders>
          </w:tcPr>
          <w:p>
            <w:pPr>
              <w:spacing w:after="0"/>
              <w:rPr>
                <w:sz w:val="24"/>
                <w:szCs w:val="24"/>
                <w:color w:val="auto"/>
              </w:rPr>
            </w:pPr>
          </w:p>
        </w:tc>
        <w:tc>
          <w:tcPr>
            <w:tcW w:w="22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Stock-Based Compensation</w:t>
            </w:r>
          </w:p>
        </w:tc>
        <w:tc>
          <w:tcPr>
            <w:tcW w:w="5960" w:type="dxa"/>
            <w:vAlign w:val="bottom"/>
            <w:gridSpan w:val="6"/>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25</w:t>
            </w: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17</w:t>
            </w:r>
          </w:p>
        </w:tc>
        <w:tc>
          <w:tcPr>
            <w:tcW w:w="580" w:type="dxa"/>
            <w:vAlign w:val="bottom"/>
          </w:tcPr>
          <w:p>
            <w:pPr>
              <w:spacing w:after="0"/>
              <w:rPr>
                <w:sz w:val="24"/>
                <w:szCs w:val="24"/>
                <w:color w:val="auto"/>
              </w:rPr>
            </w:pPr>
          </w:p>
        </w:tc>
        <w:tc>
          <w:tcPr>
            <w:tcW w:w="17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Instruments</w:t>
            </w:r>
          </w:p>
        </w:tc>
        <w:tc>
          <w:tcPr>
            <w:tcW w:w="648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26</w:t>
            </w:r>
          </w:p>
        </w:tc>
      </w:tr>
      <w:tr>
        <w:trPr>
          <w:trHeight w:val="37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18</w:t>
            </w:r>
          </w:p>
        </w:tc>
        <w:tc>
          <w:tcPr>
            <w:tcW w:w="580" w:type="dxa"/>
            <w:vAlign w:val="bottom"/>
          </w:tcPr>
          <w:p>
            <w:pPr>
              <w:spacing w:after="0"/>
              <w:rPr>
                <w:sz w:val="24"/>
                <w:szCs w:val="24"/>
                <w:color w:val="auto"/>
              </w:rPr>
            </w:pP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Segment Information</w:t>
            </w:r>
          </w:p>
        </w:tc>
        <w:tc>
          <w:tcPr>
            <w:tcW w:w="6520" w:type="dxa"/>
            <w:vAlign w:val="bottom"/>
            <w:gridSpan w:val="11"/>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400" w:hanging="34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Condensed Consolidated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Condensed Consolidated Financial Statements from the dates of acquisition. We consolidate joint venture activities when we have a controlling interest and record non-controlling interests within stockholders’ equity, temporary equity and the statement of comprehensive income equal to the percentage of ownership interest retained in such entities by the respective non-controlling party. Intercompany transactions have been eliminated in consolidation.</w:t>
      </w:r>
    </w:p>
    <w:p>
      <w:pPr>
        <w:spacing w:after="0" w:line="206"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presenting the Condensed Consolidated Financial Statements in accordance with accounting principles generally accepted in the United States of America (“GAAP”), management makes estimates and assumptions that may affect the amounts reported and related disclosures. Estimates, by their nature, are based on judgment and available information. Accordingly, actual results could differ from those estimates. In management’s opinion, the Condensed Consolidated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2025 Annual Report on Form 10-K (the “2025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2025 Form 10-K.</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Condensed Consolidated Balance Sheets to the amounts shown in the Condensed Consolidated Statements of Cash Flows.</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5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March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Currency gains and losses resulting from foreign currency transactions are generally included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within the Condensed Consolidated Statements of Comprehensive Income; however, the net gain or loss of currency transactions on intercompany loans and the unrealized gain or loss on intercompany loan hedges are included within interest expense related to corporate debt, net.</w:t>
      </w:r>
    </w:p>
    <w:p>
      <w:pPr>
        <w:spacing w:after="0" w:line="12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i w:val="1"/>
          <w:iCs w:val="1"/>
          <w:color w:val="auto"/>
        </w:rPr>
        <w:t xml:space="preserve">Variable Interest Entities (“VIE”) and Non-Controlling Interests. </w:t>
      </w:r>
      <w:r>
        <w:rPr>
          <w:rFonts w:ascii="Arial" w:cs="Arial" w:eastAsia="Arial" w:hAnsi="Arial"/>
          <w:sz w:val="18"/>
          <w:szCs w:val="18"/>
          <w:color w:val="auto"/>
        </w:rPr>
        <w:t>We review our investments to determine if they are VIEs. A VIE is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in which either (i) the equity 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Entities that are determined to be VIEs are consolidated if we are the primary beneficiary of the entity. 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We account for VIEs where we are not the primary beneficiary under the equity method.</w:t>
      </w:r>
    </w:p>
    <w:p>
      <w:pPr>
        <w:spacing w:after="0" w:line="21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former subsidiary, Avis Mobility Ventures LLC (“AMV”), is a VIE. We lack the ability to direct the significant activities of AMV and are not its primary beneficiary. As such, we account for AMV under the equity method. See Note 15 – Related Party Transactions for our VIE investment in our former subsidiary.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Interpace Ventures Transaction</w:t>
      </w:r>
    </w:p>
    <w:p>
      <w:pPr>
        <w:spacing w:after="0" w:line="25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On September 30, 2025, we received a contribution of $12 million from a non-controlling interest party (Class A Member) in exchange for approximately 17% in a new joint venture establishing Interpace Ventures LLC (“Interpace Ventures”). On December 30, 2025, we completed the joint venture transaction and Interpace Ventures subsequently funded its wholly-owned subsidiary, Interpace Funding LLC (“Interpace Funding”), with the total contribution from both its Class A members, the third-party investors in the amount of $183 million, and the Company, as the Class B member. Interpace Funding was established to acquire, own, operate, manage, lease, and sell vehicles. This transaction was undertaken as part of our efforts to monetize a portion of our available tax credits. Additionally, in conjunction with this transaction, we reviewed our fleet strategy, specific to certain United States EV rental car vehicles, and as a result shortened the useful life associated with such vehicles.</w:t>
      </w:r>
    </w:p>
    <w:p>
      <w:pPr>
        <w:spacing w:after="0" w:line="21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consolidate joint venture activities when we have a controlling financial interest. We determined that Interpace Ventures and its related subsidiaries are VIEs and that we are the primary beneficiary. In accordance with Accounting Standards Codification Topic 810-10, all entities created as a result of the Interpace Ventures transaction have been consolidated. Based on the substance of the transaction, the non-controlling interests are presented as temporary equity.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 has determined the allocation of economics between the controlling party and third-party investors should follow the hypothetical liquidation at book value (“HLBV”) method of accounting, based on governing provisions in each respective limited liability company agreement, instead of respective ownership percentages. Under the HLBV method, the amounts of income and loss attributable to the non-controlling interest reflects changes in the amount the owners would hypothetically receive at each balance sheet date under the respective liquidation provisions, assuming the net assets of these entities were liquidated at the recorded amounts, after taking into account any capital transactions, such as contributions and distributions, between the entities and the owners.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As specified in the respective limited liability company agreements, the Class A members’ interests are redeemable based upon events that are not solely within our control. As such, the non-controlling interests were classified as redeemable non-controlling interests of $120 million and $74 million and presented outside of permanent equity on the Condensed Consolidated Balance Sheets as of March 31, 2026 and December 31, 2025, respectively. See Note 14 – Stockholders' Equity for the components of redeemable non-controlling interests.</w:t>
      </w:r>
    </w:p>
    <w:p>
      <w:pPr>
        <w:spacing w:after="0" w:line="206" w:lineRule="exact"/>
        <w:rPr>
          <w:sz w:val="20"/>
          <w:szCs w:val="20"/>
          <w:color w:val="auto"/>
        </w:rPr>
      </w:pPr>
    </w:p>
    <w:p>
      <w:pPr>
        <w:jc w:val="both"/>
        <w:ind w:left="500"/>
        <w:spacing w:after="0" w:line="24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2026 and December 31, 2025, we had investments with a carrying value of $121 million and $130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recorded within other non-current assets on the Condensed Consolidated Balance Sheets. Aggregate realized gains and losses on equity method investments are recorded within operating expenses on the Condensed Consolidated Statements of Comprehensive Income. For the three months ended March 31, 2026 and 2025, we recorded net gains from our equity method investments of $1 million and $2 million, respectively. In January 2026, we received an $8 million dividend, and in December 2025, we purchased additional shares for $1 million, relating to our equity method investment in our Greece licensee. See Note 15 – Related Party Transactions for our equity method investment in our former subsidiary, AMV.</w:t>
      </w: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$46 million and $45 million during the three months ended March 31, 2026 and 2025, respectively.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48"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jc w:val="center"/>
        <w:ind w:left="7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7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1,962</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1,907</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7"/>
        </w:trPr>
        <w:tc>
          <w:tcPr>
            <w:tcW w:w="71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71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2,530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r>
      <w:tr>
        <w:trPr>
          <w:trHeight w:val="20"/>
        </w:trPr>
        <w:tc>
          <w:tcPr>
            <w:tcW w:w="7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48"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jc w:val="center"/>
        <w:ind w:left="7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Avis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1,428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1,372</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Budget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18"/>
        </w:trPr>
        <w:tc>
          <w:tcPr>
            <w:tcW w:w="716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0"/>
        </w:trPr>
        <w:tc>
          <w:tcPr>
            <w:tcW w:w="71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2,530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r>
      <w:tr>
        <w:trPr>
          <w:trHeight w:val="20"/>
        </w:trPr>
        <w:tc>
          <w:tcPr>
            <w:tcW w:w="7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Targeted Improvements to the Accounting for Internal-Use Software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which amends Topic 350 primarily to modernize the accounting for software costs. The amendments are effective for annual periods beginning after December 15, 2027, and interim periods within those annual periods. Early adoption is permitted as of the beginning of an annual period. A prospective, modified or retrospective transition approach is permitted. ASU 2025-06 becomes effective for us on an interim basis beginning on January 1, 2028. We are currently evaluating the impact of the adoption of this accounting pronouncement.</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Hedge Accounting Improvements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2025, the FASB issued ASU 2025-09, “Hedge Accounting Improvements,” which clarifies certain aspects of the guidance on hedge accounting and addresses several incremental hedge accounting issues arising from the global reference rate reform initiative. The amendments are effective for annual reporting periods beginning after December 15, 2026, and interim periods within those annual reporting periods, with early adoption permitted on a prospective basis. ASU 2025-09 becomes effective for us on an interim basis beginning on January 1, 2027. We are currently evaluating the impact of the adoption of this accounting pronouncement.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Narrow-Scope Improvements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December 2025, the FASB issued ASU 2025-11, “Narrow-Scope Improvements,” which clarifies interim disclosure requirements and the applicability of Topic 270. The amendments are effective for interim reporting periods within annual reporting periods beginning after December 15, 2027, with early adoption permitted on a prospective or retrospective basis. ASU 2025-11 becomes effective for us on an interim basis beginning on January 1, 2028. We are currently evaluating the impact of the adoption of this accounting pronouncement.</w:t>
      </w:r>
    </w:p>
    <w:p>
      <w:pPr>
        <w:spacing w:after="0" w:line="206" w:lineRule="exact"/>
        <w:rPr>
          <w:sz w:val="20"/>
          <w:szCs w:val="20"/>
          <w:color w:val="auto"/>
        </w:rPr>
      </w:pPr>
    </w:p>
    <w:p>
      <w:pPr>
        <w:jc w:val="right"/>
        <w:ind w:left="500" w:right="10160" w:hanging="442"/>
        <w:spacing w:after="0" w:line="563" w:lineRule="auto"/>
        <w:tabs>
          <w:tab w:leader="none" w:pos="41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our lease revenues disaggregated by geography:</w:t>
      </w:r>
    </w:p>
    <w:p>
      <w:pPr>
        <w:spacing w:after="0" w:line="48"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jc w:val="center"/>
        <w:ind w:left="7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1,941</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1,885</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7"/>
        </w:trPr>
        <w:tc>
          <w:tcPr>
            <w:tcW w:w="71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10"/>
        </w:trPr>
        <w:tc>
          <w:tcPr>
            <w:tcW w:w="71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2,484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r>
      <w:tr>
        <w:trPr>
          <w:trHeight w:val="20"/>
        </w:trPr>
        <w:tc>
          <w:tcPr>
            <w:tcW w:w="7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48"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jc w:val="center"/>
        <w:ind w:left="7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7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Avis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1,400</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Budget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218"/>
        </w:trPr>
        <w:tc>
          <w:tcPr>
            <w:tcW w:w="716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2,484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r>
      <w:tr>
        <w:trPr>
          <w:trHeight w:val="21"/>
        </w:trPr>
        <w:tc>
          <w:tcPr>
            <w:tcW w:w="7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9"/>
          <w:szCs w:val="9"/>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right-of-use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1240"/>
          </w:cols>
          <w:pgMar w:left="320" w:top="122" w:right="339" w:bottom="1440" w:gutter="0" w:footer="0" w:header="0"/>
        </w:sect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Property leases</w:t>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Operating lease expense</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Variable lease expense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Total property lease expense </w:t>
      </w:r>
      <w:r>
        <w:rPr>
          <w:rFonts w:ascii="Arial" w:cs="Arial" w:eastAsia="Arial" w:hAnsi="Arial"/>
          <w:sz w:val="21"/>
          <w:szCs w:val="21"/>
          <w:b w:val="1"/>
          <w:bCs w:val="1"/>
          <w:color w:val="auto"/>
          <w:vertAlign w:val="superscript"/>
        </w:rPr>
        <w:t>(a)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Three Months Ended</w:t>
      </w:r>
    </w:p>
    <w:p>
      <w:pPr>
        <w:jc w:val="center"/>
        <w:ind w:right="6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410"/>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7"/>
        </w:trPr>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63" w:lineRule="exact"/>
        <w:rPr>
          <w:sz w:val="20"/>
          <w:szCs w:val="20"/>
          <w:color w:val="auto"/>
        </w:rPr>
      </w:pPr>
    </w:p>
    <w:p>
      <w:pPr>
        <w:sectPr>
          <w:pgSz w:w="11900" w:h="16838" w:orient="portrait"/>
          <w:cols w:equalWidth="0" w:num="2">
            <w:col w:w="6980" w:space="720"/>
            <w:col w:w="3540"/>
          </w:cols>
          <w:pgMar w:left="320" w:top="122" w:right="339" w:bottom="1440" w:gutter="0" w:footer="0" w:header="0"/>
          <w:type w:val="continuous"/>
        </w:sectPr>
      </w:pP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52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5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580" w:type="dxa"/>
            <w:vAlign w:val="bottom"/>
            <w:vMerge w:val="restart"/>
          </w:tcPr>
          <w:p>
            <w:pPr>
              <w:spacing w:after="0"/>
              <w:rPr>
                <w:sz w:val="20"/>
                <w:szCs w:val="20"/>
                <w:color w:val="auto"/>
              </w:rPr>
            </w:pPr>
            <w:r>
              <w:rPr>
                <w:rFonts w:ascii="Arial" w:cs="Arial" w:eastAsia="Arial" w:hAnsi="Arial"/>
                <w:sz w:val="16"/>
                <w:szCs w:val="16"/>
                <w:b w:val="1"/>
                <w:bCs w:val="1"/>
                <w:color w:val="auto"/>
              </w:rPr>
              <w:t>Property leases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2"/>
        </w:trPr>
        <w:tc>
          <w:tcPr>
            <w:tcW w:w="6580" w:type="dxa"/>
            <w:vAlign w:val="bottom"/>
            <w:vMerge w:val="continue"/>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3,182</w:t>
            </w:r>
          </w:p>
        </w:tc>
        <w:tc>
          <w:tcPr>
            <w:tcW w:w="1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215"/>
        </w:trPr>
        <w:tc>
          <w:tcPr>
            <w:tcW w:w="658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658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10"/>
        </w:trPr>
        <w:tc>
          <w:tcPr>
            <w:tcW w:w="65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658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7.6 years</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 years</w:t>
            </w: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5.35 %</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Included within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8" w:lineRule="exact"/>
        <w:rPr>
          <w:sz w:val="20"/>
          <w:szCs w:val="20"/>
          <w:color w:val="auto"/>
        </w:rPr>
      </w:pPr>
    </w:p>
    <w:p>
      <w:pPr>
        <w:jc w:val="center"/>
        <w:ind w:left="6680"/>
        <w:spacing w:after="0"/>
        <w:rPr>
          <w:sz w:val="20"/>
          <w:szCs w:val="20"/>
          <w:color w:val="auto"/>
        </w:rPr>
      </w:pPr>
      <w:r>
        <w:rPr>
          <w:rFonts w:ascii="Arial" w:cs="Arial" w:eastAsia="Arial" w:hAnsi="Arial"/>
          <w:sz w:val="16"/>
          <w:szCs w:val="16"/>
          <w:b w:val="1"/>
          <w:bCs w:val="1"/>
          <w:color w:val="auto"/>
        </w:rPr>
        <w:t>Three Months Ended</w:t>
      </w:r>
    </w:p>
    <w:p>
      <w:pPr>
        <w:jc w:val="center"/>
        <w:ind w:left="67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Cash payments for lease liabilities within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6"/>
                <w:szCs w:val="16"/>
                <w:b w:val="1"/>
                <w:bCs w:val="1"/>
                <w:color w:val="auto"/>
              </w:rPr>
              <w:t>Non-cash activities - increase in right-of-use assets in exchange for lease liabilities: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400" w:hanging="34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$24 million related to this initiative to be incurred this year.</w:t>
      </w:r>
    </w:p>
    <w:p>
      <w:pPr>
        <w:spacing w:after="0" w:line="19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our reportable segments for restructuring charges and corresponding payments and utilizations: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rPr>
              <w:t>Personnel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Facility Related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6"/>
                <w:szCs w:val="16"/>
                <w:color w:val="auto"/>
              </w:rPr>
            </w:pPr>
          </w:p>
        </w:tc>
        <w:tc>
          <w:tcPr>
            <w:tcW w:w="10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2026</w:t>
            </w:r>
          </w:p>
        </w:tc>
        <w:tc>
          <w:tcPr>
            <w:tcW w:w="18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rPr>
              <w:t>Related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center"/>
              <w:ind w:left="699"/>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center"/>
              <w:ind w:left="57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0" w:type="dxa"/>
            <w:vAlign w:val="bottom"/>
          </w:tcPr>
          <w:p>
            <w:pPr>
              <w:spacing w:after="0"/>
              <w:rPr>
                <w:sz w:val="24"/>
                <w:szCs w:val="24"/>
                <w:color w:val="auto"/>
              </w:rPr>
            </w:pPr>
          </w:p>
        </w:tc>
        <w:tc>
          <w:tcPr>
            <w:tcW w:w="4560" w:type="dxa"/>
            <w:vAlign w:val="bottom"/>
          </w:tcPr>
          <w:p>
            <w:pPr>
              <w:ind w:left="100"/>
              <w:spacing w:after="0"/>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1120" w:type="dxa"/>
            <w:vAlign w:val="bottom"/>
          </w:tcPr>
          <w:p>
            <w:pPr>
              <w:jc w:val="center"/>
              <w:ind w:left="699"/>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center"/>
              <w:ind w:left="57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20" w:type="dxa"/>
            <w:vAlign w:val="bottom"/>
          </w:tcPr>
          <w:p>
            <w:pPr>
              <w:spacing w:after="0"/>
              <w:rPr>
                <w:sz w:val="24"/>
                <w:szCs w:val="24"/>
                <w:color w:val="auto"/>
              </w:rPr>
            </w:pPr>
          </w:p>
        </w:tc>
        <w:tc>
          <w:tcPr>
            <w:tcW w:w="4560" w:type="dxa"/>
            <w:vAlign w:val="bottom"/>
          </w:tcPr>
          <w:p>
            <w:pPr>
              <w:ind w:left="100"/>
              <w:spacing w:after="0"/>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1120" w:type="dxa"/>
            <w:vAlign w:val="bottom"/>
          </w:tcPr>
          <w:p>
            <w:pPr>
              <w:jc w:val="center"/>
              <w:ind w:left="679"/>
              <w:spacing w:after="0"/>
              <w:rPr>
                <w:sz w:val="20"/>
                <w:szCs w:val="20"/>
                <w:color w:val="auto"/>
              </w:rPr>
            </w:pPr>
            <w:r>
              <w:rPr>
                <w:rFonts w:ascii="Arial" w:cs="Arial" w:eastAsia="Arial" w:hAnsi="Arial"/>
                <w:sz w:val="16"/>
                <w:szCs w:val="16"/>
                <w:color w:val="auto"/>
                <w:w w:val="98"/>
              </w:rPr>
              <w:t>(14)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center"/>
              <w:ind w:left="57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
        </w:trPr>
        <w:tc>
          <w:tcPr>
            <w:tcW w:w="4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Balance as of March 31, 2026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center"/>
              <w:ind w:left="699"/>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center"/>
              <w:ind w:left="5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20"/>
                <w:szCs w:val="20"/>
                <w:color w:val="auto"/>
              </w:rPr>
            </w:pPr>
            <w:r>
              <w:rPr>
                <w:rFonts w:ascii="Arial" w:cs="Arial" w:eastAsia="Arial" w:hAnsi="Arial"/>
                <w:sz w:val="9"/>
                <w:szCs w:val="9"/>
                <w:color w:val="auto"/>
                <w:w w:val="90"/>
              </w:rPr>
              <w:t>(a)</w:t>
            </w:r>
          </w:p>
        </w:tc>
        <w:tc>
          <w:tcPr>
            <w:tcW w:w="4560" w:type="dxa"/>
            <w:vAlign w:val="bottom"/>
            <w:vMerge w:val="restart"/>
          </w:tcPr>
          <w:p>
            <w:pPr>
              <w:ind w:left="200"/>
              <w:spacing w:after="0"/>
              <w:rPr>
                <w:sz w:val="20"/>
                <w:szCs w:val="20"/>
                <w:color w:val="auto"/>
              </w:rPr>
            </w:pPr>
            <w:r>
              <w:rPr>
                <w:rFonts w:ascii="Arial" w:cs="Arial" w:eastAsia="Arial" w:hAnsi="Arial"/>
                <w:sz w:val="14"/>
                <w:szCs w:val="14"/>
                <w:color w:val="auto"/>
              </w:rPr>
              <w:t>Other includes the disposition of vehicles.</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1"/>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2026</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Americas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International</w:t>
            </w:r>
          </w:p>
        </w:tc>
        <w:tc>
          <w:tcPr>
            <w:tcW w:w="28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center"/>
              <w:ind w:left="57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left="57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left="57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96"/>
        </w:trPr>
        <w:tc>
          <w:tcPr>
            <w:tcW w:w="46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gridSpan w:val="3"/>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Balance as of March 31, 2026</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center"/>
              <w:ind w:left="5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February 2025, we announced that Joseph A. Ferraro, President and Chief Executive Officer, would transition to a Board Advisor role effective June 30, 2025. In connection with Mr. Ferraro’s departure, we recorded minimal other related charges for the three months ended March 31, 2026, and expect further expense of less than $1 million to be incurred this year.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first quarter of 2026, our Americas segment offered a voluntary termination program to certain employees in field operations and general and administrative functions for a limited time. These employees, if qualified, elected resignation from employment in return for enhanced severance benefits to be settled in cash. For the three months ended March 31, 2026, we recorded other related charges of approximately $7 million in connection with the LVOP. As of March 31, 2026, approximately 200 employees elected to participate in the plan and the participants have been terminated.</w:t>
      </w:r>
    </w:p>
    <w:p>
      <w:pPr>
        <w:spacing w:after="0" w:line="206" w:lineRule="exact"/>
        <w:rPr>
          <w:sz w:val="20"/>
          <w:szCs w:val="20"/>
          <w:color w:val="auto"/>
        </w:rPr>
      </w:pPr>
    </w:p>
    <w:p>
      <w:pPr>
        <w:ind w:left="400" w:hanging="34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loss per share (“EPS”) (shares in millions):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7660" w:type="dxa"/>
            <w:vAlign w:val="bottom"/>
          </w:tcPr>
          <w:p>
            <w:pPr>
              <w:spacing w:after="0"/>
              <w:rPr>
                <w:sz w:val="18"/>
                <w:szCs w:val="18"/>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r>
      <w:tr>
        <w:trPr>
          <w:trHeight w:val="208"/>
        </w:trPr>
        <w:tc>
          <w:tcPr>
            <w:tcW w:w="7660" w:type="dxa"/>
            <w:vAlign w:val="bottom"/>
          </w:tcPr>
          <w:p>
            <w:pPr>
              <w:spacing w:after="0"/>
              <w:rPr>
                <w:sz w:val="20"/>
                <w:szCs w:val="20"/>
                <w:color w:val="auto"/>
              </w:rPr>
            </w:pPr>
            <w:r>
              <w:rPr>
                <w:rFonts w:ascii="Arial" w:cs="Arial" w:eastAsia="Arial" w:hAnsi="Arial"/>
                <w:sz w:val="16"/>
                <w:szCs w:val="16"/>
                <w:color w:val="auto"/>
              </w:rPr>
              <w:t>Net loss attributable to Avis Budget Group, Inc. for basic and diluted EPS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364"/>
        </w:trPr>
        <w:tc>
          <w:tcPr>
            <w:tcW w:w="766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87"/>
        </w:trPr>
        <w:tc>
          <w:tcPr>
            <w:tcW w:w="7660" w:type="dxa"/>
            <w:vAlign w:val="bottom"/>
          </w:tcPr>
          <w:p>
            <w:pPr>
              <w:spacing w:after="0"/>
              <w:rPr>
                <w:sz w:val="20"/>
                <w:szCs w:val="20"/>
                <w:color w:val="auto"/>
              </w:rPr>
            </w:pPr>
            <w:r>
              <w:rPr>
                <w:rFonts w:ascii="Arial" w:cs="Arial" w:eastAsia="Arial" w:hAnsi="Arial"/>
                <w:sz w:val="16"/>
                <w:szCs w:val="16"/>
                <w:color w:val="auto"/>
              </w:rPr>
              <w:t xml:space="preserve">Diluted weighted average shares outstanding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95"/>
        </w:trPr>
        <w:tc>
          <w:tcPr>
            <w:tcW w:w="7660" w:type="dxa"/>
            <w:vAlign w:val="bottom"/>
          </w:tcPr>
          <w:p>
            <w:pPr>
              <w:spacing w:after="0"/>
              <w:rPr>
                <w:sz w:val="20"/>
                <w:szCs w:val="20"/>
                <w:color w:val="auto"/>
              </w:rPr>
            </w:pPr>
            <w:r>
              <w:rPr>
                <w:rFonts w:ascii="Arial" w:cs="Arial" w:eastAsia="Arial" w:hAnsi="Arial"/>
                <w:sz w:val="16"/>
                <w:szCs w:val="16"/>
                <w:b w:val="1"/>
                <w:bCs w:val="1"/>
                <w:color w:val="auto"/>
              </w:rPr>
              <w:t>Loss per share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5"/>
        </w:trPr>
        <w:tc>
          <w:tcPr>
            <w:tcW w:w="7660" w:type="dxa"/>
            <w:vAlign w:val="bottom"/>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87"/>
        </w:trPr>
        <w:tc>
          <w:tcPr>
            <w:tcW w:w="7660" w:type="dxa"/>
            <w:vAlign w:val="bottom"/>
          </w:tcPr>
          <w:p>
            <w:pPr>
              <w:ind w:left="8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(b)</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(14.35)</w:t>
            </w:r>
          </w:p>
        </w:tc>
      </w:tr>
    </w:tbl>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8" w:lineRule="auto"/>
        <w:tabs>
          <w:tab w:leader="none" w:pos="813"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2026 and 2025, our number of diluted weighted average shares outstanding excludes the effect of non-vested stock as the effect would have been anti-dilutive. This occurs when a net loss is reported and the effect of using dilutive shares would be anti-dilutive. For the three months ended March 31, 2026 and 2025, 0.4 million and 0.5 million non-vested stock awards have an anti-dilutive effect and therefore have been excluded from the computation of diluted weighted average shares outstanding.</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Diluted loss per share was computed using the treasury stock method for non-vested stock.</w:t>
      </w:r>
    </w:p>
    <w:p>
      <w:pPr>
        <w:spacing w:after="0" w:line="232"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20" w:type="dxa"/>
            <w:vAlign w:val="bottom"/>
          </w:tcPr>
          <w:p>
            <w:pPr>
              <w:jc w:val="center"/>
              <w:ind w:left="299"/>
              <w:spacing w:after="0"/>
              <w:rPr>
                <w:sz w:val="20"/>
                <w:szCs w:val="20"/>
                <w:color w:val="auto"/>
              </w:rPr>
            </w:pPr>
            <w:r>
              <w:rPr>
                <w:rFonts w:ascii="Arial" w:cs="Arial" w:eastAsia="Arial" w:hAnsi="Arial"/>
                <w:sz w:val="16"/>
                <w:szCs w:val="16"/>
                <w:b w:val="1"/>
                <w:bCs w:val="1"/>
                <w:color w:val="auto"/>
                <w:w w:val="99"/>
              </w:rPr>
              <w:t>As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1220" w:type="dxa"/>
            <w:vAlign w:val="bottom"/>
          </w:tcPr>
          <w:p>
            <w:pPr>
              <w:jc w:val="center"/>
              <w:ind w:left="29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12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Sales and use taxes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6800" w:type="dxa"/>
            <w:vAlign w:val="bottom"/>
          </w:tcPr>
          <w:p>
            <w:pPr>
              <w:spacing w:after="0" w:line="217" w:lineRule="exact"/>
              <w:rPr>
                <w:sz w:val="20"/>
                <w:szCs w:val="20"/>
                <w:color w:val="auto"/>
              </w:rPr>
            </w:pPr>
            <w:r>
              <w:rPr>
                <w:rFonts w:ascii="Arial" w:cs="Arial" w:eastAsia="Arial" w:hAnsi="Arial"/>
                <w:sz w:val="16"/>
                <w:szCs w:val="16"/>
                <w:color w:val="auto"/>
              </w:rPr>
              <w:t xml:space="preserve">Prepaid expenses </w:t>
            </w:r>
            <w:r>
              <w:rPr>
                <w:rFonts w:ascii="Arial" w:cs="Arial" w:eastAsia="Arial" w:hAnsi="Arial"/>
                <w:sz w:val="21"/>
                <w:szCs w:val="21"/>
                <w:color w:val="auto"/>
                <w:vertAlign w:val="superscript"/>
              </w:rPr>
              <w:t>(a)</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Prepaid vehicle license and registration </w:t>
            </w:r>
            <w:r>
              <w:rPr>
                <w:rFonts w:ascii="Arial" w:cs="Arial" w:eastAsia="Arial" w:hAnsi="Arial"/>
                <w:sz w:val="21"/>
                <w:szCs w:val="21"/>
                <w:color w:val="auto"/>
                <w:vertAlign w:val="superscript"/>
              </w:rPr>
              <w:t>(a)</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Other current assets</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hanging="326"/>
        <w:spacing w:after="0" w:line="230" w:lineRule="auto"/>
        <w:tabs>
          <w:tab w:leader="none" w:pos="813" w:val="left"/>
        </w:tabs>
        <w:numPr>
          <w:ilvl w:val="1"/>
          <w:numId w:val="17"/>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balance, we reclassified $85 million of prepaid vehicle license and registration to conform to the current year presentation. This reclassification had no impact to other current assets.</w:t>
      </w:r>
    </w:p>
    <w:p>
      <w:pPr>
        <w:spacing w:after="0" w:line="232"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February 2026, we completed the acquisition of a licensee in North America for approximately $47 million, plus approximately $1 million in acquired fleet, with approximately $31 million remaining to be paid through March 2027. This investment is in-line with our strategy to re-acquire licensees when advantageous to expand our footprint of Company-operated locations. In connection with this acquisition, approximately $43 million was recorded to other intangibles related to license agreements, which are being amortized over a weighted average useful life of approximately five years. The fair value of the assets acquired and liabilities assumed has not yet been finalized and is therefore subject to change.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7.</w:t>
        <w:tab/>
        <w:t>Intangible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As of March 31, 2026</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2025</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For the three months ended March 31, 2026 and 2025, amortization expense related to amortizable intangible assets was approximately $7 million and $6 million, respectively.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as of March 31, 2026, we expect amortization expense of approximately $23 million for the remainder of 2026, $24 million for 2027, $19 million for 2028, $16 million for 2029, $16 million for 2030 and $7 million for 2031, excluding effects of currency exchange rates.</w:t>
      </w:r>
    </w:p>
    <w:p>
      <w:pPr>
        <w:spacing w:after="0" w:line="198" w:lineRule="exact"/>
        <w:rPr>
          <w:sz w:val="20"/>
          <w:szCs w:val="20"/>
          <w:color w:val="auto"/>
        </w:rPr>
      </w:pPr>
    </w:p>
    <w:p>
      <w:pPr>
        <w:ind w:left="400" w:hanging="34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r>
      <w:tr>
        <w:trPr>
          <w:trHeight w:val="209"/>
        </w:trPr>
        <w:tc>
          <w:tcPr>
            <w:tcW w:w="6800" w:type="dxa"/>
            <w:vAlign w:val="bottom"/>
          </w:tcPr>
          <w:p>
            <w:pPr>
              <w:spacing w:after="0" w:line="209" w:lineRule="exact"/>
              <w:rPr>
                <w:sz w:val="20"/>
                <w:szCs w:val="20"/>
                <w:color w:val="auto"/>
              </w:rPr>
            </w:pPr>
            <w:r>
              <w:rPr>
                <w:rFonts w:ascii="Arial" w:cs="Arial" w:eastAsia="Arial" w:hAnsi="Arial"/>
                <w:sz w:val="16"/>
                <w:szCs w:val="16"/>
                <w:color w:val="auto"/>
              </w:rPr>
              <w:t xml:space="preserve">Rental vehicles </w:t>
            </w:r>
            <w:r>
              <w:rPr>
                <w:rFonts w:ascii="Arial" w:cs="Arial" w:eastAsia="Arial" w:hAnsi="Arial"/>
                <w:sz w:val="21"/>
                <w:szCs w:val="21"/>
                <w:color w:val="auto"/>
                <w:vertAlign w:val="superscript"/>
              </w:rPr>
              <w:t>(a)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20,204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21,011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r>
      <w:tr>
        <w:trPr>
          <w:trHeight w:val="209"/>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18,152</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(b)</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Vehicles,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18,720</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right="20" w:hanging="326"/>
        <w:spacing w:after="0" w:line="218" w:lineRule="auto"/>
        <w:tabs>
          <w:tab w:leader="none" w:pos="81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reflects long-lived asset impairment and other related charges, which reduced the carrying value of our rental vehicles to fair value.</w:t>
      </w:r>
    </w:p>
    <w:p>
      <w:pPr>
        <w:spacing w:after="0" w:line="1" w:lineRule="exact"/>
        <w:rPr>
          <w:rFonts w:ascii="Arial" w:cs="Arial" w:eastAsia="Arial" w:hAnsi="Arial"/>
          <w:sz w:val="19"/>
          <w:szCs w:val="19"/>
          <w:color w:val="auto"/>
          <w:vertAlign w:val="superscript"/>
        </w:rPr>
      </w:pPr>
    </w:p>
    <w:p>
      <w:pPr>
        <w:ind w:left="820" w:hanging="326"/>
        <w:spacing w:after="0"/>
        <w:tabs>
          <w:tab w:leader="none" w:pos="820" w:val="left"/>
        </w:tabs>
        <w:numPr>
          <w:ilvl w:val="0"/>
          <w:numId w:val="20"/>
        </w:numPr>
        <w:rPr>
          <w:rFonts w:ascii="Arial" w:cs="Arial" w:eastAsia="Arial" w:hAnsi="Arial"/>
          <w:sz w:val="9"/>
          <w:szCs w:val="9"/>
          <w:color w:val="auto"/>
        </w:rPr>
      </w:pPr>
      <w:r>
        <w:rPr>
          <w:rFonts w:ascii="Arial" w:cs="Arial" w:eastAsia="Arial" w:hAnsi="Arial"/>
          <w:sz w:val="14"/>
          <w:szCs w:val="14"/>
          <w:color w:val="auto"/>
        </w:rPr>
        <w:t>See Note 15 – Related Party Transactions.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48"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Three Months Ended</w:t>
      </w:r>
    </w:p>
    <w:p>
      <w:pPr>
        <w:jc w:val="center"/>
        <w:ind w:left="71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Depreciation expense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Lease charges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(Gain) loss on sale of vehicles, net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r>
      <w:tr>
        <w:trPr>
          <w:trHeight w:val="20"/>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2025, includes other fleet charges of $390 million related to the disposal of certain fleet in our Americas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March 31, 2026 and 2025, we had payables related to vehicle purchases included in liabilities under vehicle programs - other of $649 million and $449 million, respectively, and receivables related to vehicle sales included in assets under vehicle programs - receivables from vehicle manufacturers and other of $417 million and $231 million, respectively.</w:t>
      </w:r>
    </w:p>
    <w:p>
      <w:pPr>
        <w:spacing w:after="0" w:line="198" w:lineRule="exact"/>
        <w:rPr>
          <w:sz w:val="20"/>
          <w:szCs w:val="20"/>
          <w:color w:val="auto"/>
        </w:rPr>
      </w:pPr>
    </w:p>
    <w:p>
      <w:pPr>
        <w:ind w:left="400" w:hanging="342"/>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effective tax rate for the three months ended March 31, 2026 was a benefit of 31.2%. Such rate differed from the Federal Statutory rate of 21.0% primarily due to foreign income inclusions and foreign taxes associated with our International operations, as well as state taxes.</w:t>
      </w:r>
    </w:p>
    <w:p>
      <w:pPr>
        <w:spacing w:after="0" w:line="19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Our effective tax rate for the three months ended March 31, 2025 was a benefit of 25.6%. Such rate differed from the Federal Statutory rate of 21.0% primarily due to foreign taxes on our International operations and state taxes.</w:t>
      </w:r>
    </w:p>
    <w:p>
      <w:pPr>
        <w:spacing w:after="0" w:line="18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July 2025, the One Big Beautiful Bill Act (“OBBBA”) was enacted, making permanent key provisions of the Tax Cuts and Jobs Act, including full expensing on qualified property, and modifications to the business interest expense limitation, as well as introducing phased-in modifications to certain foreign income inclusion provisions effective in 2026 and future periods. As a result of the enactment of OBBBA, our deferred tax balances as of March 31, 2026 reflect the new law. In addition, these phased-in provisions impacted our income tax expense and effective tax rate for the three months ended March 31, 2026; however, the overall impact on our condensed consolidated results of operations was not significant.</w:t>
      </w:r>
    </w:p>
    <w:p>
      <w:pPr>
        <w:spacing w:after="0" w:line="20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continue to monitor the implementation of the Organisation for Economic Cooperation and Development (“OECD”) Pillar Two global minimum tax framework, including recent administrative guidance; however, it did not have a material impact on our condensed consolidated financial statements for the three months ended March 31, 2026.</w:t>
      </w:r>
    </w:p>
    <w:p>
      <w:pPr>
        <w:spacing w:after="0" w:line="198"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b w:val="1"/>
          <w:bCs w:val="1"/>
          <w:color w:val="auto"/>
        </w:rPr>
        <w:t>10.</w:t>
        <w:tab/>
        <w:t>Accounts Payable and Other Current Liabilities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7"/>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5660" w:hanging="442"/>
        <w:spacing w:after="0" w:line="442" w:lineRule="auto"/>
        <w:tabs>
          <w:tab w:leader="none" w:pos="48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280" w:type="dxa"/>
            <w:vAlign w:val="bottom"/>
          </w:tcPr>
          <w:p>
            <w:pPr>
              <w:spacing w:after="0"/>
              <w:rPr>
                <w:sz w:val="18"/>
                <w:szCs w:val="18"/>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2025</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5.750% Senior Notes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2027</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4.750%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5.375%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8.250%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2030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8.000%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June 2032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1,131</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6,073</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1"/>
        </w:trPr>
        <w:tc>
          <w:tcPr>
            <w:tcW w:w="5120" w:type="dxa"/>
            <w:vAlign w:val="bottom"/>
          </w:tcPr>
          <w:p>
            <w:pPr>
              <w:spacing w:after="0"/>
              <w:rPr>
                <w:sz w:val="20"/>
                <w:szCs w:val="20"/>
                <w:color w:val="auto"/>
              </w:rPr>
            </w:pPr>
            <w:r>
              <w:rPr>
                <w:rFonts w:ascii="Arial" w:cs="Arial" w:eastAsia="Arial" w:hAnsi="Arial"/>
                <w:sz w:val="16"/>
                <w:szCs w:val="16"/>
                <w:color w:val="auto"/>
              </w:rPr>
              <w:t>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w:t>
            </w:r>
          </w:p>
        </w:tc>
      </w:tr>
      <w:tr>
        <w:trPr>
          <w:trHeight w:val="21"/>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8" w:lineRule="auto"/>
        <w:tabs>
          <w:tab w:leader="none" w:pos="813"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2026, the floating rate term loan due 2032 bears interest at one-month Secured Overnight Financing Rate (“SOFR”) plus 2.50%, for an aggregate rate of 6.17%. We have entered into a swap to hedge $750 million of interest rate exposure related to the floating rate term loan at an aggregate rate of 4.01%.</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2026, the committed corporate credit facilities available to us and/or our subsidiaries were as follows:</w:t>
      </w:r>
    </w:p>
    <w:p>
      <w:pPr>
        <w:spacing w:after="0" w:line="3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Capacity</w:t>
            </w:r>
          </w:p>
        </w:tc>
        <w:tc>
          <w:tcPr>
            <w:tcW w:w="180" w:type="dxa"/>
            <w:vAlign w:val="bottom"/>
          </w:tcPr>
          <w:p>
            <w:pPr>
              <w:spacing w:after="0"/>
              <w:rPr>
                <w:sz w:val="18"/>
                <w:szCs w:val="18"/>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Borrowings</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20"/>
        </w:trPr>
        <w:tc>
          <w:tcPr>
            <w:tcW w:w="4240" w:type="dxa"/>
            <w:vAlign w:val="bottom"/>
          </w:tcPr>
          <w:p>
            <w:pPr>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jc w:val="both"/>
        <w:ind w:left="820" w:hanging="326"/>
        <w:spacing w:after="0" w:line="233" w:lineRule="auto"/>
        <w:tabs>
          <w:tab w:leader="none" w:pos="813"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2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March 31, 2026, we have other uncommitted standby letter of credit facilities (“SBLC facilities”) with an additional letter of credit capacity of up to $457 million. As of March 31, 2026, letters of credit totaling $457 million have been issued on our SBLC facilities, which results in no remaining available capacity.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March 31, 2026,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hanging="44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50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r>
      <w:tr>
        <w:trPr>
          <w:trHeight w:val="209"/>
        </w:trPr>
        <w:tc>
          <w:tcPr>
            <w:tcW w:w="680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13,653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14,447</w:t>
            </w: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(c)</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2,480</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(d)</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19,188</w:t>
            </w:r>
          </w:p>
        </w:tc>
      </w:tr>
      <w:tr>
        <w:trPr>
          <w:trHeight w:val="21"/>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approximately $736 million and $826 million of Class R notes as of March 31, 2026 and December 31, 2025, respectively, which are held by us.</w:t>
      </w:r>
    </w:p>
    <w:p>
      <w:pPr>
        <w:ind w:left="820" w:right="20" w:hanging="326"/>
        <w:spacing w:after="0" w:line="213" w:lineRule="auto"/>
        <w:tabs>
          <w:tab w:leader="none" w:pos="81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our Repurchase Facilities and $783 million and $965 million associated with the Interpace Ventures transaction as of March 31, 2026 and December 31, 2025, respectively. See Note 1 – Basis of Presentation.</w:t>
      </w:r>
    </w:p>
    <w:p>
      <w:pPr>
        <w:ind w:left="820" w:right="20" w:hanging="326"/>
        <w:spacing w:after="0" w:line="213" w:lineRule="auto"/>
        <w:tabs>
          <w:tab w:leader="none" w:pos="807"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 February 2026, we amended our European rental fleet securitization program to increase its capacity to approximately €2.1 billion and £250 million and extended the maturity of the program to February 2029.</w:t>
      </w:r>
    </w:p>
    <w:p>
      <w:pPr>
        <w:ind w:left="820" w:hanging="326"/>
        <w:spacing w:after="0" w:line="205" w:lineRule="auto"/>
        <w:tabs>
          <w:tab w:leader="none" w:pos="81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March 31, 2026 and December 31, 2025 were $50 million and $51 million, respectively.</w:t>
      </w:r>
    </w:p>
    <w:p>
      <w:pPr>
        <w:spacing w:after="0" w:line="219" w:lineRule="exact"/>
        <w:rPr>
          <w:sz w:val="20"/>
          <w:szCs w:val="20"/>
          <w:color w:val="auto"/>
        </w:rPr>
      </w:pPr>
    </w:p>
    <w:p>
      <w:pPr>
        <w:ind w:left="500"/>
        <w:spacing w:after="0" w:line="276" w:lineRule="auto"/>
        <w:rPr>
          <w:sz w:val="20"/>
          <w:szCs w:val="20"/>
          <w:color w:val="auto"/>
        </w:rPr>
      </w:pPr>
      <w:r>
        <w:rPr>
          <w:rFonts w:ascii="Arial" w:cs="Arial" w:eastAsia="Arial" w:hAnsi="Arial"/>
          <w:sz w:val="18"/>
          <w:szCs w:val="18"/>
          <w:color w:val="auto"/>
        </w:rPr>
        <w:t>The following table provides a summary of debt issued by Avis Budget Rental Car Funding during the three months ended March 31, 2026:</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20955</wp:posOffset>
            </wp:positionV>
            <wp:extent cx="1423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2026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2026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2026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22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Maturity Date</w:t>
            </w:r>
          </w:p>
        </w:tc>
        <w:tc>
          <w:tcPr>
            <w:tcW w:w="360" w:type="dxa"/>
            <w:vAlign w:val="bottom"/>
            <w:vMerge w:val="restart"/>
          </w:tcPr>
          <w:p>
            <w:pPr>
              <w:spacing w:after="0"/>
              <w:rPr>
                <w:sz w:val="14"/>
                <w:szCs w:val="14"/>
                <w:color w:val="auto"/>
              </w:rPr>
            </w:pPr>
          </w:p>
        </w:tc>
        <w:tc>
          <w:tcPr>
            <w:tcW w:w="2740" w:type="dxa"/>
            <w:vAlign w:val="bottom"/>
            <w:gridSpan w:val="2"/>
          </w:tcPr>
          <w:p>
            <w:pPr>
              <w:ind w:left="480"/>
              <w:spacing w:after="0" w:line="164" w:lineRule="exact"/>
              <w:rPr>
                <w:sz w:val="20"/>
                <w:szCs w:val="20"/>
                <w:color w:val="auto"/>
              </w:rPr>
            </w:pPr>
            <w:r>
              <w:rPr>
                <w:rFonts w:ascii="Arial" w:cs="Arial" w:eastAsia="Arial" w:hAnsi="Arial"/>
                <w:sz w:val="16"/>
                <w:szCs w:val="16"/>
                <w:b w:val="1"/>
                <w:bCs w:val="1"/>
                <w:color w:val="auto"/>
              </w:rPr>
              <w:t>Weighted Average</w:t>
            </w:r>
          </w:p>
        </w:tc>
        <w:tc>
          <w:tcPr>
            <w:tcW w:w="420" w:type="dxa"/>
            <w:vAlign w:val="bottom"/>
          </w:tcPr>
          <w:p>
            <w:pPr>
              <w:spacing w:after="0"/>
              <w:rPr>
                <w:sz w:val="14"/>
                <w:szCs w:val="14"/>
                <w:color w:val="auto"/>
              </w:rPr>
            </w:pPr>
          </w:p>
        </w:tc>
        <w:tc>
          <w:tcPr>
            <w:tcW w:w="1660" w:type="dxa"/>
            <w:vAlign w:val="bottom"/>
          </w:tcPr>
          <w:p>
            <w:pPr>
              <w:jc w:val="right"/>
              <w:ind w:right="659"/>
              <w:spacing w:after="0" w:line="164"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20"/>
                <w:szCs w:val="20"/>
                <w:color w:val="auto"/>
              </w:rPr>
            </w:pPr>
            <w:r>
              <w:rPr>
                <w:rFonts w:ascii="Arial" w:cs="Arial" w:eastAsia="Arial" w:hAnsi="Arial"/>
                <w:sz w:val="11"/>
                <w:szCs w:val="11"/>
                <w:color w:val="auto"/>
              </w:rPr>
              <w:t>(a)</w:t>
            </w:r>
          </w:p>
        </w:tc>
        <w:tc>
          <w:tcPr>
            <w:tcW w:w="2260" w:type="dxa"/>
            <w:vAlign w:val="bottom"/>
            <w:tcBorders>
              <w:bottom w:val="single" w:sz="8" w:color="auto"/>
            </w:tcBorders>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Interest Rate</w:t>
            </w:r>
          </w:p>
        </w:tc>
        <w:tc>
          <w:tcPr>
            <w:tcW w:w="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262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rPr>
              <w:t>August 2027</w:t>
            </w: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6.36 %</w:t>
            </w:r>
          </w:p>
        </w:tc>
        <w:tc>
          <w:tcPr>
            <w:tcW w:w="360" w:type="dxa"/>
            <w:vAlign w:val="bottom"/>
          </w:tcPr>
          <w:p>
            <w:pPr>
              <w:spacing w:after="0"/>
              <w:rPr>
                <w:sz w:val="10"/>
                <w:szCs w:val="10"/>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86"/>
        </w:trPr>
        <w:tc>
          <w:tcPr>
            <w:tcW w:w="240" w:type="dxa"/>
            <w:vAlign w:val="bottom"/>
            <w:vMerge w:val="restart"/>
          </w:tcPr>
          <w:p>
            <w:pPr>
              <w:spacing w:after="0"/>
              <w:rPr>
                <w:sz w:val="20"/>
                <w:szCs w:val="20"/>
                <w:color w:val="auto"/>
              </w:rPr>
            </w:pPr>
            <w:r>
              <w:rPr>
                <w:rFonts w:ascii="Arial" w:cs="Arial" w:eastAsia="Arial" w:hAnsi="Arial"/>
                <w:sz w:val="11"/>
                <w:szCs w:val="11"/>
                <w:color w:val="auto"/>
              </w:rPr>
              <w:t>(a)</w:t>
            </w:r>
          </w:p>
        </w:tc>
        <w:tc>
          <w:tcPr>
            <w:tcW w:w="262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40" w:type="dxa"/>
            <w:vAlign w:val="bottom"/>
            <w:vMerge w:val="continue"/>
          </w:tcPr>
          <w:p>
            <w:pPr>
              <w:spacing w:after="0"/>
              <w:rPr>
                <w:sz w:val="11"/>
                <w:szCs w:val="11"/>
                <w:color w:val="auto"/>
              </w:rPr>
            </w:pPr>
          </w:p>
        </w:tc>
        <w:tc>
          <w:tcPr>
            <w:tcW w:w="262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rPr>
              <w:t>June 2029</w:t>
            </w: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7.20 %</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85"/>
        </w:trPr>
        <w:tc>
          <w:tcPr>
            <w:tcW w:w="240" w:type="dxa"/>
            <w:vAlign w:val="bottom"/>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620" w:type="dxa"/>
            <w:vAlign w:val="bottom"/>
            <w:gridSpan w:val="2"/>
          </w:tcPr>
          <w:p>
            <w:pPr>
              <w:jc w:val="right"/>
              <w:ind w:right="380"/>
              <w:spacing w:after="0"/>
              <w:rPr>
                <w:sz w:val="20"/>
                <w:szCs w:val="20"/>
                <w:color w:val="auto"/>
              </w:rPr>
            </w:pPr>
            <w:r>
              <w:rPr>
                <w:rFonts w:ascii="Arial" w:cs="Arial" w:eastAsia="Arial" w:hAnsi="Arial"/>
                <w:sz w:val="16"/>
                <w:szCs w:val="16"/>
                <w:color w:val="auto"/>
              </w:rPr>
              <w:t>August 2029</w:t>
            </w:r>
          </w:p>
        </w:tc>
        <w:tc>
          <w:tcPr>
            <w:tcW w:w="2380" w:type="dxa"/>
            <w:vAlign w:val="bottom"/>
          </w:tcPr>
          <w:p>
            <w:pPr>
              <w:jc w:val="right"/>
              <w:spacing w:after="0"/>
              <w:rPr>
                <w:sz w:val="20"/>
                <w:szCs w:val="20"/>
                <w:color w:val="auto"/>
              </w:rPr>
            </w:pPr>
            <w:r>
              <w:rPr>
                <w:rFonts w:ascii="Arial" w:cs="Arial" w:eastAsia="Arial" w:hAnsi="Arial"/>
                <w:sz w:val="16"/>
                <w:szCs w:val="16"/>
                <w:color w:val="auto"/>
              </w:rPr>
              <w:t>4.62 %</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2620" w:type="dxa"/>
            <w:vAlign w:val="bottom"/>
            <w:gridSpan w:val="2"/>
          </w:tcPr>
          <w:p>
            <w:pPr>
              <w:jc w:val="right"/>
              <w:ind w:right="380"/>
              <w:spacing w:after="0"/>
              <w:rPr>
                <w:sz w:val="20"/>
                <w:szCs w:val="20"/>
                <w:color w:val="auto"/>
              </w:rPr>
            </w:pPr>
            <w:r>
              <w:rPr>
                <w:rFonts w:ascii="Arial" w:cs="Arial" w:eastAsia="Arial" w:hAnsi="Arial"/>
                <w:sz w:val="16"/>
                <w:szCs w:val="16"/>
                <w:color w:val="auto"/>
              </w:rPr>
              <w:t>August 2031</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4.98 %</w:t>
            </w:r>
          </w:p>
        </w:tc>
        <w:tc>
          <w:tcPr>
            <w:tcW w:w="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5.36 %</w:t>
            </w:r>
          </w:p>
        </w:tc>
        <w:tc>
          <w:tcPr>
            <w:tcW w:w="36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2">
            <w:col w:w="2720" w:space="260"/>
            <w:col w:w="8260"/>
          </w:cols>
          <w:pgMar w:left="320" w:top="121" w:right="33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9"/>
          <w:szCs w:val="9"/>
          <w:color w:val="auto"/>
        </w:rPr>
      </w:pPr>
      <w:r>
        <w:rPr>
          <w:rFonts w:ascii="Arial" w:cs="Arial" w:eastAsia="Arial" w:hAnsi="Arial"/>
          <w:sz w:val="14"/>
          <w:szCs w:val="14"/>
          <w:color w:val="auto"/>
        </w:rPr>
        <w:t>In March 2026, Avis Budget Rental Car Funding issued additional notes under several previously outstanding series of debt.</w:t>
      </w:r>
    </w:p>
    <w:p>
      <w:pPr>
        <w:spacing w:after="0" w:line="23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entered into several repurchase agreements (the “Repurchase Facilities”) pursuant to which we may sell certain of our Class D notes issued by our wholly-owned subsidiary, Avis Budget Rental Car Funding (AESOP) LLC, to the Repurchase Facility’s respective counterparty and repurchase such notes at a later date and subject to certain conditions set forth in the applicable Repurchase Facility. Transactions under the Repurchase Facilities may be extended at our sole discretion and the interest rate for such Repurchase Facility is simultaneously repriced in connection with such extensions.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summary of the Repurchase Facilities as of March 31, 2026:</w:t>
      </w:r>
    </w:p>
    <w:p>
      <w:pPr>
        <w:spacing w:after="0" w:line="297"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2560" w:type="dxa"/>
            <w:vAlign w:val="bottom"/>
            <w:gridSpan w:val="2"/>
          </w:tcPr>
          <w:p>
            <w:pPr>
              <w:ind w:left="560"/>
              <w:spacing w:after="0"/>
              <w:rPr>
                <w:sz w:val="20"/>
                <w:szCs w:val="20"/>
                <w:color w:val="auto"/>
              </w:rPr>
            </w:pPr>
            <w:r>
              <w:rPr>
                <w:rFonts w:ascii="Arial" w:cs="Arial" w:eastAsia="Arial" w:hAnsi="Arial"/>
                <w:sz w:val="16"/>
                <w:szCs w:val="16"/>
                <w:b w:val="1"/>
                <w:bCs w:val="1"/>
                <w:color w:val="auto"/>
              </w:rPr>
              <w:t>Maturity Date</w:t>
            </w:r>
          </w:p>
        </w:tc>
        <w:tc>
          <w:tcPr>
            <w:tcW w:w="2760" w:type="dxa"/>
            <w:vAlign w:val="bottom"/>
            <w:gridSpan w:val="2"/>
          </w:tcPr>
          <w:p>
            <w:pPr>
              <w:ind w:left="680"/>
              <w:spacing w:after="0"/>
              <w:rPr>
                <w:sz w:val="20"/>
                <w:szCs w:val="20"/>
                <w:color w:val="auto"/>
              </w:rPr>
            </w:pPr>
            <w:r>
              <w:rPr>
                <w:rFonts w:ascii="Arial" w:cs="Arial" w:eastAsia="Arial" w:hAnsi="Arial"/>
                <w:sz w:val="16"/>
                <w:szCs w:val="16"/>
                <w:b w:val="1"/>
                <w:bCs w:val="1"/>
                <w:color w:val="auto"/>
              </w:rPr>
              <w:t>Interest Rate</w:t>
            </w:r>
          </w:p>
        </w:tc>
        <w:tc>
          <w:tcPr>
            <w:tcW w:w="2600" w:type="dxa"/>
            <w:vAlign w:val="bottom"/>
            <w:gridSpan w:val="2"/>
          </w:tcPr>
          <w:p>
            <w:pPr>
              <w:ind w:left="880"/>
              <w:spacing w:after="0"/>
              <w:rPr>
                <w:sz w:val="20"/>
                <w:szCs w:val="20"/>
                <w:color w:val="auto"/>
              </w:rPr>
            </w:pPr>
            <w:r>
              <w:rPr>
                <w:rFonts w:ascii="Arial" w:cs="Arial" w:eastAsia="Arial" w:hAnsi="Arial"/>
                <w:sz w:val="16"/>
                <w:szCs w:val="16"/>
                <w:b w:val="1"/>
                <w:bCs w:val="1"/>
                <w:color w:val="auto"/>
              </w:rPr>
              <w:t>Tenor</w:t>
            </w:r>
          </w:p>
        </w:tc>
        <w:tc>
          <w:tcPr>
            <w:tcW w:w="220" w:type="dxa"/>
            <w:vAlign w:val="bottom"/>
          </w:tcPr>
          <w:p>
            <w:pPr>
              <w:spacing w:after="0"/>
              <w:rPr>
                <w:sz w:val="18"/>
                <w:szCs w:val="18"/>
                <w:color w:val="auto"/>
              </w:rPr>
            </w:pP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Amount Outstanding</w:t>
            </w:r>
          </w:p>
        </w:tc>
      </w:tr>
      <w:tr>
        <w:trPr>
          <w:trHeight w:val="208"/>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May 2026</w:t>
            </w:r>
          </w:p>
        </w:tc>
        <w:tc>
          <w:tcPr>
            <w:tcW w:w="400" w:type="dxa"/>
            <w:vAlign w:val="bottom"/>
          </w:tcPr>
          <w:p>
            <w:pPr>
              <w:spacing w:after="0"/>
              <w:rPr>
                <w:sz w:val="18"/>
                <w:szCs w:val="18"/>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4.76 %</w:t>
            </w:r>
          </w:p>
        </w:tc>
        <w:tc>
          <w:tcPr>
            <w:tcW w:w="420" w:type="dxa"/>
            <w:vAlign w:val="bottom"/>
          </w:tcPr>
          <w:p>
            <w:pPr>
              <w:spacing w:after="0"/>
              <w:rPr>
                <w:sz w:val="18"/>
                <w:szCs w:val="18"/>
                <w:color w:val="auto"/>
              </w:rPr>
            </w:pPr>
          </w:p>
        </w:tc>
        <w:tc>
          <w:tcPr>
            <w:tcW w:w="2200" w:type="dxa"/>
            <w:vAlign w:val="bottom"/>
            <w:tcBorders>
              <w:top w:val="single" w:sz="8" w:color="auto"/>
            </w:tcBorders>
          </w:tcPr>
          <w:p>
            <w:pPr>
              <w:ind w:left="1500"/>
              <w:spacing w:after="0"/>
              <w:rPr>
                <w:sz w:val="20"/>
                <w:szCs w:val="20"/>
                <w:color w:val="auto"/>
              </w:rPr>
            </w:pPr>
            <w:r>
              <w:rPr>
                <w:rFonts w:ascii="Arial" w:cs="Arial" w:eastAsia="Arial" w:hAnsi="Arial"/>
                <w:sz w:val="16"/>
                <w:szCs w:val="16"/>
                <w:color w:val="auto"/>
              </w:rPr>
              <w:t>3 months</w:t>
            </w:r>
          </w:p>
        </w:tc>
        <w:tc>
          <w:tcPr>
            <w:tcW w:w="4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2560" w:type="dxa"/>
            <w:vAlign w:val="bottom"/>
            <w:gridSpan w:val="2"/>
          </w:tcPr>
          <w:p>
            <w:pPr>
              <w:jc w:val="right"/>
              <w:ind w:right="420"/>
              <w:spacing w:after="0"/>
              <w:rPr>
                <w:sz w:val="20"/>
                <w:szCs w:val="20"/>
                <w:color w:val="auto"/>
              </w:rPr>
            </w:pPr>
            <w:r>
              <w:rPr>
                <w:rFonts w:ascii="Arial" w:cs="Arial" w:eastAsia="Arial" w:hAnsi="Arial"/>
                <w:sz w:val="16"/>
                <w:szCs w:val="16"/>
                <w:color w:val="auto"/>
              </w:rPr>
              <w:t>June 2026</w:t>
            </w:r>
          </w:p>
        </w:tc>
        <w:tc>
          <w:tcPr>
            <w:tcW w:w="2340" w:type="dxa"/>
            <w:vAlign w:val="bottom"/>
          </w:tcPr>
          <w:p>
            <w:pPr>
              <w:jc w:val="right"/>
              <w:spacing w:after="0"/>
              <w:rPr>
                <w:sz w:val="20"/>
                <w:szCs w:val="20"/>
                <w:color w:val="auto"/>
              </w:rPr>
            </w:pPr>
            <w:r>
              <w:rPr>
                <w:rFonts w:ascii="Arial" w:cs="Arial" w:eastAsia="Arial" w:hAnsi="Arial"/>
                <w:sz w:val="16"/>
                <w:szCs w:val="16"/>
                <w:color w:val="auto"/>
              </w:rPr>
              <w:t>4.80 %</w:t>
            </w:r>
          </w:p>
        </w:tc>
        <w:tc>
          <w:tcPr>
            <w:tcW w:w="420" w:type="dxa"/>
            <w:vAlign w:val="bottom"/>
          </w:tcPr>
          <w:p>
            <w:pPr>
              <w:spacing w:after="0"/>
              <w:rPr>
                <w:sz w:val="18"/>
                <w:szCs w:val="18"/>
                <w:color w:val="auto"/>
              </w:rPr>
            </w:pPr>
          </w:p>
        </w:tc>
        <w:tc>
          <w:tcPr>
            <w:tcW w:w="2600" w:type="dxa"/>
            <w:vAlign w:val="bottom"/>
            <w:gridSpan w:val="2"/>
          </w:tcPr>
          <w:p>
            <w:pPr>
              <w:ind w:left="1500"/>
              <w:spacing w:after="0"/>
              <w:rPr>
                <w:sz w:val="20"/>
                <w:szCs w:val="20"/>
                <w:color w:val="auto"/>
              </w:rPr>
            </w:pPr>
            <w:r>
              <w:rPr>
                <w:rFonts w:ascii="Arial" w:cs="Arial" w:eastAsia="Arial" w:hAnsi="Arial"/>
                <w:sz w:val="16"/>
                <w:szCs w:val="16"/>
                <w:color w:val="auto"/>
              </w:rPr>
              <w:t>3 months</w:t>
            </w: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560" w:type="dxa"/>
            <w:vAlign w:val="bottom"/>
            <w:gridSpan w:val="2"/>
          </w:tcPr>
          <w:p>
            <w:pPr>
              <w:jc w:val="right"/>
              <w:ind w:right="420"/>
              <w:spacing w:after="0"/>
              <w:rPr>
                <w:sz w:val="20"/>
                <w:szCs w:val="20"/>
                <w:color w:val="auto"/>
              </w:rPr>
            </w:pPr>
            <w:r>
              <w:rPr>
                <w:rFonts w:ascii="Arial" w:cs="Arial" w:eastAsia="Arial" w:hAnsi="Arial"/>
                <w:sz w:val="16"/>
                <w:szCs w:val="16"/>
                <w:color w:val="auto"/>
              </w:rPr>
              <w:t>June 2026</w:t>
            </w:r>
          </w:p>
        </w:tc>
        <w:tc>
          <w:tcPr>
            <w:tcW w:w="2340" w:type="dxa"/>
            <w:vAlign w:val="bottom"/>
          </w:tcPr>
          <w:p>
            <w:pPr>
              <w:jc w:val="right"/>
              <w:spacing w:after="0"/>
              <w:rPr>
                <w:sz w:val="20"/>
                <w:szCs w:val="20"/>
                <w:color w:val="auto"/>
              </w:rPr>
            </w:pPr>
            <w:r>
              <w:rPr>
                <w:rFonts w:ascii="Arial" w:cs="Arial" w:eastAsia="Arial" w:hAnsi="Arial"/>
                <w:sz w:val="16"/>
                <w:szCs w:val="16"/>
                <w:color w:val="auto"/>
              </w:rPr>
              <w:t>4.80 %</w:t>
            </w:r>
          </w:p>
        </w:tc>
        <w:tc>
          <w:tcPr>
            <w:tcW w:w="420" w:type="dxa"/>
            <w:vAlign w:val="bottom"/>
          </w:tcPr>
          <w:p>
            <w:pPr>
              <w:spacing w:after="0"/>
              <w:rPr>
                <w:sz w:val="18"/>
                <w:szCs w:val="18"/>
                <w:color w:val="auto"/>
              </w:rPr>
            </w:pPr>
          </w:p>
        </w:tc>
        <w:tc>
          <w:tcPr>
            <w:tcW w:w="2600" w:type="dxa"/>
            <w:vAlign w:val="bottom"/>
            <w:gridSpan w:val="2"/>
          </w:tcPr>
          <w:p>
            <w:pPr>
              <w:ind w:left="1500"/>
              <w:spacing w:after="0"/>
              <w:rPr>
                <w:sz w:val="20"/>
                <w:szCs w:val="20"/>
                <w:color w:val="auto"/>
              </w:rPr>
            </w:pPr>
            <w:r>
              <w:rPr>
                <w:rFonts w:ascii="Arial" w:cs="Arial" w:eastAsia="Arial" w:hAnsi="Arial"/>
                <w:sz w:val="16"/>
                <w:szCs w:val="16"/>
                <w:color w:val="auto"/>
              </w:rPr>
              <w:t>3 months</w:t>
            </w: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2560" w:type="dxa"/>
            <w:vAlign w:val="bottom"/>
            <w:gridSpan w:val="2"/>
          </w:tcPr>
          <w:p>
            <w:pPr>
              <w:jc w:val="right"/>
              <w:ind w:right="420"/>
              <w:spacing w:after="0"/>
              <w:rPr>
                <w:sz w:val="20"/>
                <w:szCs w:val="20"/>
                <w:color w:val="auto"/>
              </w:rPr>
            </w:pPr>
            <w:r>
              <w:rPr>
                <w:rFonts w:ascii="Arial" w:cs="Arial" w:eastAsia="Arial" w:hAnsi="Arial"/>
                <w:sz w:val="16"/>
                <w:szCs w:val="16"/>
                <w:color w:val="auto"/>
              </w:rPr>
              <w:t>June 2026</w:t>
            </w:r>
          </w:p>
        </w:tc>
        <w:tc>
          <w:tcPr>
            <w:tcW w:w="2340" w:type="dxa"/>
            <w:vAlign w:val="bottom"/>
          </w:tcPr>
          <w:p>
            <w:pPr>
              <w:jc w:val="right"/>
              <w:spacing w:after="0"/>
              <w:rPr>
                <w:sz w:val="20"/>
                <w:szCs w:val="20"/>
                <w:color w:val="auto"/>
              </w:rPr>
            </w:pPr>
            <w:r>
              <w:rPr>
                <w:rFonts w:ascii="Arial" w:cs="Arial" w:eastAsia="Arial" w:hAnsi="Arial"/>
                <w:sz w:val="16"/>
                <w:szCs w:val="16"/>
                <w:color w:val="auto"/>
              </w:rPr>
              <w:t>4.77 %</w:t>
            </w:r>
          </w:p>
        </w:tc>
        <w:tc>
          <w:tcPr>
            <w:tcW w:w="420" w:type="dxa"/>
            <w:vAlign w:val="bottom"/>
          </w:tcPr>
          <w:p>
            <w:pPr>
              <w:spacing w:after="0"/>
              <w:rPr>
                <w:sz w:val="18"/>
                <w:szCs w:val="18"/>
                <w:color w:val="auto"/>
              </w:rPr>
            </w:pPr>
          </w:p>
        </w:tc>
        <w:tc>
          <w:tcPr>
            <w:tcW w:w="2600" w:type="dxa"/>
            <w:vAlign w:val="bottom"/>
            <w:gridSpan w:val="2"/>
          </w:tcPr>
          <w:p>
            <w:pPr>
              <w:ind w:left="1500"/>
              <w:spacing w:after="0"/>
              <w:rPr>
                <w:sz w:val="20"/>
                <w:szCs w:val="20"/>
                <w:color w:val="auto"/>
              </w:rPr>
            </w:pPr>
            <w:r>
              <w:rPr>
                <w:rFonts w:ascii="Arial" w:cs="Arial" w:eastAsia="Arial" w:hAnsi="Arial"/>
                <w:sz w:val="16"/>
                <w:szCs w:val="16"/>
                <w:color w:val="auto"/>
              </w:rPr>
              <w:t>3 months</w:t>
            </w: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2560" w:type="dxa"/>
            <w:vAlign w:val="bottom"/>
            <w:gridSpan w:val="2"/>
          </w:tcPr>
          <w:p>
            <w:pPr>
              <w:jc w:val="right"/>
              <w:ind w:right="420"/>
              <w:spacing w:after="0"/>
              <w:rPr>
                <w:sz w:val="20"/>
                <w:szCs w:val="20"/>
                <w:color w:val="auto"/>
              </w:rPr>
            </w:pPr>
            <w:r>
              <w:rPr>
                <w:rFonts w:ascii="Arial" w:cs="Arial" w:eastAsia="Arial" w:hAnsi="Arial"/>
                <w:sz w:val="16"/>
                <w:szCs w:val="16"/>
                <w:color w:val="auto"/>
              </w:rPr>
              <w:t>June 2026</w:t>
            </w:r>
          </w:p>
        </w:tc>
        <w:tc>
          <w:tcPr>
            <w:tcW w:w="2340" w:type="dxa"/>
            <w:vAlign w:val="bottom"/>
          </w:tcPr>
          <w:p>
            <w:pPr>
              <w:jc w:val="right"/>
              <w:spacing w:after="0"/>
              <w:rPr>
                <w:sz w:val="20"/>
                <w:szCs w:val="20"/>
                <w:color w:val="auto"/>
              </w:rPr>
            </w:pPr>
            <w:r>
              <w:rPr>
                <w:rFonts w:ascii="Arial" w:cs="Arial" w:eastAsia="Arial" w:hAnsi="Arial"/>
                <w:sz w:val="16"/>
                <w:szCs w:val="16"/>
                <w:color w:val="auto"/>
              </w:rPr>
              <w:t>4.77 %</w:t>
            </w:r>
          </w:p>
        </w:tc>
        <w:tc>
          <w:tcPr>
            <w:tcW w:w="420" w:type="dxa"/>
            <w:vAlign w:val="bottom"/>
          </w:tcPr>
          <w:p>
            <w:pPr>
              <w:spacing w:after="0"/>
              <w:rPr>
                <w:sz w:val="18"/>
                <w:szCs w:val="18"/>
                <w:color w:val="auto"/>
              </w:rPr>
            </w:pPr>
          </w:p>
        </w:tc>
        <w:tc>
          <w:tcPr>
            <w:tcW w:w="2600" w:type="dxa"/>
            <w:vAlign w:val="bottom"/>
            <w:gridSpan w:val="2"/>
          </w:tcPr>
          <w:p>
            <w:pPr>
              <w:ind w:left="1500"/>
              <w:spacing w:after="0"/>
              <w:rPr>
                <w:sz w:val="20"/>
                <w:szCs w:val="20"/>
                <w:color w:val="auto"/>
              </w:rPr>
            </w:pPr>
            <w:r>
              <w:rPr>
                <w:rFonts w:ascii="Arial" w:cs="Arial" w:eastAsia="Arial" w:hAnsi="Arial"/>
                <w:sz w:val="16"/>
                <w:szCs w:val="16"/>
                <w:color w:val="auto"/>
              </w:rPr>
              <w:t>3 months</w:t>
            </w: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2560" w:type="dxa"/>
            <w:vAlign w:val="bottom"/>
            <w:gridSpan w:val="2"/>
          </w:tcPr>
          <w:p>
            <w:pPr>
              <w:jc w:val="right"/>
              <w:ind w:right="420"/>
              <w:spacing w:after="0"/>
              <w:rPr>
                <w:sz w:val="20"/>
                <w:szCs w:val="20"/>
                <w:color w:val="auto"/>
              </w:rPr>
            </w:pPr>
            <w:r>
              <w:rPr>
                <w:rFonts w:ascii="Arial" w:cs="Arial" w:eastAsia="Arial" w:hAnsi="Arial"/>
                <w:sz w:val="16"/>
                <w:szCs w:val="16"/>
                <w:color w:val="auto"/>
              </w:rPr>
              <w:t>June 2026</w:t>
            </w:r>
          </w:p>
        </w:tc>
        <w:tc>
          <w:tcPr>
            <w:tcW w:w="2340" w:type="dxa"/>
            <w:vAlign w:val="bottom"/>
          </w:tcPr>
          <w:p>
            <w:pPr>
              <w:jc w:val="right"/>
              <w:spacing w:after="0"/>
              <w:rPr>
                <w:sz w:val="20"/>
                <w:szCs w:val="20"/>
                <w:color w:val="auto"/>
              </w:rPr>
            </w:pPr>
            <w:r>
              <w:rPr>
                <w:rFonts w:ascii="Arial" w:cs="Arial" w:eastAsia="Arial" w:hAnsi="Arial"/>
                <w:sz w:val="16"/>
                <w:szCs w:val="16"/>
                <w:color w:val="auto"/>
              </w:rPr>
              <w:t>5.71 %</w:t>
            </w:r>
          </w:p>
        </w:tc>
        <w:tc>
          <w:tcPr>
            <w:tcW w:w="420" w:type="dxa"/>
            <w:vAlign w:val="bottom"/>
          </w:tcPr>
          <w:p>
            <w:pPr>
              <w:spacing w:after="0"/>
              <w:rPr>
                <w:sz w:val="18"/>
                <w:szCs w:val="18"/>
                <w:color w:val="auto"/>
              </w:rPr>
            </w:pPr>
          </w:p>
        </w:tc>
        <w:tc>
          <w:tcPr>
            <w:tcW w:w="2600" w:type="dxa"/>
            <w:vAlign w:val="bottom"/>
            <w:gridSpan w:val="2"/>
          </w:tcPr>
          <w:p>
            <w:pPr>
              <w:ind w:left="1500"/>
              <w:spacing w:after="0"/>
              <w:rPr>
                <w:sz w:val="20"/>
                <w:szCs w:val="20"/>
                <w:color w:val="auto"/>
              </w:rPr>
            </w:pPr>
            <w:r>
              <w:rPr>
                <w:rFonts w:ascii="Arial" w:cs="Arial" w:eastAsia="Arial" w:hAnsi="Arial"/>
                <w:sz w:val="16"/>
                <w:szCs w:val="16"/>
                <w:color w:val="auto"/>
              </w:rPr>
              <w:t>3 months</w:t>
            </w: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1"/>
        </w:trPr>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As of March 31, 2026, we had $326 million of securities pledged as collateral for the Repurchase Facilities, included within investment in Avis Budget Rental Car Funding (AESOP) LLC—related party on our Condensed Consolidated Balance Sheets.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500"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as of March 31, 2026:</w:t>
      </w:r>
    </w:p>
    <w:p>
      <w:pPr>
        <w:jc w:val="center"/>
        <w:ind w:left="8420"/>
        <w:spacing w:after="0" w:line="230" w:lineRule="auto"/>
        <w:rPr>
          <w:sz w:val="20"/>
          <w:szCs w:val="20"/>
          <w:color w:val="auto"/>
        </w:rPr>
      </w:pPr>
      <w:r>
        <w:rPr>
          <w:rFonts w:ascii="Arial" w:cs="Arial" w:eastAsia="Arial" w:hAnsi="Arial"/>
          <w:sz w:val="16"/>
          <w:szCs w:val="16"/>
          <w:b w:val="1"/>
          <w:bCs w:val="1"/>
          <w:color w:val="auto"/>
        </w:rPr>
        <w:t>Debt under Vehicle</w:t>
      </w:r>
    </w:p>
    <w:p>
      <w:pPr>
        <w:jc w:val="center"/>
        <w:ind w:left="8420"/>
        <w:spacing w:after="0" w:line="228" w:lineRule="auto"/>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-15875</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520"/>
        <w:spacing w:after="0" w:line="217" w:lineRule="auto"/>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520"/>
        <w:spacing w:after="0" w:line="226" w:lineRule="auto"/>
        <w:rPr>
          <w:sz w:val="20"/>
          <w:szCs w:val="20"/>
          <w:color w:val="auto"/>
        </w:rPr>
      </w:pPr>
      <w:r>
        <w:rPr>
          <w:rFonts w:ascii="Arial" w:cs="Arial" w:eastAsia="Arial" w:hAnsi="Arial"/>
          <w:sz w:val="15"/>
          <w:szCs w:val="15"/>
          <w:color w:val="auto"/>
        </w:rPr>
        <w:t xml:space="preserve">Between 1 and 2 years </w:t>
      </w:r>
      <w:r>
        <w:rPr>
          <w:rFonts w:ascii="Arial" w:cs="Arial" w:eastAsia="Arial" w:hAnsi="Arial"/>
          <w:sz w:val="20"/>
          <w:szCs w:val="20"/>
          <w:color w:val="auto"/>
          <w:vertAlign w:val="superscript"/>
        </w:rPr>
        <w:t>(c)</w:t>
      </w:r>
    </w:p>
    <w:p>
      <w:pPr>
        <w:ind w:left="520"/>
        <w:spacing w:after="0" w:line="225" w:lineRule="auto"/>
        <w:rPr>
          <w:sz w:val="20"/>
          <w:szCs w:val="20"/>
          <w:color w:val="auto"/>
        </w:rPr>
      </w:pPr>
      <w:r>
        <w:rPr>
          <w:rFonts w:ascii="Arial" w:cs="Arial" w:eastAsia="Arial" w:hAnsi="Arial"/>
          <w:sz w:val="15"/>
          <w:szCs w:val="15"/>
          <w:color w:val="auto"/>
        </w:rPr>
        <w:t xml:space="preserve">Between 2 and 3 years </w:t>
      </w:r>
      <w:r>
        <w:rPr>
          <w:rFonts w:ascii="Arial" w:cs="Arial" w:eastAsia="Arial" w:hAnsi="Arial"/>
          <w:sz w:val="20"/>
          <w:szCs w:val="20"/>
          <w:color w:val="auto"/>
          <w:vertAlign w:val="superscript"/>
        </w:rPr>
        <w:t>(d)</w:t>
      </w:r>
    </w:p>
    <w:p>
      <w:pPr>
        <w:ind w:left="520"/>
        <w:spacing w:after="0"/>
        <w:rPr>
          <w:sz w:val="20"/>
          <w:szCs w:val="20"/>
          <w:color w:val="auto"/>
        </w:rPr>
      </w:pPr>
      <w:r>
        <w:rPr>
          <w:rFonts w:ascii="Arial" w:cs="Arial" w:eastAsia="Arial" w:hAnsi="Arial"/>
          <w:sz w:val="16"/>
          <w:szCs w:val="16"/>
          <w:color w:val="auto"/>
        </w:rPr>
        <w:t>Between 3 and 4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Between 4 and 5 years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ind w:left="1136" w:hanging="1136"/>
        <w:spacing w:after="0"/>
        <w:tabs>
          <w:tab w:leader="none" w:pos="1136" w:val="left"/>
        </w:tabs>
        <w:numPr>
          <w:ilvl w:val="0"/>
          <w:numId w:val="29"/>
        </w:numPr>
        <w:rPr>
          <w:rFonts w:ascii="Arial" w:cs="Arial" w:eastAsia="Arial" w:hAnsi="Arial"/>
          <w:sz w:val="15"/>
          <w:szCs w:val="15"/>
          <w:color w:val="auto"/>
        </w:rPr>
      </w:pPr>
      <w:r>
        <w:rPr>
          <w:rFonts w:ascii="Arial" w:cs="Arial" w:eastAsia="Arial" w:hAnsi="Arial"/>
          <w:sz w:val="15"/>
          <w:szCs w:val="15"/>
          <w:color w:val="auto"/>
        </w:rPr>
        <w:t>4,421</w:t>
      </w:r>
    </w:p>
    <w:p>
      <w:pPr>
        <w:spacing w:after="0" w:line="30"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5,034</w:t>
      </w:r>
    </w:p>
    <w:p>
      <w:pPr>
        <w:spacing w:after="0" w:line="43"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5,468</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2,048</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1,015</w:t>
      </w:r>
    </w:p>
    <w:p>
      <w:pPr>
        <w:spacing w:after="0" w:line="43"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7" w:lineRule="exact"/>
        <w:rPr>
          <w:sz w:val="20"/>
          <w:szCs w:val="20"/>
          <w:color w:val="auto"/>
        </w:rPr>
      </w:pPr>
    </w:p>
    <w:p>
      <w:pPr>
        <w:ind w:left="1056" w:hanging="1056"/>
        <w:spacing w:after="0"/>
        <w:tabs>
          <w:tab w:leader="none" w:pos="1056" w:val="left"/>
        </w:tabs>
        <w:numPr>
          <w:ilvl w:val="0"/>
          <w:numId w:val="30"/>
        </w:numPr>
        <w:rPr>
          <w:rFonts w:ascii="Arial" w:cs="Arial" w:eastAsia="Arial" w:hAnsi="Arial"/>
          <w:sz w:val="15"/>
          <w:szCs w:val="15"/>
          <w:color w:val="auto"/>
        </w:rPr>
      </w:pPr>
      <w:r>
        <w:rPr>
          <w:rFonts w:ascii="Arial" w:cs="Arial" w:eastAsia="Arial" w:hAnsi="Arial"/>
          <w:sz w:val="15"/>
          <w:szCs w:val="15"/>
          <w:color w:val="auto"/>
        </w:rPr>
        <w:t>18,468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53975</wp:posOffset>
            </wp:positionV>
            <wp:extent cx="1036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8324" w:space="720"/>
            <w:col w:w="2196"/>
          </w:cols>
          <w:pgMar w:left="320" w:top="121" w:right="339" w:bottom="1440" w:gutter="0" w:footer="0" w:header="0"/>
          <w:type w:val="continuous"/>
        </w:sectPr>
      </w:pPr>
    </w:p>
    <w:p>
      <w:pPr>
        <w:ind w:left="760" w:hanging="266"/>
        <w:spacing w:after="0"/>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$0.7 billion of bank and bank-sponsored facilities. These short-term borrowings have a weighted average interest rate of 4.56% as of March 31, 2026.</w:t>
      </w:r>
    </w:p>
    <w:p>
      <w:pPr>
        <w:ind w:left="760" w:hanging="266"/>
        <w:spacing w:after="0" w:line="192"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$1.9 billion of bank and bank-sponsored facilities.</w:t>
      </w:r>
    </w:p>
    <w:p>
      <w:pPr>
        <w:ind w:left="760" w:hanging="266"/>
        <w:spacing w:after="0" w:line="193"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$2 billion of bank and bank-sponsored facilities.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as of March 31, 2026:</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8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15,358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hanging="326"/>
        <w:spacing w:after="0" w:line="271" w:lineRule="auto"/>
        <w:tabs>
          <w:tab w:leader="none" w:pos="813" w:val="left"/>
        </w:tabs>
        <w:numPr>
          <w:ilvl w:val="0"/>
          <w:numId w:val="32"/>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our asset-backed variable funding financing facilities. These facilities were most recently amended and extended in December 2025.</w:t>
      </w:r>
    </w:p>
    <w:p>
      <w:pPr>
        <w:ind w:left="820" w:hanging="326"/>
        <w:spacing w:after="0" w:line="222"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$13.9 billion for Americas - Debt due to Avis Budget Rental Car Funding; $2.5 billion for Americas - Debt borrowings; $3.1 billion for International - Debt borrowings; and $0.1 billion for International - Finance leases.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March 31, 2026,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7880" w:hanging="442"/>
        <w:spacing w:after="0" w:line="563" w:lineRule="auto"/>
        <w:tabs>
          <w:tab w:leader="none" w:pos="51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6"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are also involved in litigation that is primarily related to the businesses of our former subsidiaries, including Realogy and Wyndham. We are entitled to indemnification from such entities for any liability resulting from such litigation.</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In February 2026, plaintiffs agreed to limit the class to the period from September 30, 2008 through April 2016. We have been named as a defendant in other purported consumer class action lawsuits, including a class action filed against us in New Jersey seeking damages in connection with a breach of contract claim, which the Company intends to vigorously defend.</w:t>
      </w:r>
    </w:p>
    <w:p>
      <w:pPr>
        <w:spacing w:after="0" w:line="207"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2025, two shareholders filed derivative suits in the United States District Court for the District of New Jersey alleging that the Company’s directors and officers breached their fiduciary duties in connection with the Company’s fleet strategy in 2024. The Company was named as a nominal defendant. The court approved the voluntary dismissal of these two suits on April 21, 2026. These cases are now closed.</w:t>
      </w:r>
    </w:p>
    <w:p>
      <w:pPr>
        <w:spacing w:after="0" w:line="203"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In addition, we are a defendant in a number of legal proceedings for personal injury arising from the operation of our vehicles.</w:t>
      </w:r>
    </w:p>
    <w:p>
      <w:pPr>
        <w:spacing w:after="0" w:line="20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$45 million in excess of amounts accrued as of March 31, 2026. We do not believe that the impact should result in a material liability to us in relation to our consolidated financial condition, results of operations or cash flows.</w:t>
      </w:r>
    </w:p>
    <w:p>
      <w:pPr>
        <w:spacing w:after="0" w:line="2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250"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maintain agreements with vehicle manufacturers under which we have agreed to purchase approximately $5.1 billion of vehicles from manufacturers over the next 12 months, a $1.7 billion decrease compared to December 31, 2025,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Concentrations of credit risk as of March 31, 2026 include risks related to our repurchase and guaranteed depreciation agreements with domestic and foreign automobile manufacturers, and primarily with respect to receivables for program cars that have been disposed of, but for which we have not yet received payment from the manufacturers.</w:t>
      </w:r>
    </w:p>
    <w:p>
      <w:pPr>
        <w:spacing w:after="0" w:line="198" w:lineRule="exact"/>
        <w:rPr>
          <w:sz w:val="20"/>
          <w:szCs w:val="20"/>
          <w:color w:val="auto"/>
        </w:rPr>
      </w:pPr>
    </w:p>
    <w:p>
      <w:pPr>
        <w:ind w:left="500" w:right="8940" w:hanging="442"/>
        <w:spacing w:after="0" w:line="532" w:lineRule="auto"/>
        <w:tabs>
          <w:tab w:leader="none" w:pos="51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three months ended March 31, 2026 and 2025, we did not repurchase shares of common stock under the Stock Repurchase Program. As of March 31, 2026, approximately $757 million of authorization remained available to repurchase common stock under the Stock Repurchase Program.</w:t>
      </w:r>
    </w:p>
    <w:p>
      <w:pPr>
        <w:spacing w:after="0" w:line="206"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loss were as follows:</w:t>
      </w:r>
    </w:p>
    <w:p>
      <w:pPr>
        <w:spacing w:after="0" w:line="48" w:lineRule="exact"/>
        <w:rPr>
          <w:sz w:val="20"/>
          <w:szCs w:val="20"/>
          <w:color w:val="auto"/>
        </w:rPr>
      </w:pPr>
    </w:p>
    <w:p>
      <w:pPr>
        <w:jc w:val="center"/>
        <w:ind w:left="7480"/>
        <w:spacing w:after="0"/>
        <w:rPr>
          <w:sz w:val="20"/>
          <w:szCs w:val="20"/>
          <w:color w:val="auto"/>
        </w:rPr>
      </w:pPr>
      <w:r>
        <w:rPr>
          <w:rFonts w:ascii="Arial" w:cs="Arial" w:eastAsia="Arial" w:hAnsi="Arial"/>
          <w:sz w:val="16"/>
          <w:szCs w:val="16"/>
          <w:b w:val="1"/>
          <w:bCs w:val="1"/>
          <w:color w:val="auto"/>
        </w:rPr>
        <w:t>Three Months Ended</w:t>
      </w:r>
    </w:p>
    <w:p>
      <w:pPr>
        <w:jc w:val="center"/>
        <w:ind w:left="7480"/>
        <w:spacing w:after="0"/>
        <w:rPr>
          <w:sz w:val="20"/>
          <w:szCs w:val="20"/>
          <w:color w:val="auto"/>
        </w:rPr>
      </w:pPr>
      <w:r>
        <w:rPr>
          <w:rFonts w:ascii="Arial" w:cs="Arial" w:eastAsia="Arial" w:hAnsi="Arial"/>
          <w:sz w:val="16"/>
          <w:szCs w:val="16"/>
          <w:b w:val="1"/>
          <w:bCs w:val="1"/>
          <w:color w:val="auto"/>
        </w:rPr>
        <w:t>March 31,</w:t>
      </w:r>
    </w:p>
    <w:p>
      <w:pPr>
        <w:sectPr>
          <w:pgSz w:w="11900" w:h="16838" w:orient="portrait"/>
          <w:cols w:equalWidth="0" w:num="1">
            <w:col w:w="11240"/>
          </w:cols>
          <w:pgMar w:left="320" w:top="121" w:right="339" w:bottom="1440" w:gutter="0" w:footer="0" w:header="0"/>
        </w:sect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Net loss</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Less: Net income attributable to non-controlling interests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Net loss attributable to Avis Budget Group, Inc.</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r>
      <w:tr>
        <w:trPr>
          <w:trHeight w:val="208"/>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16"/>
        </w:trPr>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w:t>
            </w:r>
          </w:p>
        </w:tc>
      </w:tr>
    </w:tbl>
    <w:p>
      <w:pPr>
        <w:spacing w:after="0" w:line="461" w:lineRule="exact"/>
        <w:rPr>
          <w:sz w:val="20"/>
          <w:szCs w:val="20"/>
          <w:color w:val="auto"/>
        </w:rPr>
      </w:pPr>
    </w:p>
    <w:p>
      <w:pPr>
        <w:sectPr>
          <w:pgSz w:w="11900" w:h="16838" w:orient="portrait"/>
          <w:cols w:equalWidth="0" w:num="2">
            <w:col w:w="7400" w:space="720"/>
            <w:col w:w="3120"/>
          </w:cols>
          <w:pgMar w:left="320" w:top="121" w:right="339" w:bottom="1440" w:gutter="0" w:footer="0" w:header="0"/>
          <w:type w:val="continuous"/>
        </w:sectPr>
      </w:pPr>
    </w:p>
    <w:tbl>
      <w:tblPr>
        <w:tblLayout w:type="fixed"/>
        <w:tblInd w:w="520" w:type="dxa"/>
        <w:tblCellMar>
          <w:top w:w="0" w:type="dxa"/>
          <w:left w:w="0" w:type="dxa"/>
          <w:bottom w:w="0" w:type="dxa"/>
          <w:right w:w="0" w:type="dxa"/>
        </w:tblCellMar>
      </w:tblPr>
      <w:tr>
        <w:trPr>
          <w:trHeight w:val="241"/>
        </w:trPr>
        <w:tc>
          <w:tcPr>
            <w:tcW w:w="7600" w:type="dxa"/>
            <w:vAlign w:val="bottom"/>
          </w:tcPr>
          <w:p>
            <w:pPr>
              <w:ind w:left="100"/>
              <w:spacing w:after="0"/>
              <w:rPr>
                <w:sz w:val="20"/>
                <w:szCs w:val="20"/>
                <w:color w:val="auto"/>
              </w:rPr>
            </w:pPr>
            <w:r>
              <w:rPr>
                <w:rFonts w:ascii="Arial" w:cs="Arial" w:eastAsia="Arial" w:hAnsi="Arial"/>
                <w:sz w:val="16"/>
                <w:szCs w:val="16"/>
                <w:color w:val="auto"/>
              </w:rPr>
              <w:t xml:space="preserve">Currency translation adjustments, net of tax of $(6) and $14, respectively </w:t>
            </w:r>
            <w:r>
              <w:rPr>
                <w:rFonts w:ascii="Arial" w:cs="Arial" w:eastAsia="Arial" w:hAnsi="Arial"/>
                <w:sz w:val="21"/>
                <w:szCs w:val="21"/>
                <w:color w:val="auto"/>
                <w:vertAlign w:val="superscript"/>
              </w:rPr>
              <w:t>(a)</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600" w:type="dxa"/>
            <w:vAlign w:val="bottom"/>
          </w:tcPr>
          <w:p>
            <w:pPr>
              <w:ind w:left="100"/>
              <w:spacing w:after="0"/>
              <w:rPr>
                <w:sz w:val="20"/>
                <w:szCs w:val="20"/>
                <w:color w:val="auto"/>
              </w:rPr>
            </w:pPr>
            <w:r>
              <w:rPr>
                <w:rFonts w:ascii="Arial" w:cs="Arial" w:eastAsia="Arial" w:hAnsi="Arial"/>
                <w:sz w:val="16"/>
                <w:szCs w:val="16"/>
                <w:color w:val="auto"/>
              </w:rPr>
              <w:t>Net unrealized gain (loss) on cash flow hedges, net of tax of $1 and $3, respectively</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600" w:type="dxa"/>
            <w:vAlign w:val="bottom"/>
          </w:tcPr>
          <w:p>
            <w:pPr>
              <w:ind w:left="100"/>
              <w:spacing w:after="0"/>
              <w:rPr>
                <w:sz w:val="20"/>
                <w:szCs w:val="20"/>
                <w:color w:val="auto"/>
              </w:rPr>
            </w:pPr>
            <w:r>
              <w:rPr>
                <w:rFonts w:ascii="Arial" w:cs="Arial" w:eastAsia="Arial" w:hAnsi="Arial"/>
                <w:sz w:val="16"/>
                <w:szCs w:val="16"/>
                <w:color w:val="auto"/>
              </w:rPr>
              <w:t>Minimum pension liability adjustment, net of tax of $0, in each period</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00" w:type="dxa"/>
            <w:vAlign w:val="bottom"/>
          </w:tcPr>
          <w:p>
            <w:pPr>
              <w:spacing w:after="0"/>
              <w:rPr>
                <w:sz w:val="20"/>
                <w:szCs w:val="20"/>
                <w:color w:val="auto"/>
              </w:rPr>
            </w:pPr>
            <w:r>
              <w:rPr>
                <w:rFonts w:ascii="Arial" w:cs="Arial" w:eastAsia="Arial" w:hAnsi="Arial"/>
                <w:sz w:val="16"/>
                <w:szCs w:val="16"/>
                <w:b w:val="1"/>
                <w:bCs w:val="1"/>
                <w:color w:val="auto"/>
              </w:rPr>
              <w:t>Total comprehensive loss attributable to Avis Budget Group, Inc.</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
        </w:trPr>
        <w:tc>
          <w:tcPr>
            <w:tcW w:w="7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040" w:type="dxa"/>
            <w:vAlign w:val="bottom"/>
            <w:vMerge w:val="restart"/>
          </w:tcPr>
          <w:p>
            <w:pPr>
              <w:jc w:val="center"/>
              <w:ind w:left="277"/>
              <w:spacing w:after="0"/>
              <w:rPr>
                <w:sz w:val="20"/>
                <w:szCs w:val="20"/>
                <w:color w:val="auto"/>
              </w:rPr>
            </w:pPr>
            <w:r>
              <w:rPr>
                <w:rFonts w:ascii="Arial" w:cs="Arial" w:eastAsia="Arial" w:hAnsi="Arial"/>
                <w:sz w:val="13"/>
                <w:szCs w:val="13"/>
                <w:b w:val="1"/>
                <w:bCs w:val="1"/>
                <w:color w:val="auto"/>
                <w:w w:val="94"/>
              </w:rPr>
              <w:t>Currency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Net 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Minimum</w:t>
            </w:r>
          </w:p>
        </w:tc>
        <w:tc>
          <w:tcPr>
            <w:tcW w:w="16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left="157"/>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040" w:type="dxa"/>
            <w:vAlign w:val="bottom"/>
          </w:tcPr>
          <w:p>
            <w:pPr>
              <w:jc w:val="center"/>
              <w:ind w:left="277"/>
              <w:spacing w:after="0" w:line="122" w:lineRule="exact"/>
              <w:rPr>
                <w:sz w:val="20"/>
                <w:szCs w:val="20"/>
                <w:color w:val="auto"/>
              </w:rPr>
            </w:pPr>
            <w:r>
              <w:rPr>
                <w:rFonts w:ascii="Arial" w:cs="Arial" w:eastAsia="Arial" w:hAnsi="Arial"/>
                <w:sz w:val="13"/>
                <w:szCs w:val="13"/>
                <w:b w:val="1"/>
                <w:bCs w:val="1"/>
                <w:color w:val="auto"/>
                <w:w w:val="94"/>
              </w:rPr>
              <w:t>Translation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left="157"/>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Liability</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Adjustments</w:t>
            </w:r>
          </w:p>
        </w:tc>
        <w:tc>
          <w:tcPr>
            <w:tcW w:w="1160" w:type="dxa"/>
            <w:vAlign w:val="bottom"/>
          </w:tcPr>
          <w:p>
            <w:pPr>
              <w:jc w:val="center"/>
              <w:ind w:left="157"/>
              <w:spacing w:after="0"/>
              <w:rPr>
                <w:sz w:val="20"/>
                <w:szCs w:val="20"/>
                <w:color w:val="auto"/>
              </w:rPr>
            </w:pPr>
            <w:r>
              <w:rPr>
                <w:rFonts w:ascii="Arial" w:cs="Arial" w:eastAsia="Arial" w:hAnsi="Arial"/>
                <w:sz w:val="13"/>
                <w:szCs w:val="13"/>
                <w:b w:val="1"/>
                <w:bCs w:val="1"/>
                <w:color w:val="auto"/>
                <w:w w:val="91"/>
              </w:rPr>
              <w:t xml:space="preserve">Hedges </w:t>
            </w:r>
            <w:r>
              <w:rPr>
                <w:rFonts w:ascii="Arial" w:cs="Arial" w:eastAsia="Arial" w:hAnsi="Arial"/>
                <w:sz w:val="16"/>
                <w:szCs w:val="16"/>
                <w:b w:val="1"/>
                <w:bCs w:val="1"/>
                <w:color w:val="auto"/>
                <w:w w:val="91"/>
                <w:vertAlign w:val="superscript"/>
              </w:rPr>
              <w:t>(a)</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60" w:type="dxa"/>
            <w:vAlign w:val="bottom"/>
          </w:tcPr>
          <w:p>
            <w:pPr>
              <w:spacing w:after="0"/>
              <w:rPr>
                <w:sz w:val="16"/>
                <w:szCs w:val="16"/>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2026</w:t>
            </w:r>
          </w:p>
        </w:tc>
        <w:tc>
          <w:tcPr>
            <w:tcW w:w="1040" w:type="dxa"/>
            <w:vAlign w:val="bottom"/>
            <w:tcBorders>
              <w:top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ind w:right="101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10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10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March 31, 2026</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2025</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(125)</w:t>
            </w:r>
          </w:p>
        </w:tc>
        <w:tc>
          <w:tcPr>
            <w:tcW w:w="100" w:type="dxa"/>
            <w:vAlign w:val="bottom"/>
          </w:tcPr>
          <w:p>
            <w:pPr>
              <w:spacing w:after="0"/>
              <w:rPr>
                <w:sz w:val="24"/>
                <w:szCs w:val="24"/>
                <w:color w:val="auto"/>
              </w:rPr>
            </w:pPr>
          </w:p>
        </w:tc>
        <w:tc>
          <w:tcPr>
            <w:tcW w:w="1160" w:type="dxa"/>
            <w:vAlign w:val="bottom"/>
          </w:tcPr>
          <w:p>
            <w:pPr>
              <w:jc w:val="right"/>
              <w:ind w:right="1017"/>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6"/>
              </w:rPr>
              <w:t>31</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10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10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10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March 31, 2025</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(112)</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500"/>
        <w:spacing w:after="0" w:line="25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$42 million gain, net of tax, as of March 31, 2026 related to our hedge of our investment in euro-denominated foreign operations (See Note 17 – Financial Instruments).</w:t>
      </w:r>
    </w:p>
    <w:p>
      <w:pPr>
        <w:ind w:left="820" w:hanging="326"/>
        <w:spacing w:after="0" w:line="203"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interest expense.</w:t>
      </w:r>
    </w:p>
    <w:p>
      <w:pPr>
        <w:ind w:left="820" w:hanging="326"/>
        <w:spacing w:after="0" w:line="193"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selling, general and administrative expenses.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our redeemable non-controlling interests: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8620" w:type="dxa"/>
            <w:vAlign w:val="bottom"/>
            <w:vMerge w:val="restart"/>
          </w:tcPr>
          <w:p>
            <w:pPr>
              <w:spacing w:after="0"/>
              <w:rPr>
                <w:sz w:val="20"/>
                <w:szCs w:val="20"/>
                <w:color w:val="auto"/>
              </w:rPr>
            </w:pPr>
            <w:r>
              <w:rPr>
                <w:rFonts w:ascii="Arial" w:cs="Arial" w:eastAsia="Arial" w:hAnsi="Arial"/>
                <w:sz w:val="16"/>
                <w:szCs w:val="16"/>
                <w:color w:val="auto"/>
              </w:rPr>
              <w:t>Balance as of January 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862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(a)</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8620" w:type="dxa"/>
            <w:vAlign w:val="bottom"/>
          </w:tcPr>
          <w:p>
            <w:pPr>
              <w:ind w:left="100"/>
              <w:spacing w:after="0"/>
              <w:rPr>
                <w:sz w:val="20"/>
                <w:szCs w:val="20"/>
                <w:color w:val="auto"/>
              </w:rPr>
            </w:pPr>
            <w:r>
              <w:rPr>
                <w:rFonts w:ascii="Arial" w:cs="Arial" w:eastAsia="Arial" w:hAnsi="Arial"/>
                <w:sz w:val="16"/>
                <w:szCs w:val="16"/>
                <w:color w:val="auto"/>
              </w:rPr>
              <w:t>Distributions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8620" w:type="dxa"/>
            <w:vAlign w:val="bottom"/>
          </w:tcPr>
          <w:p>
            <w:pPr>
              <w:spacing w:after="0"/>
              <w:rPr>
                <w:sz w:val="20"/>
                <w:szCs w:val="20"/>
                <w:color w:val="auto"/>
              </w:rPr>
            </w:pPr>
            <w:r>
              <w:rPr>
                <w:rFonts w:ascii="Arial" w:cs="Arial" w:eastAsia="Arial" w:hAnsi="Arial"/>
                <w:sz w:val="16"/>
                <w:szCs w:val="16"/>
                <w:color w:val="auto"/>
              </w:rPr>
              <w:t>Balance as of March 31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ind w:left="820" w:hanging="326"/>
        <w:spacing w:after="0" w:line="231" w:lineRule="auto"/>
        <w:tabs>
          <w:tab w:leader="none" w:pos="768"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Represents the allocation of net income (loss) to the redeemable non-controlling interest holders under the HLBV method. See Note 1 – Basis of Presentation - Variable Interest Entities (“VIE”) and Non-Controlling Interests.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right="8420" w:hanging="442"/>
        <w:spacing w:after="0" w:line="563" w:lineRule="auto"/>
        <w:tabs>
          <w:tab w:leader="none" w:pos="51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Avis Mobility Ventures LLC</w:t>
      </w:r>
    </w:p>
    <w:p>
      <w:pPr>
        <w:jc w:val="both"/>
        <w:ind w:left="50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Avis Mobility Ventures LLC (“AMV”) is our former subsidiary. We ceased to have a controlling interest in AMV in 2022, and as a result we deconsolidated AMV from our financial statements. Our proportional share of AMV’s income or loss is included within other (income) expense, net in our Condensed Consolidated Statements of Comprehensive Income. In November 2025, we made a capital contribution of approximately $9 million to AMV. As of March 31, 2026, we own approximately 35% of AMV. We continue to provide vehicles, related fleet services, and certain administrative services to AMV to support their operations. The following tables provide amounts reported within our financial statements related to our equity method investment in AMV and these services.</w:t>
      </w:r>
    </w:p>
    <w:p>
      <w:pPr>
        <w:spacing w:after="0" w:line="20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(income) expense, net are summarized below:</w:t>
      </w:r>
    </w:p>
    <w:p>
      <w:pPr>
        <w:spacing w:after="0" w:line="291"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auto"/>
        </w:rPr>
        <w:t>Three Months Ended</w:t>
      </w:r>
    </w:p>
    <w:p>
      <w:pPr>
        <w:jc w:val="center"/>
        <w:ind w:left="73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08"/>
        </w:trPr>
        <w:tc>
          <w:tcPr>
            <w:tcW w:w="7420" w:type="dxa"/>
            <w:vAlign w:val="bottom"/>
          </w:tcPr>
          <w:p>
            <w:pPr>
              <w:spacing w:after="0"/>
              <w:rPr>
                <w:sz w:val="20"/>
                <w:szCs w:val="20"/>
                <w:color w:val="auto"/>
              </w:rPr>
            </w:pPr>
            <w:r>
              <w:rPr>
                <w:rFonts w:ascii="Arial" w:cs="Arial" w:eastAsia="Arial" w:hAnsi="Arial"/>
                <w:sz w:val="16"/>
                <w:szCs w:val="16"/>
                <w:color w:val="auto"/>
              </w:rPr>
              <w:t>(Income) expense for services to AMV, net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420" w:type="dxa"/>
            <w:vAlign w:val="bottom"/>
          </w:tcPr>
          <w:p>
            <w:pPr>
              <w:spacing w:after="0"/>
              <w:rPr>
                <w:sz w:val="20"/>
                <w:szCs w:val="20"/>
                <w:color w:val="auto"/>
              </w:rPr>
            </w:pPr>
            <w:r>
              <w:rPr>
                <w:rFonts w:ascii="Arial" w:cs="Arial" w:eastAsia="Arial" w:hAnsi="Arial"/>
                <w:sz w:val="16"/>
                <w:szCs w:val="16"/>
                <w:color w:val="auto"/>
              </w:rPr>
              <w:t>(Income) loss on equity method investment in AMV, net</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1"/>
        </w:trPr>
        <w:tc>
          <w:tcPr>
            <w:tcW w:w="74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
        </w:trPr>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amounts reported within our Condensed Consolidated Balance Sheets related to AMV:</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20" w:type="dxa"/>
            <w:vAlign w:val="bottom"/>
          </w:tcPr>
          <w:p>
            <w:pPr>
              <w:jc w:val="center"/>
              <w:ind w:left="299"/>
              <w:spacing w:after="0"/>
              <w:rPr>
                <w:sz w:val="20"/>
                <w:szCs w:val="20"/>
                <w:color w:val="auto"/>
              </w:rPr>
            </w:pPr>
            <w:r>
              <w:rPr>
                <w:rFonts w:ascii="Arial" w:cs="Arial" w:eastAsia="Arial" w:hAnsi="Arial"/>
                <w:sz w:val="16"/>
                <w:szCs w:val="16"/>
                <w:b w:val="1"/>
                <w:bCs w:val="1"/>
                <w:color w:val="auto"/>
                <w:w w:val="99"/>
              </w:rPr>
              <w:t>As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220" w:type="dxa"/>
            <w:vAlign w:val="bottom"/>
          </w:tcPr>
          <w:p>
            <w:pPr>
              <w:jc w:val="center"/>
              <w:ind w:left="29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7"/>
        </w:trPr>
        <w:tc>
          <w:tcPr>
            <w:tcW w:w="6800" w:type="dxa"/>
            <w:vAlign w:val="bottom"/>
            <w:vMerge w:val="restart"/>
          </w:tcPr>
          <w:p>
            <w:pPr>
              <w:spacing w:after="0"/>
              <w:rPr>
                <w:sz w:val="20"/>
                <w:szCs w:val="20"/>
                <w:color w:val="auto"/>
              </w:rPr>
            </w:pPr>
            <w:r>
              <w:rPr>
                <w:rFonts w:ascii="Arial" w:cs="Arial" w:eastAsia="Arial" w:hAnsi="Arial"/>
                <w:sz w:val="16"/>
                <w:szCs w:val="16"/>
                <w:color w:val="auto"/>
              </w:rPr>
              <w:t xml:space="preserve">Receivables from AMV </w:t>
            </w:r>
            <w:r>
              <w:rPr>
                <w:rFonts w:ascii="Arial" w:cs="Arial" w:eastAsia="Arial" w:hAnsi="Arial"/>
                <w:sz w:val="21"/>
                <w:szCs w:val="21"/>
                <w:color w:val="auto"/>
                <w:vertAlign w:val="superscript"/>
              </w:rPr>
              <w:t>(a)</w:t>
            </w:r>
          </w:p>
        </w:tc>
        <w:tc>
          <w:tcPr>
            <w:tcW w:w="12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9"/>
        </w:trPr>
        <w:tc>
          <w:tcPr>
            <w:tcW w:w="6800" w:type="dxa"/>
            <w:vAlign w:val="bottom"/>
            <w:vMerge w:val="continue"/>
          </w:tcPr>
          <w:p>
            <w:pPr>
              <w:spacing w:after="0"/>
              <w:rPr>
                <w:sz w:val="17"/>
                <w:szCs w:val="17"/>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Equity method investment in AMV </w:t>
            </w:r>
            <w:r>
              <w:rPr>
                <w:rFonts w:ascii="Arial" w:cs="Arial" w:eastAsia="Arial" w:hAnsi="Arial"/>
                <w:sz w:val="21"/>
                <w:szCs w:val="21"/>
                <w:color w:val="auto"/>
                <w:vertAlign w:val="superscript"/>
              </w:rPr>
              <w:t>(b)</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82"/>
        </w:trPr>
        <w:tc>
          <w:tcPr>
            <w:tcW w:w="6800" w:type="dxa"/>
            <w:vAlign w:val="bottom"/>
          </w:tcPr>
          <w:p>
            <w:pPr>
              <w:spacing w:after="0"/>
              <w:rPr>
                <w:sz w:val="20"/>
                <w:szCs w:val="20"/>
                <w:color w:val="auto"/>
              </w:rPr>
            </w:pPr>
            <w:r>
              <w:rPr>
                <w:rFonts w:ascii="Arial" w:cs="Arial" w:eastAsia="Arial" w:hAnsi="Arial"/>
                <w:sz w:val="16"/>
                <w:szCs w:val="16"/>
                <w:color w:val="auto"/>
              </w:rPr>
              <w:t xml:space="preserve">Vehicles, net investment in lease with AMV </w:t>
            </w:r>
            <w:r>
              <w:rPr>
                <w:rFonts w:ascii="Arial" w:cs="Arial" w:eastAsia="Arial" w:hAnsi="Arial"/>
                <w:sz w:val="21"/>
                <w:szCs w:val="21"/>
                <w:color w:val="auto"/>
                <w:vertAlign w:val="superscript"/>
              </w:rPr>
              <w:t>(c)</w:t>
            </w:r>
          </w:p>
        </w:tc>
        <w:tc>
          <w:tcPr>
            <w:tcW w:w="1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Included within other non-current assets.</w:t>
      </w:r>
    </w:p>
    <w:p>
      <w:pPr>
        <w:spacing w:after="0" w:line="14" w:lineRule="exact"/>
        <w:rPr>
          <w:rFonts w:ascii="Arial" w:cs="Arial" w:eastAsia="Arial" w:hAnsi="Arial"/>
          <w:sz w:val="9"/>
          <w:szCs w:val="9"/>
          <w:color w:val="auto"/>
        </w:rPr>
      </w:pPr>
    </w:p>
    <w:p>
      <w:pPr>
        <w:ind w:left="800" w:hanging="306"/>
        <w:spacing w:after="0" w:line="193" w:lineRule="auto"/>
        <w:tabs>
          <w:tab w:leader="none" w:pos="80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Included within vehicles, net. See Note 8 – Vehicle Rental Activities.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SRS Mobility Ventures, LLC</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SRS Mobility Ventures, LLC is an affiliate of our largest shareholder, SRS Investment Management, LLC. SRS Mobility Ventures, LLC obtained a controlling interest in AMV in 2022. In November 2025, SRS Mobility Ventures, LLC made a capital contribution of approximately $16 million to AMV. As of March 31, 2026, they own approximately 65% of AMV.</w:t>
      </w:r>
    </w:p>
    <w:p>
      <w:pPr>
        <w:spacing w:after="0" w:line="198" w:lineRule="exact"/>
        <w:rPr>
          <w:sz w:val="20"/>
          <w:szCs w:val="20"/>
          <w:color w:val="auto"/>
        </w:rPr>
      </w:pPr>
    </w:p>
    <w:p>
      <w:pPr>
        <w:ind w:left="500" w:hanging="44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$1 million ($1 million, net of tax) and $6 million ($4 million, net of tax) during the three months ended March 31, 2026 and 2025, respectively.</w:t>
      </w:r>
    </w:p>
    <w:p>
      <w:pPr>
        <w:spacing w:after="0" w:line="179"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197"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March 2026, the Company granted market-based RSUs that vest based on the level of total shareholder return. The grant date fair value of the market-based RSUs incorporates the total shareholder return metric, which is estimated using a Monte Carlo simulation model to estimate the Company’s ranking relative to an applicable stock index. The weighted average assumptions used in the Monte Carlo simulation model to calculate the fair value of the Company’s stock unit awards are outlined in the table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Three Months Ended March 31,</w:t>
            </w:r>
          </w:p>
        </w:tc>
      </w:tr>
      <w:tr>
        <w:trPr>
          <w:trHeight w:val="216"/>
        </w:trPr>
        <w:tc>
          <w:tcPr>
            <w:tcW w:w="7580" w:type="dxa"/>
            <w:vAlign w:val="bottom"/>
          </w:tcPr>
          <w:p>
            <w:pPr>
              <w:spacing w:after="0"/>
              <w:rPr>
                <w:sz w:val="18"/>
                <w:szCs w:val="18"/>
                <w:color w:val="auto"/>
              </w:rPr>
            </w:pPr>
          </w:p>
        </w:tc>
        <w:tc>
          <w:tcPr>
            <w:tcW w:w="25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2026</w:t>
            </w:r>
          </w:p>
        </w:tc>
      </w:tr>
      <w:tr>
        <w:trPr>
          <w:trHeight w:val="208"/>
        </w:trPr>
        <w:tc>
          <w:tcPr>
            <w:tcW w:w="758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2560" w:type="dxa"/>
            <w:vAlign w:val="bottom"/>
          </w:tcPr>
          <w:p>
            <w:pPr>
              <w:jc w:val="right"/>
              <w:spacing w:after="0"/>
              <w:rPr>
                <w:sz w:val="20"/>
                <w:szCs w:val="20"/>
                <w:color w:val="auto"/>
              </w:rPr>
            </w:pPr>
            <w:r>
              <w:rPr>
                <w:rFonts w:ascii="Arial" w:cs="Arial" w:eastAsia="Arial" w:hAnsi="Arial"/>
                <w:sz w:val="16"/>
                <w:szCs w:val="16"/>
                <w:color w:val="auto"/>
              </w:rPr>
              <w:t>20.4 %</w:t>
            </w:r>
          </w:p>
        </w:tc>
      </w:tr>
      <w:tr>
        <w:trPr>
          <w:trHeight w:val="215"/>
        </w:trPr>
        <w:tc>
          <w:tcPr>
            <w:tcW w:w="75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560" w:type="dxa"/>
            <w:vAlign w:val="bottom"/>
          </w:tcPr>
          <w:p>
            <w:pPr>
              <w:jc w:val="right"/>
              <w:spacing w:after="0"/>
              <w:rPr>
                <w:sz w:val="20"/>
                <w:szCs w:val="20"/>
                <w:color w:val="auto"/>
              </w:rPr>
            </w:pPr>
            <w:r>
              <w:rPr>
                <w:rFonts w:ascii="Arial" w:cs="Arial" w:eastAsia="Arial" w:hAnsi="Arial"/>
                <w:sz w:val="16"/>
                <w:szCs w:val="16"/>
                <w:color w:val="auto"/>
              </w:rPr>
              <w:t>3.68 %</w:t>
            </w: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Valuation period</w:t>
            </w:r>
          </w:p>
        </w:tc>
        <w:tc>
          <w:tcPr>
            <w:tcW w:w="25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Dividend yield</w:t>
            </w:r>
          </w:p>
        </w:tc>
        <w:tc>
          <w:tcPr>
            <w:tcW w:w="25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stock units consisted of (in thousands of shares):</w:t>
      </w:r>
    </w:p>
    <w:p>
      <w:pPr>
        <w:spacing w:after="0" w:line="4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880" w:type="dxa"/>
            <w:vAlign w:val="bottom"/>
          </w:tcPr>
          <w:p>
            <w:pPr>
              <w:spacing w:after="0"/>
              <w:rPr>
                <w:sz w:val="20"/>
                <w:szCs w:val="20"/>
                <w:color w:val="auto"/>
              </w:rPr>
            </w:pPr>
            <w:r>
              <w:rPr>
                <w:rFonts w:ascii="Arial" w:cs="Arial" w:eastAsia="Arial" w:hAnsi="Arial"/>
                <w:sz w:val="14"/>
                <w:szCs w:val="14"/>
                <w:b w:val="1"/>
                <w:bCs w:val="1"/>
                <w:color w:val="auto"/>
              </w:rPr>
              <w:t>Time-based RSUs</w:t>
            </w: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January 1, 2026</w:t>
            </w:r>
          </w:p>
        </w:tc>
        <w:tc>
          <w:tcPr>
            <w:tcW w:w="1000" w:type="dxa"/>
            <w:vAlign w:val="bottom"/>
          </w:tcPr>
          <w:p>
            <w:pPr>
              <w:jc w:val="right"/>
              <w:spacing w:after="0"/>
              <w:rPr>
                <w:sz w:val="20"/>
                <w:szCs w:val="20"/>
                <w:color w:val="auto"/>
              </w:rPr>
            </w:pPr>
            <w:r>
              <w:rPr>
                <w:rFonts w:ascii="Arial" w:cs="Arial" w:eastAsia="Arial" w:hAnsi="Arial"/>
                <w:sz w:val="14"/>
                <w:szCs w:val="14"/>
                <w:color w:val="auto"/>
              </w:rPr>
              <w:t>419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88.53</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00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101.88</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90.62</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8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85.09</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as of March 31, 2026 </w:t>
            </w:r>
            <w:r>
              <w:rPr>
                <w:rFonts w:ascii="Arial" w:cs="Arial" w:eastAsia="Arial" w:hAnsi="Arial"/>
                <w:sz w:val="18"/>
                <w:szCs w:val="18"/>
                <w:color w:val="auto"/>
                <w:vertAlign w:val="superscript"/>
              </w:rPr>
              <w:t>(c)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93.18</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January 1, 2026</w:t>
            </w:r>
          </w:p>
        </w:tc>
        <w:tc>
          <w:tcPr>
            <w:tcW w:w="1000" w:type="dxa"/>
            <w:vAlign w:val="bottom"/>
          </w:tcPr>
          <w:p>
            <w:pPr>
              <w:jc w:val="right"/>
              <w:spacing w:after="0"/>
              <w:rPr>
                <w:sz w:val="20"/>
                <w:szCs w:val="20"/>
                <w:color w:val="auto"/>
              </w:rPr>
            </w:pPr>
            <w:r>
              <w:rPr>
                <w:rFonts w:ascii="Arial" w:cs="Arial" w:eastAsia="Arial" w:hAnsi="Arial"/>
                <w:sz w:val="14"/>
                <w:szCs w:val="14"/>
                <w:color w:val="auto"/>
              </w:rPr>
              <w:t>556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87.91</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122.36</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200"/>
              <w:spacing w:after="0"/>
              <w:rPr>
                <w:sz w:val="20"/>
                <w:szCs w:val="20"/>
                <w:color w:val="auto"/>
              </w:rPr>
            </w:pPr>
            <w:r>
              <w:rPr>
                <w:rFonts w:ascii="Arial" w:cs="Arial" w:eastAsia="Arial" w:hAnsi="Arial"/>
                <w:sz w:val="14"/>
                <w:szCs w:val="14"/>
                <w:color w:val="auto"/>
              </w:rPr>
              <w:t>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8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113.69</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March 31, 2026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89.78</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
        </w:trPr>
        <w:tc>
          <w:tcPr>
            <w:tcW w:w="488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as of March 31, 2026 </w:t>
            </w:r>
            <w:r>
              <w:rPr>
                <w:rFonts w:ascii="Arial" w:cs="Arial" w:eastAsia="Arial" w:hAnsi="Arial"/>
                <w:sz w:val="18"/>
                <w:szCs w:val="18"/>
                <w:color w:val="auto"/>
                <w:vertAlign w:val="superscript"/>
              </w:rPr>
              <w:t>(c)</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122.36</w:t>
            </w:r>
          </w:p>
        </w:tc>
        <w:tc>
          <w:tcPr>
            <w:tcW w:w="18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5"/>
        </w:trPr>
        <w:tc>
          <w:tcPr>
            <w:tcW w:w="48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w:t>
            </w:r>
          </w:p>
        </w:tc>
        <w:tc>
          <w:tcPr>
            <w:tcW w:w="2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line="261" w:lineRule="auto"/>
        <w:tabs>
          <w:tab w:leader="none" w:pos="813" w:val="left"/>
        </w:tabs>
        <w:numPr>
          <w:ilvl w:val="1"/>
          <w:numId w:val="41"/>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 and performance-based RSUs granted during the three months ended March 31, 2025 was $62.64.</w:t>
      </w:r>
    </w:p>
    <w:p>
      <w:pPr>
        <w:ind w:left="820" w:right="20" w:hanging="326"/>
        <w:spacing w:after="0" w:line="221" w:lineRule="auto"/>
        <w:tabs>
          <w:tab w:leader="none" w:pos="813" w:val="left"/>
        </w:tabs>
        <w:numPr>
          <w:ilvl w:val="1"/>
          <w:numId w:val="41"/>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time-based RSUs vested during the three months ended March 31, 2026 was $15 million and the total fair value of time- and performance-based RSUs vested during the three months ended March 31, 2025 was $23 million.</w:t>
      </w:r>
    </w:p>
    <w:p>
      <w:pPr>
        <w:spacing w:after="0" w:line="1" w:lineRule="exact"/>
        <w:rPr>
          <w:rFonts w:ascii="Arial" w:cs="Arial" w:eastAsia="Arial" w:hAnsi="Arial"/>
          <w:sz w:val="19"/>
          <w:szCs w:val="19"/>
          <w:color w:val="auto"/>
          <w:vertAlign w:val="superscript"/>
        </w:rPr>
      </w:pPr>
    </w:p>
    <w:p>
      <w:pPr>
        <w:ind w:left="820" w:hanging="326"/>
        <w:spacing w:after="0" w:line="213" w:lineRule="auto"/>
        <w:tabs>
          <w:tab w:leader="none" w:pos="807" w:val="left"/>
        </w:tabs>
        <w:numPr>
          <w:ilvl w:val="1"/>
          <w:numId w:val="41"/>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 performance- and market-based RSUs amounted to $46 million and will be recognized over a weighted average vesting period of 1.7 years.</w:t>
      </w:r>
    </w:p>
    <w:p>
      <w:pPr>
        <w:spacing w:after="0" w:line="220"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w:t>
      </w:r>
    </w:p>
    <w:p>
      <w:pPr>
        <w:spacing w:after="0" w:line="20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$16 million of gain currently recorded in accumulated other comprehensive income (loss) will be recognized in earnings over the next 12 months.</w:t>
      </w:r>
    </w:p>
    <w:p>
      <w:pPr>
        <w:spacing w:after="0" w:line="20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b w:val="1"/>
                <w:bCs w:val="1"/>
                <w:color w:val="auto"/>
              </w:rPr>
              <w:t>As of</w:t>
            </w:r>
          </w:p>
        </w:tc>
      </w:tr>
      <w:tr>
        <w:trPr>
          <w:trHeight w:val="216"/>
        </w:trPr>
        <w:tc>
          <w:tcPr>
            <w:tcW w:w="8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2026</w:t>
            </w:r>
          </w:p>
        </w:tc>
      </w:tr>
      <w:tr>
        <w:trPr>
          <w:trHeight w:val="208"/>
        </w:trPr>
        <w:tc>
          <w:tcPr>
            <w:tcW w:w="820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2,049</w:t>
            </w:r>
          </w:p>
        </w:tc>
      </w:tr>
      <w:tr>
        <w:trPr>
          <w:trHeight w:val="217"/>
        </w:trPr>
        <w:tc>
          <w:tcPr>
            <w:tcW w:w="820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13,410</w:t>
            </w:r>
          </w:p>
        </w:tc>
      </w:tr>
      <w:tr>
        <w:trPr>
          <w:trHeight w:val="215"/>
        </w:trPr>
        <w:tc>
          <w:tcPr>
            <w:tcW w:w="8200" w:type="dxa"/>
            <w:vAlign w:val="bottom"/>
          </w:tcPr>
          <w:p>
            <w:pPr>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right="20" w:hanging="326"/>
        <w:spacing w:after="0" w:line="227" w:lineRule="auto"/>
        <w:tabs>
          <w:tab w:leader="none" w:pos="81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Represents $6.7 billion of interest rate caps sold and approximately $6.7 billion of interest rate caps purchased. These amounts exclude $0.2 billion of interest rate caps purchased by our Avis Budget Rental Car Funding subsidiary as it is not consolidated by us.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64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As of March 31, 2026</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2025</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3"/>
                <w:szCs w:val="13"/>
                <w:color w:val="auto"/>
              </w:rPr>
            </w:pPr>
          </w:p>
        </w:tc>
        <w:tc>
          <w:tcPr>
            <w:tcW w:w="12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9"/>
              </w:rPr>
              <w:t>Liability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14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8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500"/>
        <w:spacing w:after="0" w:line="264"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14 – Stockholders' Equity.</w:t>
      </w:r>
    </w:p>
    <w:p>
      <w:pPr>
        <w:ind w:left="820" w:hanging="326"/>
        <w:spacing w:after="0" w:line="203" w:lineRule="auto"/>
        <w:tabs>
          <w:tab w:leader="none" w:pos="8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Included within other non-current assets or other non-current liabilities.</w:t>
      </w:r>
    </w:p>
    <w:p>
      <w:pPr>
        <w:ind w:left="820" w:hanging="326"/>
        <w:spacing w:after="0" w:line="192" w:lineRule="auto"/>
        <w:tabs>
          <w:tab w:leader="none" w:pos="8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 or other current liabilities.</w:t>
      </w:r>
    </w:p>
    <w:p>
      <w:pPr>
        <w:ind w:left="800" w:hanging="306"/>
        <w:spacing w:after="0" w:line="193" w:lineRule="auto"/>
        <w:tabs>
          <w:tab w:leader="none" w:pos="80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Included within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financial instruments recognized in our Condensed Consolidated Financial Statements are as follows:</w:t>
      </w:r>
    </w:p>
    <w:p>
      <w:pPr>
        <w:spacing w:after="0" w:line="48"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Three Months Ended</w:t>
      </w:r>
    </w:p>
    <w:p>
      <w:pPr>
        <w:jc w:val="center"/>
        <w:ind w:left="716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724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b w:val="1"/>
                <w:bCs w:val="1"/>
                <w:color w:val="auto"/>
                <w:vertAlign w:val="superscript"/>
              </w:rPr>
              <w:t>(a)</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5"/>
        </w:trPr>
        <w:tc>
          <w:tcPr>
            <w:tcW w:w="72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7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724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b w:val="1"/>
                <w:bCs w:val="1"/>
                <w:color w:val="auto"/>
                <w:vertAlign w:val="superscript"/>
              </w:rPr>
              <w:t>(d)</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213" w:lineRule="auto"/>
        <w:tabs>
          <w:tab w:leader="none" w:pos="81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 – Stockholders' Equity for amounts reclassified from accumulated other comprehensive income (loss) into earnings.</w:t>
      </w:r>
    </w:p>
    <w:p>
      <w:pPr>
        <w:ind w:left="800" w:hanging="306"/>
        <w:spacing w:after="0" w:line="192"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adjustments in accumulated other comprehensive income (loss).</w:t>
      </w:r>
    </w:p>
    <w:p>
      <w:pPr>
        <w:ind w:left="820" w:hanging="326"/>
        <w:spacing w:after="0" w:line="192"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92"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interest expense.</w:t>
      </w:r>
    </w:p>
    <w:p>
      <w:pPr>
        <w:ind w:left="820" w:hanging="326"/>
        <w:spacing w:after="0" w:line="193"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vehicle interest, net.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400"/>
              <w:spacing w:after="0"/>
              <w:rPr>
                <w:sz w:val="20"/>
                <w:szCs w:val="20"/>
                <w:color w:val="auto"/>
              </w:rPr>
            </w:pPr>
            <w:r>
              <w:rPr>
                <w:rFonts w:ascii="Arial" w:cs="Arial" w:eastAsia="Arial" w:hAnsi="Arial"/>
                <w:sz w:val="16"/>
                <w:szCs w:val="16"/>
                <w:b w:val="1"/>
                <w:bCs w:val="1"/>
                <w:color w:val="auto"/>
              </w:rPr>
              <w:t>As of March 31, 2026</w:t>
            </w:r>
          </w:p>
        </w:tc>
        <w:tc>
          <w:tcPr>
            <w:tcW w:w="2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2025</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13,603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13,739</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14,396</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14,634</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4,822</w:t>
            </w:r>
          </w:p>
        </w:tc>
        <w:tc>
          <w:tcPr>
            <w:tcW w:w="0" w:type="dxa"/>
            <w:vAlign w:val="bottom"/>
          </w:tcPr>
          <w:p>
            <w:pPr>
              <w:spacing w:after="0"/>
              <w:rPr>
                <w:sz w:val="1"/>
                <w:szCs w:val="1"/>
                <w:color w:val="auto"/>
              </w:rPr>
            </w:pPr>
          </w:p>
        </w:tc>
      </w:tr>
      <w:tr>
        <w:trPr>
          <w:trHeight w:val="287"/>
        </w:trPr>
        <w:tc>
          <w:tcPr>
            <w:tcW w:w="424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1"/>
          <w:numId w:val="46"/>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19"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spacing w:after="0" w:line="206"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Provided below is information about our revenues, significant segment expenses, and reportable segment Adjusted EBITDA, together with a reconciliation of reportable segment Adjusted EBITDA to loss before income taxes.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20"/>
                <w:szCs w:val="20"/>
                <w:color w:val="auto"/>
              </w:rPr>
            </w:pPr>
            <w:r>
              <w:rPr>
                <w:rFonts w:ascii="Arial" w:cs="Arial" w:eastAsia="Arial" w:hAnsi="Arial"/>
                <w:sz w:val="14"/>
                <w:szCs w:val="14"/>
                <w:color w:val="auto"/>
              </w:rPr>
              <w:t>Revenues</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2,530</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4"/>
                <w:szCs w:val="14"/>
                <w:color w:val="auto"/>
              </w:rPr>
              <w:t>Significant segment expenses:</w:t>
            </w:r>
          </w:p>
        </w:tc>
        <w:tc>
          <w:tcPr>
            <w:tcW w:w="6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(a)</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100"/>
              <w:spacing w:after="0" w:line="145" w:lineRule="exact"/>
              <w:rPr>
                <w:sz w:val="20"/>
                <w:szCs w:val="20"/>
                <w:color w:val="auto"/>
              </w:rPr>
            </w:pPr>
            <w:r>
              <w:rPr>
                <w:rFonts w:ascii="Arial" w:cs="Arial" w:eastAsia="Arial" w:hAnsi="Arial"/>
                <w:sz w:val="14"/>
                <w:szCs w:val="14"/>
                <w:color w:val="auto"/>
              </w:rPr>
              <w:t>Vehicle depreciation and lease charges,</w:t>
            </w:r>
          </w:p>
        </w:tc>
        <w:tc>
          <w:tcPr>
            <w:tcW w:w="6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60"/>
              <w:spacing w:after="0"/>
              <w:rPr>
                <w:sz w:val="20"/>
                <w:szCs w:val="20"/>
                <w:color w:val="auto"/>
              </w:rPr>
            </w:pPr>
            <w:r>
              <w:rPr>
                <w:rFonts w:ascii="Arial" w:cs="Arial" w:eastAsia="Arial" w:hAnsi="Arial"/>
                <w:sz w:val="14"/>
                <w:szCs w:val="14"/>
                <w:color w:val="auto"/>
              </w:rPr>
              <w:t xml:space="preserve">net </w:t>
            </w:r>
            <w:r>
              <w:rPr>
                <w:rFonts w:ascii="Arial" w:cs="Arial" w:eastAsia="Arial" w:hAnsi="Arial"/>
                <w:sz w:val="18"/>
                <w:szCs w:val="18"/>
                <w:color w:val="auto"/>
                <w:vertAlign w:val="superscript"/>
              </w:rPr>
              <w:t>(b)</w:t>
            </w:r>
          </w:p>
        </w:tc>
        <w:tc>
          <w:tcPr>
            <w:tcW w:w="6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348"/>
        </w:trPr>
        <w:tc>
          <w:tcPr>
            <w:tcW w:w="5220" w:type="dxa"/>
            <w:vAlign w:val="bottom"/>
            <w:gridSpan w:val="7"/>
          </w:tcPr>
          <w:p>
            <w:pPr>
              <w:spacing w:after="0"/>
              <w:rPr>
                <w:sz w:val="20"/>
                <w:szCs w:val="20"/>
                <w:color w:val="auto"/>
              </w:rPr>
            </w:pPr>
            <w:r>
              <w:rPr>
                <w:rFonts w:ascii="Arial" w:cs="Arial" w:eastAsia="Arial" w:hAnsi="Arial"/>
                <w:sz w:val="14"/>
                <w:szCs w:val="14"/>
                <w:color w:val="auto"/>
              </w:rPr>
              <w:t>Reconciliation of reportable segment Adjusted EBITDA to loss before income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60"/>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Other fleet charges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2"/>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18"/>
                <w:szCs w:val="18"/>
                <w:color w:val="auto"/>
                <w:vertAlign w:val="superscript"/>
              </w:rPr>
              <w:t>(c)</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1"/>
        </w:trPr>
        <w:tc>
          <w:tcPr>
            <w:tcW w:w="270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(d)</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33" w:lineRule="auto"/>
        <w:tabs>
          <w:tab w:leader="none" w:pos="82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Excludes other segment expenses.</w:t>
      </w:r>
    </w:p>
    <w:p>
      <w:pPr>
        <w:ind w:left="820" w:hanging="326"/>
        <w:spacing w:after="0" w:line="187"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2025, excludes other fleet charges related to the disposal of certain fleet within our Americas reportable segment.</w:t>
      </w:r>
    </w:p>
    <w:p>
      <w:pPr>
        <w:ind w:left="800" w:hanging="306"/>
        <w:spacing w:after="0"/>
        <w:tabs>
          <w:tab w:leader="none" w:pos="800" w:val="left"/>
        </w:tabs>
        <w:numPr>
          <w:ilvl w:val="0"/>
          <w:numId w:val="48"/>
        </w:numPr>
        <w:rPr>
          <w:rFonts w:ascii="Arial" w:cs="Arial" w:eastAsia="Arial" w:hAnsi="Arial"/>
          <w:sz w:val="9"/>
          <w:szCs w:val="9"/>
          <w:color w:val="auto"/>
        </w:rPr>
      </w:pPr>
      <w:r>
        <w:rPr>
          <w:rFonts w:ascii="Arial" w:cs="Arial" w:eastAsia="Arial" w:hAnsi="Arial"/>
          <w:sz w:val="14"/>
          <w:szCs w:val="14"/>
          <w:color w:val="auto"/>
        </w:rPr>
        <w:t>Cloud computing costs for the three months ended March 31, 2026 and March 31, 2025, respectively.</w:t>
      </w:r>
    </w:p>
    <w:p>
      <w:pPr>
        <w:spacing w:after="0" w:line="14" w:lineRule="exact"/>
        <w:rPr>
          <w:rFonts w:ascii="Arial" w:cs="Arial" w:eastAsia="Arial" w:hAnsi="Arial"/>
          <w:sz w:val="9"/>
          <w:szCs w:val="9"/>
          <w:color w:val="auto"/>
        </w:rPr>
      </w:pPr>
    </w:p>
    <w:p>
      <w:pPr>
        <w:ind w:left="820" w:hanging="326"/>
        <w:spacing w:after="0" w:line="284" w:lineRule="auto"/>
        <w:tabs>
          <w:tab w:leader="none" w:pos="817" w:val="left"/>
        </w:tabs>
        <w:numPr>
          <w:ilvl w:val="0"/>
          <w:numId w:val="48"/>
        </w:numPr>
        <w:rPr>
          <w:rFonts w:ascii="Arial" w:cs="Arial" w:eastAsia="Arial" w:hAnsi="Arial"/>
          <w:sz w:val="11"/>
          <w:szCs w:val="11"/>
          <w:color w:val="auto"/>
        </w:rPr>
      </w:pPr>
      <w:r>
        <w:rPr>
          <w:rFonts w:ascii="Arial" w:cs="Arial" w:eastAsia="Arial" w:hAnsi="Arial"/>
          <w:sz w:val="14"/>
          <w:szCs w:val="14"/>
          <w:color w:val="auto"/>
        </w:rPr>
        <w:t>Consists of unallocated corporate expenses which are not attributable to a particular reportable segment. For the three months ended March 31, 2026 and 2025, includes $104 million and $95 million of interest expense,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information about our segment assets.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Americas</w:t>
            </w:r>
          </w:p>
        </w:tc>
        <w:tc>
          <w:tcPr>
            <w:tcW w:w="1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Unallocated</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March 31, 2026</w:t>
            </w: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line="216" w:lineRule="exact"/>
              <w:rPr>
                <w:sz w:val="20"/>
                <w:szCs w:val="20"/>
                <w:color w:val="auto"/>
              </w:rPr>
            </w:pPr>
            <w:r>
              <w:rPr>
                <w:rFonts w:ascii="Arial" w:cs="Arial" w:eastAsia="Arial" w:hAnsi="Arial"/>
                <w:sz w:val="16"/>
                <w:szCs w:val="16"/>
                <w:b w:val="1"/>
                <w:bCs w:val="1"/>
                <w:color w:val="auto"/>
                <w:w w:val="94"/>
              </w:rPr>
              <w:t xml:space="preserve">Assets </w:t>
            </w:r>
            <w:r>
              <w:rPr>
                <w:rFonts w:ascii="Arial" w:cs="Arial" w:eastAsia="Arial" w:hAnsi="Arial"/>
                <w:sz w:val="21"/>
                <w:szCs w:val="21"/>
                <w:b w:val="1"/>
                <w:bCs w:val="1"/>
                <w:color w:val="auto"/>
                <w:w w:val="94"/>
                <w:vertAlign w:val="superscript"/>
              </w:rPr>
              <w:t>(a)</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March 31, 2026</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10,464</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20,139</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474"/>
        </w:trPr>
        <w:tc>
          <w:tcPr>
            <w:tcW w:w="4640" w:type="dxa"/>
            <w:vAlign w:val="bottom"/>
          </w:tcPr>
          <w:p>
            <w:pPr>
              <w:spacing w:after="0"/>
              <w:rPr>
                <w:sz w:val="20"/>
                <w:szCs w:val="20"/>
                <w:color w:val="auto"/>
              </w:rPr>
            </w:pPr>
            <w:r>
              <w:rPr>
                <w:rFonts w:ascii="Arial" w:cs="Arial" w:eastAsia="Arial" w:hAnsi="Arial"/>
                <w:sz w:val="16"/>
                <w:szCs w:val="16"/>
                <w:b w:val="1"/>
                <w:bCs w:val="1"/>
                <w:color w:val="auto"/>
              </w:rPr>
              <w:t>Year Ended December 31, 2025</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December 31, 2025</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10,306</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20,951</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assets which are not attributable to a particular reportable segment.</w:t>
      </w:r>
    </w:p>
    <w:p>
      <w:pPr>
        <w:spacing w:after="0" w:line="200" w:lineRule="exact"/>
        <w:rPr>
          <w:rFonts w:ascii="Arial" w:cs="Arial" w:eastAsia="Arial" w:hAnsi="Arial"/>
          <w:sz w:val="19"/>
          <w:szCs w:val="19"/>
          <w:color w:val="auto"/>
          <w:vertAlign w:val="superscript"/>
        </w:rPr>
      </w:pPr>
    </w:p>
    <w:p>
      <w:pPr>
        <w:spacing w:after="0" w:line="254" w:lineRule="exact"/>
        <w:rPr>
          <w:rFonts w:ascii="Arial" w:cs="Arial" w:eastAsia="Arial" w:hAnsi="Arial"/>
          <w:sz w:val="19"/>
          <w:szCs w:val="19"/>
          <w:color w:val="auto"/>
          <w:vertAlign w:val="superscript"/>
        </w:rPr>
      </w:pPr>
    </w:p>
    <w:p>
      <w:pPr>
        <w:ind w:left="5360"/>
        <w:spacing w:after="0"/>
        <w:rPr>
          <w:rFonts w:ascii="Arial" w:cs="Arial" w:eastAsia="Arial" w:hAnsi="Arial"/>
          <w:sz w:val="19"/>
          <w:szCs w:val="19"/>
          <w:color w:val="auto"/>
          <w:vertAlign w:val="superscript"/>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Condensed Consolidated Financial Statements and accompanying Notes included in this Quarterly Report on Form 10-Q and with our 2025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620,000 vehicles in first quarter 2026.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(i) vehicle rental operations in North America, South America, Central America and the Caribbean, (ii) car sharing operations in certain of these markets, and (iii)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(i) vehicle rental operations in Europe, the Middle East, Africa, Asia and Australasia, (ii) car sharing operations in certain of these markets, and (iii) licensees in the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remains centered on driving sustainable growth through operational efficiency, analytics, customer experience and innovation. Additionally, during the fourth quarter of the fiscal year ended December 31, 2025, in conjunction with the Interpace Ventures transaction, we reviewed our fleet strategy, specific to certain United States EV rental car vehicles, and as a result shortened the useful life associated with such vehicles. We believe our strategies will continue to reinforce our competitive position, support long-term profitability, and deliver value to our stakeholders. During the three months ended March 31, 2026, we generated revenues of $ 2.5 billion, net loss of $234 million and Adjusted EBITDA loss of $113 million. These results were primarily driven by increased revenue per day, partially offset by decreased volume and higher per-unit fleet costs, excluding other fleet charges related to the disposal of certain fleet in our Americas reportable segment recorded in 2025.</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government shutdowns, manufacturer recalls,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 and cash flows.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w:t>
      </w:r>
    </w:p>
    <w:p>
      <w:pPr>
        <w:spacing w:after="0" w:line="25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revenues totaled $2.5 billion, an increase of $100 million year-over-year, primarily due to increased revenue per day.</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net loss attributable to Avis Budget Group, Inc. was $283 million, representing a decreased loss of $222 million year-over-year, primarily due to increased revenue per day and decreased fleet charges.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Adjusted EBITDA loss was $113 million, representing an increased loss of $20 million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vs. Three Months Ended March 31,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results of operations comprised of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rPr>
              <w:t>Three Months Ended March 31,</w:t>
            </w:r>
          </w:p>
        </w:tc>
        <w:tc>
          <w:tcPr>
            <w:tcW w:w="128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Benefit from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80" w:type="dxa"/>
            <w:vAlign w:val="bottom"/>
          </w:tcPr>
          <w:p>
            <w:pPr>
              <w:spacing w:after="0"/>
              <w:rPr>
                <w:sz w:val="20"/>
                <w:szCs w:val="20"/>
                <w:color w:val="auto"/>
              </w:rPr>
            </w:pPr>
            <w:r>
              <w:rPr>
                <w:rFonts w:ascii="Arial" w:cs="Arial" w:eastAsia="Arial" w:hAnsi="Arial"/>
                <w:sz w:val="16"/>
                <w:szCs w:val="16"/>
                <w:b w:val="1"/>
                <w:bCs w:val="1"/>
                <w:color w:val="auto"/>
              </w:rPr>
              <w:t>Net loss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$100 million during the three months ended March 31, 2026 compared to the similar period in 2025, primarily due to a 3% increase in revenue per day, excluding exchange rate effects and a $51 million positive impact from currency exchange rate movements, partially offset by a 1% decrease in volume. Total expenses decreased 8% during the three months ended March 31, 2026 compared to the similar period in 2025, primarily due to other fleet charges related to the disposal of certain fleet in our Americas reportable segment recorded in 2025. Our effective tax rates were a benefit of 31.2% and 25.6% for the three months ended March 31, 2026 and 2025, respectively. As a result of these items, our net loss attributable to Avis Budget Group, Inc. resulted in a decrease of $222 million compared to the similar period in 2025. For the three months ended March 31, 2026 and 2025, we reported diluted loss per share of $8.01 and $14.35,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56.2% of revenue during the three months ended March 31, 2026 compared to 55.7% during the similar period in 2025, primarily due to increased facilities costs. Vehicle depreciation and lease charges decreased to 26.3% of revenue during the three months ended March 31, 2026 compared to 43.4% during the similar period in 2025, primarily due to other fleet charges related to the accelerated disposal of certain fleet in our Americas reportable segment recorded in 2025. Selling, general and administrative costs increased to 13.5% of revenue during the three months ended March 31, 2026 compared to 12.7% during the similar period in 2025, primarily due to increased commissions, marketing and other general and administrative costs. Vehicle interest costs increased to 9.0% of revenue during the three months ended March 31, 2026 compared to 8.6% during the similar period in 2025, primarily due increased interest rates, partially offset by decreased fleet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loss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1,907</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8"/>
        </w:trPr>
        <w:tc>
          <w:tcPr>
            <w:tcW w:w="522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522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Reconciliation of net loss to Adjusted EBITDA:</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Benefit from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fleet charges </w:t>
            </w:r>
            <w:r>
              <w:rPr>
                <w:rFonts w:ascii="Arial" w:cs="Arial" w:eastAsia="Arial" w:hAnsi="Arial"/>
                <w:sz w:val="21"/>
                <w:szCs w:val="21"/>
                <w:color w:val="auto"/>
                <w:vertAlign w:val="superscript"/>
              </w:rPr>
              <w:t>(b)</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(c)</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unallocated corporate expenses which are not attributable to a particular segment.</w:t>
      </w:r>
    </w:p>
    <w:p>
      <w:pPr>
        <w:spacing w:after="0" w:line="15" w:lineRule="exact"/>
        <w:rPr>
          <w:rFonts w:ascii="Arial" w:cs="Arial" w:eastAsia="Arial" w:hAnsi="Arial"/>
          <w:sz w:val="9"/>
          <w:szCs w:val="9"/>
          <w:color w:val="auto"/>
        </w:rPr>
      </w:pPr>
    </w:p>
    <w:p>
      <w:pPr>
        <w:ind w:left="320" w:hanging="312"/>
        <w:spacing w:after="0" w:line="222" w:lineRule="auto"/>
        <w:tabs>
          <w:tab w:leader="none" w:pos="32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Costs reported within vehicle depreciation and lease charges, net related to the disposal of certain fleet in our Americas reportable segment.</w:t>
      </w:r>
    </w:p>
    <w:p>
      <w:pPr>
        <w:spacing w:after="0" w:line="13" w:lineRule="exact"/>
        <w:rPr>
          <w:rFonts w:ascii="Arial" w:cs="Arial" w:eastAsia="Arial" w:hAnsi="Arial"/>
          <w:sz w:val="19"/>
          <w:szCs w:val="19"/>
          <w:color w:val="auto"/>
          <w:vertAlign w:val="superscript"/>
        </w:rPr>
      </w:pPr>
    </w:p>
    <w:p>
      <w:pPr>
        <w:ind w:left="340" w:hanging="332"/>
        <w:spacing w:after="0" w:line="222" w:lineRule="auto"/>
        <w:tabs>
          <w:tab w:leader="none" w:pos="327"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ind w:left="320" w:hanging="312"/>
        <w:spacing w:after="0" w:line="207" w:lineRule="auto"/>
        <w:tabs>
          <w:tab w:leader="none" w:pos="32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Consists of $1 million reported within selling, general and administrative expenses for the three months ended March 31, 2026 and 2025, in each period.</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7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3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Revenues increased during the three months ended March 31, 2026 compared to the similar period in 2025, primarily due to a 3% increase in revenue per day, excluding exchange rate effects and a $3 million positive impact from currency exchange rate movements.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were 55.6% of revenue during the three months ended March 31, 2026 compared to 55.8% during the similar period in 2025. Vehicle depreciation and lease charges decreased to 27.1% of revenue during the three months ended March 31, 2026 compared to 48.4% during the similar period in 2025, primarily due to other fleet charges related to the accelerated disposal of certain fleet recorded in 2025. Selling, general and administrative costs increased to 11.4% of revenue during the three months ended March 31, 2026 compared to 10.5% during the similar period in 2025, primarily due to increased commissions, marketing and other general and administrative costs. Vehicle interest costs increased to 10.0% of revenue during the three months ended March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31, 2026 compared to 9.3% during the similar period in 2025, primarily due to increased interest rates, partially offset by decreased fleet levels.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loss increased during the three months ended March 31, 2026 compared to the similar period in 2025, primarily due to increased operating expenses, selling, general and administrative costs and vehicle interest costs, partially offset by increased revenue per day, excluding exchange rate effects.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20" w:type="dxa"/>
            <w:vAlign w:val="bottom"/>
          </w:tcPr>
          <w:p>
            <w:pPr>
              <w:spacing w:after="0"/>
              <w:rPr>
                <w:sz w:val="20"/>
                <w:szCs w:val="20"/>
                <w:color w:val="auto"/>
              </w:rPr>
            </w:pPr>
            <w:r>
              <w:rPr>
                <w:rFonts w:ascii="Arial" w:cs="Arial" w:eastAsia="Arial" w:hAnsi="Arial"/>
                <w:sz w:val="16"/>
                <w:szCs w:val="16"/>
                <w:color w:val="auto"/>
              </w:rPr>
              <w:t>Revenues</w:t>
            </w: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Adjusted EBITDA</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three months ended March 31, 2026 compared to the similar period in 2025, primarily due to a $48 million positive impact from currency exchange rate movements and a 3% increase in revenue per day, excluding exchange rate effects, partially offset by a 4% decrease in volume.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55.5% of revenue during the three months ended March 31, 2026 compared to 52.5% during the similar period in 2025, primarily due to increased fleet operating and facilities costs. Vehicle depreciation and lease charges decreased to 23.2% of revenue during the three months ended March 31, 2026 compared to 25.3% during the similar period in 2025, primarily due to decreased per-unit fleet costs, excluding exchange rate effects, driven by decreased fleet levels, partially offset by increased revenue. Selling, general and administrative costs increased to 17.9% of revenue during the three months ended March 31, 2026 compared to 16.7% during the similar period in 2025, primarily due to increased commissions, marketing and other general and administrative costs. Vehicle interest costs decreased to 5.7% of revenue during the three months ended March 31, 2026 compared to 6.3% during the similar period in 2025, primarily due to decreased fleet levels and sustained interest rates.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loss increased during the three months ended March 31, 2026 compared to the similar period in 2025, primarily due to increased operating expenses and selling, general and administrative costs and approximately a $5 million negative impact from currency exchange rate movements, partially offset by increased revenue per day, excluding exchange rate effects.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10,306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20,951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22,252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decreases in both assets under vehicle programs and liabilities under vehicle programs are primarily due to the decrease in the size of our rental fleet and related debt.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redeemable non-controlling interests is due to net income allocated to the interest holders of the Interpace Ventures transaction. See Note 14 – Stockholders' Equity for the components of redeemable non-controlling interests. The decrease in total stockholders’ equity is primarily due to our net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2026, our Avis Budget Rental Car Funding (AESOP) LLC subsidiary issued approximately $922 million of asset-backed notes with expected final payment dates ranging from August 2027 to August 2031 and a weighted average interest rate of 5.36%. Avis Budget Rental Car Funding (AESOP) LLC has also amended and extended its asset-backed variable funding financing facilities, most recently in December 2025. The proceeds from these borrowings were used to fund the repayment of maturing vehicle-backed debt and the acquisition of rental cars in the United States.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February 2026, we amended our European rental fleet securitization program to increase its capacity to approximately €2.1 billion and £250 million and extended the maturity of the program to February 2029.</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2026, we entered into an Equity Distribution Agreement with certain sales agents, in which we may sell, from time to time through or to the sales agents, as our agents or as principals, up to 5 million shares of our common stock (the “ATM Program”). The sales, if any, of the shares of our common stock made under the Equity Distribution Agreement may be made in sales deemed to be “at-the-market offerings.” As of March 31, 2026, we have not sold any shares of our common stock under the ATM Program.</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During the three months ended March 31, 2026, we did not repurchase shares of common stock under the Stock Repurchase Program. As of March 31, 2026, approximately $757 million of authorization remained available to repurchase common stock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Net change in cash and cash equivalents, program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during the three months ended March 31, 2026 decreased when compared with the similar period in 2025, primarily due to changes in the components of working capital.</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provided by investing activities during the three months ended March 31, 2026 increased when compared with the similar period in 2025, primarily due to the increase in our proceeds received on vehicle sales and the decrease in our investment in vehicles.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used in financing activities during the three months ended March 31, 2026 increased when compared with the similar period in 2025, primarily due to the decrease in both our corporate borrowings and borrowings under vehicle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2026, we had approximately $24.4 billion of indebtedness, including corporate indebtedness of approximately $6.0 billion and debt under vehicle programs of approximately $18.4 billion. For information regarding our debt and borrowing arrangements, see Note 1 – Basis of Presentation, Note 11 – Long-term Corporate Debt and Borrowing Arrangements and Note 12 – Debt Under Vehicle Programs and Borrowing Arrangements to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we had $528 million of available cash and cash equivalents and access to $387 million of available borrowing capacity under our revolving credit facility, providing us with access to approximately $915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March 31, 2026, we were in compliance with the financial covenants governing our indebtedness. For additional information regarding our liquidity risks, see Part I, Item 1A, “Risk Factors” of our 2025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2025 Form 10-K with the exception of our commitment to purchase vehicles, which decreased by approximately $1.7 billion from December 31, 2025, to approximately $5.1 billion as of March 31, 2026 due to existing fleet levels. Changes to our obligations related to corporate indebtedness and debt under vehicle programs are presented above within the section titled “Liquidity and Capital Resources—Debt and Financing Arrangements” and also within Note 11 – Long-term Corporate Debt and Borrowing Arrangements and Note 12 – Debt Under Vehicle Programs and Borrowing Arrangements to our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2025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 Basis of Presentation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2026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March 31, 2026. For additional information regarding our long-term borrowings and financial instruments, see Note 11 – Long-term Corporate Debt and Borrowing Arrangements, Note 12 – Debt Under Vehicle Programs and Borrowing Arrangements and Note 17 – Financial Instruments to our Condensed Consolidated Financial Statements.</w:t>
      </w:r>
    </w:p>
    <w:p>
      <w:pPr>
        <w:spacing w:after="0" w:line="20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2026.</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first quarter of 2026, there was no change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13 – Commitments and Contingencies to our Condensed Consolidated Financial Statements and refer to our 2025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March 31, 2026, we had no material developments to report with respect to our risk factors. For additional information regarding our risk factors, please refer to our 2025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 (the “Stock Repurchase Program”)</w:t>
      </w:r>
      <w:r>
        <w:rPr>
          <w:rFonts w:ascii="Arial" w:cs="Arial" w:eastAsia="Arial" w:hAnsi="Arial"/>
          <w:sz w:val="18"/>
          <w:szCs w:val="18"/>
          <w:color w:val="262626"/>
        </w:rPr>
        <w:t xml:space="preserve">. Under our Stock Repurchase Program, we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 During the </w:t>
      </w:r>
      <w:r>
        <w:rPr>
          <w:rFonts w:ascii="Arial" w:cs="Arial" w:eastAsia="Arial" w:hAnsi="Arial"/>
          <w:sz w:val="18"/>
          <w:szCs w:val="18"/>
          <w:color w:val="000000"/>
        </w:rPr>
        <w:t>first quarter</w:t>
      </w:r>
      <w:r>
        <w:rPr>
          <w:rFonts w:ascii="Arial" w:cs="Arial" w:eastAsia="Arial" w:hAnsi="Arial"/>
          <w:sz w:val="18"/>
          <w:szCs w:val="18"/>
          <w:color w:val="262626"/>
        </w:rPr>
        <w:t xml:space="preserve"> of </w:t>
      </w:r>
      <w:r>
        <w:rPr>
          <w:rFonts w:ascii="Arial" w:cs="Arial" w:eastAsia="Arial" w:hAnsi="Arial"/>
          <w:sz w:val="18"/>
          <w:szCs w:val="18"/>
          <w:color w:val="000000"/>
        </w:rPr>
        <w:t>2026</w:t>
      </w:r>
      <w:r>
        <w:rPr>
          <w:rFonts w:ascii="Arial" w:cs="Arial" w:eastAsia="Arial" w:hAnsi="Arial"/>
          <w:sz w:val="18"/>
          <w:szCs w:val="18"/>
          <w:color w:val="262626"/>
        </w:rPr>
        <w:t xml:space="preserve">, no common stock repurchases were made under the Stock Repurchase Program. As of </w:t>
      </w:r>
      <w:r>
        <w:rPr>
          <w:rFonts w:ascii="Arial" w:cs="Arial" w:eastAsia="Arial" w:hAnsi="Arial"/>
          <w:sz w:val="18"/>
          <w:szCs w:val="18"/>
          <w:color w:val="000000"/>
        </w:rPr>
        <w:t>March 31, 2026</w:t>
      </w:r>
      <w:r>
        <w:rPr>
          <w:rFonts w:ascii="Arial" w:cs="Arial" w:eastAsia="Arial" w:hAnsi="Arial"/>
          <w:sz w:val="18"/>
          <w:szCs w:val="18"/>
          <w:color w:val="262626"/>
        </w:rPr>
        <w:t xml:space="preserve">, approximately </w:t>
      </w:r>
      <w:r>
        <w:rPr>
          <w:rFonts w:ascii="Arial" w:cs="Arial" w:eastAsia="Arial" w:hAnsi="Arial"/>
          <w:sz w:val="18"/>
          <w:szCs w:val="18"/>
          <w:color w:val="000000"/>
        </w:rPr>
        <w:t>$757 million</w:t>
      </w:r>
      <w:r>
        <w:rPr>
          <w:rFonts w:ascii="Arial" w:cs="Arial" w:eastAsia="Arial" w:hAnsi="Arial"/>
          <w:sz w:val="18"/>
          <w:szCs w:val="18"/>
          <w:color w:val="262626"/>
        </w:rPr>
        <w:t xml:space="preserve"> of authorization remained available to repurchase common stock under the Stock Repurchase Program.</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62626"/>
        </w:rPr>
        <w:t xml:space="preserve">During </w:t>
      </w:r>
      <w:r>
        <w:rPr>
          <w:rFonts w:ascii="Arial" w:cs="Arial" w:eastAsia="Arial" w:hAnsi="Arial"/>
          <w:sz w:val="18"/>
          <w:szCs w:val="18"/>
          <w:color w:val="000000"/>
        </w:rPr>
        <w:t>the quarter ended March 31, 2026</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42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April 29, 2026</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41</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0" w:type="dxa"/>
            <w:vAlign w:val="bottom"/>
            <w:gridSpan w:val="22"/>
          </w:tcPr>
          <w:p>
            <w:pPr>
              <w:ind w:left="238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Amended and Restated Certificate of Incorporation of Avis Budget Group, Inc., dated as of July 31, 2025 (incorporated by reference to</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Exhibit 3.1 to the Company’s Current Report on Form 8-K, dated July 31,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tcBorders>
              <w:right w:val="single" w:sz="8" w:color="auto"/>
            </w:tcBorders>
            <w:gridSpan w:val="24"/>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420" w:type="dxa"/>
            <w:vAlign w:val="bottom"/>
            <w:tcBorders>
              <w:top w:val="single" w:sz="8" w:color="0000FF"/>
            </w:tcBorders>
            <w:gridSpan w:val="6"/>
          </w:tcPr>
          <w:p>
            <w:pPr>
              <w:spacing w:after="0" w:line="122" w:lineRule="exact"/>
              <w:rPr>
                <w:rFonts w:ascii="Arial" w:cs="Arial" w:eastAsia="Arial" w:hAnsi="Arial"/>
                <w:sz w:val="14"/>
                <w:szCs w:val="14"/>
                <w:color w:val="0000FF"/>
              </w:rPr>
            </w:pPr>
            <w:hyperlink r:id="rId66">
              <w:r>
                <w:rPr>
                  <w:rFonts w:ascii="Arial" w:cs="Arial" w:eastAsia="Arial" w:hAnsi="Arial"/>
                  <w:sz w:val="14"/>
                  <w:szCs w:val="14"/>
                  <w:color w:val="0000FF"/>
                </w:rPr>
                <w:t>Company’s Current Report on Form 8-K, dated August 13, 2020).</w:t>
              </w:r>
            </w:hyperlink>
          </w:p>
        </w:tc>
        <w:tc>
          <w:tcPr>
            <w:tcW w:w="158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Series 2026-1 Supplement, dated as of March 11, 2026, between Avis Budget Rental Car Funding (AESOP) LLC and The Bank of New</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York Mellon Trust Company, N.A., as trustee and as Series 2026-1 Agent. (incorporated by reference to Exhibit 10.1 to the Company’s</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Current Report on Form 8-K, dated March 13,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Series 2026-2 Supplement, dated as of March 11, 2026, between Avis Budget Rental Car Funding (AESOP) LLC and The Bank of New</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York Mellon Trust Company, N.A., as trustee and as Series 2026-2 Agent. (incorporated by reference to Exhibit 10.2 to the Company’s</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Current Report on Form 8-K, dated March 13,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Third Amendment, dated as of March 20, 2026, to Sixth Amended and Restated Series 2010-6 Supplement, dated as of March 4, 2024,</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by and among Avis Budget Rental Car Funding (AESOP) LLC, as Issuer, Avis Budget Car Rental, LLC, as Administrator, JPMorgan</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gridSpan w:val="21"/>
          </w:tcPr>
          <w:p>
            <w:pPr>
              <w:spacing w:after="0" w:line="142" w:lineRule="exact"/>
              <w:rPr>
                <w:sz w:val="20"/>
                <w:szCs w:val="20"/>
                <w:color w:val="auto"/>
              </w:rPr>
            </w:pPr>
            <w:r>
              <w:rPr>
                <w:rFonts w:ascii="Arial" w:cs="Arial" w:eastAsia="Arial" w:hAnsi="Arial"/>
                <w:sz w:val="16"/>
                <w:szCs w:val="16"/>
                <w:color w:val="0000FF"/>
              </w:rPr>
              <w:t>Chase Bank, N.A., as Administrative Agent, the Non-Conduit Purchasers, the CP Conduit Purchasers, the Committed Note Purchasers,</w:t>
            </w: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the APA Banks and the Funding Agents named therein and The Bank of New York Mellon Trust Company, N.A., as Trustee and as Series</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2010-6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Third Amendment, dated as of March 20, 2026, to Fourth Amended and Restated Series 2015-3 Supplement, dated as of March 4, 2024,</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by and among Avis Budget Rental Car Funding (AESOP) LLC, as Issuer, Avis Budget Car Rental, LLC, as Administrator, JPMorgan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Chase Bank, N.A., as Administrative Agent, the Non-Conduit Purchasers, the CP Conduit Purchasers, the Committed Note Purchasers,</w:t>
            </w: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the APA Banks and the Funding Agents named therein and The Bank of New York Mellon Trust Company, N.A., as Trustee and as Series</w:t>
            </w: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2015-3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First Amendment, dated as of March 25, 2026, to the Series 2022-1 Supplement, dated as of April 14, 2022, between Avis Budget Rental</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Car Funding (AESOP) LLC and The Bank of New York Mellon Trust Company, N.A., as trustee and Series 2022-1 Agent.</w:t>
            </w: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First Amendment, dated as of March 25, 2026, to the Amended and Restated Series 2024-1 Supplement, dated as of January 31, 2025,</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bottom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between Avis Budget Rental Car Funding (AESOP) LLC and The Bank of New York Mellon Trust Company, N.A., as trustee and as Series</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gridSpan w:val="23"/>
          </w:tcPr>
          <w:p>
            <w:pPr>
              <w:spacing w:after="0" w:line="142" w:lineRule="exact"/>
              <w:rPr>
                <w:sz w:val="20"/>
                <w:szCs w:val="20"/>
                <w:color w:val="auto"/>
              </w:rPr>
            </w:pPr>
            <w:r>
              <w:rPr>
                <w:rFonts w:ascii="Arial" w:cs="Arial" w:eastAsia="Arial" w:hAnsi="Arial"/>
                <w:sz w:val="16"/>
                <w:szCs w:val="16"/>
                <w:color w:val="0000FF"/>
              </w:rPr>
              <w:t>2024-1 Agent.</w:t>
            </w: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rFonts w:ascii="Arial" w:cs="Arial" w:eastAsia="Arial" w:hAnsi="Arial"/>
                <w:sz w:val="16"/>
                <w:szCs w:val="16"/>
                <w:color w:val="0000FF"/>
              </w:rPr>
            </w:pPr>
            <w:hyperlink r:id="rId69">
              <w:r>
                <w:rPr>
                  <w:rFonts w:ascii="Arial" w:cs="Arial" w:eastAsia="Arial" w:hAnsi="Arial"/>
                  <w:sz w:val="16"/>
                  <w:szCs w:val="16"/>
                  <w:color w:val="0000FF"/>
                </w:rPr>
                <w:t>Equity Distribution Agreement, dated as of March 27, 2026, by and among Avis Budget Group, Inc. and BofA Securities, Inc., BNP</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Paribas Securities Corp., Credit Agricole Securities (USA) Inc., J.P. Morgan Securities LLC, Morgan Stanley &amp; Co. LLC, RBC Capital</w:t>
              </w:r>
            </w:hyperlink>
          </w:p>
        </w:tc>
        <w:tc>
          <w:tcPr>
            <w:tcW w:w="100" w:type="dxa"/>
            <w:vAlign w:val="bottom"/>
            <w:tcBorders>
              <w:right w:val="single" w:sz="8" w:color="auto"/>
            </w:tcBorders>
            <w:gridSpan w:val="4"/>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Markets, LLC, Scotia Capital (USA) Inc., SG Americas Securities, LLC, Truist Securities, Inc. and Wells Fargo Securities, LLC</w:t>
              </w:r>
            </w:hyperlink>
          </w:p>
        </w:tc>
        <w:tc>
          <w:tcPr>
            <w:tcW w:w="140" w:type="dxa"/>
            <w:vAlign w:val="bottom"/>
            <w:gridSpan w:val="7"/>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(incorporated by reference to Exhibit 1.1 to the Company’s Current Report on Form 8-K, dated March 27, 2026).</w:t>
              </w:r>
            </w:hyperlink>
          </w:p>
        </w:tc>
        <w:tc>
          <w:tcPr>
            <w:tcW w:w="80" w:type="dxa"/>
            <w:vAlign w:val="bottom"/>
            <w:tcBorders>
              <w:right w:val="single" w:sz="8" w:color="auto"/>
            </w:tcBorders>
            <w:gridSpan w:val="3"/>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amended.</w:t>
            </w:r>
          </w:p>
        </w:tc>
        <w:tc>
          <w:tcPr>
            <w:tcW w:w="120" w:type="dxa"/>
            <w:vAlign w:val="bottom"/>
            <w:tcBorders>
              <w:right w:val="single" w:sz="8" w:color="auto"/>
            </w:tcBorders>
            <w:gridSpan w:val="5"/>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amended.</w:t>
            </w:r>
          </w:p>
        </w:tc>
        <w:tc>
          <w:tcPr>
            <w:tcW w:w="120" w:type="dxa"/>
            <w:vAlign w:val="bottom"/>
            <w:tcBorders>
              <w:right w:val="single" w:sz="8" w:color="auto"/>
            </w:tcBorders>
            <w:gridSpan w:val="5"/>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4"/>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40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5"/>
        </w:trPr>
        <w:tc>
          <w:tcPr>
            <w:tcW w:w="118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right w:val="single" w:sz="8" w:color="auto"/>
            </w:tcBorders>
            <w:gridSpan w:val="24"/>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122"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THIRD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SIXTH AMENDED AND RESTATED SERIES 2010-6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THIRD AMENDMENT TO THE SIXTH AMENDED AND RESTATED SERIES 2010-6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March 20, 2026 amends the Sixth Amended and Restated Series 2010-6 Supplement (as amended to date, the “</w:t>
      </w:r>
      <w:r>
        <w:rPr>
          <w:rFonts w:ascii="Times New Roman" w:cs="Times New Roman" w:eastAsia="Times New Roman" w:hAnsi="Times New Roman"/>
          <w:sz w:val="22"/>
          <w:szCs w:val="22"/>
          <w:u w:val="single" w:color="auto"/>
          <w:color w:val="auto"/>
        </w:rPr>
        <w:t>Series 2010-6 Supplement</w:t>
      </w:r>
      <w:r>
        <w:rPr>
          <w:rFonts w:ascii="Times New Roman" w:cs="Times New Roman" w:eastAsia="Times New Roman" w:hAnsi="Times New Roman"/>
          <w:sz w:val="22"/>
          <w:szCs w:val="22"/>
          <w:color w:val="auto"/>
        </w:rPr>
        <w:t>”), dated as of March 4, 2024,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AVIS BUDGET CAR RENTAL, LLC, a limited liability company established under the laws of Delaware, as administrator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JPMORGAN CHASE BANK, N.A., a national banking association,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several banks set forth on Schedule I thereto as Non-Conduit Purchasers (each, a “</w:t>
      </w:r>
      <w:r>
        <w:rPr>
          <w:rFonts w:ascii="Times New Roman" w:cs="Times New Roman" w:eastAsia="Times New Roman" w:hAnsi="Times New Roman"/>
          <w:sz w:val="22"/>
          <w:szCs w:val="22"/>
          <w:u w:val="single" w:color="auto"/>
          <w:color w:val="auto"/>
        </w:rPr>
        <w:t>Non-Conduit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the several commercial paper conduits listed on Schedule I thereto (each, a “</w:t>
      </w:r>
      <w:r>
        <w:rPr>
          <w:rFonts w:ascii="Times New Roman" w:cs="Times New Roman" w:eastAsia="Times New Roman" w:hAnsi="Times New Roman"/>
          <w:sz w:val="22"/>
          <w:szCs w:val="22"/>
          <w:u w:val="single" w:color="auto"/>
          <w:color w:val="auto"/>
        </w:rPr>
        <w:t>CP Conduit Purchaser</w:t>
      </w:r>
      <w:r>
        <w:rPr>
          <w:rFonts w:ascii="Times New Roman" w:cs="Times New Roman" w:eastAsia="Times New Roman" w:hAnsi="Times New Roman"/>
          <w:sz w:val="22"/>
          <w:szCs w:val="22"/>
          <w:color w:val="auto"/>
        </w:rPr>
        <w:t>”), the several banks set forth opposite the name of each CP Conduit Purchaser on Schedule I thereto (each, an “</w:t>
      </w:r>
      <w:r>
        <w:rPr>
          <w:rFonts w:ascii="Times New Roman" w:cs="Times New Roman" w:eastAsia="Times New Roman" w:hAnsi="Times New Roman"/>
          <w:sz w:val="22"/>
          <w:szCs w:val="22"/>
          <w:u w:val="single" w:color="auto"/>
          <w:color w:val="auto"/>
        </w:rPr>
        <w:t>APA Bank</w:t>
      </w:r>
      <w:r>
        <w:rPr>
          <w:rFonts w:ascii="Times New Roman" w:cs="Times New Roman" w:eastAsia="Times New Roman" w:hAnsi="Times New Roman"/>
          <w:sz w:val="22"/>
          <w:szCs w:val="22"/>
          <w:color w:val="auto"/>
        </w:rPr>
        <w:t>” with respect to such CP Conduit Purchaser), the several agent banks set forth opposite the name of each CP Conduit Purchaser on Schedule I thereto (each, a “</w:t>
      </w:r>
      <w:r>
        <w:rPr>
          <w:rFonts w:ascii="Times New Roman" w:cs="Times New Roman" w:eastAsia="Times New Roman" w:hAnsi="Times New Roman"/>
          <w:sz w:val="22"/>
          <w:szCs w:val="22"/>
          <w:u w:val="single" w:color="auto"/>
          <w:color w:val="auto"/>
        </w:rPr>
        <w:t>Funding Agent</w:t>
      </w:r>
      <w:r>
        <w:rPr>
          <w:rFonts w:ascii="Times New Roman" w:cs="Times New Roman" w:eastAsia="Times New Roman" w:hAnsi="Times New Roman"/>
          <w:sz w:val="22"/>
          <w:szCs w:val="22"/>
          <w:color w:val="auto"/>
        </w:rPr>
        <w:t>” with respect to such CP Conduit Purchaser), the entities set forth on Schedule I thereto as Committed Note Purchasers (each, a “</w:t>
      </w:r>
      <w:r>
        <w:rPr>
          <w:rFonts w:ascii="Times New Roman" w:cs="Times New Roman" w:eastAsia="Times New Roman" w:hAnsi="Times New Roman"/>
          <w:sz w:val="22"/>
          <w:szCs w:val="22"/>
          <w:u w:val="single" w:color="auto"/>
          <w:color w:val="auto"/>
        </w:rPr>
        <w:t>Committed Note Purchaser</w:t>
      </w:r>
      <w:r>
        <w:rPr>
          <w:rFonts w:ascii="Times New Roman" w:cs="Times New Roman" w:eastAsia="Times New Roman" w:hAnsi="Times New Roman"/>
          <w:sz w:val="22"/>
          <w:szCs w:val="22"/>
          <w:color w:val="auto"/>
        </w:rPr>
        <w:t>”),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2010-6 Noteholders (in such capacity, the “</w:t>
      </w:r>
      <w:r>
        <w:rPr>
          <w:rFonts w:ascii="Times New Roman" w:cs="Times New Roman" w:eastAsia="Times New Roman" w:hAnsi="Times New Roman"/>
          <w:sz w:val="22"/>
          <w:szCs w:val="22"/>
          <w:u w:val="single" w:color="auto"/>
          <w:color w:val="auto"/>
        </w:rPr>
        <w:t>Series 2010-6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2010-6 Supplement,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with the consent of ABRCF, the Trustee, any applicable Enhancement Provider and in connection with certain amendments, either the Required Noteholders of a Series of Notes or each affected Noteholder, as applicable;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11.11 of the Series 2010-6 Supplement, the Series 2010-6 Supplement may be amended in accordance with Section 12.2 of the Base Indenture;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Series 2010-6 Supplement to revise the definition of “Class B Scheduled Expiry Date” in connection with the existing facility; and</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ABRCF has requested the Trustee, the Series 2010-6 Agent, the Administrator, the Administrative Agent and the Series 2010-6 Noteholders to, and, upon the effectiveness of this Amendment, ABRCF, the Trustee, the Series 2010-6 Agent, the Administrator, the Administrative Agent and each Series 2010-6 Noteholder have agreed to, make the amendments described above as set forth herein.</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1240"/>
          </w:cols>
          <w:pgMar w:left="320" w:top="122"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right="20" w:firstLine="1304"/>
        <w:spacing w:after="0" w:line="284" w:lineRule="auto"/>
        <w:tabs>
          <w:tab w:leader="none" w:pos="171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The following definitions are hereby amended and restated as follows, (i) by deleting the text thereof which is lined out and (ii) by inserting the text thereof which is </w:t>
      </w:r>
      <w:r>
        <w:rPr>
          <w:rFonts w:ascii="Times New Roman" w:cs="Times New Roman" w:eastAsia="Times New Roman" w:hAnsi="Times New Roman"/>
          <w:sz w:val="22"/>
          <w:szCs w:val="22"/>
          <w:b w:val="1"/>
          <w:bCs w:val="1"/>
          <w:u w:val="single" w:color="auto"/>
          <w:color w:val="3051F2"/>
        </w:rPr>
        <w:t>double underlined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Scheduled Expiry Date</w:t>
      </w:r>
      <w:r>
        <w:rPr>
          <w:rFonts w:ascii="Times New Roman" w:cs="Times New Roman" w:eastAsia="Times New Roman" w:hAnsi="Times New Roman"/>
          <w:sz w:val="22"/>
          <w:szCs w:val="22"/>
          <w:color w:val="auto"/>
        </w:rPr>
        <w:t xml:space="preserve">” means, with respect to any Purchaser Group of the Class B Notes, </w:t>
      </w:r>
      <w:r>
        <w:rPr>
          <w:rFonts w:ascii="Times New Roman" w:cs="Times New Roman" w:eastAsia="Times New Roman" w:hAnsi="Times New Roman"/>
          <w:sz w:val="22"/>
          <w:szCs w:val="22"/>
          <w:color w:val="auto"/>
          <w:strike w:val="1"/>
        </w:rPr>
        <w:t>April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2026</w:t>
      </w:r>
      <w:r>
        <w:rPr>
          <w:rFonts w:ascii="Times New Roman" w:cs="Times New Roman" w:eastAsia="Times New Roman" w:hAnsi="Times New Roman"/>
          <w:sz w:val="22"/>
          <w:szCs w:val="22"/>
          <w:b w:val="1"/>
          <w:bCs w:val="1"/>
          <w:u w:val="single" w:color="auto"/>
          <w:color w:val="3051F2"/>
        </w:rPr>
        <w:t>April 30, 2026</w:t>
      </w:r>
      <w:r>
        <w:rPr>
          <w:rFonts w:ascii="Times New Roman" w:cs="Times New Roman" w:eastAsia="Times New Roman" w:hAnsi="Times New Roman"/>
          <w:sz w:val="22"/>
          <w:szCs w:val="22"/>
          <w:color w:val="auto"/>
        </w:rPr>
        <w:t>, as such date may be extended in accordance with Section 2.6(b).</w:t>
      </w:r>
    </w:p>
    <w:p>
      <w:pPr>
        <w:spacing w:after="0" w:line="158" w:lineRule="exact"/>
        <w:rPr>
          <w:sz w:val="20"/>
          <w:szCs w:val="20"/>
          <w:color w:val="auto"/>
        </w:rPr>
      </w:pPr>
    </w:p>
    <w:p>
      <w:pPr>
        <w:jc w:val="both"/>
        <w:ind w:firstLine="1304"/>
        <w:spacing w:after="0" w:line="256" w:lineRule="auto"/>
        <w:tabs>
          <w:tab w:leader="none" w:pos="167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2010-6 Agent) hereby authorize and direct the Trustee and Series 2010-6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2010-6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later of (x) the date hereof and (y) the date on which each of the following shall have occurred: (i) each of ABRCF, the Administrator, the Administrative Agent and each Series 2010-6 Noteholder shall have executed and delivered this Amendment to the Trustee, and the Trustee shall have executed this Amendment, (ii) the Rating Agency Consent Condition shall have been satisfied with respect to this Amendment, (iii) each Funding Agent shall have received a letter, in form and substance satisfactory to such Funding Agent, from each of Moody’s, Standard &amp; Poor’s and/or Fitch, as applicable, confirming the commercial paper rating of the related CP Conduit Purchaser after the effectiveness of this Amendment, (iv) all certificates and opinions of counsel required under the Base Indenture or by the Series 2010-6 Noteholders shall have been delivered to the Trustee and the Series 2010-6 Noteholders, as applicable, (v) the Administrative Agent shall have received, to the extent reasonably requested by the Administrative Agent (or by any Funding Agent or Non-Conduit Purchaser through the Administrative Agent) from the Administrator, all documentation and other information about ABRCF and its Affiliates required by regulatory authorities under applicable “know your customer” and anti-money laundering rules and regulations, including the Patriot Act and (vi) the amendment, dated as of the date hereof, to the Series 2015-3 Supplement shall have been executed and delivered by the parties thereto and all conditions precedent to the effectiveness thereof shall have been satisfied or waived (such later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right="20" w:firstLine="1304"/>
        <w:spacing w:after="0" w:line="271" w:lineRule="auto"/>
        <w:tabs>
          <w:tab w:leader="none" w:pos="181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Series 2010-6 Supplement shall be deemed to be references to the Series 2010-6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1240"/>
          </w:cols>
          <w:pgMar w:left="320" w:top="1030"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22"/>
          <w:szCs w:val="22"/>
          <w:color w:val="auto"/>
        </w:rPr>
        <w:t>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0" w:lineRule="exact"/>
        <w:rPr>
          <w:sz w:val="20"/>
          <w:szCs w:val="20"/>
          <w:color w:val="auto"/>
        </w:rPr>
      </w:pPr>
    </w:p>
    <w:p>
      <w:pPr>
        <w:ind w:right="20" w:firstLine="1304"/>
        <w:spacing w:after="0" w:line="295" w:lineRule="auto"/>
        <w:tabs>
          <w:tab w:leader="none" w:pos="187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1240"/>
          </w:cols>
          <w:pgMar w:left="320" w:top="1246" w:right="339" w:bottom="1440" w:gutter="0" w:footer="0" w:header="0"/>
        </w:sectPr>
      </w:pPr>
    </w:p>
    <w:bookmarkStart w:id="47" w:name="page48"/>
    <w:bookmarkEnd w:id="4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7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1220"/>
          </w:cols>
          <w:pgMar w:left="320" w:top="1422" w:right="359" w:bottom="1440" w:gutter="0" w:footer="0" w:header="0"/>
        </w:sectPr>
      </w:pPr>
    </w:p>
    <w:bookmarkStart w:id="48" w:name="page49"/>
    <w:bookmarkEnd w:id="48"/>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Series 2010-6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-160020</wp:posOffset>
            </wp:positionV>
            <wp:extent cx="21945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900"/>
          </w:cols>
          <w:pgMar w:left="400" w:top="1440" w:right="599" w:bottom="1440" w:gutter="0" w:footer="0" w:header="0"/>
        </w:sectPr>
      </w:pPr>
    </w:p>
    <w:bookmarkStart w:id="49" w:name="page50"/>
    <w:bookmarkEnd w:id="49"/>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-160020</wp:posOffset>
            </wp:positionV>
            <wp:extent cx="21945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660"/>
          </w:cols>
          <w:pgMar w:left="400" w:top="1440" w:right="8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STREET FUNDING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Kevin J.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280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Kevin J. Corrigan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NOVA SCOTIA,</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Funding Agent and an APA Bank under</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Series 2010-6 Supplement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Edward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14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Edward Ra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51" w:name="page52"/>
    <w:bookmarkEnd w:id="5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BARTON CAPITAL S.A.,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John Cho</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SOCIETE GENERALE,</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Funding Agent and an APA Bank under</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Series 2010-6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John Cho</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52" w:name="page53"/>
    <w:bookmarkEnd w:id="5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FALCON ASSET FUNDING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CP Conduit Purchaser under the Series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021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Funding Agent under the Series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 Series 2010-6</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Supplement</w:t>
      </w:r>
    </w:p>
    <w:p>
      <w:pPr>
        <w:spacing w:after="0" w:line="3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021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53" w:name="page54"/>
    <w:bookmarkEnd w:id="5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ATLANTIC ASSET SECURITIZATION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Credit Agricole Corporate and Investment Bank, as Attorney-in-fact</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R Núñez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54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R Núñez</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Roger Klepper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125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11252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Roger Klepper</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4219" w:hanging="323"/>
        <w:spacing w:after="0" w:line="254" w:lineRule="auto"/>
        <w:rPr>
          <w:sz w:val="20"/>
          <w:szCs w:val="20"/>
          <w:color w:val="auto"/>
        </w:rPr>
      </w:pPr>
      <w:r>
        <w:rPr>
          <w:rFonts w:ascii="Times New Roman" w:cs="Times New Roman" w:eastAsia="Times New Roman" w:hAnsi="Times New Roman"/>
          <w:sz w:val="22"/>
          <w:szCs w:val="22"/>
          <w:color w:val="auto"/>
        </w:rPr>
        <w:t>CREDIT AGRICOLE CORPORATE AND INVESTMENT BANK, as a Funding Agent and an APA Bank under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R Núñez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54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R Núñez</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Roger Klepper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125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11252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Roger Klepper</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54" w:name="page55"/>
    <w:bookmarkEnd w:id="5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NATIONAL ASSOCIATION,</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Non-Conduit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Andrew Estes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66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Andrew Estes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THUNDER BAY FUNDING,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Royal Bank of Canada, as</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Lisa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887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Lisa Wang</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Funding Agent and an APA Bank under the Series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Lisa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887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Lisa Wang</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Irina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82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Irina Snyder</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STARBIRD FUNDING CORPORATION,</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V. DeAngelis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0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V. DeAngelis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BNP PARIBAS,</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Funding Agent and an APA Bank under the</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Carl Spalding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59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Carl Spalding</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Jeffrey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04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Jeffrey Orr</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BANK OF MONTREAL,</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Benjamin Keskic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2496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Benjamin Keskic</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FAIRWAY FINANCE COMPANY, LLC,</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Irina Khaimova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65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Irina Khaimova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BMO CAPITAL MARKETS CORP.,</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Funding Agent under the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Lindsay Banuelos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2877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Lindsay Banuelos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color w:val="auto"/>
        </w:rPr>
        <w:t>AMERICAS 132527259</w:t>
      </w:r>
    </w:p>
    <w:p>
      <w:pPr>
        <w:sectPr>
          <w:pgSz w:w="11900" w:h="16838" w:orient="portrait"/>
          <w:cols w:equalWidth="0" w:num="1">
            <w:col w:w="10139"/>
          </w:cols>
          <w:pgMar w:left="320" w:top="1422" w:right="1440" w:bottom="1440" w:gutter="0" w:footer="0" w:header="0"/>
          <w:type w:val="continuous"/>
        </w:sectPr>
      </w:pPr>
    </w:p>
    <w:bookmarkStart w:id="58" w:name="page59"/>
    <w:bookmarkEnd w:id="58"/>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VICTORY RECEIVABLES CORPORATION,</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CP Conduit Purchaser under the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Kevin J.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280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Kevin J. Corrigan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Funding Agent under the</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Brian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9067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Brian Chin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Brian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9067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Brian Chin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59" w:name="page60"/>
    <w:bookmarkEnd w:id="59"/>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LLOYDS BANK PLC,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Edward Leng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43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Edward Leng</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Olivier Riffaud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40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Olivier Riffaud</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TRUIST BANK,</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 Series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Emily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744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Emily Shields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MORGAN STANLEY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 Series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Ross Shaiman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82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Ross Shaiman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Leigh Poltrack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125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Leigh Poltrack</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Non-Conduit Purchaser under the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Pawel Bania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906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Pawel Bania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MIZUHO BANK, LTD.,</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Jeremy Ebrahim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203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Jeremy Ebrahim</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CITIZENS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Devon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51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Devon Patton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REGIONS BANK,</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Non-Conduit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Kathryn Pietra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04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Kathryn Pietra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BANNER TRUST,</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CP Conduit Purchaser under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Susan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28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Susan Calder</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TD SECURITIES INC.,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Funding Agent under the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Susan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28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Susan Calder</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TORONTO-DOMINION BANK,</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Series 2010-6 Supplement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Jamie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448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9448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Jamie Giles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AESOP LEASING, L.P.,</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Committed Note Purchaser under the Series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2010-6 Supplement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347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22" w:right="1440" w:bottom="1440" w:gutter="0" w:footer="0" w:header="0"/>
        </w:sectPr>
      </w:pPr>
    </w:p>
    <w:bookmarkStart w:id="69" w:name="page70"/>
    <w:bookmarkEnd w:id="69"/>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347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132527259</w:t>
      </w:r>
    </w:p>
    <w:p>
      <w:pPr>
        <w:sectPr>
          <w:pgSz w:w="11900" w:h="16838" w:orient="portrait"/>
          <w:cols w:equalWidth="0" w:num="1">
            <w:col w:w="10139"/>
          </w:cols>
          <w:pgMar w:left="320" w:top="144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THIRD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FOURTH AMENDED AND RESTATED SERIES 2015-3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THIRD AMENDMENT TO THE FOURTH AMENDED AND RESTATED SERIES 2015-3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March 20, 2026 amends the Fourth Amended and Restated Series 2015-3 Supplement (as amended to date, the “</w:t>
      </w:r>
      <w:r>
        <w:rPr>
          <w:rFonts w:ascii="Times New Roman" w:cs="Times New Roman" w:eastAsia="Times New Roman" w:hAnsi="Times New Roman"/>
          <w:sz w:val="22"/>
          <w:szCs w:val="22"/>
          <w:u w:val="single" w:color="auto"/>
          <w:color w:val="auto"/>
        </w:rPr>
        <w:t>Series 2015-3 Supplement</w:t>
      </w:r>
      <w:r>
        <w:rPr>
          <w:rFonts w:ascii="Times New Roman" w:cs="Times New Roman" w:eastAsia="Times New Roman" w:hAnsi="Times New Roman"/>
          <w:sz w:val="22"/>
          <w:szCs w:val="22"/>
          <w:color w:val="auto"/>
        </w:rPr>
        <w:t>”), dated as of March 4, 2024,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AVIS BUDGET CAR RENTAL, LLC, a limited liability company established under the laws of Delaware, as administrator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JPMORGAN CHASE BANK, N.A., a national banking association,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several banks set forth on Schedule I thereto as Non-Conduit Purchasers (each, a “</w:t>
      </w:r>
      <w:r>
        <w:rPr>
          <w:rFonts w:ascii="Times New Roman" w:cs="Times New Roman" w:eastAsia="Times New Roman" w:hAnsi="Times New Roman"/>
          <w:sz w:val="22"/>
          <w:szCs w:val="22"/>
          <w:u w:val="single" w:color="auto"/>
          <w:color w:val="auto"/>
        </w:rPr>
        <w:t>Non-Conduit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the several commercial paper conduits listed on Schedule I thereto (each, a “</w:t>
      </w:r>
      <w:r>
        <w:rPr>
          <w:rFonts w:ascii="Times New Roman" w:cs="Times New Roman" w:eastAsia="Times New Roman" w:hAnsi="Times New Roman"/>
          <w:sz w:val="22"/>
          <w:szCs w:val="22"/>
          <w:u w:val="single" w:color="auto"/>
          <w:color w:val="auto"/>
        </w:rPr>
        <w:t>CP Conduit Purchaser</w:t>
      </w:r>
      <w:r>
        <w:rPr>
          <w:rFonts w:ascii="Times New Roman" w:cs="Times New Roman" w:eastAsia="Times New Roman" w:hAnsi="Times New Roman"/>
          <w:sz w:val="22"/>
          <w:szCs w:val="22"/>
          <w:color w:val="auto"/>
        </w:rPr>
        <w:t>”), the several banks set forth opposite the name of each CP Conduit Purchaser on Schedule I thereto (each, an “</w:t>
      </w:r>
      <w:r>
        <w:rPr>
          <w:rFonts w:ascii="Times New Roman" w:cs="Times New Roman" w:eastAsia="Times New Roman" w:hAnsi="Times New Roman"/>
          <w:sz w:val="22"/>
          <w:szCs w:val="22"/>
          <w:u w:val="single" w:color="auto"/>
          <w:color w:val="auto"/>
        </w:rPr>
        <w:t>APA Bank</w:t>
      </w:r>
      <w:r>
        <w:rPr>
          <w:rFonts w:ascii="Times New Roman" w:cs="Times New Roman" w:eastAsia="Times New Roman" w:hAnsi="Times New Roman"/>
          <w:sz w:val="22"/>
          <w:szCs w:val="22"/>
          <w:color w:val="auto"/>
        </w:rPr>
        <w:t>” with respect to such CP Conduit Purchaser), the several agent banks set forth opposite the name of each CP Conduit Purchaser on Schedule I thereto (each, a “</w:t>
      </w:r>
      <w:r>
        <w:rPr>
          <w:rFonts w:ascii="Times New Roman" w:cs="Times New Roman" w:eastAsia="Times New Roman" w:hAnsi="Times New Roman"/>
          <w:sz w:val="22"/>
          <w:szCs w:val="22"/>
          <w:u w:val="single" w:color="auto"/>
          <w:color w:val="auto"/>
        </w:rPr>
        <w:t>Funding Agent</w:t>
      </w:r>
      <w:r>
        <w:rPr>
          <w:rFonts w:ascii="Times New Roman" w:cs="Times New Roman" w:eastAsia="Times New Roman" w:hAnsi="Times New Roman"/>
          <w:sz w:val="22"/>
          <w:szCs w:val="22"/>
          <w:color w:val="auto"/>
        </w:rPr>
        <w:t>” with respect to such CP Conduit Purchaser), the entities set forth on Schedule I thereto as Committed Note Purchasers (each, a “</w:t>
      </w:r>
      <w:r>
        <w:rPr>
          <w:rFonts w:ascii="Times New Roman" w:cs="Times New Roman" w:eastAsia="Times New Roman" w:hAnsi="Times New Roman"/>
          <w:sz w:val="22"/>
          <w:szCs w:val="22"/>
          <w:u w:val="single" w:color="auto"/>
          <w:color w:val="auto"/>
        </w:rPr>
        <w:t>Committed Note Purchaser</w:t>
      </w:r>
      <w:r>
        <w:rPr>
          <w:rFonts w:ascii="Times New Roman" w:cs="Times New Roman" w:eastAsia="Times New Roman" w:hAnsi="Times New Roman"/>
          <w:sz w:val="22"/>
          <w:szCs w:val="22"/>
          <w:color w:val="auto"/>
        </w:rPr>
        <w:t>”),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2015-3 Noteholders (in such capacity, the “</w:t>
      </w:r>
      <w:r>
        <w:rPr>
          <w:rFonts w:ascii="Times New Roman" w:cs="Times New Roman" w:eastAsia="Times New Roman" w:hAnsi="Times New Roman"/>
          <w:sz w:val="22"/>
          <w:szCs w:val="22"/>
          <w:u w:val="single" w:color="auto"/>
          <w:color w:val="auto"/>
        </w:rPr>
        <w:t>Series 2015-3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2015-3 Supplement,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with the consent of ABRCF, the Trustee, any applicable Enhancement Provider and in connection with certain amendments, either the Required Noteholders of a Series of Notes or each affected Noteholder, as applicable;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11.11 of the Series 2015-3 Supplement, the Series 2015-3 Supplement may be amended in accordance with Section 12.2 of the Base Indenture;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Series 2015-3 Supplement to revise the definition of “Class B Scheduled Expiry Date” in connection with the existing facility; and</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ABRCF has requested the Trustee, the Series 2015-3 Agent, the Administrator, the Administrative Agent and the Series 2015-3 Noteholders to, and, upon the effectiveness of this Amendment, ABRCF, the Trustee, the Series 2015-3 Agent, the Administrator, the Administrative Agent and each Series 2015-3 Noteholder have agreed to, make the amendments described above as set forth herein.</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1240"/>
          </w:cols>
          <w:pgMar w:left="320" w:top="122" w:right="3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right="20" w:firstLine="1304"/>
        <w:spacing w:after="0" w:line="284" w:lineRule="auto"/>
        <w:tabs>
          <w:tab w:leader="none" w:pos="171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The following definitions are hereby amended and restated as follows, (i) by deleting the text thereof which is lined out and (ii) by inserting the text thereof which is </w:t>
      </w:r>
      <w:r>
        <w:rPr>
          <w:rFonts w:ascii="Times New Roman" w:cs="Times New Roman" w:eastAsia="Times New Roman" w:hAnsi="Times New Roman"/>
          <w:sz w:val="22"/>
          <w:szCs w:val="22"/>
          <w:b w:val="1"/>
          <w:bCs w:val="1"/>
          <w:u w:val="single" w:color="auto"/>
          <w:color w:val="3051F2"/>
        </w:rPr>
        <w:t>double underlined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Scheduled Expiry Date</w:t>
      </w:r>
      <w:r>
        <w:rPr>
          <w:rFonts w:ascii="Times New Roman" w:cs="Times New Roman" w:eastAsia="Times New Roman" w:hAnsi="Times New Roman"/>
          <w:sz w:val="22"/>
          <w:szCs w:val="22"/>
          <w:color w:val="auto"/>
        </w:rPr>
        <w:t xml:space="preserve">” means, with respect to any Purchaser Group of the Class B Notes, </w:t>
      </w:r>
      <w:r>
        <w:rPr>
          <w:rFonts w:ascii="Times New Roman" w:cs="Times New Roman" w:eastAsia="Times New Roman" w:hAnsi="Times New Roman"/>
          <w:sz w:val="22"/>
          <w:szCs w:val="22"/>
          <w:color w:val="auto"/>
          <w:strike w:val="1"/>
        </w:rPr>
        <w:t>April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2026</w:t>
      </w:r>
      <w:r>
        <w:rPr>
          <w:rFonts w:ascii="Times New Roman" w:cs="Times New Roman" w:eastAsia="Times New Roman" w:hAnsi="Times New Roman"/>
          <w:sz w:val="22"/>
          <w:szCs w:val="22"/>
          <w:b w:val="1"/>
          <w:bCs w:val="1"/>
          <w:u w:val="single" w:color="auto"/>
          <w:color w:val="3051F2"/>
        </w:rPr>
        <w:t>April 30, 2026</w:t>
      </w:r>
      <w:r>
        <w:rPr>
          <w:rFonts w:ascii="Times New Roman" w:cs="Times New Roman" w:eastAsia="Times New Roman" w:hAnsi="Times New Roman"/>
          <w:sz w:val="22"/>
          <w:szCs w:val="22"/>
          <w:color w:val="auto"/>
        </w:rPr>
        <w:t>, as such date may be extended in accordance with Section 2.6(b).</w:t>
      </w:r>
    </w:p>
    <w:p>
      <w:pPr>
        <w:spacing w:after="0" w:line="158" w:lineRule="exact"/>
        <w:rPr>
          <w:sz w:val="20"/>
          <w:szCs w:val="20"/>
          <w:color w:val="auto"/>
        </w:rPr>
      </w:pPr>
    </w:p>
    <w:p>
      <w:pPr>
        <w:jc w:val="both"/>
        <w:ind w:firstLine="1304"/>
        <w:spacing w:after="0" w:line="256" w:lineRule="auto"/>
        <w:tabs>
          <w:tab w:leader="none" w:pos="167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2015-3 Agent) hereby authorize and direct the Trustee and Series 2015-3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2015-3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later of (x) the date hereof and (y) the date on which each of the following shall have occurred: (i) each of ABRCF, the Administrator, the Administrative Agent and each Series 2015-3 Noteholder shall have executed and delivered this Amendment to the Trustee, and the Trustee shall have executed this Amendment, (ii) the Rating Agency Consent Condition shall have been satisfied with respect to this Amendment, (iii) each Funding Agent shall have received a letter, in form and substance satisfactory to such Funding Agent, from each of Moody’s, Standard &amp; Poor’s and/or Fitch, as applicable, confirming the commercial paper rating of the related CP Conduit Purchaser after the effectiveness of this Amendment, (iv) all certificates and opinions of counsel required under the Base Indenture or by the Series 2015-3 Noteholders shall have been delivered to the Trustee and the Series 2015-3 Noteholders, as applicable, (v) the Administrative Agent shall have received, to the extent reasonably requested by the Administrative Agent (or by any Funding Agent or Non-Conduit Purchaser through the Administrative Agent) from the Administrator, all documentation and other information about ABRCF and its Affiliates required by regulatory authorities under applicable “know your customer” and anti-money laundering rules and regulations, including the Patriot Act and (vi) the amendment, dated as of the date hereof, to the Series 2010-6 Supplement shall have been executed and delivered by the parties thereto and all conditions precedent to the effectiveness thereof shall have been satisfied or waived (such later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right="20" w:firstLine="1304"/>
        <w:spacing w:after="0" w:line="271" w:lineRule="auto"/>
        <w:tabs>
          <w:tab w:leader="none" w:pos="181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Series 2015-3 Supplement shall be deemed to be references to the Series 2015-3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1240"/>
          </w:cols>
          <w:pgMar w:left="320" w:top="1030" w:right="339" w:bottom="1440" w:gutter="0" w:footer="0" w:header="0"/>
        </w:sectPr>
      </w:pPr>
    </w:p>
    <w:bookmarkStart w:id="72" w:name="page73"/>
    <w:bookmarkEnd w:id="72"/>
    <w:p>
      <w:pPr>
        <w:jc w:val="both"/>
        <w:spacing w:after="0" w:line="250" w:lineRule="auto"/>
        <w:rPr>
          <w:sz w:val="20"/>
          <w:szCs w:val="20"/>
          <w:color w:val="auto"/>
        </w:rPr>
      </w:pPr>
      <w:r>
        <w:rPr>
          <w:rFonts w:ascii="Times New Roman" w:cs="Times New Roman" w:eastAsia="Times New Roman" w:hAnsi="Times New Roman"/>
          <w:sz w:val="22"/>
          <w:szCs w:val="22"/>
          <w:color w:val="auto"/>
        </w:rPr>
        <w:t>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0" w:lineRule="exact"/>
        <w:rPr>
          <w:sz w:val="20"/>
          <w:szCs w:val="20"/>
          <w:color w:val="auto"/>
        </w:rPr>
      </w:pPr>
    </w:p>
    <w:p>
      <w:pPr>
        <w:ind w:right="20" w:firstLine="1304"/>
        <w:spacing w:after="0" w:line="295" w:lineRule="auto"/>
        <w:tabs>
          <w:tab w:leader="none" w:pos="187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1240"/>
          </w:cols>
          <w:pgMar w:left="320" w:top="1030" w:right="339" w:bottom="1440" w:gutter="0" w:footer="0" w:header="0"/>
        </w:sectPr>
      </w:pPr>
    </w:p>
    <w:bookmarkStart w:id="73" w:name="page74"/>
    <w:bookmarkEnd w:id="7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7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1220"/>
          </w:cols>
          <w:pgMar w:left="320" w:top="1422" w:right="359" w:bottom="1440" w:gutter="0" w:footer="0" w:header="0"/>
        </w:sectPr>
      </w:pPr>
    </w:p>
    <w:bookmarkStart w:id="74" w:name="page75"/>
    <w:bookmarkEnd w:id="74"/>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Series 2015-3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-160020</wp:posOffset>
            </wp:positionV>
            <wp:extent cx="21945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900"/>
          </w:cols>
          <w:pgMar w:left="400" w:top="1440" w:right="599" w:bottom="1440" w:gutter="0" w:footer="0" w:header="0"/>
        </w:sectPr>
      </w:pPr>
    </w:p>
    <w:bookmarkStart w:id="75" w:name="page76"/>
    <w:bookmarkEnd w:id="75"/>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-160020</wp:posOffset>
            </wp:positionV>
            <wp:extent cx="21945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660"/>
          </w:cols>
          <w:pgMar w:left="400" w:top="1440" w:right="8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 RECEIVABLES COMPANY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Series 2015-3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506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John McCarthy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 Series 2015-3 Supplement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50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John McCarthy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Funding Agent under the Series 2015-3 Supplement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50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John McCarthy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139"/>
          </w:cols>
          <w:pgMar w:left="320" w:top="142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FALCON ASSET FUNDING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CP Conduit Purchaser under the Series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2015-3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21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Funding Agent under the Series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2015-3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21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an APA Bank under the Series 2015-3</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21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139"/>
          </w:cols>
          <w:pgMar w:left="320" w:top="142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AESOP LEASING, L.P.,</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a Committed Note Purchaser under the Series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2015-3 Supplement</w:t>
      </w:r>
    </w:p>
    <w:p>
      <w:pPr>
        <w:spacing w:after="0" w:line="200" w:lineRule="exact"/>
        <w:rPr>
          <w:sz w:val="20"/>
          <w:szCs w:val="20"/>
          <w:color w:val="auto"/>
        </w:rPr>
      </w:pP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1347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139"/>
          </w:cols>
          <w:pgMar w:left="320" w:top="1422" w:right="1440" w:bottom="1440" w:gutter="0" w:footer="0" w:header="0"/>
        </w:sectPr>
      </w:pPr>
    </w:p>
    <w:bookmarkStart w:id="79" w:name="page80"/>
    <w:bookmarkEnd w:id="79"/>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347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132527262</w:t>
      </w:r>
    </w:p>
    <w:p>
      <w:pPr>
        <w:sectPr>
          <w:pgSz w:w="11900" w:h="16838" w:orient="portrait"/>
          <w:cols w:equalWidth="0" w:num="1">
            <w:col w:w="10139"/>
          </w:cols>
          <w:pgMar w:left="320" w:top="1440"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SERIES 2022-1 SUPPLEMENT</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This FIRST AMENDMENT TO SERIES 2022-1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March 25, 2026 amends the Series 2022-1 Supplement (the “</w:t>
      </w:r>
      <w:r>
        <w:rPr>
          <w:rFonts w:ascii="Times New Roman" w:cs="Times New Roman" w:eastAsia="Times New Roman" w:hAnsi="Times New Roman"/>
          <w:sz w:val="22"/>
          <w:szCs w:val="22"/>
          <w:u w:val="single" w:color="auto"/>
          <w:color w:val="auto"/>
        </w:rPr>
        <w:t>Series 2022-1 Supplement</w:t>
      </w:r>
      <w:r>
        <w:rPr>
          <w:rFonts w:ascii="Times New Roman" w:cs="Times New Roman" w:eastAsia="Times New Roman" w:hAnsi="Times New Roman"/>
          <w:sz w:val="22"/>
          <w:szCs w:val="22"/>
          <w:color w:val="auto"/>
        </w:rPr>
        <w:t>”), dated as of April 14, 2022,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2022-1 Noteholders (in such capacity, the “</w:t>
      </w:r>
      <w:r>
        <w:rPr>
          <w:rFonts w:ascii="Times New Roman" w:cs="Times New Roman" w:eastAsia="Times New Roman" w:hAnsi="Times New Roman"/>
          <w:sz w:val="22"/>
          <w:szCs w:val="22"/>
          <w:u w:val="single" w:color="auto"/>
          <w:color w:val="auto"/>
        </w:rPr>
        <w:t>Series 2022-1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2022-1 Supplement, as applicable.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(i) with the consent of ABRCF, the Trustee, any applicable Enhancement Provider and in connection with certain amendments, either the Required Noteholders of a Series of Notes or each affected Noteholder, as applicable and (ii) upon satisfying the Rating Agency Consent Condition;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Section 5.7 of the Series 2022-1 Supplement, the Series 2022-1 Supplement may be amended in accordance with the terms of the Base Indenture;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the parties desire to amend the Series 2022-1 Supplement to (i) revise the definition of “Class D Note Rate”, (ii) remove Section 5.23(c), Exhibit S-1 and Exhibit S-2 and the requirements associated thereby, (iii) decrease the minimum denomination with respect to the Class D Notes and (iv) to make conforming revisions in connection therewith;</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has determined that the Class D Noteholders are the affected Noteholders with respect to the revisions contemplated hereby;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Rating Agency Consent Condition will be satisfied on the Class D Notes Sale Date; and</w:t>
      </w:r>
    </w:p>
    <w:p>
      <w:pPr>
        <w:spacing w:after="0" w:line="2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ABRCF has requested the Trustee, the Series 2022-1 Agent and the affected Noteholders to, and, upon the effectiveness of this Amendment, ABRCF, the Trustee, the Series 2022-1 Agent and the Class D Noteholders have agreed to, make the amendments described above as set forth herein.</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47" w:lineRule="exact"/>
        <w:rPr>
          <w:sz w:val="20"/>
          <w:szCs w:val="20"/>
          <w:color w:val="auto"/>
        </w:rPr>
      </w:pPr>
    </w:p>
    <w:p>
      <w:pPr>
        <w:ind w:left="1680" w:hanging="376"/>
        <w:spacing w:after="0"/>
        <w:tabs>
          <w:tab w:leader="none" w:pos="16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ectPr>
          <w:pgSz w:w="11900" w:h="16838" w:orient="portrait"/>
          <w:cols w:equalWidth="0" w:num="1">
            <w:col w:w="11240"/>
          </w:cols>
          <w:pgMar w:left="320" w:top="100" w:right="339" w:bottom="1440" w:gutter="0" w:footer="0" w:header="0"/>
        </w:sectPr>
      </w:pPr>
    </w:p>
    <w:bookmarkStart w:id="81" w:name="page82"/>
    <w:bookmarkEnd w:id="81"/>
    <w:p>
      <w:pPr>
        <w:jc w:val="both"/>
        <w:ind w:firstLine="2276"/>
        <w:spacing w:after="0" w:line="257" w:lineRule="auto"/>
        <w:tabs>
          <w:tab w:leader="none" w:pos="277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Series 2022-1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adding the inserted text (indicated in the same manner as the following example: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auto"/>
        </w:rPr>
        <w:t xml:space="preserve">) as set forth on the pages of the Series 2022-1 Supplement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2 and D-3, each as set existing Exhibits.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left="-156" w:firstLine="156"/>
        <w:spacing w:after="0" w:line="271" w:lineRule="auto"/>
        <w:tabs>
          <w:tab w:leader="none" w:pos="46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Exhibits to the Series 2022-1 Supplement are hereby amended to (i) replace Exhibits D-1, D-forth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and (ii) remove Exhibits S-1 and S-2, in each case, without modifying the</w:t>
      </w:r>
    </w:p>
    <w:p>
      <w:pPr>
        <w:spacing w:after="0" w:line="414" w:lineRule="exact"/>
        <w:rPr>
          <w:sz w:val="20"/>
          <w:szCs w:val="20"/>
          <w:color w:val="auto"/>
        </w:rPr>
      </w:pPr>
    </w:p>
    <w:p>
      <w:pPr>
        <w:sectPr>
          <w:pgSz w:w="11900" w:h="16838" w:orient="portrait"/>
          <w:cols w:equalWidth="0" w:num="2">
            <w:col w:w="2040" w:space="236"/>
            <w:col w:w="8964"/>
          </w:cols>
          <w:pgMar w:left="320" w:top="1422" w:right="339" w:bottom="1440" w:gutter="0" w:footer="0" w:header="0"/>
          <w:type w:val="continuous"/>
        </w:sectPr>
      </w:pPr>
    </w:p>
    <w:p>
      <w:pPr>
        <w:jc w:val="both"/>
        <w:ind w:firstLine="1304"/>
        <w:spacing w:after="0" w:line="256" w:lineRule="auto"/>
        <w:tabs>
          <w:tab w:leader="none" w:pos="167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2022-1 Agent) hereby authorize and direct the Trustee and Series 2022-1 Agent to execute this Amendment and take any and all further action necessary or appropriate to give effect to the transaction contemplated hereby.</w:t>
      </w:r>
    </w:p>
    <w:p>
      <w:pPr>
        <w:spacing w:after="0" w:line="203"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2022-1 Supplement.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2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upon satisfaction of the Rating Agency Consent Condition. From and after the date hereof, all references to the Series 2022-1 Supplement shall be deemed to be references to the Series 2022-1 Supplement as amended hereby.</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15" w:lineRule="exact"/>
        <w:rPr>
          <w:rFonts w:ascii="Times New Roman" w:cs="Times New Roman" w:eastAsia="Times New Roman" w:hAnsi="Times New Roman"/>
          <w:sz w:val="22"/>
          <w:szCs w:val="22"/>
          <w:color w:val="auto"/>
        </w:rPr>
      </w:pPr>
    </w:p>
    <w:p>
      <w:pPr>
        <w:ind w:right="20" w:firstLine="1304"/>
        <w:spacing w:after="0" w:line="295" w:lineRule="auto"/>
        <w:tabs>
          <w:tab w:leader="none" w:pos="187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ectPr>
          <w:pgSz w:w="11900" w:h="16838" w:orient="portrait"/>
          <w:cols w:equalWidth="0" w:num="1">
            <w:col w:w="11240"/>
          </w:cols>
          <w:pgMar w:left="320" w:top="1422" w:right="339" w:bottom="1440" w:gutter="0" w:footer="0" w:header="0"/>
          <w:type w:val="continuous"/>
        </w:sectPr>
      </w:pPr>
    </w:p>
    <w:bookmarkStart w:id="82" w:name="page83"/>
    <w:bookmarkEnd w:id="82"/>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9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75" w:lineRule="exact"/>
        <w:rPr>
          <w:sz w:val="20"/>
          <w:szCs w:val="20"/>
          <w:color w:val="auto"/>
        </w:rPr>
      </w:pPr>
    </w:p>
    <w:p>
      <w:pPr>
        <w:ind w:left="4660"/>
        <w:spacing w:after="0"/>
        <w:tabs>
          <w:tab w:leader="none" w:pos="5240" w:val="left"/>
        </w:tabs>
        <w:rPr>
          <w:sz w:val="20"/>
          <w:szCs w:val="20"/>
          <w:color w:val="auto"/>
        </w:rPr>
      </w:pPr>
      <w:r>
        <w:rPr>
          <w:rFonts w:ascii="Times New Roman" w:cs="Times New Roman" w:eastAsia="Times New Roman" w:hAnsi="Times New Roman"/>
          <w:sz w:val="22"/>
          <w:szCs w:val="22"/>
          <w:color w:val="auto"/>
        </w:rPr>
        <w:t>By:</w:t>
        <w:tab/>
        <w:t>/s/ David Calabria</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-160020</wp:posOffset>
            </wp:positionV>
            <wp:extent cx="3746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President and Treasurer</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2022-1 Class D Notes - First Amendment to Series 2022-1</w:t>
      </w:r>
    </w:p>
    <w:p>
      <w:pPr>
        <w:spacing w:after="0"/>
        <w:rPr>
          <w:sz w:val="20"/>
          <w:szCs w:val="20"/>
          <w:color w:val="auto"/>
        </w:rPr>
      </w:pPr>
      <w:r>
        <w:rPr>
          <w:rFonts w:ascii="Times New Roman" w:cs="Times New Roman" w:eastAsia="Times New Roman" w:hAnsi="Times New Roman"/>
          <w:sz w:val="11"/>
          <w:szCs w:val="11"/>
          <w:color w:val="auto"/>
        </w:rPr>
        <w:t>Supplement (Cover Amendment)</w:t>
      </w:r>
    </w:p>
    <w:p>
      <w:pPr>
        <w:sectPr>
          <w:pgSz w:w="11900" w:h="16838" w:orient="portrait"/>
          <w:cols w:equalWidth="0" w:num="1">
            <w:col w:w="10940"/>
          </w:cols>
          <w:pgMar w:left="320" w:top="774" w:right="639" w:bottom="1440" w:gutter="0" w:footer="0" w:header="0"/>
        </w:sectPr>
      </w:pPr>
    </w:p>
    <w:bookmarkStart w:id="83" w:name="page84"/>
    <w:bookmarkEnd w:id="83"/>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22"/>
          <w:szCs w:val="22"/>
          <w:color w:val="auto"/>
        </w:rPr>
        <w:t>TRUST COMPANY, N.A., as Trustee and</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Series 2022-1 Agent</w:t>
      </w:r>
    </w:p>
    <w:p>
      <w:pPr>
        <w:spacing w:after="0" w:line="275" w:lineRule="exact"/>
        <w:rPr>
          <w:sz w:val="20"/>
          <w:szCs w:val="20"/>
          <w:color w:val="auto"/>
        </w:rPr>
      </w:pPr>
    </w:p>
    <w:p>
      <w:pPr>
        <w:ind w:left="4660"/>
        <w:spacing w:after="0"/>
        <w:tabs>
          <w:tab w:leader="none" w:pos="5240" w:val="left"/>
        </w:tabs>
        <w:rPr>
          <w:sz w:val="20"/>
          <w:szCs w:val="20"/>
          <w:color w:val="auto"/>
        </w:rPr>
      </w:pPr>
      <w:r>
        <w:rPr>
          <w:rFonts w:ascii="Times New Roman" w:cs="Times New Roman" w:eastAsia="Times New Roman" w:hAnsi="Times New Roman"/>
          <w:sz w:val="22"/>
          <w:szCs w:val="22"/>
          <w:color w:val="auto"/>
        </w:rPr>
        <w:t>By:</w:t>
        <w:tab/>
        <w:t>/s/ Mitchell L. Brumwell</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-160020</wp:posOffset>
            </wp:positionV>
            <wp:extent cx="3746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2022-1 Class D Notes - First Amendment to Series 2022-1</w:t>
      </w:r>
    </w:p>
    <w:p>
      <w:pPr>
        <w:spacing w:after="0"/>
        <w:rPr>
          <w:sz w:val="20"/>
          <w:szCs w:val="20"/>
          <w:color w:val="auto"/>
        </w:rPr>
      </w:pPr>
      <w:r>
        <w:rPr>
          <w:rFonts w:ascii="Times New Roman" w:cs="Times New Roman" w:eastAsia="Times New Roman" w:hAnsi="Times New Roman"/>
          <w:sz w:val="11"/>
          <w:szCs w:val="11"/>
          <w:color w:val="auto"/>
        </w:rPr>
        <w:t>Supplement (Cover Amendment)</w:t>
      </w:r>
    </w:p>
    <w:p>
      <w:pPr>
        <w:sectPr>
          <w:pgSz w:w="11900" w:h="16838" w:orient="portrait"/>
          <w:cols w:equalWidth="0" w:num="1">
            <w:col w:w="10139"/>
          </w:cols>
          <w:pgMar w:left="320" w:top="144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301" w:lineRule="exact"/>
        <w:rPr>
          <w:sz w:val="20"/>
          <w:szCs w:val="20"/>
          <w:color w:val="auto"/>
        </w:rPr>
      </w:pPr>
    </w:p>
    <w:p>
      <w:pPr>
        <w:jc w:val="center"/>
        <w:ind w:right="6759"/>
        <w:spacing w:after="0"/>
        <w:rPr>
          <w:sz w:val="20"/>
          <w:szCs w:val="20"/>
          <w:color w:val="auto"/>
        </w:rPr>
      </w:pPr>
      <w:r>
        <w:rPr>
          <w:rFonts w:ascii="Times New Roman" w:cs="Times New Roman" w:eastAsia="Times New Roman" w:hAnsi="Times New Roman"/>
          <w:sz w:val="21"/>
          <w:szCs w:val="21"/>
          <w:color w:val="auto"/>
        </w:rPr>
        <w:t>AVIS BUDGET CAR RENTAL, LLC,</w:t>
      </w:r>
    </w:p>
    <w:p>
      <w:pPr>
        <w:spacing w:after="0" w:line="39" w:lineRule="exact"/>
        <w:rPr>
          <w:sz w:val="20"/>
          <w:szCs w:val="20"/>
          <w:color w:val="auto"/>
        </w:rPr>
      </w:pPr>
    </w:p>
    <w:p>
      <w:pPr>
        <w:jc w:val="center"/>
        <w:ind w:right="6799"/>
        <w:spacing w:after="0"/>
        <w:rPr>
          <w:sz w:val="20"/>
          <w:szCs w:val="20"/>
          <w:color w:val="auto"/>
        </w:rPr>
      </w:pPr>
      <w:r>
        <w:rPr>
          <w:rFonts w:ascii="Times New Roman" w:cs="Times New Roman" w:eastAsia="Times New Roman" w:hAnsi="Times New Roman"/>
          <w:sz w:val="22"/>
          <w:szCs w:val="22"/>
          <w:color w:val="auto"/>
        </w:rPr>
        <w:t>as the Sole Class D Noteholder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0318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2022-1 Class D Notes - First Amendment to Series 2022-1</w:t>
      </w:r>
    </w:p>
    <w:p>
      <w:pPr>
        <w:spacing w:after="0"/>
        <w:rPr>
          <w:sz w:val="20"/>
          <w:szCs w:val="20"/>
          <w:color w:val="auto"/>
        </w:rPr>
      </w:pPr>
      <w:r>
        <w:rPr>
          <w:rFonts w:ascii="Times New Roman" w:cs="Times New Roman" w:eastAsia="Times New Roman" w:hAnsi="Times New Roman"/>
          <w:sz w:val="11"/>
          <w:szCs w:val="11"/>
          <w:color w:val="auto"/>
        </w:rPr>
        <w:t>Supplement (Cover Amendment)</w:t>
      </w:r>
    </w:p>
    <w:p>
      <w:pPr>
        <w:sectPr>
          <w:pgSz w:w="11900" w:h="16838" w:orient="portrait"/>
          <w:cols w:equalWidth="0" w:num="1">
            <w:col w:w="10139"/>
          </w:cols>
          <w:pgMar w:left="320" w:top="1422" w:right="1440" w:bottom="1440" w:gutter="0" w:footer="0" w:header="0"/>
        </w:sectPr>
      </w:pPr>
    </w:p>
    <w:bookmarkStart w:id="85" w:name="page86"/>
    <w:bookmarkEnd w:id="85"/>
    <w:p>
      <w:pPr>
        <w:spacing w:after="0" w:line="3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33"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22"/>
          <w:szCs w:val="22"/>
          <w:color w:val="auto"/>
        </w:rPr>
        <w:t>Amendments to Series 2022-1 Supplement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ectPr>
          <w:pgSz w:w="11900" w:h="16838" w:orient="portrait"/>
          <w:cols w:equalWidth="0" w:num="1">
            <w:col w:w="10139"/>
          </w:cols>
          <w:pgMar w:left="320" w:top="1440"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r>
        <w:rPr>
          <w:rFonts w:ascii="Times New Roman" w:cs="Times New Roman" w:eastAsia="Times New Roman" w:hAnsi="Times New Roman"/>
          <w:sz w:val="18"/>
          <w:szCs w:val="18"/>
          <w:b w:val="1"/>
          <w:bCs w:val="1"/>
          <w:i w:val="1"/>
          <w:iCs w:val="1"/>
          <w:u w:val="single" w:color="auto"/>
          <w:color w:val="0000FF"/>
          <w:strike w:val="1"/>
        </w:rPr>
        <w:t>Conformed through</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First Amendment, dated March 25,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Issuer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Trustee and Series 2022-1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2022-1 SUPPLEMENT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14, 2022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Series 2022-1 3.83% Rental Car Asset Backed Notes, Class A</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Series 2022-1 4.30% Rental Car Asset Backed Notes, Class B</w:t>
      </w:r>
    </w:p>
    <w:p>
      <w:pPr>
        <w:spacing w:after="0" w:line="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Series 2022-1 4.84% Rental Car Asset Backed Notes, Class 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Series 2022-1 </w:t>
      </w:r>
      <w:r>
        <w:rPr>
          <w:rFonts w:ascii="Times New Roman" w:cs="Times New Roman" w:eastAsia="Times New Roman" w:hAnsi="Times New Roman"/>
          <w:sz w:val="22"/>
          <w:szCs w:val="22"/>
          <w:color w:val="FF0000"/>
          <w:strike w:val="1"/>
        </w:rPr>
        <w:t>6.79</w:t>
      </w:r>
      <w:r>
        <w:rPr>
          <w:rFonts w:ascii="Times New Roman" w:cs="Times New Roman" w:eastAsia="Times New Roman" w:hAnsi="Times New Roman"/>
          <w:sz w:val="22"/>
          <w:szCs w:val="22"/>
          <w:color w:val="0000FF"/>
        </w:rPr>
        <w:t>6.36%</w:t>
      </w:r>
      <w:r>
        <w:rPr>
          <w:rFonts w:ascii="Times New Roman" w:cs="Times New Roman" w:eastAsia="Times New Roman" w:hAnsi="Times New Roman"/>
          <w:sz w:val="22"/>
          <w:szCs w:val="22"/>
          <w:color w:val="auto"/>
        </w:rPr>
        <w:t xml:space="preserve"> Rental Car Asset Backed Notes, Class 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2022-1 7.767% Rental Car Asset Backed Notes, Class R</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112057759</w:t>
      </w:r>
    </w:p>
    <w:p>
      <w:pPr>
        <w:sectPr>
          <w:pgSz w:w="11900" w:h="16838" w:orient="portrait"/>
          <w:cols w:equalWidth="0" w:num="1">
            <w:col w:w="11240"/>
          </w:cols>
          <w:pgMar w:left="320" w:top="765" w:right="339" w:bottom="1440" w:gutter="0" w:footer="0" w:header="0"/>
          <w:type w:val="continuous"/>
        </w:sectPr>
      </w:pPr>
    </w:p>
    <w:bookmarkStart w:id="87" w:name="page88"/>
    <w:bookmarkEnd w:id="87"/>
    <w:p>
      <w:pPr>
        <w:jc w:val="both"/>
        <w:ind w:left="640" w:right="259" w:firstLine="1296"/>
        <w:spacing w:after="0" w:line="248" w:lineRule="auto"/>
        <w:rPr>
          <w:sz w:val="20"/>
          <w:szCs w:val="20"/>
          <w:color w:val="auto"/>
        </w:rPr>
      </w:pPr>
      <w:r>
        <w:rPr>
          <w:rFonts w:ascii="Times New Roman" w:cs="Times New Roman" w:eastAsia="Times New Roman" w:hAnsi="Times New Roman"/>
          <w:sz w:val="22"/>
          <w:szCs w:val="22"/>
          <w:color w:val="auto"/>
        </w:rPr>
        <w:t>SERIES 2022-1 SUPPLEMENT, dated as of April 14, 2022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w:t>
      </w:r>
    </w:p>
    <w:p>
      <w:pPr>
        <w:spacing w:after="0" w:line="5" w:lineRule="exact"/>
        <w:rPr>
          <w:sz w:val="20"/>
          <w:szCs w:val="20"/>
          <w:color w:val="auto"/>
        </w:rPr>
      </w:pPr>
    </w:p>
    <w:p>
      <w:pPr>
        <w:jc w:val="both"/>
        <w:ind w:left="1400" w:right="259"/>
        <w:spacing w:after="0" w:line="246" w:lineRule="auto"/>
        <w:rPr>
          <w:sz w:val="20"/>
          <w:szCs w:val="20"/>
          <w:color w:val="auto"/>
        </w:rPr>
      </w:pPr>
      <w:r>
        <w:rPr>
          <w:rFonts w:ascii="Times New Roman" w:cs="Times New Roman" w:eastAsia="Times New Roman" w:hAnsi="Times New Roman"/>
          <w:sz w:val="22"/>
          <w:szCs w:val="22"/>
          <w:color w:val="auto"/>
        </w:rPr>
        <w:t>(formerly known as The Bank of New York), as agent (in such capacity, the “</w:t>
      </w:r>
      <w:r>
        <w:rPr>
          <w:rFonts w:ascii="Times New Roman" w:cs="Times New Roman" w:eastAsia="Times New Roman" w:hAnsi="Times New Roman"/>
          <w:sz w:val="22"/>
          <w:szCs w:val="22"/>
          <w:u w:val="single" w:color="auto"/>
          <w:color w:val="auto"/>
        </w:rPr>
        <w:t>Series 2022-1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for the benefit of the Series 2022-1 Noteholders, to the Second Amended and Restated Base Indenture, dated as of June 3, 2004, between ABRCF and</w:t>
      </w:r>
    </w:p>
    <w:p>
      <w:pPr>
        <w:spacing w:after="0" w:line="3" w:lineRule="exact"/>
        <w:rPr>
          <w:sz w:val="20"/>
          <w:szCs w:val="20"/>
          <w:color w:val="auto"/>
        </w:rPr>
      </w:pPr>
    </w:p>
    <w:p>
      <w:pPr>
        <w:jc w:val="both"/>
        <w:ind w:left="640" w:right="259"/>
        <w:spacing w:after="0" w:line="248" w:lineRule="auto"/>
        <w:rPr>
          <w:sz w:val="20"/>
          <w:szCs w:val="20"/>
          <w:color w:val="auto"/>
        </w:rPr>
      </w:pPr>
      <w:r>
        <w:rPr>
          <w:rFonts w:ascii="Times New Roman" w:cs="Times New Roman" w:eastAsia="Times New Roman" w:hAnsi="Times New Roman"/>
          <w:sz w:val="22"/>
          <w:szCs w:val="22"/>
          <w:color w:val="auto"/>
        </w:rPr>
        <w:t>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left="640" w:right="259"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7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24" w:lineRule="exact"/>
        <w:rPr>
          <w:sz w:val="20"/>
          <w:szCs w:val="20"/>
          <w:color w:val="auto"/>
        </w:rPr>
      </w:pPr>
    </w:p>
    <w:p>
      <w:pPr>
        <w:jc w:val="both"/>
        <w:ind w:left="640" w:right="279" w:firstLine="1296"/>
        <w:spacing w:after="0" w:line="250" w:lineRule="auto"/>
        <w:rPr>
          <w:sz w:val="20"/>
          <w:szCs w:val="20"/>
          <w:color w:val="auto"/>
        </w:rPr>
      </w:pPr>
      <w:r>
        <w:rPr>
          <w:rFonts w:ascii="Times New Roman" w:cs="Times New Roman" w:eastAsia="Times New Roman" w:hAnsi="Times New Roman"/>
          <w:sz w:val="22"/>
          <w:szCs w:val="22"/>
          <w:color w:val="auto"/>
        </w:rPr>
        <w:t>There is hereby created a Series of Notes to be issued pursuant to the Base Indenture and this Supplement, and such Series of Notes shall be designated generally as the “Series 2022-1 Rental Car Asset Backed Notes”. The Series 2022-1 Notes shall be issued in up to six Classes, the first of which shall be known as the “Class A Notes”, the second of which shall be known as the “Class B Notes”, the third of which shall be known as the “Class C Notes”, the fourth of which shall be known as the “Class D Notes”, the fifth of which shall be known as the “Class R Notes” and the sixth of which, if issued, shall be known as the “Class E Notes”.</w:t>
      </w:r>
    </w:p>
    <w:p>
      <w:pPr>
        <w:spacing w:after="0" w:line="180" w:lineRule="exact"/>
        <w:rPr>
          <w:sz w:val="20"/>
          <w:szCs w:val="20"/>
          <w:color w:val="auto"/>
        </w:rPr>
      </w:pPr>
    </w:p>
    <w:p>
      <w:pPr>
        <w:jc w:val="both"/>
        <w:ind w:left="640" w:right="259" w:firstLine="1296"/>
        <w:spacing w:after="0" w:line="263" w:lineRule="auto"/>
        <w:rPr>
          <w:sz w:val="20"/>
          <w:szCs w:val="20"/>
          <w:color w:val="auto"/>
        </w:rPr>
      </w:pPr>
      <w:r>
        <w:rPr>
          <w:rFonts w:ascii="Times New Roman" w:cs="Times New Roman" w:eastAsia="Times New Roman" w:hAnsi="Times New Roman"/>
          <w:sz w:val="21"/>
          <w:szCs w:val="21"/>
          <w:color w:val="auto"/>
        </w:rPr>
        <w:t xml:space="preserve">On the Series 2022-1 Closing Date, ABRCF shall issue (i) one tranche of Class A Notes, which shall be designated as the “Series 2022-1 3.83% Rental Car Asset Backed Notes, Class A”, (ii) one tranche of Class B Notes, which shall be designated as the “Series 2022-1 4.30% Rental Car Asset Backed Notes, Class B”, (iii) one tranche of Class C Notes, which shall be designated as the “Series 2022-1 4.84% Rental Car Asset Backed Notes, Class C”, (iv) one tranche of Class D Notes, which shall be designated the “Series 2022-1 </w:t>
      </w:r>
      <w:r>
        <w:rPr>
          <w:rFonts w:ascii="Times New Roman" w:cs="Times New Roman" w:eastAsia="Times New Roman" w:hAnsi="Times New Roman"/>
          <w:sz w:val="21"/>
          <w:szCs w:val="21"/>
          <w:color w:val="FF0000"/>
          <w:strike w:val="1"/>
        </w:rPr>
        <w:t>6.79</w:t>
      </w:r>
      <w:r>
        <w:rPr>
          <w:rFonts w:ascii="Times New Roman" w:cs="Times New Roman" w:eastAsia="Times New Roman" w:hAnsi="Times New Roman"/>
          <w:sz w:val="21"/>
          <w:szCs w:val="21"/>
          <w:u w:val="single" w:color="auto"/>
          <w:color w:val="0000FF"/>
        </w:rPr>
        <w:t>6.36</w:t>
      </w:r>
      <w:r>
        <w:rPr>
          <w:rFonts w:ascii="Times New Roman" w:cs="Times New Roman" w:eastAsia="Times New Roman" w:hAnsi="Times New Roman"/>
          <w:sz w:val="21"/>
          <w:szCs w:val="21"/>
          <w:color w:val="auto"/>
        </w:rPr>
        <w:t>% Rental Car Asset Backed Notes, Class D” and (v) one tranche of Class R Notes, which shall be designated the “Series 2022-1 7.767% Rental Car Asset Backed Notes, Class R”.</w:t>
      </w:r>
    </w:p>
    <w:p>
      <w:pPr>
        <w:spacing w:after="0" w:line="173" w:lineRule="exact"/>
        <w:rPr>
          <w:sz w:val="20"/>
          <w:szCs w:val="20"/>
          <w:color w:val="auto"/>
        </w:rPr>
      </w:pPr>
    </w:p>
    <w:p>
      <w:pPr>
        <w:jc w:val="both"/>
        <w:ind w:left="640" w:right="259" w:firstLine="1296"/>
        <w:spacing w:after="0" w:line="272" w:lineRule="auto"/>
        <w:rPr>
          <w:sz w:val="20"/>
          <w:szCs w:val="20"/>
          <w:color w:val="auto"/>
        </w:rPr>
      </w:pPr>
      <w:r>
        <w:rPr>
          <w:rFonts w:ascii="Times New Roman" w:cs="Times New Roman" w:eastAsia="Times New Roman" w:hAnsi="Times New Roman"/>
          <w:sz w:val="21"/>
          <w:szCs w:val="21"/>
          <w:color w:val="auto"/>
        </w:rPr>
        <w:t>Subsequent to the Series 2022-1 Closing Date, ABRCF may on any date during the Series 2022-1 Revolving Period offer and sell additional Series 2022-1 Notes subject to the conditions set forth in Section 5.15. Such additional Series 2022-1 Notes, if issued, shall be designated as the “Series 2022-1 Rental Car Asset Backed Notes, Class E” and shall be referred to herein as the “Class E Notes”.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color w:val="EE2724"/>
                <w:strike w:val="1"/>
              </w:rPr>
              <w:t>AMERICAS 112057759</w:t>
            </w:r>
          </w:p>
        </w:tc>
        <w:tc>
          <w:tcPr>
            <w:tcW w:w="1920" w:type="dxa"/>
            <w:vAlign w:val="bottom"/>
          </w:tcPr>
          <w:p>
            <w:pPr>
              <w:jc w:val="right"/>
              <w:spacing w:after="0"/>
              <w:rPr>
                <w:sz w:val="20"/>
                <w:szCs w:val="20"/>
                <w:color w:val="auto"/>
              </w:rPr>
            </w:pPr>
            <w:r>
              <w:rPr>
                <w:rFonts w:ascii="Arial" w:cs="Arial" w:eastAsia="Arial" w:hAnsi="Arial"/>
                <w:sz w:val="18"/>
                <w:szCs w:val="18"/>
                <w:color w:val="EE2724"/>
                <w:strike w:val="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119"/>
          </w:cols>
          <w:pgMar w:left="340" w:top="841" w:right="1440" w:bottom="1440" w:gutter="0" w:footer="0" w:header="0"/>
        </w:sectPr>
      </w:pPr>
    </w:p>
    <w:bookmarkStart w:id="88" w:name="page89"/>
    <w:bookmarkEnd w:id="88"/>
    <w:p>
      <w:pPr>
        <w:jc w:val="both"/>
        <w:ind w:left="640" w:right="259"/>
        <w:spacing w:after="0" w:line="263" w:lineRule="auto"/>
        <w:rPr>
          <w:sz w:val="20"/>
          <w:szCs w:val="20"/>
          <w:color w:val="auto"/>
        </w:rPr>
      </w:pPr>
      <w:r>
        <w:rPr>
          <w:rFonts w:ascii="Times New Roman" w:cs="Times New Roman" w:eastAsia="Times New Roman" w:hAnsi="Times New Roman"/>
          <w:sz w:val="22"/>
          <w:szCs w:val="22"/>
          <w:color w:val="auto"/>
        </w:rPr>
        <w:t xml:space="preserve">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6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4.84% per annum.</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Note Register.</w:t>
      </w:r>
    </w:p>
    <w:p>
      <w:pPr>
        <w:spacing w:after="0" w:line="19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33" w:lineRule="exact"/>
        <w:rPr>
          <w:sz w:val="20"/>
          <w:szCs w:val="20"/>
          <w:color w:val="auto"/>
        </w:rPr>
      </w:pPr>
    </w:p>
    <w:p>
      <w:pPr>
        <w:jc w:val="both"/>
        <w:ind w:left="640" w:right="239"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Carryover Controlled Amortization Amount</w:t>
      </w:r>
      <w:r>
        <w:rPr>
          <w:rFonts w:ascii="Times New Roman" w:cs="Times New Roman" w:eastAsia="Times New Roman" w:hAnsi="Times New Roman"/>
          <w:sz w:val="21"/>
          <w:szCs w:val="21"/>
          <w:color w:val="auto"/>
        </w:rPr>
        <w:t>” means, with respect to any Related Month during the Series 2022-1 Controlled Amortization Period, the amount, if any, by which the portion of the Monthly Total Principal Allocation paid to the Class D Noteholders pursuant to Section 2.5(e)(iv) for the previous Related Month was less than the Class D Controlled Distribution Amount for the previous Related Month; provided, however, that for the first Related Month in the Series 2022-1 Controlled Amortization Period, the Class D Carryover Controlled Amortization Amount shall be zero.</w:t>
      </w:r>
    </w:p>
    <w:p>
      <w:pPr>
        <w:spacing w:after="0" w:line="169" w:lineRule="exact"/>
        <w:rPr>
          <w:sz w:val="20"/>
          <w:szCs w:val="20"/>
          <w:color w:val="auto"/>
        </w:rPr>
      </w:pPr>
    </w:p>
    <w:p>
      <w:pPr>
        <w:jc w:val="both"/>
        <w:ind w:left="640" w:right="27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with respect to any Related Month during the Series 2022-1 Controlled Amortization Period, $15,000,000.</w:t>
      </w:r>
    </w:p>
    <w:p>
      <w:pPr>
        <w:spacing w:after="0" w:line="158" w:lineRule="exact"/>
        <w:rPr>
          <w:sz w:val="20"/>
          <w:szCs w:val="20"/>
          <w:color w:val="auto"/>
        </w:rPr>
      </w:pPr>
    </w:p>
    <w:p>
      <w:pPr>
        <w:jc w:val="both"/>
        <w:ind w:left="640" w:right="259"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2022-1 Controlled Amortization Period, an amount equal to the sum of the Class D Controlled Amortization Amount and any Class D Carryover Controlled Amortization Amount for such Related Month.</w:t>
      </w:r>
    </w:p>
    <w:p>
      <w:pPr>
        <w:spacing w:after="0" w:line="176" w:lineRule="exact"/>
        <w:rPr>
          <w:sz w:val="20"/>
          <w:szCs w:val="20"/>
          <w:color w:val="auto"/>
        </w:rPr>
      </w:pPr>
    </w:p>
    <w:p>
      <w:pPr>
        <w:ind w:left="64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 $90,000,000.</w:t>
      </w:r>
    </w:p>
    <w:p>
      <w:pPr>
        <w:spacing w:after="0" w:line="1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Invested Amount</w:t>
      </w:r>
      <w:r>
        <w:rPr>
          <w:rFonts w:ascii="Times New Roman" w:cs="Times New Roman" w:eastAsia="Times New Roman" w:hAnsi="Times New Roman"/>
          <w:sz w:val="21"/>
          <w:szCs w:val="21"/>
          <w:color w:val="auto"/>
        </w:rPr>
        <w:t>” means, when used with respect to any date, an amount equal to</w:t>
      </w:r>
    </w:p>
    <w:p>
      <w:pPr>
        <w:spacing w:after="0" w:line="39" w:lineRule="exact"/>
        <w:rPr>
          <w:sz w:val="20"/>
          <w:szCs w:val="20"/>
          <w:color w:val="auto"/>
        </w:rPr>
      </w:pPr>
    </w:p>
    <w:p>
      <w:pPr>
        <w:ind w:left="640" w:right="259" w:hanging="4"/>
        <w:spacing w:after="0" w:line="261" w:lineRule="auto"/>
        <w:tabs>
          <w:tab w:leader="none" w:pos="96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68" w:lineRule="exact"/>
        <w:rPr>
          <w:sz w:val="20"/>
          <w:szCs w:val="20"/>
          <w:color w:val="auto"/>
        </w:rPr>
      </w:pPr>
    </w:p>
    <w:p>
      <w:pPr>
        <w:jc w:val="both"/>
        <w:ind w:left="640" w:right="259"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(A) for so long as ABRCF owns 100% of the Class D Notes, $0 and (B) if ABRCF owns less than 100% of the Class D Notes, with respect to (i) the initial Series 2022-1 Interest Period, an amount equal to $611,100 and (ii) any other Series 2022-1 Interest Period, an amount equal to the product of (A) one-twelfth of the Class D Note Rate and (B) the Class D Invested Amount on the first day of such Series 2022-1 Interest Period, after giving effect to any principal payments made on such date.</w:t>
      </w:r>
    </w:p>
    <w:p>
      <w:pPr>
        <w:spacing w:after="0" w:line="181" w:lineRule="exact"/>
        <w:rPr>
          <w:sz w:val="20"/>
          <w:szCs w:val="20"/>
          <w:color w:val="auto"/>
        </w:rPr>
      </w:pPr>
    </w:p>
    <w:p>
      <w:pPr>
        <w:jc w:val="both"/>
        <w:ind w:left="640" w:right="259"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2022-1 </w:t>
      </w:r>
      <w:r>
        <w:rPr>
          <w:rFonts w:ascii="Times New Roman" w:cs="Times New Roman" w:eastAsia="Times New Roman" w:hAnsi="Times New Roman"/>
          <w:sz w:val="22"/>
          <w:szCs w:val="22"/>
          <w:color w:val="FF0000"/>
          <w:strike w:val="1"/>
        </w:rPr>
        <w:t>6.79</w:t>
      </w:r>
      <w:r>
        <w:rPr>
          <w:rFonts w:ascii="Times New Roman" w:cs="Times New Roman" w:eastAsia="Times New Roman" w:hAnsi="Times New Roman"/>
          <w:sz w:val="22"/>
          <w:szCs w:val="22"/>
          <w:u w:val="single" w:color="auto"/>
          <w:color w:val="0000FF"/>
        </w:rPr>
        <w:t>6.36</w:t>
      </w:r>
      <w:r>
        <w:rPr>
          <w:rFonts w:ascii="Times New Roman" w:cs="Times New Roman" w:eastAsia="Times New Roman" w:hAnsi="Times New Roman"/>
          <w:sz w:val="22"/>
          <w:szCs w:val="22"/>
          <w:color w:val="auto"/>
        </w:rPr>
        <w:t xml:space="preserve">%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color w:val="EE2724"/>
                <w:strike w:val="1"/>
              </w:rPr>
              <w:t>AMERICAS 112057759</w:t>
            </w:r>
          </w:p>
        </w:tc>
        <w:tc>
          <w:tcPr>
            <w:tcW w:w="1920" w:type="dxa"/>
            <w:vAlign w:val="bottom"/>
          </w:tcPr>
          <w:p>
            <w:pPr>
              <w:jc w:val="right"/>
              <w:spacing w:after="0"/>
              <w:rPr>
                <w:sz w:val="20"/>
                <w:szCs w:val="20"/>
                <w:color w:val="auto"/>
              </w:rPr>
            </w:pPr>
            <w:r>
              <w:rPr>
                <w:rFonts w:ascii="Arial" w:cs="Arial" w:eastAsia="Arial" w:hAnsi="Arial"/>
                <w:sz w:val="18"/>
                <w:szCs w:val="18"/>
                <w:color w:val="EE2724"/>
                <w:strike w:val="1"/>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0119"/>
          </w:cols>
          <w:pgMar w:left="340" w:top="1084" w:right="1440" w:bottom="1440" w:gutter="0" w:footer="0" w:header="0"/>
        </w:sectPr>
      </w:pPr>
    </w:p>
    <w:bookmarkStart w:id="89" w:name="page90"/>
    <w:bookmarkEnd w:id="89"/>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6.79</w:t>
      </w:r>
      <w:r>
        <w:rPr>
          <w:rFonts w:ascii="Times New Roman" w:cs="Times New Roman" w:eastAsia="Times New Roman" w:hAnsi="Times New Roman"/>
          <w:sz w:val="22"/>
          <w:szCs w:val="22"/>
          <w:u w:val="single" w:color="auto"/>
          <w:color w:val="0000FF"/>
        </w:rPr>
        <w:t>6.36</w:t>
      </w:r>
      <w:r>
        <w:rPr>
          <w:rFonts w:ascii="Times New Roman" w:cs="Times New Roman" w:eastAsia="Times New Roman" w:hAnsi="Times New Roman"/>
          <w:sz w:val="22"/>
          <w:szCs w:val="22"/>
          <w:color w:val="auto"/>
        </w:rPr>
        <w:t>% per annum.</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Noteholder</w:t>
      </w:r>
      <w:r>
        <w:rPr>
          <w:rFonts w:ascii="Times New Roman" w:cs="Times New Roman" w:eastAsia="Times New Roman" w:hAnsi="Times New Roman"/>
          <w:sz w:val="21"/>
          <w:szCs w:val="21"/>
          <w:color w:val="auto"/>
        </w:rPr>
        <w:t>” means the Person in whose name a Class D Note is registered in the</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Note Register.</w:t>
      </w:r>
    </w:p>
    <w:p>
      <w:pPr>
        <w:spacing w:after="0" w:line="19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E Noteholder</w:t>
      </w:r>
      <w:r>
        <w:rPr>
          <w:rFonts w:ascii="Times New Roman" w:cs="Times New Roman" w:eastAsia="Times New Roman" w:hAnsi="Times New Roman"/>
          <w:sz w:val="22"/>
          <w:szCs w:val="22"/>
          <w:color w:val="auto"/>
        </w:rPr>
        <w:t>” means the Person in whose name a Class E Note is registered in the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Note Register.</w:t>
      </w:r>
    </w:p>
    <w:p>
      <w:pPr>
        <w:spacing w:after="0" w:line="19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E Notes</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left="640" w:right="259"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2022-1 Controlled Amortization Period other than the Related Month immediately preceding the Series 2022-1 Expected Final Distribution Date, $0 and (ii) with respect to the Related Month immediately preceding the Series 2022-1 Expected Final Distribution Date, the sum of (x) $41,250,000 and (y) the aggregate principal amount of any Additional Class R Notes.</w:t>
      </w:r>
    </w:p>
    <w:p>
      <w:pPr>
        <w:spacing w:after="0" w:line="194" w:lineRule="exact"/>
        <w:rPr>
          <w:sz w:val="20"/>
          <w:szCs w:val="20"/>
          <w:color w:val="auto"/>
        </w:rPr>
      </w:pPr>
    </w:p>
    <w:p>
      <w:pPr>
        <w:jc w:val="both"/>
        <w:ind w:left="640" w:right="23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 $41,250,000.</w:t>
      </w:r>
    </w:p>
    <w:p>
      <w:pPr>
        <w:spacing w:after="0" w:line="1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Invested Amount</w:t>
      </w:r>
      <w:r>
        <w:rPr>
          <w:rFonts w:ascii="Times New Roman" w:cs="Times New Roman" w:eastAsia="Times New Roman" w:hAnsi="Times New Roman"/>
          <w:sz w:val="21"/>
          <w:szCs w:val="21"/>
          <w:color w:val="auto"/>
        </w:rPr>
        <w:t>” means, when used with respect to any date, an amount equal to</w:t>
      </w:r>
    </w:p>
    <w:p>
      <w:pPr>
        <w:spacing w:after="0" w:line="39" w:lineRule="exact"/>
        <w:rPr>
          <w:sz w:val="20"/>
          <w:szCs w:val="20"/>
          <w:color w:val="auto"/>
        </w:rPr>
      </w:pPr>
    </w:p>
    <w:p>
      <w:pPr>
        <w:jc w:val="both"/>
        <w:ind w:left="640" w:right="259" w:hanging="4"/>
        <w:spacing w:after="0" w:line="252" w:lineRule="auto"/>
        <w:tabs>
          <w:tab w:leader="none" w:pos="9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Class R Initial Invested Amount plus (b) the aggregate principal amount of any Additional Class R Notes issued on or prior to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R Noteholders on or prior to such date.</w:t>
      </w:r>
    </w:p>
    <w:p>
      <w:pPr>
        <w:spacing w:after="0" w:line="178" w:lineRule="exact"/>
        <w:rPr>
          <w:sz w:val="20"/>
          <w:szCs w:val="20"/>
          <w:color w:val="auto"/>
        </w:rPr>
      </w:pPr>
    </w:p>
    <w:p>
      <w:pPr>
        <w:jc w:val="both"/>
        <w:ind w:left="640" w:right="259"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Monthly Interest</w:t>
      </w:r>
      <w:r>
        <w:rPr>
          <w:rFonts w:ascii="Times New Roman" w:cs="Times New Roman" w:eastAsia="Times New Roman" w:hAnsi="Times New Roman"/>
          <w:sz w:val="22"/>
          <w:szCs w:val="22"/>
          <w:color w:val="auto"/>
        </w:rPr>
        <w:t>” means, with respect to (i) the initial Series 2022-1 Interest Period, an amount equal to $320,388.75 and (ii) any other Series 2022-1 Interest Period, an amount equal to the product of (A) one-twelfth of the Class R Note Rate and (B) the Class R Invested Amount on the first day of such Series 2022-1 Interest Period, after giving effect to any principal payments made on such date.</w:t>
      </w:r>
    </w:p>
    <w:p>
      <w:pPr>
        <w:spacing w:after="0" w:line="194" w:lineRule="exact"/>
        <w:rPr>
          <w:sz w:val="20"/>
          <w:szCs w:val="20"/>
          <w:color w:val="auto"/>
        </w:rPr>
      </w:pPr>
    </w:p>
    <w:p>
      <w:pPr>
        <w:jc w:val="both"/>
        <w:ind w:left="640" w:right="259"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2022-1 7.767%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7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7.767% per annum</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Note Register.</w:t>
      </w:r>
    </w:p>
    <w:p>
      <w:pPr>
        <w:spacing w:after="0" w:line="19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color w:val="EE2724"/>
                <w:strike w:val="1"/>
              </w:rPr>
              <w:t>AMERICAS 112057759</w:t>
            </w:r>
          </w:p>
        </w:tc>
        <w:tc>
          <w:tcPr>
            <w:tcW w:w="1920" w:type="dxa"/>
            <w:vAlign w:val="bottom"/>
          </w:tcPr>
          <w:p>
            <w:pPr>
              <w:jc w:val="right"/>
              <w:spacing w:after="0"/>
              <w:rPr>
                <w:sz w:val="20"/>
                <w:szCs w:val="20"/>
                <w:color w:val="auto"/>
              </w:rPr>
            </w:pPr>
            <w:r>
              <w:rPr>
                <w:rFonts w:ascii="Arial" w:cs="Arial" w:eastAsia="Arial" w:hAnsi="Arial"/>
                <w:sz w:val="18"/>
                <w:szCs w:val="18"/>
                <w:color w:val="EE2724"/>
                <w:strike w:val="1"/>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0119"/>
          </w:cols>
          <w:pgMar w:left="340" w:top="1084" w:right="1440"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 the</w:t>
      </w:r>
    </w:p>
    <w:p>
      <w:pPr>
        <w:ind w:left="2000" w:hanging="698"/>
        <w:spacing w:after="0"/>
        <w:tabs>
          <w:tab w:leader="none" w:pos="2000"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AESOP I Operating Lease</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 the</w:t>
      </w:r>
    </w:p>
    <w:p>
      <w:pPr>
        <w:ind w:left="2000" w:hanging="698"/>
        <w:spacing w:after="0"/>
        <w:tabs>
          <w:tab w:leader="none" w:pos="2000" w:val="left"/>
        </w:tabs>
        <w:numPr>
          <w:ilvl w:val="0"/>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Finance Lease</w:t>
      </w:r>
    </w:p>
    <w:p>
      <w:pPr>
        <w:ind w:left="2000"/>
        <w:spacing w:after="0" w:line="221" w:lineRule="auto"/>
        <w:rPr>
          <w:sz w:val="20"/>
          <w:szCs w:val="20"/>
          <w:color w:val="auto"/>
        </w:rPr>
      </w:pPr>
      <w:r>
        <w:rPr>
          <w:rFonts w:ascii="Times New Roman" w:cs="Times New Roman" w:eastAsia="Times New Roman" w:hAnsi="Times New Roman"/>
          <w:sz w:val="22"/>
          <w:szCs w:val="22"/>
          <w:color w:val="auto"/>
        </w:rPr>
        <w:t>Form of Amendment to the</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AESOP I Operating Lease</w:t>
      </w:r>
    </w:p>
    <w:p>
      <w:pPr>
        <w:spacing w:after="0" w:line="1" w:lineRule="exact"/>
        <w:rPr>
          <w:sz w:val="20"/>
          <w:szCs w:val="20"/>
          <w:color w:val="auto"/>
        </w:rPr>
      </w:pPr>
    </w:p>
    <w:p>
      <w:pPr>
        <w:ind w:left="2000" w:hanging="698"/>
        <w:spacing w:after="0"/>
        <w:tabs>
          <w:tab w:leader="none" w:pos="2000" w:val="left"/>
        </w:tabs>
        <w:numPr>
          <w:ilvl w:val="0"/>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Loan Agreement</w:t>
      </w:r>
    </w:p>
    <w:p>
      <w:pPr>
        <w:ind w:left="2000"/>
        <w:spacing w:after="0" w:line="221" w:lineRule="auto"/>
        <w:rPr>
          <w:sz w:val="20"/>
          <w:szCs w:val="20"/>
          <w:color w:val="auto"/>
        </w:rPr>
      </w:pPr>
      <w:r>
        <w:rPr>
          <w:rFonts w:ascii="Times New Roman" w:cs="Times New Roman" w:eastAsia="Times New Roman" w:hAnsi="Times New Roman"/>
          <w:sz w:val="22"/>
          <w:szCs w:val="22"/>
          <w:color w:val="auto"/>
        </w:rPr>
        <w:t>Form of Amendment to the</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AESOP I Finance Lease Loan</w:t>
      </w:r>
    </w:p>
    <w:p>
      <w:pPr>
        <w:spacing w:after="0" w:line="1" w:lineRule="exact"/>
        <w:rPr>
          <w:sz w:val="20"/>
          <w:szCs w:val="20"/>
          <w:color w:val="auto"/>
        </w:rPr>
      </w:pPr>
    </w:p>
    <w:p>
      <w:pPr>
        <w:ind w:left="2000" w:hanging="698"/>
        <w:spacing w:after="0"/>
        <w:tabs>
          <w:tab w:leader="none" w:pos="2000"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Agreement</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 the</w:t>
      </w:r>
    </w:p>
    <w:p>
      <w:pPr>
        <w:ind w:left="2000" w:hanging="698"/>
        <w:spacing w:after="0"/>
        <w:tabs>
          <w:tab w:leader="none" w:pos="2000"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AESOP II Operating Lease</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 Master</w:t>
      </w:r>
    </w:p>
    <w:p>
      <w:pPr>
        <w:ind w:left="2000" w:hanging="698"/>
        <w:spacing w:after="0"/>
        <w:tabs>
          <w:tab w:leader="none" w:pos="2000"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Exchange Agreement</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 the</w:t>
      </w:r>
    </w:p>
    <w:p>
      <w:pPr>
        <w:ind w:left="2000" w:hanging="698"/>
        <w:spacing w:after="0"/>
        <w:tabs>
          <w:tab w:leader="none" w:pos="2000"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Escrow Agreement</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Form of Amendment to</w:t>
      </w:r>
    </w:p>
    <w:p>
      <w:pPr>
        <w:ind w:left="2000" w:hanging="698"/>
        <w:spacing w:after="0"/>
        <w:tabs>
          <w:tab w:leader="none" w:pos="2000" w:val="left"/>
        </w:tabs>
        <w:numPr>
          <w:ilvl w:val="0"/>
          <w:numId w:val="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Administration Agreement</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EE2724"/>
          <w:strike w:val="1"/>
        </w:rPr>
        <w:t xml:space="preserve">Exhibit </w:t>
      </w:r>
      <w:r>
        <w:rPr>
          <w:rFonts w:ascii="Times New Roman" w:cs="Times New Roman" w:eastAsia="Times New Roman" w:hAnsi="Times New Roman"/>
          <w:sz w:val="22"/>
          <w:szCs w:val="22"/>
          <w:color w:val="EE2724"/>
          <w:strike w:val="1"/>
        </w:rPr>
        <w:t>Form of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-142875</wp:posOffset>
            </wp:positionV>
            <wp:extent cx="2202815" cy="6172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202815" cy="617220"/>
                    </a:xfrm>
                    <a:prstGeom prst="rect">
                      <a:avLst/>
                    </a:prstGeom>
                    <a:noFill/>
                  </pic:spPr>
                </pic:pic>
              </a:graphicData>
            </a:graphic>
          </wp:anchor>
        </w:drawing>
      </w:r>
    </w:p>
    <w:p>
      <w:pPr>
        <w:ind w:left="1300"/>
        <w:spacing w:after="0"/>
        <w:tabs>
          <w:tab w:leader="none" w:pos="1980" w:val="left"/>
        </w:tabs>
        <w:rPr>
          <w:sz w:val="20"/>
          <w:szCs w:val="20"/>
          <w:color w:val="auto"/>
        </w:rPr>
      </w:pPr>
      <w:r>
        <w:rPr>
          <w:rFonts w:ascii="Times New Roman" w:cs="Times New Roman" w:eastAsia="Times New Roman" w:hAnsi="Times New Roman"/>
          <w:sz w:val="22"/>
          <w:szCs w:val="22"/>
          <w:u w:val="single" w:color="auto"/>
          <w:color w:val="EE2724"/>
          <w:strike w:val="1"/>
        </w:rPr>
        <w:t>S-1</w:t>
      </w:r>
      <w:r>
        <w:rPr>
          <w:sz w:val="20"/>
          <w:szCs w:val="20"/>
          <w:color w:val="auto"/>
        </w:rPr>
        <w:tab/>
      </w:r>
      <w:r>
        <w:rPr>
          <w:rFonts w:ascii="Times New Roman" w:cs="Times New Roman" w:eastAsia="Times New Roman" w:hAnsi="Times New Roman"/>
          <w:sz w:val="21"/>
          <w:szCs w:val="21"/>
          <w:color w:val="EE2724"/>
          <w:strike w:val="1"/>
        </w:rPr>
        <w:t>for Class D Notes (Transferee)</w:t>
      </w:r>
    </w:p>
    <w:p>
      <w:pPr>
        <w:ind w:left="1300"/>
        <w:spacing w:after="0" w:line="221" w:lineRule="auto"/>
        <w:rPr>
          <w:sz w:val="20"/>
          <w:szCs w:val="20"/>
          <w:color w:val="auto"/>
        </w:rPr>
      </w:pPr>
      <w:r>
        <w:rPr>
          <w:rFonts w:ascii="Times New Roman" w:cs="Times New Roman" w:eastAsia="Times New Roman" w:hAnsi="Times New Roman"/>
          <w:sz w:val="22"/>
          <w:szCs w:val="22"/>
          <w:u w:val="single" w:color="auto"/>
          <w:color w:val="EE2724"/>
          <w:strike w:val="1"/>
        </w:rPr>
        <w:t xml:space="preserve">Exhibit </w:t>
      </w:r>
      <w:r>
        <w:rPr>
          <w:rFonts w:ascii="Times New Roman" w:cs="Times New Roman" w:eastAsia="Times New Roman" w:hAnsi="Times New Roman"/>
          <w:sz w:val="22"/>
          <w:szCs w:val="22"/>
          <w:color w:val="EE2724"/>
          <w:strike w:val="1"/>
        </w:rPr>
        <w:t>Form of Transfer Certificate</w:t>
      </w:r>
    </w:p>
    <w:p>
      <w:pPr>
        <w:ind w:left="1300"/>
        <w:spacing w:after="0"/>
        <w:tabs>
          <w:tab w:leader="none" w:pos="1980" w:val="left"/>
        </w:tabs>
        <w:rPr>
          <w:sz w:val="20"/>
          <w:szCs w:val="20"/>
          <w:color w:val="auto"/>
        </w:rPr>
      </w:pPr>
      <w:r>
        <w:rPr>
          <w:rFonts w:ascii="Times New Roman" w:cs="Times New Roman" w:eastAsia="Times New Roman" w:hAnsi="Times New Roman"/>
          <w:sz w:val="22"/>
          <w:szCs w:val="22"/>
          <w:u w:val="single" w:color="auto"/>
          <w:color w:val="EE2724"/>
          <w:strike w:val="1"/>
        </w:rPr>
        <w:t>S-2</w:t>
      </w:r>
      <w:r>
        <w:rPr>
          <w:sz w:val="20"/>
          <w:szCs w:val="20"/>
          <w:color w:val="auto"/>
        </w:rPr>
        <w:tab/>
      </w:r>
      <w:r>
        <w:rPr>
          <w:rFonts w:ascii="Times New Roman" w:cs="Times New Roman" w:eastAsia="Times New Roman" w:hAnsi="Times New Roman"/>
          <w:sz w:val="21"/>
          <w:szCs w:val="21"/>
          <w:color w:val="EE2724"/>
          <w:strike w:val="1"/>
        </w:rPr>
        <w:t>for Class D Notes (Transferor)</w:t>
      </w:r>
    </w:p>
    <w:p>
      <w:pPr>
        <w:spacing w:after="0" w:line="304" w:lineRule="exact"/>
        <w:rPr>
          <w:sz w:val="20"/>
          <w:szCs w:val="20"/>
          <w:color w:val="auto"/>
        </w:rPr>
      </w:pPr>
    </w:p>
    <w:p>
      <w:pPr>
        <w:jc w:val="both"/>
        <w:ind w:left="640" w:right="259"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86" w:lineRule="exact"/>
        <w:rPr>
          <w:sz w:val="20"/>
          <w:szCs w:val="20"/>
          <w:color w:val="auto"/>
        </w:rPr>
      </w:pPr>
    </w:p>
    <w:p>
      <w:pPr>
        <w:jc w:val="both"/>
        <w:ind w:left="640" w:right="259"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 may be executed in any number of counterparts, each of which so executed shall be deemed to be an original, but all of such counterparts shall together constitute but one and the same instrument.</w:t>
      </w:r>
    </w:p>
    <w:p>
      <w:pPr>
        <w:spacing w:after="0" w:line="173" w:lineRule="exact"/>
        <w:rPr>
          <w:sz w:val="20"/>
          <w:szCs w:val="20"/>
          <w:color w:val="auto"/>
        </w:rPr>
      </w:pPr>
    </w:p>
    <w:p>
      <w:pPr>
        <w:jc w:val="both"/>
        <w:ind w:left="640" w:right="259"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67" w:lineRule="exact"/>
        <w:rPr>
          <w:sz w:val="20"/>
          <w:szCs w:val="20"/>
          <w:color w:val="auto"/>
        </w:rPr>
      </w:pPr>
    </w:p>
    <w:p>
      <w:pPr>
        <w:jc w:val="both"/>
        <w:ind w:left="640" w:right="259"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This Supplement may be modified or amended from time to time in accordance with the terms of the Base Indenture;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2022-1 Noteholders;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 so long as (i) no Amortization Event has occurred and is continuing and (ii) the Rating Agency Consent Condition is met with respect to the outstanding Series 2022-1 Notes, ABRCF shall be able to either (x) increase any of the Series 2022-1 Maximum Amounts (other than the Series 2022-1 Maximum Non-Program Vehicle Amount or the Series 2022-1 Maximum Non-Perfected Vehicle Amount) by an amount not to exceed 10% (or, in the case of the Series 2022-1 Maximum Tesla Amount, an amount not to exceed 15%) of the aggregate Net Book Value of all Vehicles leased under the Leases or</w:t>
      </w:r>
    </w:p>
    <w:p>
      <w:pPr>
        <w:spacing w:after="0" w:line="6" w:lineRule="exact"/>
        <w:rPr>
          <w:sz w:val="20"/>
          <w:szCs w:val="20"/>
          <w:color w:val="auto"/>
        </w:rPr>
      </w:pPr>
    </w:p>
    <w:p>
      <w:pPr>
        <w:jc w:val="both"/>
        <w:ind w:left="640" w:right="259" w:hanging="4"/>
        <w:spacing w:after="0" w:line="247" w:lineRule="auto"/>
        <w:tabs>
          <w:tab w:leader="none" w:pos="96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new Series 2022-1 Maximum Amount and related amendments for any Manufacturer that becomes an Eligible Non-Program Manufacturer or Eligible Program Manufacturer after the Series 2022-1 Closing Date, in each case, at any time without the consent of the Series 2022-1 Noteholders, (B) ABRCF shall be able to modify or amend any Series 2022-1 Maximum Amount at any time with the consent of a Requisite Series</w:t>
      </w:r>
    </w:p>
    <w:p>
      <w:pPr>
        <w:sectPr>
          <w:pgSz w:w="11900" w:h="16838" w:orient="portrait"/>
          <w:cols w:equalWidth="0" w:num="1">
            <w:col w:w="10119"/>
          </w:cols>
          <w:pgMar w:left="340" w:top="86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EE2724"/>
          <w:strike w:val="1"/>
        </w:rPr>
        <w:t>AMERICAS 112057759</w:t>
      </w:r>
      <w:r>
        <w:rPr>
          <w:sz w:val="20"/>
          <w:szCs w:val="20"/>
          <w:color w:val="auto"/>
        </w:rPr>
        <w:tab/>
      </w:r>
      <w:r>
        <w:rPr>
          <w:rFonts w:ascii="Arial" w:cs="Arial" w:eastAsia="Arial" w:hAnsi="Arial"/>
          <w:sz w:val="17"/>
          <w:szCs w:val="17"/>
          <w:color w:val="EE2724"/>
          <w:strike w:val="1"/>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119"/>
          </w:cols>
          <w:pgMar w:left="340" w:top="869" w:right="1440" w:bottom="1440" w:gutter="0" w:footer="0" w:header="0"/>
          <w:type w:val="continuous"/>
        </w:sectPr>
      </w:pPr>
    </w:p>
    <w:bookmarkStart w:id="91" w:name="page92"/>
    <w:bookmarkEnd w:id="91"/>
    <w:p>
      <w:pPr>
        <w:ind w:left="640" w:right="279"/>
        <w:spacing w:after="0" w:line="271" w:lineRule="auto"/>
        <w:rPr>
          <w:sz w:val="20"/>
          <w:szCs w:val="20"/>
          <w:color w:val="auto"/>
        </w:rPr>
      </w:pPr>
      <w:r>
        <w:rPr>
          <w:rFonts w:ascii="Times New Roman" w:cs="Times New Roman" w:eastAsia="Times New Roman" w:hAnsi="Times New Roman"/>
          <w:sz w:val="22"/>
          <w:szCs w:val="22"/>
          <w:color w:val="auto"/>
        </w:rPr>
        <w:t>given to the Class A Notes, the Class B Notes or the Class C Notes by Fitch within such ten (10) calendar day (or lesser) period.</w:t>
      </w:r>
    </w:p>
    <w:p>
      <w:pPr>
        <w:spacing w:after="0" w:line="158" w:lineRule="exact"/>
        <w:rPr>
          <w:sz w:val="20"/>
          <w:szCs w:val="20"/>
          <w:color w:val="auto"/>
        </w:rPr>
      </w:pPr>
    </w:p>
    <w:p>
      <w:pPr>
        <w:jc w:val="both"/>
        <w:ind w:left="640" w:right="239" w:firstLine="1292"/>
        <w:spacing w:after="0" w:line="249" w:lineRule="auto"/>
        <w:tabs>
          <w:tab w:leader="none" w:pos="2257" w:val="left"/>
        </w:tabs>
        <w:numPr>
          <w:ilvl w:val="0"/>
          <w:numId w:val="7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transfer by a transferor (a “</w:t>
      </w:r>
      <w:r>
        <w:rPr>
          <w:rFonts w:ascii="Times New Roman" w:cs="Times New Roman" w:eastAsia="Times New Roman" w:hAnsi="Times New Roman"/>
          <w:sz w:val="22"/>
          <w:szCs w:val="22"/>
          <w:u w:val="single" w:color="auto"/>
          <w:color w:val="FF0000"/>
          <w:strike w:val="1"/>
        </w:rPr>
        <w:t>Transferor</w:t>
      </w:r>
      <w:r>
        <w:rPr>
          <w:rFonts w:ascii="Times New Roman" w:cs="Times New Roman" w:eastAsia="Times New Roman" w:hAnsi="Times New Roman"/>
          <w:sz w:val="22"/>
          <w:szCs w:val="22"/>
          <w:color w:val="FF0000"/>
          <w:strike w:val="1"/>
        </w:rPr>
        <w:t>”) holding a beneficial interest in a Global Class D Note to a subsequent transferee (a “</w:t>
      </w:r>
      <w:r>
        <w:rPr>
          <w:rFonts w:ascii="Times New Roman" w:cs="Times New Roman" w:eastAsia="Times New Roman" w:hAnsi="Times New Roman"/>
          <w:sz w:val="22"/>
          <w:szCs w:val="22"/>
          <w:u w:val="single" w:color="auto"/>
          <w:color w:val="FF0000"/>
          <w:strike w:val="1"/>
        </w:rPr>
        <w:t>Transferee</w:t>
      </w:r>
      <w:r>
        <w:rPr>
          <w:rFonts w:ascii="Times New Roman" w:cs="Times New Roman" w:eastAsia="Times New Roman" w:hAnsi="Times New Roman"/>
          <w:sz w:val="22"/>
          <w:szCs w:val="22"/>
          <w:color w:val="FF0000"/>
          <w:strike w:val="1"/>
        </w:rPr>
        <w:t xml:space="preserve">”) who wishes to take delivery thereof in the form of a beneficial interest in such Global Class D Note will be made upon receipt by the Trustee, at the office of the Trustee, of (x) a transfer certificate from the Transferee substantially in the form of </w:t>
      </w:r>
      <w:r>
        <w:rPr>
          <w:rFonts w:ascii="Times New Roman" w:cs="Times New Roman" w:eastAsia="Times New Roman" w:hAnsi="Times New Roman"/>
          <w:sz w:val="22"/>
          <w:szCs w:val="22"/>
          <w:u w:val="single" w:color="auto"/>
          <w:color w:val="FF0000"/>
          <w:strike w:val="1"/>
        </w:rPr>
        <w:t>Exhibit S-1</w:t>
      </w:r>
      <w:r>
        <w:rPr>
          <w:rFonts w:ascii="Times New Roman" w:cs="Times New Roman" w:eastAsia="Times New Roman" w:hAnsi="Times New Roman"/>
          <w:sz w:val="22"/>
          <w:szCs w:val="22"/>
          <w:color w:val="FF0000"/>
          <w:strike w:val="1"/>
        </w:rPr>
        <w:t xml:space="preserve"> (unless the Transferee is ABRCF in its capacity as initial Holder of Class D Notes, in which case no such transfer certificate under this clause (x) will be required) and (y) a transfer certificate from the Transferor substantially in the form of </w:t>
      </w:r>
      <w:r>
        <w:rPr>
          <w:rFonts w:ascii="Times New Roman" w:cs="Times New Roman" w:eastAsia="Times New Roman" w:hAnsi="Times New Roman"/>
          <w:sz w:val="22"/>
          <w:szCs w:val="22"/>
          <w:u w:val="single" w:color="auto"/>
          <w:color w:val="FF0000"/>
          <w:strike w:val="1"/>
        </w:rPr>
        <w:t>Exhibit S-2</w:t>
      </w:r>
      <w:r>
        <w:rPr>
          <w:rFonts w:ascii="Times New Roman" w:cs="Times New Roman" w:eastAsia="Times New Roman" w:hAnsi="Times New Roman"/>
          <w:sz w:val="22"/>
          <w:szCs w:val="22"/>
          <w:color w:val="FF0000"/>
          <w:strike w:val="1"/>
        </w:rPr>
        <w:t xml:space="preserve"> (unless the Transferor is transferring 100% of its ownership interests in the Class D Notes to a single beneficial owner, in which case no such transfer certificate under this clause (y) will be required). Delivery of any such certificate to ABRCF shall be required to be delivered to the email address set forth in </w:t>
      </w:r>
      <w:r>
        <w:rPr>
          <w:rFonts w:ascii="Times New Roman" w:cs="Times New Roman" w:eastAsia="Times New Roman" w:hAnsi="Times New Roman"/>
          <w:sz w:val="22"/>
          <w:szCs w:val="22"/>
          <w:u w:val="single" w:color="auto"/>
          <w:color w:val="FF0000"/>
          <w:strike w:val="1"/>
        </w:rPr>
        <w:t>Exhibits S-1</w:t>
      </w:r>
      <w:r>
        <w:rPr>
          <w:rFonts w:ascii="Times New Roman" w:cs="Times New Roman" w:eastAsia="Times New Roman" w:hAnsi="Times New Roman"/>
          <w:sz w:val="22"/>
          <w:szCs w:val="22"/>
          <w:color w:val="FF0000"/>
          <w:strike w:val="1"/>
        </w:rPr>
        <w:t xml:space="preserve"> and </w:t>
      </w:r>
      <w:r>
        <w:rPr>
          <w:rFonts w:ascii="Times New Roman" w:cs="Times New Roman" w:eastAsia="Times New Roman" w:hAnsi="Times New Roman"/>
          <w:sz w:val="22"/>
          <w:szCs w:val="22"/>
          <w:u w:val="single" w:color="auto"/>
          <w:color w:val="FF0000"/>
          <w:strike w:val="1"/>
        </w:rPr>
        <w:t>S-2</w:t>
      </w:r>
      <w:r>
        <w:rPr>
          <w:rFonts w:ascii="Times New Roman" w:cs="Times New Roman" w:eastAsia="Times New Roman" w:hAnsi="Times New Roman"/>
          <w:sz w:val="22"/>
          <w:szCs w:val="22"/>
          <w:color w:val="FF0000"/>
          <w:strike w:val="1"/>
        </w:rPr>
        <w:t>.</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tcPr>
          <w:p>
            <w:pPr>
              <w:spacing w:after="0"/>
              <w:rPr>
                <w:sz w:val="20"/>
                <w:szCs w:val="20"/>
                <w:color w:val="auto"/>
              </w:rPr>
            </w:pPr>
            <w:r>
              <w:rPr>
                <w:rFonts w:ascii="Arial" w:cs="Arial" w:eastAsia="Arial" w:hAnsi="Arial"/>
                <w:sz w:val="18"/>
                <w:szCs w:val="18"/>
                <w:color w:val="EE2724"/>
                <w:strike w:val="1"/>
              </w:rPr>
              <w:t>AMERICAS 112057759</w:t>
            </w:r>
          </w:p>
        </w:tc>
        <w:tc>
          <w:tcPr>
            <w:tcW w:w="2000" w:type="dxa"/>
            <w:vAlign w:val="bottom"/>
          </w:tcPr>
          <w:p>
            <w:pPr>
              <w:jc w:val="right"/>
              <w:spacing w:after="0"/>
              <w:rPr>
                <w:sz w:val="20"/>
                <w:szCs w:val="20"/>
                <w:color w:val="auto"/>
              </w:rPr>
            </w:pPr>
            <w:r>
              <w:rPr>
                <w:rFonts w:ascii="Arial" w:cs="Arial" w:eastAsia="Arial" w:hAnsi="Arial"/>
                <w:sz w:val="18"/>
                <w:szCs w:val="18"/>
                <w:color w:val="EE2724"/>
                <w:strike w:val="1"/>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119"/>
          </w:cols>
          <w:pgMar w:left="340" w:top="774" w:right="1440" w:bottom="1440" w:gutter="0" w:footer="0" w:header="0"/>
        </w:sectPr>
      </w:pPr>
    </w:p>
    <w:bookmarkStart w:id="92" w:name="page93"/>
    <w:bookmarkEnd w:id="92"/>
    <w:p>
      <w:pPr>
        <w:spacing w:after="0" w:line="3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33"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color w:val="auto"/>
        </w:rPr>
        <w:t>Exhibits to Series 2022-1 Supplement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132933669</w:t>
      </w:r>
    </w:p>
    <w:p>
      <w:pPr>
        <w:sectPr>
          <w:pgSz w:w="11900" w:h="16838" w:orient="portrait"/>
          <w:cols w:equalWidth="0" w:num="1">
            <w:col w:w="10139"/>
          </w:cols>
          <w:pgMar w:left="320" w:top="1440"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AMENDED AND RESTATED SERIES 2024-1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FIRST AMENDMENT TO THE AMENDED AND RESTATED SERIES 2024-1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March 25, 2026 (the “</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amends the Amended and Restated Series 2024-1 Supplement (the “</w:t>
      </w:r>
      <w:r>
        <w:rPr>
          <w:rFonts w:ascii="Times New Roman" w:cs="Times New Roman" w:eastAsia="Times New Roman" w:hAnsi="Times New Roman"/>
          <w:sz w:val="22"/>
          <w:szCs w:val="22"/>
          <w:u w:val="single" w:color="auto"/>
          <w:color w:val="auto"/>
        </w:rPr>
        <w:t>A&amp;R Series 2024-1 Supplement</w:t>
      </w:r>
      <w:r>
        <w:rPr>
          <w:rFonts w:ascii="Times New Roman" w:cs="Times New Roman" w:eastAsia="Times New Roman" w:hAnsi="Times New Roman"/>
          <w:sz w:val="22"/>
          <w:szCs w:val="22"/>
          <w:color w:val="auto"/>
        </w:rPr>
        <w:t>”), dated as of January 31, 2025 (the “</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2024-1 Noteholders (in such capacity, the “</w:t>
      </w:r>
      <w:r>
        <w:rPr>
          <w:rFonts w:ascii="Times New Roman" w:cs="Times New Roman" w:eastAsia="Times New Roman" w:hAnsi="Times New Roman"/>
          <w:sz w:val="22"/>
          <w:szCs w:val="22"/>
          <w:u w:val="single" w:color="auto"/>
          <w:color w:val="auto"/>
        </w:rPr>
        <w:t>Series 2024-1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A&amp;R Series 2024-1 Supplement, as applicable.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Series 2024-1 Supplement (the “</w:t>
      </w:r>
      <w:r>
        <w:rPr>
          <w:rFonts w:ascii="Times New Roman" w:cs="Times New Roman" w:eastAsia="Times New Roman" w:hAnsi="Times New Roman"/>
          <w:sz w:val="22"/>
          <w:szCs w:val="22"/>
          <w:u w:val="single" w:color="auto"/>
          <w:color w:val="auto"/>
        </w:rPr>
        <w:t>Series 2024-1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dated January 12, 2024;</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Series 2024-1 Supplement, on January 31, 2025, ABRCF issued its Series 2024-1 8.05% Rental Car Asset Backed Notes, Class D and additional Class R Notes on the Class D Notes Closing Date and amended and restated the Original Series 2024-1 Supplement in its entirety as reflected in the A&amp;R Series 2024-1 Supplement;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Section 5.7 of the A&amp;R Series 2024-1 Supplement permits ABRCF to amend or modify the A&amp;R Series 2024-1 Supplement to provide for a re-marketing and/or offering and sale of the Class D Notes and to make certain amendments to the A&amp;R Series 2024-1 Supplement in connection with such re-marketing and/or offering and sale, subject, in each case, solely with (i) the consent of the Class D Noteholders and (ii) satisfaction of the Rating Agency Consent Condition;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desires to re-market the Class D Notes on the Class D Notes Sale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Avis Budget Car Rental LLC owns 100% of the Class D Notes (in such capacity, the “</w:t>
      </w:r>
      <w:r>
        <w:rPr>
          <w:rFonts w:ascii="Times New Roman" w:cs="Times New Roman" w:eastAsia="Times New Roman" w:hAnsi="Times New Roman"/>
          <w:sz w:val="22"/>
          <w:szCs w:val="22"/>
          <w:u w:val="single" w:color="auto"/>
          <w:color w:val="auto"/>
        </w:rPr>
        <w:t>Sole Class 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Noteholder</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Rating Agency Consent Condition will be satisfied on the Class D Notes Sale Date; and</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WHEREAS, ABRCF has requested the Trustee, the Series 2022-1 Agent and the affected Noteholders to, and, upon the effectiveness of this Amendment, ABRCF, the Trustee, the</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1240"/>
          </w:cols>
          <w:pgMar w:left="320" w:top="12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color w:val="auto"/>
        </w:rPr>
        <w:t>Series 2022-1 Agent and the Sole Class D Noteholder have agreed to, make the amendments described above as set forth herein.</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33" w:lineRule="exact"/>
        <w:rPr>
          <w:sz w:val="20"/>
          <w:szCs w:val="20"/>
          <w:color w:val="auto"/>
        </w:rPr>
      </w:pPr>
    </w:p>
    <w:p>
      <w:pPr>
        <w:ind w:left="1680" w:hanging="376"/>
        <w:spacing w:after="0"/>
        <w:tabs>
          <w:tab w:leader="none" w:pos="16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p>
    <w:p>
      <w:pPr>
        <w:spacing w:after="0" w:line="219" w:lineRule="exact"/>
        <w:rPr>
          <w:rFonts w:ascii="Times New Roman" w:cs="Times New Roman" w:eastAsia="Times New Roman" w:hAnsi="Times New Roman"/>
          <w:sz w:val="22"/>
          <w:szCs w:val="22"/>
          <w:color w:val="auto"/>
        </w:rPr>
      </w:pPr>
    </w:p>
    <w:p>
      <w:pPr>
        <w:jc w:val="both"/>
        <w:ind w:firstLine="2276"/>
        <w:spacing w:after="0" w:line="275" w:lineRule="auto"/>
        <w:tabs>
          <w:tab w:leader="none" w:pos="273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A&amp;R Series 2024-1 Supplement is hereby amended by deleting the stricken text (indicated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adding the inserted text (indicated in the same manner as the following example: </w:t>
      </w:r>
      <w:r>
        <w:rPr>
          <w:rFonts w:ascii="Times New Roman" w:cs="Times New Roman" w:eastAsia="Times New Roman" w:hAnsi="Times New Roman"/>
          <w:sz w:val="21"/>
          <w:szCs w:val="21"/>
          <w:b w:val="1"/>
          <w:bCs w:val="1"/>
          <w:u w:val="single" w:color="auto"/>
          <w:color w:val="0070C0"/>
        </w:rPr>
        <w:t>inserted text</w:t>
      </w:r>
      <w:r>
        <w:rPr>
          <w:rFonts w:ascii="Times New Roman" w:cs="Times New Roman" w:eastAsia="Times New Roman" w:hAnsi="Times New Roman"/>
          <w:sz w:val="21"/>
          <w:szCs w:val="21"/>
          <w:color w:val="auto"/>
        </w:rPr>
        <w:t xml:space="preserve">) as set forth on the pages of the A&amp;R Series 2024-1 Supplement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55" w:lineRule="exact"/>
        <w:rPr>
          <w:rFonts w:ascii="Times New Roman" w:cs="Times New Roman" w:eastAsia="Times New Roman" w:hAnsi="Times New Roman"/>
          <w:sz w:val="21"/>
          <w:szCs w:val="21"/>
          <w:color w:val="auto"/>
        </w:rPr>
      </w:pPr>
    </w:p>
    <w:p>
      <w:pPr>
        <w:jc w:val="both"/>
        <w:ind w:firstLine="2276"/>
        <w:spacing w:after="0" w:line="263" w:lineRule="auto"/>
        <w:tabs>
          <w:tab w:leader="none" w:pos="279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Exhibits to the A&amp;R Series 2024-1 Supplement are hereby amended to (i) replace Exhibits D-1, D-2 and D-3, each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and (ii) remove Exhibits W-1, W-2, X-1, X-2 and X-3, in each case, without modifying the existing Exhibits.</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7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2024-1 Agent) hereby authorize and direct the Trustee and Series 2024-1 Agent to execute this Amendment and take any and all further action necessary or appropriate to give effect to the transaction contemplated hereby.</w:t>
      </w:r>
    </w:p>
    <w:p>
      <w:pPr>
        <w:spacing w:after="0" w:line="192"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A&amp;R Series 2024-1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upon satisfaction of the Rating Agency Consent Condition. From and after the date hereof, all references to the A&amp;R Series 2024-1 Supplement shall be deemed to be references to the A&amp;R Series 2024-1 Supplement as amended hereby.</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1240"/>
          </w:cols>
          <w:pgMar w:left="320" w:top="1030" w:right="339" w:bottom="1440" w:gutter="0" w:footer="0" w:header="0"/>
        </w:sectPr>
      </w:pPr>
    </w:p>
    <w:bookmarkStart w:id="95" w:name="page96"/>
    <w:bookmarkEnd w:id="95"/>
    <w:p>
      <w:pPr>
        <w:ind w:left="-20" w:firstLine="1304"/>
        <w:spacing w:after="0" w:line="295" w:lineRule="auto"/>
        <w:tabs>
          <w:tab w:leader="none" w:pos="18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1200"/>
          </w:cols>
          <w:pgMar w:left="340" w:top="1030" w:right="359" w:bottom="1440" w:gutter="0" w:footer="0" w:header="0"/>
        </w:sectPr>
      </w:pPr>
    </w:p>
    <w:bookmarkStart w:id="96" w:name="page97"/>
    <w:bookmarkEnd w:id="9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7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1220"/>
          </w:cols>
          <w:pgMar w:left="320" w:top="1422" w:right="359" w:bottom="1440" w:gutter="0" w:footer="0" w:header="0"/>
        </w:sectPr>
      </w:pPr>
    </w:p>
    <w:bookmarkStart w:id="97" w:name="page98"/>
    <w:bookmarkEnd w:id="97"/>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Series 2024-1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-160020</wp:posOffset>
            </wp:positionV>
            <wp:extent cx="21945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0900"/>
          </w:cols>
          <w:pgMar w:left="400" w:top="1440" w:right="5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759"/>
        <w:spacing w:after="0"/>
        <w:rPr>
          <w:sz w:val="20"/>
          <w:szCs w:val="20"/>
          <w:color w:val="auto"/>
        </w:rPr>
      </w:pPr>
      <w:r>
        <w:rPr>
          <w:rFonts w:ascii="Times New Roman" w:cs="Times New Roman" w:eastAsia="Times New Roman" w:hAnsi="Times New Roman"/>
          <w:sz w:val="21"/>
          <w:szCs w:val="21"/>
          <w:color w:val="auto"/>
        </w:rPr>
        <w:t>AVIS BUDGET CAR RENTAL, LLC,</w:t>
      </w:r>
    </w:p>
    <w:p>
      <w:pPr>
        <w:spacing w:after="0" w:line="39" w:lineRule="exact"/>
        <w:rPr>
          <w:sz w:val="20"/>
          <w:szCs w:val="20"/>
          <w:color w:val="auto"/>
        </w:rPr>
      </w:pPr>
    </w:p>
    <w:p>
      <w:pPr>
        <w:jc w:val="center"/>
        <w:ind w:right="6799"/>
        <w:spacing w:after="0"/>
        <w:rPr>
          <w:sz w:val="20"/>
          <w:szCs w:val="20"/>
          <w:color w:val="auto"/>
        </w:rPr>
      </w:pPr>
      <w:r>
        <w:rPr>
          <w:rFonts w:ascii="Times New Roman" w:cs="Times New Roman" w:eastAsia="Times New Roman" w:hAnsi="Times New Roman"/>
          <w:sz w:val="22"/>
          <w:szCs w:val="22"/>
          <w:color w:val="auto"/>
        </w:rPr>
        <w:t>as the Sole Class D Noteholder</w:t>
      </w:r>
    </w:p>
    <w:p>
      <w:pPr>
        <w:spacing w:after="0" w:line="31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2719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0139"/>
          </w:cols>
          <w:pgMar w:left="320" w:top="1422" w:right="1440" w:bottom="1440" w:gutter="0" w:footer="0" w:header="0"/>
        </w:sectPr>
      </w:pPr>
    </w:p>
    <w:bookmarkStart w:id="99" w:name="page100"/>
    <w:bookmarkEnd w:id="99"/>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2"/>
          <w:szCs w:val="22"/>
          <w:color w:val="auto"/>
        </w:rPr>
        <w:t>Amendments to A&amp;R Series 2024-1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0059"/>
          </w:cols>
          <w:pgMar w:left="400" w:top="1422"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r>
        <w:rPr>
          <w:rFonts w:ascii="Times New Roman" w:cs="Times New Roman" w:eastAsia="Times New Roman" w:hAnsi="Times New Roman"/>
          <w:sz w:val="18"/>
          <w:szCs w:val="18"/>
          <w:b w:val="1"/>
          <w:bCs w:val="1"/>
          <w:i w:val="1"/>
          <w:iCs w:val="1"/>
          <w:u w:val="single" w:color="auto"/>
          <w:color w:val="0000FF"/>
          <w:strike w:val="1"/>
        </w:rPr>
        <w:t>Conformed through</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First Amendment, dated March 25,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Issuer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Trustee and Series 2024-1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AMENDED AND RESTATED SERIES 2024-1 SUPPLEMENT</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January 31, 2025</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to</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Series 2024-1 5.36% Rental Car Asset Backed Notes, Class A</w:t>
      </w:r>
    </w:p>
    <w:p>
      <w:pPr>
        <w:spacing w:after="0" w:line="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Series 2024-1 5.85% Rental Car Asset Backed Notes, Class B</w:t>
      </w:r>
    </w:p>
    <w:p>
      <w:pPr>
        <w:spacing w:after="0" w:line="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Series 2024-1 6.48% Rental Car Asset Backed Notes, Class C</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Series 2024-1 </w:t>
      </w:r>
      <w:r>
        <w:rPr>
          <w:rFonts w:ascii="Times New Roman" w:cs="Times New Roman" w:eastAsia="Times New Roman" w:hAnsi="Times New Roman"/>
          <w:sz w:val="22"/>
          <w:szCs w:val="22"/>
          <w:color w:val="FF0000"/>
          <w:strike w:val="1"/>
        </w:rPr>
        <w:t>8.05</w:t>
      </w:r>
      <w:r>
        <w:rPr>
          <w:rFonts w:ascii="Times New Roman" w:cs="Times New Roman" w:eastAsia="Times New Roman" w:hAnsi="Times New Roman"/>
          <w:sz w:val="22"/>
          <w:szCs w:val="22"/>
          <w:color w:val="0000FF"/>
        </w:rPr>
        <w:t>7.20%</w:t>
      </w:r>
      <w:r>
        <w:rPr>
          <w:rFonts w:ascii="Times New Roman" w:cs="Times New Roman" w:eastAsia="Times New Roman" w:hAnsi="Times New Roman"/>
          <w:sz w:val="22"/>
          <w:szCs w:val="22"/>
          <w:color w:val="auto"/>
        </w:rPr>
        <w:t xml:space="preserve"> Rental Car Asset Backed Notes, Class D</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Series 2024-1 8.427% Rental Car Asset Backed Notes, Class R</w:t>
      </w:r>
    </w:p>
    <w:p>
      <w:pPr>
        <w:sectPr>
          <w:pgSz w:w="11900" w:h="16838" w:orient="portrait"/>
          <w:cols w:equalWidth="0" w:num="1">
            <w:col w:w="10120"/>
          </w:cols>
          <w:pgMar w:left="1440" w:top="1413" w:right="339" w:bottom="1440" w:gutter="0" w:footer="0" w:header="0"/>
        </w:sectPr>
      </w:pPr>
    </w:p>
    <w:bookmarkStart w:id="101" w:name="page102"/>
    <w:bookmarkEnd w:id="101"/>
    <w:p>
      <w:pPr>
        <w:ind w:right="200"/>
        <w:spacing w:after="0" w:line="263" w:lineRule="auto"/>
        <w:rPr>
          <w:sz w:val="20"/>
          <w:szCs w:val="20"/>
          <w:color w:val="auto"/>
        </w:rPr>
      </w:pPr>
      <w:r>
        <w:rPr>
          <w:rFonts w:ascii="Times New Roman" w:cs="Times New Roman" w:eastAsia="Times New Roman" w:hAnsi="Times New Roman"/>
          <w:sz w:val="22"/>
          <w:szCs w:val="22"/>
          <w:color w:val="auto"/>
        </w:rPr>
        <w:t>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67" w:lineRule="exact"/>
        <w:rPr>
          <w:sz w:val="20"/>
          <w:szCs w:val="20"/>
          <w:color w:val="auto"/>
        </w:rPr>
      </w:pPr>
    </w:p>
    <w:p>
      <w:pPr>
        <w:jc w:val="both"/>
        <w:ind w:right="400" w:firstLine="1296"/>
        <w:spacing w:after="0" w:line="261" w:lineRule="auto"/>
        <w:rPr>
          <w:sz w:val="20"/>
          <w:szCs w:val="20"/>
          <w:color w:val="auto"/>
        </w:rPr>
      </w:pPr>
      <w:r>
        <w:rPr>
          <w:rFonts w:ascii="Times New Roman" w:cs="Times New Roman" w:eastAsia="Times New Roman" w:hAnsi="Times New Roman"/>
          <w:sz w:val="21"/>
          <w:szCs w:val="21"/>
          <w:color w:val="auto"/>
        </w:rPr>
        <w:t>On the Class A/B/C Notes Closing Date, ABRCF issued (i) one tranche of Class A Notes designated as the “Series 2024-1 5.36% Rental Car Asset Backed Notes, Class A”, (ii) one tranche of Class B Notes designated as the “Series 2024-1 5.85% Rental Car Asset Backed Notes, Class B”, (iii) one tranche of Class C Notes designated as the “Series 2024-1 6.48% Rental Car Asset Backed Notes, Class C” and (iv) one tranche of Class R Notes designated the “Series 2024-1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8.427% Rental Car Asset Backed Notes, Class R”.</w:t>
      </w:r>
    </w:p>
    <w:p>
      <w:pPr>
        <w:spacing w:after="0" w:line="207" w:lineRule="exact"/>
        <w:rPr>
          <w:sz w:val="20"/>
          <w:szCs w:val="20"/>
          <w:color w:val="auto"/>
        </w:rPr>
      </w:pPr>
    </w:p>
    <w:p>
      <w:pPr>
        <w:ind w:right="3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On the Class D Notes Closing Date, ABRCF shall issue (i) one tranche of Class D Notes designated as the “Series 2024-1 </w:t>
      </w:r>
      <w:r>
        <w:rPr>
          <w:rFonts w:ascii="Times New Roman" w:cs="Times New Roman" w:eastAsia="Times New Roman" w:hAnsi="Times New Roman"/>
          <w:sz w:val="22"/>
          <w:szCs w:val="22"/>
          <w:color w:val="FF0000"/>
          <w:strike w:val="1"/>
        </w:rPr>
        <w:t>8.05</w:t>
      </w:r>
      <w:r>
        <w:rPr>
          <w:rFonts w:ascii="Times New Roman" w:cs="Times New Roman" w:eastAsia="Times New Roman" w:hAnsi="Times New Roman"/>
          <w:sz w:val="22"/>
          <w:szCs w:val="22"/>
          <w:u w:val="single" w:color="auto"/>
          <w:color w:val="0000FF"/>
        </w:rPr>
        <w:t>7.20</w:t>
      </w:r>
      <w:r>
        <w:rPr>
          <w:rFonts w:ascii="Times New Roman" w:cs="Times New Roman" w:eastAsia="Times New Roman" w:hAnsi="Times New Roman"/>
          <w:sz w:val="22"/>
          <w:szCs w:val="22"/>
          <w:color w:val="auto"/>
        </w:rPr>
        <w:t>% Rental Car Asset Backed Notes, Class D” and (ii) the Additional Class R Notes.</w:t>
      </w:r>
    </w:p>
    <w:p>
      <w:pPr>
        <w:spacing w:after="0" w:line="158" w:lineRule="exact"/>
        <w:rPr>
          <w:sz w:val="20"/>
          <w:szCs w:val="20"/>
          <w:color w:val="auto"/>
        </w:rPr>
      </w:pPr>
    </w:p>
    <w:p>
      <w:pPr>
        <w:jc w:val="both"/>
        <w:ind w:right="400"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2024-1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right="400" w:firstLine="1296"/>
        <w:spacing w:after="0" w:line="256" w:lineRule="auto"/>
        <w:rPr>
          <w:sz w:val="20"/>
          <w:szCs w:val="20"/>
          <w:color w:val="auto"/>
        </w:rPr>
      </w:pPr>
      <w:r>
        <w:rPr>
          <w:rFonts w:ascii="Times New Roman" w:cs="Times New Roman" w:eastAsia="Times New Roman" w:hAnsi="Times New Roman"/>
          <w:sz w:val="22"/>
          <w:szCs w:val="22"/>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spacing w:after="0" w:line="176" w:lineRule="exact"/>
        <w:rPr>
          <w:sz w:val="20"/>
          <w:szCs w:val="20"/>
          <w:color w:val="auto"/>
        </w:rPr>
      </w:pPr>
    </w:p>
    <w:p>
      <w:pPr>
        <w:jc w:val="both"/>
        <w:ind w:right="400" w:firstLine="1296"/>
        <w:spacing w:after="0" w:line="256" w:lineRule="auto"/>
        <w:rPr>
          <w:sz w:val="20"/>
          <w:szCs w:val="20"/>
          <w:color w:val="auto"/>
        </w:rPr>
      </w:pPr>
      <w:r>
        <w:rPr>
          <w:rFonts w:ascii="Times New Roman" w:cs="Times New Roman" w:eastAsia="Times New Roman" w:hAnsi="Times New Roman"/>
          <w:sz w:val="22"/>
          <w:szCs w:val="22"/>
          <w:color w:val="auto"/>
        </w:rPr>
        <w:t>The Series 2024-1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3" w:lineRule="auto"/>
        <w:tabs>
          <w:tab w:leader="none" w:pos="161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2024-1 Notes and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73" w:right="339" w:bottom="1440" w:gutter="0" w:footer="0" w:header="0"/>
        </w:sectPr>
      </w:pPr>
    </w:p>
    <w:bookmarkStart w:id="102" w:name="page103"/>
    <w:bookmarkEnd w:id="102"/>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Monthly Interest</w:t>
      </w:r>
      <w:r>
        <w:rPr>
          <w:rFonts w:ascii="Times New Roman" w:cs="Times New Roman" w:eastAsia="Times New Roman" w:hAnsi="Times New Roman"/>
          <w:sz w:val="21"/>
          <w:szCs w:val="21"/>
          <w:color w:val="auto"/>
        </w:rPr>
        <w:t>” means, (A) for so long as ABRCF owns 100% of the Class D Notes, $0 and (B) if ABRCF owns less than 100% of the Class D Notes, with respect to (i) the initial Series 2024-1 Interest Period for the Class D Notes, an amount equal to $1,829,698 and (ii) any other Series 2024-1 Interest Period, an amount equal to the product of</w:t>
      </w:r>
    </w:p>
    <w:p>
      <w:pPr>
        <w:spacing w:after="0" w:line="2" w:lineRule="exact"/>
        <w:rPr>
          <w:sz w:val="20"/>
          <w:szCs w:val="20"/>
          <w:color w:val="auto"/>
        </w:rPr>
      </w:pPr>
    </w:p>
    <w:p>
      <w:pPr>
        <w:ind w:right="20" w:firstLine="8"/>
        <w:spacing w:after="0" w:line="259" w:lineRule="auto"/>
        <w:tabs>
          <w:tab w:leader="none" w:pos="38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one-twelfth of the Class D Note Rate and (B) the Class D Invested Amount on the first day of such Series 2024-1 Interest Period, after giving effect to any principal payments made on such date.</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2024-1 </w:t>
      </w:r>
      <w:r>
        <w:rPr>
          <w:rFonts w:ascii="Times New Roman" w:cs="Times New Roman" w:eastAsia="Times New Roman" w:hAnsi="Times New Roman"/>
          <w:sz w:val="22"/>
          <w:szCs w:val="22"/>
          <w:color w:val="FF0000"/>
          <w:strike w:val="1"/>
        </w:rPr>
        <w:t>8.05</w:t>
      </w:r>
      <w:r>
        <w:rPr>
          <w:rFonts w:ascii="Times New Roman" w:cs="Times New Roman" w:eastAsia="Times New Roman" w:hAnsi="Times New Roman"/>
          <w:sz w:val="22"/>
          <w:szCs w:val="22"/>
          <w:u w:val="single" w:color="auto"/>
          <w:color w:val="0000FF"/>
        </w:rPr>
        <w:t>7.20</w:t>
      </w:r>
      <w:r>
        <w:rPr>
          <w:rFonts w:ascii="Times New Roman" w:cs="Times New Roman" w:eastAsia="Times New Roman" w:hAnsi="Times New Roman"/>
          <w:sz w:val="22"/>
          <w:szCs w:val="22"/>
          <w:color w:val="auto"/>
        </w:rPr>
        <w:t xml:space="preserve">%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2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8.05</w:t>
      </w:r>
      <w:r>
        <w:rPr>
          <w:rFonts w:ascii="Times New Roman" w:cs="Times New Roman" w:eastAsia="Times New Roman" w:hAnsi="Times New Roman"/>
          <w:sz w:val="22"/>
          <w:szCs w:val="22"/>
          <w:u w:val="single" w:color="auto"/>
          <w:color w:val="0000FF"/>
        </w:rPr>
        <w:t>7.20</w:t>
      </w:r>
      <w:r>
        <w:rPr>
          <w:rFonts w:ascii="Times New Roman" w:cs="Times New Roman" w:eastAsia="Times New Roman" w:hAnsi="Times New Roman"/>
          <w:sz w:val="22"/>
          <w:szCs w:val="22"/>
          <w:color w:val="auto"/>
        </w:rPr>
        <w:t>%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20"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2024-1 AESOP I Operating Lease Loan Agreement Borrowing Base as of such date over (y) the Series 2024-1 Invested Amount as of such date.</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44" w:lineRule="exact"/>
        <w:rPr>
          <w:sz w:val="20"/>
          <w:szCs w:val="20"/>
          <w:color w:val="auto"/>
        </w:rPr>
      </w:pPr>
    </w:p>
    <w:p>
      <w:pPr>
        <w:jc w:val="both"/>
        <w:ind w:right="20"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2024-1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2024-1 AESOP I Operating</w:t>
      </w:r>
    </w:p>
    <w:p>
      <w:pPr>
        <w:spacing w:after="0" w:line="2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860"/>
          </w:cols>
          <w:pgMar w:left="320" w:top="1084" w:right="719" w:bottom="1440" w:gutter="0" w:footer="0" w:header="0"/>
        </w:sectPr>
      </w:pPr>
    </w:p>
    <w:bookmarkStart w:id="103" w:name="page104"/>
    <w:bookmarkEnd w:id="103"/>
    <w:p>
      <w:pPr>
        <w:ind w:right="240"/>
        <w:spacing w:after="0" w:line="271" w:lineRule="auto"/>
        <w:rPr>
          <w:sz w:val="20"/>
          <w:szCs w:val="20"/>
          <w:color w:val="auto"/>
        </w:rPr>
      </w:pPr>
      <w:r>
        <w:rPr>
          <w:rFonts w:ascii="Times New Roman" w:cs="Times New Roman" w:eastAsia="Times New Roman" w:hAnsi="Times New Roman"/>
          <w:sz w:val="22"/>
          <w:szCs w:val="22"/>
          <w:color w:val="auto"/>
        </w:rPr>
        <w:t>ABRCF pursuant to the Related Documents, as such information relates to the Series 2024-1 Notes or the Series 2024-1 Collateral.</w:t>
      </w:r>
    </w:p>
    <w:p>
      <w:pPr>
        <w:spacing w:after="0" w:line="171" w:lineRule="exact"/>
        <w:rPr>
          <w:sz w:val="20"/>
          <w:szCs w:val="20"/>
          <w:color w:val="auto"/>
        </w:rPr>
      </w:pPr>
    </w:p>
    <w:p>
      <w:pPr>
        <w:jc w:val="right"/>
        <w:spacing w:after="0"/>
        <w:tabs>
          <w:tab w:leader="none" w:pos="806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Exhibits</w:t>
      </w:r>
      <w:r>
        <w:rPr>
          <w:rFonts w:ascii="Times New Roman" w:cs="Times New Roman" w:eastAsia="Times New Roman" w:hAnsi="Times New Roman"/>
          <w:sz w:val="21"/>
          <w:szCs w:val="21"/>
          <w:color w:val="auto"/>
        </w:rPr>
        <w:t>. The following exhibits attached hereto supplement the exhibits included in the Base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A-1:</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Global Series 2024-1 Note, Class A</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A-2:</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Temporary Global Series 2024-1 Note, Class A</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A-3:</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Permanent Global Series 2024-1 Note, Class A</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B-1:</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Global Series 2024-1 Note, Class B</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B-2:</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Temporary Global Series 2024-1 Note, Class B</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B-3:</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Permanent Global Series 2024-1 Note, Class B</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C-1:</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Global Series 2024-1 Note, Class C</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C-2:</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Temporary Global Series 2024-1 Note, Class C</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C-3:</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Permanent Global Series 2024-1 Note, Class C</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D-1:</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Global Series 2024-1 Note, Class D</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D-2:</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Temporary Global Series 2024-1 Note, Class D</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D-3:</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Permanent Global Series 2024-1 Note, Class D</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D-4:</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Definitive Series 2024-1 Note, Class D</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E-1:</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Global Series 2024-1 Note, Class R</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E-2:</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Temporary Global Series 2024-1 Note, Class R</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E-3:</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Permanent Global Series 2024-1 Note, Class R</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F:</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Series 2024-1 Demand Note</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G:</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Multi-Series Letter of Credit</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H:</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Lease Payment Deficit Notice</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I:</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Demand Notice</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J:</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Supplemental Indenture No. 5 to the Base Indenture</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K:</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AESOP I Operating Lease</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L:</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Finance Lease</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M:</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AESOP I Operating Lease Loan Agreement</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N:</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AESOP I Finance Lease Loan Agreement</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O:</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AESOP II Operating Lease</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P:</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Master Exchange Agreement</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Q:</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Escrow Agreement</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R:</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Administration Agreement</w:t>
            </w: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S:</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AESOP II Operating Lease Loan Agreement</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T:</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Original AESOP Nominee Agreement</w:t>
            </w: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U:</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Disposition Agent Agreement</w:t>
            </w:r>
          </w:p>
        </w:tc>
      </w:tr>
      <w:tr>
        <w:trPr>
          <w:trHeight w:val="262"/>
        </w:trPr>
        <w:tc>
          <w:tcPr>
            <w:tcW w:w="22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V:</w:t>
            </w:r>
          </w:p>
        </w:tc>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Amendment to the Back-up Administration Agreement</w:t>
            </w:r>
          </w:p>
        </w:tc>
      </w:tr>
      <w:tr>
        <w:trPr>
          <w:trHeight w:val="257"/>
        </w:trPr>
        <w:tc>
          <w:tcPr>
            <w:tcW w:w="2260" w:type="dxa"/>
            <w:vAlign w:val="bottom"/>
            <w:shd w:val="clear" w:color="auto" w:fill="FDD68B"/>
          </w:tcPr>
          <w:p>
            <w:pPr>
              <w:ind w:left="20"/>
              <w:spacing w:after="0"/>
              <w:rPr>
                <w:sz w:val="20"/>
                <w:szCs w:val="20"/>
                <w:color w:val="auto"/>
              </w:rPr>
            </w:pPr>
            <w:r>
              <w:rPr>
                <w:rFonts w:ascii="Times New Roman" w:cs="Times New Roman" w:eastAsia="Times New Roman" w:hAnsi="Times New Roman"/>
                <w:sz w:val="21"/>
                <w:szCs w:val="21"/>
                <w:color w:val="EE2724"/>
                <w:strike w:val="1"/>
              </w:rPr>
              <w:t>Exhibit W-1:</w:t>
            </w:r>
          </w:p>
        </w:tc>
        <w:tc>
          <w:tcPr>
            <w:tcW w:w="6500" w:type="dxa"/>
            <w:vAlign w:val="bottom"/>
            <w:shd w:val="clear" w:color="auto" w:fill="FDD68B"/>
          </w:tcPr>
          <w:p>
            <w:pPr>
              <w:spacing w:after="0"/>
              <w:rPr>
                <w:sz w:val="20"/>
                <w:szCs w:val="20"/>
                <w:color w:val="auto"/>
              </w:rPr>
            </w:pPr>
            <w:r>
              <w:rPr>
                <w:rFonts w:ascii="Times New Roman" w:cs="Times New Roman" w:eastAsia="Times New Roman" w:hAnsi="Times New Roman"/>
                <w:sz w:val="21"/>
                <w:szCs w:val="21"/>
                <w:color w:val="EE2724"/>
                <w:strike w:val="1"/>
              </w:rPr>
              <w:t>Form of Transfer Certificate for Class D Notes (Transferee)</w:t>
            </w:r>
          </w:p>
        </w:tc>
      </w:tr>
      <w:tr>
        <w:trPr>
          <w:trHeight w:val="579"/>
        </w:trPr>
        <w:tc>
          <w:tcPr>
            <w:tcW w:w="2260" w:type="dxa"/>
            <w:vAlign w:val="bottom"/>
          </w:tcPr>
          <w:p>
            <w:pPr>
              <w:spacing w:after="0"/>
              <w:rPr>
                <w:sz w:val="24"/>
                <w:szCs w:val="24"/>
                <w:color w:val="auto"/>
              </w:rPr>
            </w:pPr>
          </w:p>
        </w:tc>
        <w:tc>
          <w:tcPr>
            <w:tcW w:w="650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0620"/>
          </w:cols>
          <w:pgMar w:left="320" w:top="1084" w:right="959" w:bottom="1440" w:gutter="0" w:footer="0" w:header="0"/>
        </w:sectPr>
      </w:pPr>
    </w:p>
    <w:bookmarkStart w:id="104" w:name="page105"/>
    <w:bookmarkEnd w:id="104"/>
    <w:p>
      <w:pPr>
        <w:ind w:left="1260"/>
        <w:spacing w:after="0"/>
        <w:tabs>
          <w:tab w:leader="none" w:pos="3480" w:val="left"/>
        </w:tabs>
        <w:rPr>
          <w:sz w:val="20"/>
          <w:szCs w:val="20"/>
          <w:color w:val="auto"/>
        </w:rPr>
      </w:pPr>
      <w:r>
        <w:rPr>
          <w:rFonts w:ascii="Times New Roman" w:cs="Times New Roman" w:eastAsia="Times New Roman" w:hAnsi="Times New Roman"/>
          <w:sz w:val="21"/>
          <w:szCs w:val="21"/>
          <w:color w:val="EE2724"/>
          <w:strike w:val="1"/>
        </w:rPr>
        <w:t>Exhibit W-2:</w:t>
      </w:r>
      <w:r>
        <w:rPr>
          <w:sz w:val="20"/>
          <w:szCs w:val="20"/>
          <w:color w:val="auto"/>
        </w:rPr>
        <w:tab/>
      </w:r>
      <w:r>
        <w:rPr>
          <w:rFonts w:ascii="Times New Roman" w:cs="Times New Roman" w:eastAsia="Times New Roman" w:hAnsi="Times New Roman"/>
          <w:sz w:val="20"/>
          <w:szCs w:val="20"/>
          <w:color w:val="EE2724"/>
          <w:strike w:val="1"/>
        </w:rPr>
        <w:t>Form of Transfer Certificate for Class D Notes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-149225</wp:posOffset>
            </wp:positionV>
            <wp:extent cx="5554980" cy="651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554980" cy="651510"/>
                    </a:xfrm>
                    <a:prstGeom prst="rect">
                      <a:avLst/>
                    </a:prstGeom>
                    <a:noFill/>
                  </pic:spPr>
                </pic:pic>
              </a:graphicData>
            </a:graphic>
          </wp:anchor>
        </w:drawing>
      </w:r>
    </w:p>
    <w:p>
      <w:pPr>
        <w:spacing w:after="0" w:line="9" w:lineRule="exact"/>
        <w:rPr>
          <w:sz w:val="20"/>
          <w:szCs w:val="20"/>
          <w:color w:val="auto"/>
        </w:rPr>
      </w:pPr>
    </w:p>
    <w:p>
      <w:pPr>
        <w:ind w:left="1260"/>
        <w:spacing w:after="0"/>
        <w:tabs>
          <w:tab w:leader="none" w:pos="3480" w:val="left"/>
        </w:tabs>
        <w:rPr>
          <w:sz w:val="20"/>
          <w:szCs w:val="20"/>
          <w:color w:val="auto"/>
        </w:rPr>
      </w:pPr>
      <w:r>
        <w:rPr>
          <w:rFonts w:ascii="Times New Roman" w:cs="Times New Roman" w:eastAsia="Times New Roman" w:hAnsi="Times New Roman"/>
          <w:sz w:val="21"/>
          <w:szCs w:val="21"/>
          <w:color w:val="EE2724"/>
          <w:strike w:val="1"/>
        </w:rPr>
        <w:t>Exhibit X-1:</w:t>
      </w:r>
      <w:r>
        <w:rPr>
          <w:sz w:val="20"/>
          <w:szCs w:val="20"/>
          <w:color w:val="auto"/>
        </w:rPr>
        <w:tab/>
      </w:r>
      <w:r>
        <w:rPr>
          <w:rFonts w:ascii="Times New Roman" w:cs="Times New Roman" w:eastAsia="Times New Roman" w:hAnsi="Times New Roman"/>
          <w:sz w:val="20"/>
          <w:szCs w:val="20"/>
          <w:color w:val="EE2724"/>
          <w:strike w:val="1"/>
        </w:rPr>
        <w:t>Form of Transfer Certificate (Definitive Notes to Temporary Global Notes)</w:t>
      </w:r>
    </w:p>
    <w:p>
      <w:pPr>
        <w:spacing w:after="0" w:line="15" w:lineRule="exact"/>
        <w:rPr>
          <w:sz w:val="20"/>
          <w:szCs w:val="20"/>
          <w:color w:val="auto"/>
        </w:rPr>
      </w:pPr>
    </w:p>
    <w:p>
      <w:pPr>
        <w:ind w:left="1260"/>
        <w:spacing w:after="0"/>
        <w:tabs>
          <w:tab w:leader="none" w:pos="3480" w:val="left"/>
        </w:tabs>
        <w:rPr>
          <w:sz w:val="20"/>
          <w:szCs w:val="20"/>
          <w:color w:val="auto"/>
        </w:rPr>
      </w:pPr>
      <w:r>
        <w:rPr>
          <w:rFonts w:ascii="Times New Roman" w:cs="Times New Roman" w:eastAsia="Times New Roman" w:hAnsi="Times New Roman"/>
          <w:sz w:val="21"/>
          <w:szCs w:val="21"/>
          <w:color w:val="EE2724"/>
          <w:strike w:val="1"/>
        </w:rPr>
        <w:t>Exhibit X-2:</w:t>
      </w:r>
      <w:r>
        <w:rPr>
          <w:sz w:val="20"/>
          <w:szCs w:val="20"/>
          <w:color w:val="auto"/>
        </w:rPr>
        <w:tab/>
      </w:r>
      <w:r>
        <w:rPr>
          <w:rFonts w:ascii="Times New Roman" w:cs="Times New Roman" w:eastAsia="Times New Roman" w:hAnsi="Times New Roman"/>
          <w:sz w:val="20"/>
          <w:szCs w:val="20"/>
          <w:color w:val="EE2724"/>
          <w:strike w:val="1"/>
        </w:rPr>
        <w:t>Form of Transfer Certificate (Definitive Notes to Permanent Global Notes)</w:t>
      </w:r>
    </w:p>
    <w:p>
      <w:pPr>
        <w:spacing w:after="0" w:line="15" w:lineRule="exact"/>
        <w:rPr>
          <w:sz w:val="20"/>
          <w:szCs w:val="20"/>
          <w:color w:val="auto"/>
        </w:rPr>
      </w:pPr>
    </w:p>
    <w:p>
      <w:pPr>
        <w:ind w:left="1260"/>
        <w:spacing w:after="0"/>
        <w:tabs>
          <w:tab w:leader="none" w:pos="3480" w:val="left"/>
        </w:tabs>
        <w:rPr>
          <w:sz w:val="20"/>
          <w:szCs w:val="20"/>
          <w:color w:val="auto"/>
        </w:rPr>
      </w:pPr>
      <w:r>
        <w:rPr>
          <w:rFonts w:ascii="Times New Roman" w:cs="Times New Roman" w:eastAsia="Times New Roman" w:hAnsi="Times New Roman"/>
          <w:sz w:val="21"/>
          <w:szCs w:val="21"/>
          <w:color w:val="EE2724"/>
          <w:strike w:val="1"/>
        </w:rPr>
        <w:t>Exhibit X-3:</w:t>
      </w:r>
      <w:r>
        <w:rPr>
          <w:sz w:val="20"/>
          <w:szCs w:val="20"/>
          <w:color w:val="auto"/>
        </w:rPr>
        <w:tab/>
      </w:r>
      <w:r>
        <w:rPr>
          <w:rFonts w:ascii="Times New Roman" w:cs="Times New Roman" w:eastAsia="Times New Roman" w:hAnsi="Times New Roman"/>
          <w:sz w:val="20"/>
          <w:szCs w:val="20"/>
          <w:color w:val="EE2724"/>
          <w:strike w:val="1"/>
        </w:rPr>
        <w:t>Form of Transfer Certificate (Definitive Notes to Restricted Global Notes)</w:t>
      </w:r>
    </w:p>
    <w:p>
      <w:pPr>
        <w:spacing w:after="0" w:line="200" w:lineRule="exact"/>
        <w:rPr>
          <w:sz w:val="20"/>
          <w:szCs w:val="20"/>
          <w:color w:val="auto"/>
        </w:rPr>
      </w:pPr>
    </w:p>
    <w:p>
      <w:pPr>
        <w:spacing w:after="0" w:line="3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 may be executed in any number of counterparts, each of which so executed shall be deemed to be an original, but all of such counterparts shall together constitute but one and the same instrument.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2024-1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so long as (i) no Amortization Event has occurred and is continuing and (ii) the Rating Agency Consent Condition is met with respect to the outstanding Series 2024-1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2024-1 Maximum Amount at any time with the consent of a Requisite Series 2024-1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w:t>
      </w: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0860"/>
          </w:cols>
          <w:pgMar w:left="320" w:top="1065" w:right="719" w:bottom="1440" w:gutter="0" w:footer="0" w:header="0"/>
        </w:sectPr>
      </w:pPr>
    </w:p>
    <w:bookmarkStart w:id="105" w:name="page106"/>
    <w:bookmarkEnd w:id="105"/>
    <w:p>
      <w:pPr>
        <w:jc w:val="both"/>
        <w:ind w:right="300"/>
        <w:spacing w:after="0" w:line="261" w:lineRule="auto"/>
        <w:rPr>
          <w:sz w:val="20"/>
          <w:szCs w:val="20"/>
          <w:color w:val="auto"/>
        </w:rPr>
      </w:pPr>
      <w:r>
        <w:rPr>
          <w:rFonts w:ascii="Times New Roman" w:cs="Times New Roman" w:eastAsia="Times New Roman" w:hAnsi="Times New Roman"/>
          <w:sz w:val="21"/>
          <w:szCs w:val="21"/>
          <w:color w:val="auto"/>
        </w:rPr>
        <w:t xml:space="preserve">OTHER RELATED DOCUMENTS EXECUTED IN CONNECTION WITH THE ISSUANCE OF THE SERIES 2024-1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2024-1 NOTES, THE SERIES 2024-1 DEMAND NOTES, THE MULTI-SERIES LETTER OF CREDIT AND ANY OTHER RELATED DOCUMENTS EXECUTED IN CONNECTION WITH THE ISSUANCE OF THE SERIES 2024-1 NOTES IN ANY OTHER COUNTRY, STATE OR PLACE HAVING JURISDICTION OVER SUCH ACTION OR PROCEEDING.</w:t>
      </w:r>
    </w:p>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Section 5.23. </w:t>
      </w:r>
      <w:r>
        <w:rPr>
          <w:rFonts w:ascii="Times New Roman" w:cs="Times New Roman" w:eastAsia="Times New Roman" w:hAnsi="Times New Roman"/>
          <w:sz w:val="22"/>
          <w:szCs w:val="22"/>
          <w:u w:val="single" w:color="auto"/>
          <w:color w:val="auto"/>
        </w:rPr>
        <w:t>Additional Terms of the Series 2024-1 Notes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2400" w:hanging="448"/>
        <w:spacing w:after="0"/>
        <w:tabs>
          <w:tab w:leader="none" w:pos="24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this Supplement and the Series 2024-1 Notes:</w:t>
      </w:r>
    </w:p>
    <w:p>
      <w:pPr>
        <w:spacing w:after="0" w:line="246" w:lineRule="exact"/>
        <w:rPr>
          <w:rFonts w:ascii="Times New Roman" w:cs="Times New Roman" w:eastAsia="Times New Roman" w:hAnsi="Times New Roman"/>
          <w:sz w:val="22"/>
          <w:szCs w:val="22"/>
          <w:color w:val="auto"/>
        </w:rPr>
      </w:pPr>
    </w:p>
    <w:p>
      <w:pPr>
        <w:ind w:left="1300" w:firstLine="976"/>
        <w:spacing w:after="0" w:line="252" w:lineRule="auto"/>
        <w:tabs>
          <w:tab w:leader="none" w:pos="268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219" w:lineRule="exact"/>
        <w:rPr>
          <w:rFonts w:ascii="Times New Roman" w:cs="Times New Roman" w:eastAsia="Times New Roman" w:hAnsi="Times New Roman"/>
          <w:sz w:val="22"/>
          <w:szCs w:val="22"/>
          <w:color w:val="auto"/>
        </w:rPr>
      </w:pPr>
    </w:p>
    <w:p>
      <w:pPr>
        <w:ind w:left="2760" w:hanging="484"/>
        <w:spacing w:after="0"/>
        <w:tabs>
          <w:tab w:leader="none" w:pos="276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Rating Agency Confirmation Condition and Rating Agency Consent Condition</w:t>
      </w:r>
    </w:p>
    <w:p>
      <w:pPr>
        <w:spacing w:after="0" w:line="28" w:lineRule="exact"/>
        <w:rPr>
          <w:sz w:val="20"/>
          <w:szCs w:val="20"/>
          <w:color w:val="auto"/>
        </w:rPr>
      </w:pPr>
    </w:p>
    <w:p>
      <w:pPr>
        <w:ind w:left="1300" w:right="460"/>
        <w:spacing w:after="0" w:line="247" w:lineRule="auto"/>
        <w:rPr>
          <w:sz w:val="20"/>
          <w:szCs w:val="20"/>
          <w:color w:val="auto"/>
        </w:rPr>
      </w:pPr>
      <w:r>
        <w:rPr>
          <w:rFonts w:ascii="Times New Roman" w:cs="Times New Roman" w:eastAsia="Times New Roman" w:hAnsi="Times New Roman"/>
          <w:sz w:val="22"/>
          <w:szCs w:val="22"/>
          <w:color w:val="auto"/>
        </w:rPr>
        <w:t>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13" w:lineRule="exact"/>
        <w:rPr>
          <w:sz w:val="20"/>
          <w:szCs w:val="20"/>
          <w:color w:val="auto"/>
        </w:rPr>
      </w:pPr>
    </w:p>
    <w:p>
      <w:pPr>
        <w:ind w:right="320" w:firstLine="1952"/>
        <w:spacing w:after="0" w:line="250" w:lineRule="auto"/>
        <w:tabs>
          <w:tab w:leader="none" w:pos="2250" w:val="left"/>
        </w:tabs>
        <w:numPr>
          <w:ilvl w:val="0"/>
          <w:numId w:val="80"/>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The transfer by a transferor (a “</w:t>
      </w:r>
      <w:r>
        <w:rPr>
          <w:rFonts w:ascii="Times New Roman" w:cs="Times New Roman" w:eastAsia="Times New Roman" w:hAnsi="Times New Roman"/>
          <w:sz w:val="22"/>
          <w:szCs w:val="22"/>
          <w:u w:val="single" w:color="auto"/>
          <w:color w:val="EE2724"/>
          <w:strike w:val="1"/>
        </w:rPr>
        <w:t>Transferor</w:t>
      </w:r>
      <w:r>
        <w:rPr>
          <w:rFonts w:ascii="Times New Roman" w:cs="Times New Roman" w:eastAsia="Times New Roman" w:hAnsi="Times New Roman"/>
          <w:sz w:val="22"/>
          <w:szCs w:val="22"/>
          <w:color w:val="EE2724"/>
          <w:strike w:val="1"/>
        </w:rPr>
        <w:t>”) holding a Class D Note or a beneficial interest therein to a subsequent transferee (a “</w:t>
      </w:r>
      <w:r>
        <w:rPr>
          <w:rFonts w:ascii="Times New Roman" w:cs="Times New Roman" w:eastAsia="Times New Roman" w:hAnsi="Times New Roman"/>
          <w:sz w:val="22"/>
          <w:szCs w:val="22"/>
          <w:u w:val="single" w:color="auto"/>
          <w:color w:val="EE2724"/>
          <w:strike w:val="1"/>
        </w:rPr>
        <w:t>Transferee</w:t>
      </w:r>
      <w:r>
        <w:rPr>
          <w:rFonts w:ascii="Times New Roman" w:cs="Times New Roman" w:eastAsia="Times New Roman" w:hAnsi="Times New Roman"/>
          <w:sz w:val="22"/>
          <w:szCs w:val="22"/>
          <w:color w:val="EE2724"/>
          <w:strike w:val="1"/>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 w:cs="Times New Roman" w:eastAsia="Times New Roman" w:hAnsi="Times New Roman"/>
          <w:sz w:val="22"/>
          <w:szCs w:val="22"/>
          <w:u w:val="single" w:color="auto"/>
          <w:color w:val="EE2724"/>
          <w:strike w:val="1"/>
        </w:rPr>
        <w:t>Exhibit W-1</w:t>
      </w:r>
      <w:r>
        <w:rPr>
          <w:rFonts w:ascii="Times New Roman" w:cs="Times New Roman" w:eastAsia="Times New Roman" w:hAnsi="Times New Roman"/>
          <w:sz w:val="22"/>
          <w:szCs w:val="22"/>
          <w:color w:val="EE2724"/>
          <w:strike w:val="1"/>
        </w:rPr>
        <w:t xml:space="preserve"> and (y) a transfer certificate from the Transferor substantially in the form of </w:t>
      </w:r>
      <w:r>
        <w:rPr>
          <w:rFonts w:ascii="Times New Roman" w:cs="Times New Roman" w:eastAsia="Times New Roman" w:hAnsi="Times New Roman"/>
          <w:sz w:val="22"/>
          <w:szCs w:val="22"/>
          <w:u w:val="single" w:color="auto"/>
          <w:color w:val="EE2724"/>
          <w:strike w:val="1"/>
        </w:rPr>
        <w:t>Exhibit W-2</w:t>
      </w:r>
      <w:r>
        <w:rPr>
          <w:rFonts w:ascii="Times New Roman" w:cs="Times New Roman" w:eastAsia="Times New Roman" w:hAnsi="Times New Roman"/>
          <w:sz w:val="22"/>
          <w:szCs w:val="22"/>
          <w:color w:val="EE2724"/>
          <w:strike w:val="1"/>
        </w:rPr>
        <w:t>.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00"/>
          </w:cols>
          <w:pgMar w:left="320" w:top="1084" w:right="379" w:bottom="1440" w:gutter="0" w:footer="0" w:header="0"/>
        </w:sectPr>
      </w:pPr>
    </w:p>
    <w:bookmarkStart w:id="106" w:name="page107"/>
    <w:bookmarkEnd w:id="106"/>
    <w:p>
      <w:pPr>
        <w:jc w:val="both"/>
        <w:ind w:right="380"/>
        <w:spacing w:after="0" w:line="271" w:lineRule="auto"/>
        <w:rPr>
          <w:sz w:val="20"/>
          <w:szCs w:val="20"/>
          <w:color w:val="auto"/>
        </w:rPr>
      </w:pPr>
      <w:r>
        <w:rPr>
          <w:rFonts w:ascii="Times New Roman" w:cs="Times New Roman" w:eastAsia="Times New Roman" w:hAnsi="Times New Roman"/>
          <w:sz w:val="22"/>
          <w:szCs w:val="22"/>
          <w:color w:val="EE2724"/>
          <w:strike w:val="1"/>
        </w:rPr>
        <w:t xml:space="preserve">required to be delivered to the email address set forth in </w:t>
      </w:r>
      <w:r>
        <w:rPr>
          <w:rFonts w:ascii="Times New Roman" w:cs="Times New Roman" w:eastAsia="Times New Roman" w:hAnsi="Times New Roman"/>
          <w:sz w:val="22"/>
          <w:szCs w:val="22"/>
          <w:u w:val="single" w:color="auto"/>
          <w:color w:val="EE2724"/>
          <w:strike w:val="1"/>
        </w:rPr>
        <w:t>Exhibits W-1</w:t>
      </w:r>
      <w:r>
        <w:rPr>
          <w:rFonts w:ascii="Times New Roman" w:cs="Times New Roman" w:eastAsia="Times New Roman" w:hAnsi="Times New Roman"/>
          <w:sz w:val="22"/>
          <w:szCs w:val="22"/>
          <w:color w:val="EE2724"/>
          <w:strike w:val="1"/>
        </w:rPr>
        <w:t xml:space="preserve"> and </w:t>
      </w:r>
      <w:r>
        <w:rPr>
          <w:rFonts w:ascii="Times New Roman" w:cs="Times New Roman" w:eastAsia="Times New Roman" w:hAnsi="Times New Roman"/>
          <w:sz w:val="22"/>
          <w:szCs w:val="22"/>
          <w:u w:val="single" w:color="auto"/>
          <w:color w:val="EE2724"/>
          <w:strike w:val="1"/>
        </w:rPr>
        <w:t>W-2</w:t>
      </w:r>
      <w:r>
        <w:rPr>
          <w:rFonts w:ascii="Times New Roman" w:cs="Times New Roman" w:eastAsia="Times New Roman" w:hAnsi="Times New Roman"/>
          <w:sz w:val="22"/>
          <w:szCs w:val="22"/>
          <w:color w:val="EE2724"/>
          <w:strike w:val="1"/>
        </w:rPr>
        <w:t>. Any other transfer of a Note shall be made in accordance with Section 2.9 of the Base Indenture.</w:t>
      </w:r>
    </w:p>
    <w:p>
      <w:pPr>
        <w:spacing w:after="0" w:line="171" w:lineRule="exact"/>
        <w:rPr>
          <w:sz w:val="20"/>
          <w:szCs w:val="20"/>
          <w:color w:val="auto"/>
        </w:rPr>
      </w:pPr>
    </w:p>
    <w:p>
      <w:pPr>
        <w:jc w:val="both"/>
        <w:ind w:right="380" w:firstLine="1944"/>
        <w:spacing w:after="0" w:line="251" w:lineRule="auto"/>
        <w:rPr>
          <w:sz w:val="20"/>
          <w:szCs w:val="20"/>
          <w:color w:val="auto"/>
        </w:rPr>
      </w:pPr>
      <w:r>
        <w:rPr>
          <w:rFonts w:ascii="Times New Roman" w:cs="Times New Roman" w:eastAsia="Times New Roman" w:hAnsi="Times New Roman"/>
          <w:sz w:val="22"/>
          <w:szCs w:val="22"/>
          <w:color w:val="EE2724"/>
          <w:strike w:val="1"/>
        </w:rPr>
        <w:t xml:space="preserve">Section 5.24. </w:t>
      </w:r>
      <w:r>
        <w:rPr>
          <w:rFonts w:ascii="Times New Roman" w:cs="Times New Roman" w:eastAsia="Times New Roman" w:hAnsi="Times New Roman"/>
          <w:sz w:val="22"/>
          <w:szCs w:val="22"/>
          <w:u w:val="single" w:color="auto"/>
          <w:color w:val="EE2724"/>
          <w:strike w:val="1"/>
        </w:rPr>
        <w:t>Transfer and Exchange of Definitive Class D Notes for Global Class D Notes</w:t>
      </w:r>
      <w:r>
        <w:rPr>
          <w:rFonts w:ascii="Times New Roman" w:cs="Times New Roman" w:eastAsia="Times New Roman" w:hAnsi="Times New Roman"/>
          <w:sz w:val="22"/>
          <w:szCs w:val="22"/>
          <w:color w:val="EE2724"/>
          <w:strike w:val="1"/>
        </w:rPr>
        <w:t xml:space="preserve">. Notwithstanding anything to the contrary contained in this Supplement, the Base Indenture or in any Related Document, and solely with respect to this Supplement and the Definitive Class D Notes issued pursuant to this Supplement, following the Class D Notes Closing Date, the holder of any Definitive Class D Note may transfer the same in exchange for a Global Class D Note in accordance with this </w:t>
      </w:r>
      <w:r>
        <w:rPr>
          <w:rFonts w:ascii="Times New Roman" w:cs="Times New Roman" w:eastAsia="Times New Roman" w:hAnsi="Times New Roman"/>
          <w:sz w:val="22"/>
          <w:szCs w:val="22"/>
          <w:u w:val="single" w:color="auto"/>
          <w:color w:val="EE2724"/>
          <w:strike w:val="1"/>
        </w:rPr>
        <w:t>Section 5.24</w:t>
      </w:r>
      <w:r>
        <w:rPr>
          <w:rFonts w:ascii="Times New Roman" w:cs="Times New Roman" w:eastAsia="Times New Roman" w:hAnsi="Times New Roman"/>
          <w:sz w:val="22"/>
          <w:szCs w:val="22"/>
          <w:color w:val="EE2724"/>
          <w:strike w:val="1"/>
        </w:rPr>
        <w:t>. Any other transfer of a Class D Note shall be made in accordance with Section 2.9 of the Base Indenture.</w:t>
      </w:r>
    </w:p>
    <w:p>
      <w:pPr>
        <w:spacing w:after="0" w:line="208" w:lineRule="exact"/>
        <w:rPr>
          <w:sz w:val="20"/>
          <w:szCs w:val="20"/>
          <w:color w:val="auto"/>
        </w:rPr>
      </w:pPr>
    </w:p>
    <w:p>
      <w:pPr>
        <w:ind w:firstLine="1952"/>
        <w:spacing w:after="0" w:line="263" w:lineRule="auto"/>
        <w:tabs>
          <w:tab w:leader="none" w:pos="2238" w:val="left"/>
        </w:tabs>
        <w:numPr>
          <w:ilvl w:val="0"/>
          <w:numId w:val="81"/>
        </w:numPr>
        <w:rPr>
          <w:rFonts w:ascii="Times New Roman" w:cs="Times New Roman" w:eastAsia="Times New Roman" w:hAnsi="Times New Roman"/>
          <w:sz w:val="21"/>
          <w:szCs w:val="21"/>
          <w:color w:val="EE2724"/>
          <w:strike w:val="1"/>
        </w:rPr>
      </w:pPr>
      <w:r>
        <w:rPr>
          <w:rFonts w:ascii="Times New Roman" w:cs="Times New Roman" w:eastAsia="Times New Roman" w:hAnsi="Times New Roman"/>
          <w:sz w:val="21"/>
          <w:szCs w:val="21"/>
          <w:color w:val="EE2724"/>
          <w:strike w:val="1"/>
        </w:rPr>
        <w:t xml:space="preserve">When Definitive Class D Notes are presented to the Registrar or a co-registrar with a request to register a transfer or to exchange them for an equal principal amount of Global Class D Notes of other authorized denominations, the Registrar shall register the transfer or make the exchange if its requirements for such transaction are met; </w:t>
      </w:r>
      <w:r>
        <w:rPr>
          <w:rFonts w:ascii="Times New Roman" w:cs="Times New Roman" w:eastAsia="Times New Roman" w:hAnsi="Times New Roman"/>
          <w:sz w:val="21"/>
          <w:szCs w:val="21"/>
          <w:u w:val="single" w:color="auto"/>
          <w:color w:val="EE2724"/>
          <w:strike w:val="1"/>
        </w:rPr>
        <w:t>provided</w:t>
      </w:r>
      <w:r>
        <w:rPr>
          <w:rFonts w:ascii="Times New Roman" w:cs="Times New Roman" w:eastAsia="Times New Roman" w:hAnsi="Times New Roman"/>
          <w:sz w:val="21"/>
          <w:szCs w:val="21"/>
          <w:color w:val="EE2724"/>
          <w:strike w:val="1"/>
        </w:rPr>
        <w:t xml:space="preserve">, </w:t>
      </w:r>
      <w:r>
        <w:rPr>
          <w:rFonts w:ascii="Times New Roman" w:cs="Times New Roman" w:eastAsia="Times New Roman" w:hAnsi="Times New Roman"/>
          <w:sz w:val="21"/>
          <w:szCs w:val="21"/>
          <w:u w:val="single" w:color="auto"/>
          <w:color w:val="EE2724"/>
          <w:strike w:val="1"/>
        </w:rPr>
        <w:t>however</w:t>
      </w:r>
      <w:r>
        <w:rPr>
          <w:rFonts w:ascii="Times New Roman" w:cs="Times New Roman" w:eastAsia="Times New Roman" w:hAnsi="Times New Roman"/>
          <w:sz w:val="21"/>
          <w:szCs w:val="21"/>
          <w:color w:val="EE2724"/>
          <w:strike w:val="1"/>
        </w:rPr>
        <w:t xml:space="preserve">, that the Definitive Class D Notes surrendered for transfer or exchange at the office maintained by the Transfer Agent for such purpose in the Borough of Manhattan, The City of New York (x) shall be duly endorsed or accompanied by a written instrument of transfer in form satisfactory to ABRCF and the Registrar, duly executed by the holder thereof or its attorney, duly authorized in writing and (y) shall only be transferred or exchanged in compliance with this </w:t>
      </w:r>
      <w:r>
        <w:rPr>
          <w:rFonts w:ascii="Times New Roman" w:cs="Times New Roman" w:eastAsia="Times New Roman" w:hAnsi="Times New Roman"/>
          <w:sz w:val="21"/>
          <w:szCs w:val="21"/>
          <w:u w:val="single" w:color="auto"/>
          <w:color w:val="EE2724"/>
          <w:strike w:val="1"/>
        </w:rPr>
        <w:t>Section 5.24</w:t>
      </w:r>
      <w:r>
        <w:rPr>
          <w:rFonts w:ascii="Times New Roman" w:cs="Times New Roman" w:eastAsia="Times New Roman" w:hAnsi="Times New Roman"/>
          <w:sz w:val="21"/>
          <w:szCs w:val="21"/>
          <w:color w:val="EE2724"/>
          <w:strike w:val="1"/>
        </w:rPr>
        <w:t>.</w:t>
      </w:r>
    </w:p>
    <w:p>
      <w:pPr>
        <w:spacing w:after="0" w:line="172" w:lineRule="exact"/>
        <w:rPr>
          <w:rFonts w:ascii="Times New Roman" w:cs="Times New Roman" w:eastAsia="Times New Roman" w:hAnsi="Times New Roman"/>
          <w:sz w:val="21"/>
          <w:szCs w:val="21"/>
          <w:color w:val="EE2724"/>
          <w:strike w:val="1"/>
        </w:rPr>
      </w:pPr>
    </w:p>
    <w:p>
      <w:pPr>
        <w:ind w:left="2260" w:hanging="308"/>
        <w:spacing w:after="0"/>
        <w:tabs>
          <w:tab w:leader="none" w:pos="2260" w:val="left"/>
        </w:tabs>
        <w:numPr>
          <w:ilvl w:val="0"/>
          <w:numId w:val="81"/>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If interests in a Definitive Class D Note are being transferred to a Restricted Global Class D Note</w:t>
      </w:r>
    </w:p>
    <w:p>
      <w:pPr>
        <w:spacing w:after="0" w:line="28"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2"/>
          <w:szCs w:val="22"/>
          <w:color w:val="EE2724"/>
          <w:strike w:val="1"/>
        </w:rPr>
        <w:t>to a Qualified Institutional Buyer in accordance with Rule 144A, each such transferee shall be deemed to have made the representations and agreements set forth in Section 2.9(c)(ii) of the Base Indenture. In addition, such transferee shall be responsible for providing additional information or certification, as shall be reasonably requested by the Trustee, ABRCF or any Placement Agent for such Global Class D Notes, to support the truth and accuracy of such acknowledgements, representations and agreements, it being understood that such additional information is not intended to create additional restrictions on the transfer of the Class D Notes.</w:t>
      </w:r>
    </w:p>
    <w:p>
      <w:pPr>
        <w:spacing w:after="0" w:line="216" w:lineRule="exact"/>
        <w:rPr>
          <w:sz w:val="20"/>
          <w:szCs w:val="20"/>
          <w:color w:val="auto"/>
        </w:rPr>
      </w:pPr>
    </w:p>
    <w:p>
      <w:pPr>
        <w:ind w:right="20" w:firstLine="1952"/>
        <w:spacing w:after="0" w:line="248" w:lineRule="auto"/>
        <w:tabs>
          <w:tab w:leader="none" w:pos="2238" w:val="left"/>
        </w:tabs>
        <w:numPr>
          <w:ilvl w:val="0"/>
          <w:numId w:val="82"/>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 xml:space="preserve">If a holder of a beneficial interest in a Definitive Class D Note wishes at any time to exchange its interest in such Definitive Class D Note for an interest in a Restricted Global Class D Note, Permanent Global Class D Note or Temporary Global Class D Note, or to transfer its interest in such Definitive Class D Note to a Person who wishes to take delivery thereof in the form of an interest in a Restricted Global Class D Note, Permanent Global Class D Note or Temporary Global Class D Note, such holder may, subject to the rules and procedures of Euroclear or Clearstream and DTC, as the case may be, exchange or cause the exchange or transfer of such interest for an equivalent beneficial interest a Restricted Global Class D Note, Permanent Global Class D Note or Temporary Global Class D Note. Upon receipt by the Transfer Agent of (i) such Definitive Class D Note properly endorsed for cancellation by such holder or for assignment to the transferee, (ii) a written order given in accordance with the applicable procedures of Euroclear or Clearstream or DTC, as the case may be, containing information regarding the agent member’s account with DTC (and/or the Euroclear or Clearstream account, as the case may be) to be credited with such increase and (iii) (x) a transfer certificate substantially in the form of </w:t>
      </w:r>
      <w:r>
        <w:rPr>
          <w:rFonts w:ascii="Times New Roman" w:cs="Times New Roman" w:eastAsia="Times New Roman" w:hAnsi="Times New Roman"/>
          <w:sz w:val="22"/>
          <w:szCs w:val="22"/>
          <w:u w:val="single" w:color="auto"/>
          <w:color w:val="EE2724"/>
          <w:strike w:val="1"/>
        </w:rPr>
        <w:t>Exhibit W-2</w:t>
      </w:r>
      <w:r>
        <w:rPr>
          <w:rFonts w:ascii="Times New Roman" w:cs="Times New Roman" w:eastAsia="Times New Roman" w:hAnsi="Times New Roman"/>
          <w:sz w:val="22"/>
          <w:szCs w:val="22"/>
          <w:color w:val="EE2724"/>
          <w:strike w:val="1"/>
        </w:rPr>
        <w:t xml:space="preserve"> hereto, (y) in the case of a transfer to a Restricted Global Class D Note, a certificate in the form of </w:t>
      </w:r>
      <w:r>
        <w:rPr>
          <w:rFonts w:ascii="Times New Roman" w:cs="Times New Roman" w:eastAsia="Times New Roman" w:hAnsi="Times New Roman"/>
          <w:sz w:val="22"/>
          <w:szCs w:val="22"/>
          <w:u w:val="single" w:color="auto"/>
          <w:color w:val="EE2724"/>
          <w:strike w:val="1"/>
        </w:rPr>
        <w:t>Exhibit X-3</w:t>
      </w:r>
      <w:r>
        <w:rPr>
          <w:rFonts w:ascii="Times New Roman" w:cs="Times New Roman" w:eastAsia="Times New Roman" w:hAnsi="Times New Roman"/>
          <w:sz w:val="22"/>
          <w:szCs w:val="22"/>
          <w:color w:val="EE2724"/>
          <w:strike w:val="1"/>
        </w:rPr>
        <w:t xml:space="preserve"> and (z) in the case of a transfer to a Permanent Global Class D Note or Temporary Global Class D Note, a certificate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20"/>
          </w:cols>
          <w:pgMar w:left="320" w:top="1030" w:right="359" w:bottom="1440" w:gutter="0" w:footer="0" w:header="0"/>
        </w:sectPr>
      </w:pPr>
    </w:p>
    <w:bookmarkStart w:id="107" w:name="page108"/>
    <w:bookmarkEnd w:id="107"/>
    <w:p>
      <w:pPr>
        <w:spacing w:after="0" w:line="263" w:lineRule="auto"/>
        <w:rPr>
          <w:sz w:val="20"/>
          <w:szCs w:val="20"/>
          <w:color w:val="auto"/>
        </w:rPr>
      </w:pPr>
      <w:r>
        <w:rPr>
          <w:rFonts w:ascii="Times New Roman" w:cs="Times New Roman" w:eastAsia="Times New Roman" w:hAnsi="Times New Roman"/>
          <w:sz w:val="21"/>
          <w:szCs w:val="21"/>
          <w:color w:val="EE2724"/>
          <w:strike w:val="1"/>
        </w:rPr>
        <w:t xml:space="preserve">the form of </w:t>
      </w:r>
      <w:r>
        <w:rPr>
          <w:rFonts w:ascii="Times New Roman" w:cs="Times New Roman" w:eastAsia="Times New Roman" w:hAnsi="Times New Roman"/>
          <w:sz w:val="21"/>
          <w:szCs w:val="21"/>
          <w:u w:val="single" w:color="auto"/>
          <w:color w:val="EE2724"/>
          <w:strike w:val="1"/>
        </w:rPr>
        <w:t>Exhibit X-1</w:t>
      </w:r>
      <w:r>
        <w:rPr>
          <w:rFonts w:ascii="Times New Roman" w:cs="Times New Roman" w:eastAsia="Times New Roman" w:hAnsi="Times New Roman"/>
          <w:sz w:val="21"/>
          <w:szCs w:val="21"/>
          <w:color w:val="EE2724"/>
          <w:strike w:val="1"/>
        </w:rPr>
        <w:t xml:space="preserve"> or </w:t>
      </w:r>
      <w:r>
        <w:rPr>
          <w:rFonts w:ascii="Times New Roman" w:cs="Times New Roman" w:eastAsia="Times New Roman" w:hAnsi="Times New Roman"/>
          <w:sz w:val="21"/>
          <w:szCs w:val="21"/>
          <w:u w:val="single" w:color="auto"/>
          <w:color w:val="EE2724"/>
          <w:strike w:val="1"/>
        </w:rPr>
        <w:t>Exhibit X-2</w:t>
      </w:r>
      <w:r>
        <w:rPr>
          <w:rFonts w:ascii="Times New Roman" w:cs="Times New Roman" w:eastAsia="Times New Roman" w:hAnsi="Times New Roman"/>
          <w:sz w:val="21"/>
          <w:szCs w:val="21"/>
          <w:color w:val="EE2724"/>
          <w:strike w:val="1"/>
        </w:rPr>
        <w:t>, as applicable, the Transfer Agent shall (A) cancel such Definitive Class D Note, record the transfer in the Registrar, (B) if applicable (to the extent of any exchange or transfer in part), re-issue a new Definitive Class D Note for the partial amount to be held in definitive form in accordance with the provisions for the issuance of Definitive Class D Notes in the Base Indenture (as modified by this Supplement) and (C) approve the instructions at Euroclear, Clearstream and/or DTC, as applicable, concurrently with such cancellation and re-issuance (if applicable), to credit or cause to be credited the account specified in such instruction a beneficial interest in the Restricted Global Class D Note, Permanent Global Class D Note or Temporary Global Class D Note equal to the principal amount of the Definitive Class D Note transferred or exchanged.</w:t>
      </w:r>
    </w:p>
    <w:p>
      <w:pPr>
        <w:spacing w:after="0" w:line="213" w:lineRule="exact"/>
        <w:rPr>
          <w:sz w:val="20"/>
          <w:szCs w:val="20"/>
          <w:color w:val="auto"/>
        </w:rPr>
      </w:pPr>
    </w:p>
    <w:p>
      <w:pPr>
        <w:ind w:right="500" w:firstLine="1952"/>
        <w:spacing w:after="0" w:line="257" w:lineRule="auto"/>
        <w:tabs>
          <w:tab w:leader="none" w:pos="2250" w:val="left"/>
        </w:tabs>
        <w:numPr>
          <w:ilvl w:val="0"/>
          <w:numId w:val="83"/>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ABRCF or the Trustee may require payment of a sum sufficient to cover any tax or other governmental charge that may be imposed in connection with any exchange or registration of transfer of the Class D Notes. No service charge shall be made for any such transaction.</w:t>
      </w:r>
    </w:p>
    <w:p>
      <w:pPr>
        <w:spacing w:after="0" w:line="172" w:lineRule="exact"/>
        <w:rPr>
          <w:rFonts w:ascii="Times New Roman" w:cs="Times New Roman" w:eastAsia="Times New Roman" w:hAnsi="Times New Roman"/>
          <w:sz w:val="22"/>
          <w:szCs w:val="22"/>
          <w:color w:val="EE2724"/>
          <w:strike w:val="1"/>
        </w:rPr>
      </w:pPr>
    </w:p>
    <w:p>
      <w:pPr>
        <w:ind w:right="400" w:firstLine="1952"/>
        <w:spacing w:after="0" w:line="265" w:lineRule="auto"/>
        <w:tabs>
          <w:tab w:leader="none" w:pos="2238" w:val="left"/>
        </w:tabs>
        <w:numPr>
          <w:ilvl w:val="0"/>
          <w:numId w:val="83"/>
        </w:numPr>
        <w:rPr>
          <w:rFonts w:ascii="Times New Roman" w:cs="Times New Roman" w:eastAsia="Times New Roman" w:hAnsi="Times New Roman"/>
          <w:sz w:val="21"/>
          <w:szCs w:val="21"/>
          <w:color w:val="EE2724"/>
          <w:strike w:val="1"/>
        </w:rPr>
      </w:pPr>
      <w:r>
        <w:rPr>
          <w:rFonts w:ascii="Times New Roman" w:cs="Times New Roman" w:eastAsia="Times New Roman" w:hAnsi="Times New Roman"/>
          <w:sz w:val="21"/>
          <w:szCs w:val="21"/>
          <w:color w:val="EE2724"/>
          <w:strike w:val="1"/>
        </w:rPr>
        <w:t xml:space="preserve">To permit registrations of transfers and exchanges, ABRCF shall execute and the Trustee shall authenticate the Class D Notes, subject to such rules as the Trustee may reasonably require. No service charge to the Class D Noteholder shall be made for any registration of transfer or exchange (except as otherwise expressly permitted herein), but the Registrar may require payment of a sum sufficient to cover any transfer tax or similar government charge payable in connection therewith (other than any such transfer tax or similar governmental charge payable upon exchanges pursuant to </w:t>
      </w:r>
      <w:r>
        <w:rPr>
          <w:rFonts w:ascii="Times New Roman" w:cs="Times New Roman" w:eastAsia="Times New Roman" w:hAnsi="Times New Roman"/>
          <w:sz w:val="21"/>
          <w:szCs w:val="21"/>
          <w:u w:val="single" w:color="auto"/>
          <w:color w:val="EE2724"/>
          <w:strike w:val="1"/>
        </w:rPr>
        <w:t xml:space="preserve">Section 2.13 </w:t>
      </w:r>
      <w:r>
        <w:rPr>
          <w:rFonts w:ascii="Times New Roman" w:cs="Times New Roman" w:eastAsia="Times New Roman" w:hAnsi="Times New Roman"/>
          <w:sz w:val="21"/>
          <w:szCs w:val="21"/>
          <w:color w:val="EE2724"/>
          <w:strike w:val="1"/>
        </w:rPr>
        <w:t>of the Base Indenture in which event the Registrar will be responsible for the payment of any such taxes).</w:t>
      </w:r>
    </w:p>
    <w:p>
      <w:pPr>
        <w:spacing w:after="0" w:line="195" w:lineRule="exact"/>
        <w:rPr>
          <w:rFonts w:ascii="Times New Roman" w:cs="Times New Roman" w:eastAsia="Times New Roman" w:hAnsi="Times New Roman"/>
          <w:sz w:val="21"/>
          <w:szCs w:val="21"/>
          <w:color w:val="EE2724"/>
          <w:strike w:val="1"/>
        </w:rPr>
      </w:pPr>
    </w:p>
    <w:p>
      <w:pPr>
        <w:ind w:right="300" w:firstLine="1952"/>
        <w:spacing w:after="0" w:line="263" w:lineRule="auto"/>
        <w:tabs>
          <w:tab w:leader="none" w:pos="2214" w:val="left"/>
        </w:tabs>
        <w:numPr>
          <w:ilvl w:val="0"/>
          <w:numId w:val="83"/>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All Class D Notes issued upon any registration of transfer or exchange of Class D Notes shall be the valid obligations of ABRCF, evidencing the same debt, and entitled to the same benefits under this Indenture, as the Class D Notes surrendered upon such registration of transfer or exchange.</w:t>
      </w:r>
    </w:p>
    <w:p>
      <w:pPr>
        <w:spacing w:after="0" w:line="194" w:lineRule="exact"/>
        <w:rPr>
          <w:rFonts w:ascii="Times New Roman" w:cs="Times New Roman" w:eastAsia="Times New Roman" w:hAnsi="Times New Roman"/>
          <w:sz w:val="22"/>
          <w:szCs w:val="22"/>
          <w:color w:val="EE2724"/>
          <w:strike w:val="1"/>
        </w:rPr>
      </w:pPr>
    </w:p>
    <w:p>
      <w:pPr>
        <w:ind w:right="80" w:firstLine="1952"/>
        <w:spacing w:after="0" w:line="253" w:lineRule="auto"/>
        <w:tabs>
          <w:tab w:leader="none" w:pos="2250" w:val="left"/>
        </w:tabs>
        <w:numPr>
          <w:ilvl w:val="0"/>
          <w:numId w:val="83"/>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Prior to due presentment for registration of transfer of any Class D Note, the Trustee, any Agent and ABRCF may deem and treat the Person in whose name any Class D Note is registered (as of the day of determination) as the absolute owner of such Class D Note for the purpose of receiving payment of principal of and interest on such Class D Note and for all other purposes whatsoever, whether or not such Class D Note is overdue, and neither the Trustee, any Agent nor ABRCF shall be affected by notice to the contrary.</w:t>
      </w:r>
    </w:p>
    <w:p>
      <w:pPr>
        <w:spacing w:after="0" w:line="205" w:lineRule="exact"/>
        <w:rPr>
          <w:rFonts w:ascii="Times New Roman" w:cs="Times New Roman" w:eastAsia="Times New Roman" w:hAnsi="Times New Roman"/>
          <w:sz w:val="22"/>
          <w:szCs w:val="22"/>
          <w:color w:val="EE2724"/>
          <w:strike w:val="1"/>
        </w:rPr>
      </w:pPr>
    </w:p>
    <w:p>
      <w:pPr>
        <w:ind w:right="160" w:firstLine="1952"/>
        <w:spacing w:after="0" w:line="252" w:lineRule="auto"/>
        <w:tabs>
          <w:tab w:leader="none" w:pos="2250" w:val="left"/>
        </w:tabs>
        <w:numPr>
          <w:ilvl w:val="0"/>
          <w:numId w:val="83"/>
        </w:numPr>
        <w:rPr>
          <w:rFonts w:ascii="Times New Roman" w:cs="Times New Roman" w:eastAsia="Times New Roman" w:hAnsi="Times New Roman"/>
          <w:sz w:val="22"/>
          <w:szCs w:val="22"/>
          <w:color w:val="EE2724"/>
          <w:strike w:val="1"/>
        </w:rPr>
      </w:pPr>
      <w:r>
        <w:rPr>
          <w:rFonts w:ascii="Times New Roman" w:cs="Times New Roman" w:eastAsia="Times New Roman" w:hAnsi="Times New Roman"/>
          <w:sz w:val="22"/>
          <w:szCs w:val="22"/>
          <w:color w:val="EE2724"/>
          <w:strike w:val="1"/>
        </w:rPr>
        <w:t>By its acceptance of a Class D Note, each Class D Noteholder and Class D Note Owner shall be deemed to have represented and warranted that its purchase and holding of the Class D Note will not, throughout the term of its holding an interest therein, constitute a non-exempt “prohibited transaction” under Section 406(a)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180"/>
          </w:cols>
          <w:pgMar w:left="320" w:top="1030" w:right="399" w:bottom="1440" w:gutter="0" w:footer="0" w:header="0"/>
        </w:sectPr>
      </w:pPr>
    </w:p>
    <w:bookmarkStart w:id="108" w:name="page109"/>
    <w:bookmarkEnd w:id="108"/>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47"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22"/>
          <w:szCs w:val="22"/>
          <w:color w:val="auto"/>
        </w:rPr>
        <w:t>Exhibits to A&amp;R Series 2024-1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132933670</w:t>
      </w:r>
    </w:p>
    <w:p>
      <w:pPr>
        <w:sectPr>
          <w:pgSz w:w="11900" w:h="16838" w:orient="portrait"/>
          <w:cols w:equalWidth="0" w:num="1">
            <w:col w:w="10059"/>
          </w:cols>
          <w:pgMar w:left="400" w:top="1422"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Brian J. Choi, certify that:</w:t>
      </w:r>
    </w:p>
    <w:p>
      <w:pPr>
        <w:spacing w:after="0" w:line="171" w:lineRule="exact"/>
        <w:rPr>
          <w:sz w:val="20"/>
          <w:szCs w:val="20"/>
          <w:color w:val="auto"/>
        </w:rPr>
      </w:pPr>
    </w:p>
    <w:p>
      <w:pPr>
        <w:ind w:left="640" w:hanging="308"/>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2026</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Daniel Crestian Cunha, certify that:</w:t>
      </w:r>
    </w:p>
    <w:p>
      <w:pPr>
        <w:spacing w:after="0" w:line="171"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2026</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Daniel Crestian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2026, as filed with the Securities and Exchange Commission on the date hereof (the “Report”), Brian J. Choi, as Chief Executive Officer of the Company, and Daniel Crestian Cunha,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J.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J.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29, 2026</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DANIEL CRESTIAN CUNHA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Crestian Cunha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29,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lowerLetter"/>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decimal"/>
      <w:start w:val="2"/>
    </w:lvl>
  </w:abstractNum>
  <w:abstractNum w:abstractNumId="9">
    <w:nsid w:val="7644A45C"/>
    <w:multiLevelType w:val="hybridMultilevel"/>
    <w:lvl w:ilvl="0">
      <w:lvlJc w:val="left"/>
      <w:lvlText w:val="(%1)"/>
      <w:numFmt w:val="lowerLetter"/>
      <w:start w:val="1"/>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decimal"/>
      <w:start w:val="3"/>
    </w:lvl>
  </w:abstractNum>
  <w:abstractNum w:abstractNumId="13">
    <w:nsid w:val="749ABB43"/>
    <w:multiLevelType w:val="hybridMultilevel"/>
    <w:lvl w:ilvl="0">
      <w:lvlJc w:val="left"/>
      <w:lvlText w:val="%1."/>
      <w:numFmt w:val="decimal"/>
      <w:start w:val="4"/>
    </w:lvl>
  </w:abstractNum>
  <w:abstractNum w:abstractNumId="14">
    <w:nsid w:val="3DC240FB"/>
    <w:multiLevelType w:val="hybridMultilevel"/>
    <w:lvl w:ilvl="0">
      <w:lvlJc w:val="left"/>
      <w:lvlText w:val="%1"/>
      <w:numFmt w:val="decimal"/>
      <w:start w:val="1"/>
    </w:lvl>
    <w:lvl w:ilvl="1">
      <w:lvlJc w:val="left"/>
      <w:lvlText w:val="(%2)"/>
      <w:numFmt w:val="lowerLetter"/>
      <w:start w:val="1"/>
    </w:lvl>
  </w:abstractNum>
  <w:abstractNum w:abstractNumId="15">
    <w:nsid w:val="1BA026FA"/>
    <w:multiLevelType w:val="hybridMultilevel"/>
    <w:lvl w:ilvl="0">
      <w:lvlJc w:val="left"/>
      <w:lvlText w:val="%1."/>
      <w:numFmt w:val="decimal"/>
      <w:start w:val="5"/>
    </w:lvl>
    <w:lvl w:ilvl="1">
      <w:lvlJc w:val="left"/>
      <w:lvlText w:val="%2"/>
      <w:numFmt w:val="lowerLetter"/>
      <w:start w:val="1"/>
    </w:lvl>
  </w:abstractNum>
  <w:abstractNum w:abstractNumId="16">
    <w:nsid w:val="79A1DEAA"/>
    <w:multiLevelType w:val="hybridMultilevel"/>
    <w:lvl w:ilvl="0">
      <w:lvlJc w:val="left"/>
      <w:lvlText w:val="%1"/>
      <w:numFmt w:val="decimal"/>
      <w:start w:val="1"/>
    </w:lvl>
    <w:lvl w:ilvl="1">
      <w:lvlJc w:val="left"/>
      <w:lvlText w:val="(%2)"/>
      <w:numFmt w:val="lowerLetter"/>
      <w:start w:val="1"/>
    </w:lvl>
  </w:abstractNum>
  <w:abstractNum w:abstractNumId="17">
    <w:nsid w:val="75C6C33A"/>
    <w:multiLevelType w:val="hybridMultilevel"/>
    <w:lvl w:ilvl="0">
      <w:lvlJc w:val="left"/>
      <w:lvlText w:val="%1."/>
      <w:numFmt w:val="decimal"/>
      <w:start w:val="6"/>
    </w:lvl>
    <w:lvl w:ilvl="1">
      <w:lvlJc w:val="left"/>
      <w:lvlText w:val="%2"/>
      <w:numFmt w:val="lowerLetter"/>
      <w:start w:val="1"/>
    </w:lvl>
  </w:abstractNum>
  <w:abstractNum w:abstractNumId="18">
    <w:nsid w:val="12E685FB"/>
    <w:multiLevelType w:val="hybridMultilevel"/>
    <w:lvl w:ilvl="0">
      <w:lvlJc w:val="left"/>
      <w:lvlText w:val="%1."/>
      <w:numFmt w:val="decimal"/>
      <w:start w:val="8"/>
    </w:lvl>
  </w:abstractNum>
  <w:abstractNum w:abstractNumId="19">
    <w:nsid w:val="70C6A529"/>
    <w:multiLevelType w:val="hybridMultilevel"/>
    <w:lvl w:ilvl="0">
      <w:lvlJc w:val="left"/>
      <w:lvlText w:val="(%1)"/>
      <w:numFmt w:val="lowerLetter"/>
      <w:start w:val="1"/>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1."/>
      <w:numFmt w:val="decimal"/>
      <w:start w:val="9"/>
    </w:lvl>
  </w:abstractNum>
  <w:abstractNum w:abstractNumId="22">
    <w:nsid w:val="4F4EF005"/>
    <w:multiLevelType w:val="hybridMultilevel"/>
    <w:lvl w:ilvl="0">
      <w:lvlJc w:val="left"/>
      <w:lvlText w:val="%1."/>
      <w:numFmt w:val="decimal"/>
      <w:start w:val="11"/>
    </w:lvl>
  </w:abstractNum>
  <w:abstractNum w:abstractNumId="23">
    <w:nsid w:val="23F9C13C"/>
    <w:multiLevelType w:val="hybridMultilevel"/>
    <w:lvl w:ilvl="0">
      <w:lvlJc w:val="left"/>
      <w:lvlText w:val="(%1)"/>
      <w:numFmt w:val="lowerLetter"/>
      <w:start w:val="1"/>
    </w:lvl>
  </w:abstractNum>
  <w:abstractNum w:abstractNumId="24">
    <w:nsid w:val="649BB77C"/>
    <w:multiLevelType w:val="hybridMultilevel"/>
    <w:lvl w:ilvl="0">
      <w:lvlJc w:val="left"/>
      <w:lvlText w:val="(%1)"/>
      <w:numFmt w:val="lowerLetter"/>
      <w:start w:val="1"/>
    </w:lvl>
  </w:abstractNum>
  <w:abstractNum w:abstractNumId="25">
    <w:nsid w:val="275AC794"/>
    <w:multiLevelType w:val="hybridMultilevel"/>
    <w:lvl w:ilvl="0">
      <w:lvlJc w:val="left"/>
      <w:lvlText w:val="%1."/>
      <w:numFmt w:val="decimal"/>
      <w:start w:val="12"/>
    </w:lvl>
  </w:abstractNum>
  <w:abstractNum w:abstractNumId="26">
    <w:nsid w:val="39386575"/>
    <w:multiLevelType w:val="hybridMultilevel"/>
    <w:lvl w:ilvl="0">
      <w:lvlJc w:val="left"/>
      <w:lvlText w:val="(%1)"/>
      <w:numFmt w:val="lowerLetter"/>
      <w:start w:val="1"/>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decimal"/>
      <w:start w:val="13"/>
    </w:lvl>
  </w:abstractNum>
  <w:abstractNum w:abstractNumId="33">
    <w:nsid w:val="741226BB"/>
    <w:multiLevelType w:val="hybridMultilevel"/>
    <w:lvl w:ilvl="0">
      <w:lvlJc w:val="left"/>
      <w:lvlText w:val="%1."/>
      <w:numFmt w:val="decimal"/>
      <w:start w:val="14"/>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1."/>
      <w:numFmt w:val="decimal"/>
      <w:start w:val="15"/>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decimal"/>
      <w:start w:val="16"/>
    </w:lvl>
  </w:abstractNum>
  <w:abstractNum w:abstractNumId="40">
    <w:nsid w:val="579BE4F1"/>
    <w:multiLevelType w:val="hybridMultilevel"/>
    <w:lvl w:ilvl="0">
      <w:lvlJc w:val="left"/>
      <w:lvlText w:val="%1"/>
      <w:numFmt w:val="decimal"/>
      <w:start w:val="1"/>
    </w:lvl>
    <w:lvl w:ilvl="1">
      <w:lvlJc w:val="left"/>
      <w:lvlText w:val="(%2)"/>
      <w:numFmt w:val="lowerLetter"/>
      <w:start w:val="1"/>
    </w:lvl>
  </w:abstractNum>
  <w:abstractNum w:abstractNumId="41">
    <w:nsid w:val="310C50B3"/>
    <w:multiLevelType w:val="hybridMultilevel"/>
    <w:lvl w:ilvl="0">
      <w:lvlJc w:val="left"/>
      <w:lvlText w:val="%1."/>
      <w:numFmt w:val="decimal"/>
      <w:start w:val="17"/>
    </w:lvl>
    <w:lvl w:ilvl="1">
      <w:lvlJc w:val="left"/>
      <w:lvlText w:val="%2"/>
      <w:numFmt w:val="lowerLetter"/>
      <w:start w:val="1"/>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1"/>
      <w:numFmt w:val="decimal"/>
      <w:start w:val="1"/>
    </w:lvl>
    <w:lvl w:ilvl="1">
      <w:lvlJc w:val="left"/>
      <w:lvlText w:val="(%2)"/>
      <w:numFmt w:val="lowerLetter"/>
      <w:start w:val="1"/>
    </w:lvl>
  </w:abstractNum>
  <w:abstractNum w:abstractNumId="46">
    <w:nsid w:val="4AD084E9"/>
    <w:multiLevelType w:val="hybridMultilevel"/>
    <w:lvl w:ilvl="0">
      <w:lvlJc w:val="left"/>
      <w:lvlText w:val="%1."/>
      <w:numFmt w:val="decimal"/>
      <w:start w:val="18"/>
    </w:lvl>
    <w:lvl w:ilvl="1">
      <w:lvlJc w:val="left"/>
      <w:lvlText w:val="%2"/>
      <w:numFmt w:val="lowerLetter"/>
      <w:start w:val="1"/>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1)"/>
      <w:numFmt w:val="lowerLetter"/>
      <w:start w:val="1"/>
    </w:lvl>
    <w:lvl w:ilvl="1">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2"/>
    </w:lvl>
  </w:abstractNum>
  <w:abstractNum w:abstractNumId="54">
    <w:nsid w:val="98A3148"/>
    <w:multiLevelType w:val="hybridMultilevel"/>
    <w:lvl w:ilvl="0">
      <w:lvlJc w:val="left"/>
      <w:lvlText w:val="%1."/>
      <w:numFmt w:val="decimal"/>
      <w:start w:val="7"/>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2"/>
    </w:lvl>
  </w:abstractNum>
  <w:abstractNum w:abstractNumId="57">
    <w:nsid w:val="42C296BD"/>
    <w:multiLevelType w:val="hybridMultilevel"/>
    <w:lvl w:ilvl="0">
      <w:lvlJc w:val="left"/>
      <w:lvlText w:val="%1."/>
      <w:numFmt w:val="decimal"/>
      <w:start w:val="7"/>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2"/>
    </w:lvl>
  </w:abstractNum>
  <w:abstractNum w:abstractNumId="61">
    <w:nsid w:val="5DC79EA8"/>
    <w:multiLevelType w:val="hybridMultilevel"/>
    <w:lvl w:ilvl="0">
      <w:lvlJc w:val="left"/>
      <w:lvlText w:val="%1."/>
      <w:numFmt w:val="decimal"/>
      <w:start w:val="2"/>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K"/>
      <w:numFmt w:val="bullet"/>
      <w:start w:val="1"/>
    </w:lvl>
  </w:abstractNum>
  <w:abstractNum w:abstractNumId="65">
    <w:nsid w:val="613EFDC5"/>
    <w:multiLevelType w:val="hybridMultilevel"/>
    <w:lvl w:ilvl="0">
      <w:lvlJc w:val="left"/>
      <w:lvlText w:val="L"/>
      <w:numFmt w:val="bullet"/>
      <w:start w:val="1"/>
    </w:lvl>
  </w:abstractNum>
  <w:abstractNum w:abstractNumId="66">
    <w:nsid w:val="BF72B14"/>
    <w:multiLevelType w:val="hybridMultilevel"/>
    <w:lvl w:ilvl="0">
      <w:lvlJc w:val="left"/>
      <w:lvlText w:val="M"/>
      <w:numFmt w:val="bullet"/>
      <w:start w:val="1"/>
    </w:lvl>
  </w:abstractNum>
  <w:abstractNum w:abstractNumId="67">
    <w:nsid w:val="11447B73"/>
    <w:multiLevelType w:val="hybridMultilevel"/>
    <w:lvl w:ilvl="0">
      <w:lvlJc w:val="left"/>
      <w:lvlText w:val="N"/>
      <w:numFmt w:val="bullet"/>
      <w:start w:val="1"/>
    </w:lvl>
  </w:abstractNum>
  <w:abstractNum w:abstractNumId="68">
    <w:nsid w:val="42963E5A"/>
    <w:multiLevelType w:val="hybridMultilevel"/>
    <w:lvl w:ilvl="0">
      <w:lvlJc w:val="left"/>
      <w:lvlText w:val="O"/>
      <w:numFmt w:val="bullet"/>
      <w:start w:val="1"/>
    </w:lvl>
  </w:abstractNum>
  <w:abstractNum w:abstractNumId="69">
    <w:nsid w:val="A0382C5"/>
    <w:multiLevelType w:val="hybridMultilevel"/>
    <w:lvl w:ilvl="0">
      <w:lvlJc w:val="left"/>
      <w:lvlText w:val="P"/>
      <w:numFmt w:val="bullet"/>
      <w:start w:val="1"/>
    </w:lvl>
  </w:abstractNum>
  <w:abstractNum w:abstractNumId="70">
    <w:nsid w:val="8F2B15E"/>
    <w:multiLevelType w:val="hybridMultilevel"/>
    <w:lvl w:ilvl="0">
      <w:lvlJc w:val="left"/>
      <w:lvlText w:val="Q"/>
      <w:numFmt w:val="bullet"/>
      <w:start w:val="1"/>
    </w:lvl>
  </w:abstractNum>
  <w:abstractNum w:abstractNumId="71">
    <w:nsid w:val="1A32234B"/>
    <w:multiLevelType w:val="hybridMultilevel"/>
    <w:lvl w:ilvl="0">
      <w:lvlJc w:val="left"/>
      <w:lvlText w:val="R"/>
      <w:numFmt w:val="bullet"/>
      <w:start w:val="1"/>
    </w:lvl>
  </w:abstractNum>
  <w:abstractNum w:abstractNumId="72">
    <w:nsid w:val="3B0FD379"/>
    <w:multiLevelType w:val="hybridMultilevel"/>
    <w:lvl w:ilvl="0">
      <w:lvlJc w:val="left"/>
      <w:lvlText w:val="(%1)"/>
      <w:numFmt w:val="lowerLetter"/>
      <w:start w:val="25"/>
    </w:lvl>
  </w:abstractNum>
  <w:abstractNum w:abstractNumId="73">
    <w:nsid w:val="68EB2F63"/>
    <w:multiLevelType w:val="hybridMultilevel"/>
    <w:lvl w:ilvl="0">
      <w:lvlJc w:val="left"/>
      <w:lvlText w:val="(%1)"/>
      <w:numFmt w:val="lowerLetter"/>
      <w:start w:val="3"/>
    </w:lvl>
  </w:abstractNum>
  <w:abstractNum w:abstractNumId="74">
    <w:nsid w:val="4962813B"/>
    <w:multiLevelType w:val="hybridMultilevel"/>
    <w:lvl w:ilvl="0">
      <w:lvlJc w:val="left"/>
      <w:lvlText w:val="%1."/>
      <w:numFmt w:val="decimal"/>
      <w:start w:val="1"/>
    </w:lvl>
    <w:lvl w:ilvl="1">
      <w:lvlJc w:val="left"/>
      <w:lvlText w:val="(%2)"/>
      <w:numFmt w:val="lowerLetter"/>
      <w:start w:val="1"/>
    </w:lvl>
  </w:abstractNum>
  <w:abstractNum w:abstractNumId="75">
    <w:nsid w:val="60B6DF70"/>
    <w:multiLevelType w:val="hybridMultilevel"/>
    <w:lvl w:ilvl="0">
      <w:lvlJc w:val="left"/>
      <w:lvlText w:val="%1."/>
      <w:numFmt w:val="decimal"/>
      <w:start w:val="6"/>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upperLetter"/>
      <w:start w:val="1"/>
    </w:lvl>
  </w:abstractNum>
  <w:abstractNum w:abstractNumId="78">
    <w:nsid w:val="7FFFCA11"/>
    <w:multiLevelType w:val="hybridMultilevel"/>
    <w:lvl w:ilvl="0">
      <w:lvlJc w:val="left"/>
      <w:lvlText w:val="(%1)"/>
      <w:numFmt w:val="lowerLetter"/>
      <w:start w:val="1"/>
    </w:lvl>
    <w:lvl w:ilvl="1">
      <w:lvlJc w:val="left"/>
      <w:lvlText w:val="(%2)"/>
      <w:numFmt w:val="lowerRoman"/>
      <w:start w:val="1"/>
    </w:lvl>
  </w:abstractNum>
  <w:abstractNum w:abstractNumId="79">
    <w:nsid w:val="1A27709E"/>
    <w:multiLevelType w:val="hybridMultilevel"/>
    <w:lvl w:ilvl="0">
      <w:lvlJc w:val="left"/>
      <w:lvlText w:val="(%1)"/>
      <w:numFmt w:val="lowerLetter"/>
      <w:start w:val="2"/>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lowerLetter"/>
      <w:start w:val="3"/>
    </w:lvl>
  </w:abstractNum>
  <w:abstractNum w:abstractNumId="82">
    <w:nsid w:val="7FB7E0AA"/>
    <w:multiLevelType w:val="hybridMultilevel"/>
    <w:lvl w:ilvl="0">
      <w:lvlJc w:val="left"/>
      <w:lvlText w:val="(%1)"/>
      <w:numFmt w:val="lowerLetter"/>
      <w:start w:val="4"/>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65" Type="http://schemas.openxmlformats.org/officeDocument/2006/relationships/hyperlink" Target="https://www.sec.gov/Archives/edgar/data/723612/000095014225002060/eh250656068_ex0301.htm" TargetMode="External"/><Relationship Id="rId66" Type="http://schemas.openxmlformats.org/officeDocument/2006/relationships/hyperlink" Target="https://www.sec.gov/Archives/edgar/data/723612/000119312520218349/d84038dex32.htm" TargetMode="External"/><Relationship Id="rId67" Type="http://schemas.openxmlformats.org/officeDocument/2006/relationships/hyperlink" Target="https://www.sec.gov/Archives/edgar/data/723612/000095014226000719/eh260747683_ex1001.htm" TargetMode="External"/><Relationship Id="rId68" Type="http://schemas.openxmlformats.org/officeDocument/2006/relationships/hyperlink" Target="https://www.sec.gov/Archives/edgar/data/723612/000095014226000719/eh260747683_ex1002.htm" TargetMode="External"/><Relationship Id="rId69" Type="http://schemas.openxmlformats.org/officeDocument/2006/relationships/hyperlink" Target="https://www.sec.gov/Archives/edgar/data/723612/000119312526129481/d34396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2026-04-29T16:27:36Z</dcterms:created>
  <dcterms:modified xsi:type="dcterms:W3CDTF">2026-04-29T16:27:36Z</dcterms:modified>
</cp:coreProperties>
</file>