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417830</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443230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2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1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WASHINGTON, D.C. 20549</w:t>
            </w: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40" w:type="dxa"/>
            <w:vAlign w:val="bottom"/>
            <w:gridSpan w:val="2"/>
          </w:tcPr>
          <w:p>
            <w:pPr>
              <w:jc w:val="center"/>
              <w:ind w:right="840"/>
              <w:spacing w:after="0"/>
              <w:rPr>
                <w:sz w:val="20"/>
                <w:szCs w:val="20"/>
                <w:color w:val="auto"/>
              </w:rPr>
            </w:pPr>
            <w:r>
              <w:rPr>
                <w:rFonts w:ascii="Arial" w:cs="Arial" w:eastAsia="Arial" w:hAnsi="Arial"/>
                <w:sz w:val="32"/>
                <w:szCs w:val="32"/>
                <w:b w:val="1"/>
                <w:bCs w:val="1"/>
                <w:color w:val="auto"/>
              </w:rPr>
              <w:t>Form 10-Q</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120" w:type="dxa"/>
            <w:vAlign w:val="bottom"/>
            <w:vMerge w:val="restart"/>
          </w:tcPr>
          <w:p>
            <w:pPr>
              <w:ind w:left="460"/>
              <w:spacing w:after="0" w:line="201" w:lineRule="exact"/>
              <w:rPr>
                <w:sz w:val="20"/>
                <w:szCs w:val="20"/>
                <w:color w:val="auto"/>
              </w:rPr>
            </w:pPr>
            <w:r>
              <w:rPr>
                <w:rFonts w:ascii="MS PGothic" w:cs="MS PGothic" w:eastAsia="MS PGothic" w:hAnsi="MS PGothic"/>
                <w:sz w:val="20"/>
                <w:szCs w:val="20"/>
                <w:color w:val="auto"/>
              </w:rPr>
              <w:t>☒</w:t>
            </w:r>
          </w:p>
        </w:tc>
        <w:tc>
          <w:tcPr>
            <w:tcW w:w="2360" w:type="dxa"/>
            <w:vAlign w:val="bottom"/>
            <w:gridSpan w:val="2"/>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627"/>
        </w:trPr>
        <w:tc>
          <w:tcPr>
            <w:tcW w:w="2120" w:type="dxa"/>
            <w:vAlign w:val="bottom"/>
            <w:vMerge w:val="continue"/>
          </w:tcPr>
          <w:p>
            <w:pPr>
              <w:spacing w:after="0"/>
              <w:rPr>
                <w:sz w:val="24"/>
                <w:szCs w:val="24"/>
                <w:color w:val="auto"/>
              </w:rPr>
            </w:pPr>
          </w:p>
        </w:tc>
        <w:tc>
          <w:tcPr>
            <w:tcW w:w="8760" w:type="dxa"/>
            <w:vAlign w:val="bottom"/>
            <w:gridSpan w:val="5"/>
          </w:tcPr>
          <w:p>
            <w:pPr>
              <w:ind w:left="14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45"/>
        </w:trPr>
        <w:tc>
          <w:tcPr>
            <w:tcW w:w="2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For the quarterly period ended September 30, 2021</w:t>
            </w:r>
          </w:p>
        </w:tc>
        <w:tc>
          <w:tcPr>
            <w:tcW w:w="3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2120" w:type="dxa"/>
            <w:vAlign w:val="bottom"/>
            <w:vMerge w:val="restart"/>
          </w:tcPr>
          <w:p>
            <w:pPr>
              <w:ind w:left="460"/>
              <w:spacing w:after="0" w:line="221" w:lineRule="exact"/>
              <w:rPr>
                <w:sz w:val="20"/>
                <w:szCs w:val="20"/>
                <w:color w:val="auto"/>
              </w:rPr>
            </w:pPr>
            <w:r>
              <w:rPr>
                <w:rFonts w:ascii="MS PGothic" w:cs="MS PGothic" w:eastAsia="MS PGothic" w:hAnsi="MS PGothic"/>
                <w:sz w:val="22"/>
                <w:szCs w:val="22"/>
                <w:color w:val="auto"/>
              </w:rPr>
              <w:t>☐</w:t>
            </w: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OR</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120" w:type="dxa"/>
            <w:vAlign w:val="bottom"/>
            <w:vMerge w:val="continue"/>
          </w:tcPr>
          <w:p>
            <w:pPr>
              <w:spacing w:after="0"/>
              <w:rPr>
                <w:sz w:val="24"/>
                <w:szCs w:val="24"/>
                <w:color w:val="auto"/>
              </w:rPr>
            </w:pPr>
          </w:p>
        </w:tc>
        <w:tc>
          <w:tcPr>
            <w:tcW w:w="8760" w:type="dxa"/>
            <w:vAlign w:val="bottom"/>
            <w:gridSpan w:val="5"/>
          </w:tcPr>
          <w:p>
            <w:pPr>
              <w:ind w:left="14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64"/>
        </w:trPr>
        <w:tc>
          <w:tcPr>
            <w:tcW w:w="2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For the transition period from _____ to _____</w:t>
            </w: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Commission File No. 001-10308</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80" w:type="dxa"/>
            <w:vAlign w:val="bottom"/>
            <w:gridSpan w:val="3"/>
          </w:tcPr>
          <w:p>
            <w:pPr>
              <w:jc w:val="center"/>
              <w:ind w:right="100"/>
              <w:spacing w:after="0"/>
              <w:rPr>
                <w:sz w:val="20"/>
                <w:szCs w:val="20"/>
                <w:color w:val="auto"/>
              </w:rPr>
            </w:pPr>
            <w:r>
              <w:rPr>
                <w:rFonts w:ascii="Arial" w:cs="Arial" w:eastAsia="Arial" w:hAnsi="Arial"/>
                <w:sz w:val="25"/>
                <w:szCs w:val="25"/>
                <w:b w:val="1"/>
                <w:bCs w:val="1"/>
                <w:color w:val="auto"/>
              </w:rPr>
              <w:t>Avis Budget Group, Inc.</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80" w:type="dxa"/>
            <w:vAlign w:val="bottom"/>
            <w:gridSpan w:val="3"/>
          </w:tcPr>
          <w:p>
            <w:pPr>
              <w:jc w:val="center"/>
              <w:ind w:right="14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tcPr>
          <w:p>
            <w:pPr>
              <w:jc w:val="center"/>
              <w:ind w:left="1102"/>
              <w:spacing w:after="0"/>
              <w:rPr>
                <w:sz w:val="20"/>
                <w:szCs w:val="20"/>
                <w:color w:val="auto"/>
              </w:rPr>
            </w:pPr>
            <w:r>
              <w:rPr>
                <w:rFonts w:ascii="Arial" w:cs="Arial" w:eastAsia="Arial" w:hAnsi="Arial"/>
                <w:sz w:val="14"/>
                <w:szCs w:val="14"/>
                <w:b w:val="1"/>
                <w:bCs w:val="1"/>
                <w:color w:val="auto"/>
              </w:rPr>
              <w:t>Delaware</w:t>
            </w: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jc w:val="right"/>
              <w:ind w:right="868"/>
              <w:spacing w:after="0"/>
              <w:rPr>
                <w:sz w:val="20"/>
                <w:szCs w:val="20"/>
                <w:color w:val="auto"/>
              </w:rPr>
            </w:pPr>
            <w:r>
              <w:rPr>
                <w:rFonts w:ascii="Arial" w:cs="Arial" w:eastAsia="Arial" w:hAnsi="Arial"/>
                <w:sz w:val="14"/>
                <w:szCs w:val="14"/>
                <w:b w:val="1"/>
                <w:bCs w:val="1"/>
                <w:color w:val="auto"/>
              </w:rPr>
              <w:t>06-0918165</w:t>
            </w:r>
          </w:p>
        </w:tc>
        <w:tc>
          <w:tcPr>
            <w:tcW w:w="0" w:type="dxa"/>
            <w:vAlign w:val="bottom"/>
          </w:tcPr>
          <w:p>
            <w:pPr>
              <w:spacing w:after="0"/>
              <w:rPr>
                <w:sz w:val="1"/>
                <w:szCs w:val="1"/>
                <w:color w:val="auto"/>
              </w:rPr>
            </w:pPr>
          </w:p>
        </w:tc>
      </w:tr>
      <w:tr>
        <w:trPr>
          <w:trHeight w:val="147"/>
        </w:trPr>
        <w:tc>
          <w:tcPr>
            <w:tcW w:w="3740" w:type="dxa"/>
            <w:vAlign w:val="bottom"/>
            <w:gridSpan w:val="2"/>
          </w:tcPr>
          <w:p>
            <w:pPr>
              <w:jc w:val="center"/>
              <w:ind w:right="148"/>
              <w:spacing w:after="0" w:line="147" w:lineRule="exact"/>
              <w:rPr>
                <w:sz w:val="20"/>
                <w:szCs w:val="20"/>
                <w:color w:val="auto"/>
              </w:rPr>
            </w:pPr>
            <w:r>
              <w:rPr>
                <w:rFonts w:ascii="Arial" w:cs="Arial" w:eastAsia="Arial" w:hAnsi="Arial"/>
                <w:sz w:val="14"/>
                <w:szCs w:val="14"/>
                <w:i w:val="1"/>
                <w:iCs w:val="1"/>
                <w:color w:val="auto"/>
              </w:rPr>
              <w:t>(State or other jurisdiction of</w:t>
            </w:r>
          </w:p>
        </w:tc>
        <w:tc>
          <w:tcPr>
            <w:tcW w:w="7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60" w:type="dxa"/>
            <w:vAlign w:val="bottom"/>
          </w:tcPr>
          <w:p>
            <w:pPr>
              <w:jc w:val="center"/>
              <w:ind w:left="548"/>
              <w:spacing w:after="0" w:line="147" w:lineRule="exact"/>
              <w:rPr>
                <w:sz w:val="20"/>
                <w:szCs w:val="20"/>
                <w:color w:val="auto"/>
              </w:rPr>
            </w:pPr>
            <w:r>
              <w:rPr>
                <w:rFonts w:ascii="Arial" w:cs="Arial" w:eastAsia="Arial" w:hAnsi="Arial"/>
                <w:sz w:val="14"/>
                <w:szCs w:val="14"/>
                <w:i w:val="1"/>
                <w:iCs w:val="1"/>
                <w:color w:val="auto"/>
              </w:rPr>
              <w:t>(I.R.S. Employer</w:t>
            </w:r>
          </w:p>
        </w:tc>
        <w:tc>
          <w:tcPr>
            <w:tcW w:w="0" w:type="dxa"/>
            <w:vAlign w:val="bottom"/>
          </w:tcPr>
          <w:p>
            <w:pPr>
              <w:spacing w:after="0"/>
              <w:rPr>
                <w:sz w:val="1"/>
                <w:szCs w:val="1"/>
                <w:color w:val="auto"/>
              </w:rPr>
            </w:pPr>
          </w:p>
        </w:tc>
      </w:tr>
      <w:tr>
        <w:trPr>
          <w:trHeight w:val="176"/>
        </w:trPr>
        <w:tc>
          <w:tcPr>
            <w:tcW w:w="3740" w:type="dxa"/>
            <w:vAlign w:val="bottom"/>
            <w:gridSpan w:val="2"/>
          </w:tcPr>
          <w:p>
            <w:pPr>
              <w:jc w:val="center"/>
              <w:ind w:right="148"/>
              <w:spacing w:after="0"/>
              <w:rPr>
                <w:sz w:val="20"/>
                <w:szCs w:val="20"/>
                <w:color w:val="auto"/>
              </w:rPr>
            </w:pPr>
            <w:r>
              <w:rPr>
                <w:rFonts w:ascii="Arial" w:cs="Arial" w:eastAsia="Arial" w:hAnsi="Arial"/>
                <w:sz w:val="14"/>
                <w:szCs w:val="14"/>
                <w:i w:val="1"/>
                <w:iCs w:val="1"/>
                <w:color w:val="auto"/>
              </w:rPr>
              <w:t>incorporation or organization)</w:t>
            </w:r>
          </w:p>
        </w:tc>
        <w:tc>
          <w:tcPr>
            <w:tcW w:w="7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60" w:type="dxa"/>
            <w:vAlign w:val="bottom"/>
          </w:tcPr>
          <w:p>
            <w:pPr>
              <w:jc w:val="center"/>
              <w:ind w:left="548"/>
              <w:spacing w:after="0"/>
              <w:rPr>
                <w:sz w:val="20"/>
                <w:szCs w:val="20"/>
                <w:color w:val="auto"/>
              </w:rPr>
            </w:pPr>
            <w:r>
              <w:rPr>
                <w:rFonts w:ascii="Arial" w:cs="Arial" w:eastAsia="Arial" w:hAnsi="Arial"/>
                <w:sz w:val="14"/>
                <w:szCs w:val="14"/>
                <w:i w:val="1"/>
                <w:iCs w:val="1"/>
                <w:color w:val="auto"/>
              </w:rPr>
              <w:t>Identification Number)</w:t>
            </w:r>
          </w:p>
        </w:tc>
        <w:tc>
          <w:tcPr>
            <w:tcW w:w="0" w:type="dxa"/>
            <w:vAlign w:val="bottom"/>
          </w:tcPr>
          <w:p>
            <w:pPr>
              <w:spacing w:after="0"/>
              <w:rPr>
                <w:sz w:val="1"/>
                <w:szCs w:val="1"/>
                <w:color w:val="auto"/>
              </w:rPr>
            </w:pPr>
          </w:p>
        </w:tc>
      </w:tr>
      <w:tr>
        <w:trPr>
          <w:trHeight w:val="189"/>
        </w:trPr>
        <w:tc>
          <w:tcPr>
            <w:tcW w:w="2120" w:type="dxa"/>
            <w:vAlign w:val="bottom"/>
          </w:tcPr>
          <w:p>
            <w:pPr>
              <w:jc w:val="center"/>
              <w:ind w:left="1102"/>
              <w:spacing w:after="0"/>
              <w:rPr>
                <w:sz w:val="20"/>
                <w:szCs w:val="20"/>
                <w:color w:val="auto"/>
              </w:rPr>
            </w:pPr>
            <w:r>
              <w:rPr>
                <w:rFonts w:ascii="Arial" w:cs="Arial" w:eastAsia="Arial" w:hAnsi="Arial"/>
                <w:sz w:val="14"/>
                <w:szCs w:val="14"/>
                <w:b w:val="1"/>
                <w:bCs w:val="1"/>
                <w:color w:val="auto"/>
              </w:rPr>
              <w:t>6 Sylvan Way</w:t>
            </w:r>
          </w:p>
        </w:tc>
        <w:tc>
          <w:tcPr>
            <w:tcW w:w="1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20" w:type="dxa"/>
            <w:vAlign w:val="bottom"/>
          </w:tcPr>
          <w:p>
            <w:pPr>
              <w:ind w:left="1060"/>
              <w:spacing w:after="0"/>
              <w:rPr>
                <w:sz w:val="20"/>
                <w:szCs w:val="20"/>
                <w:color w:val="auto"/>
              </w:rPr>
            </w:pPr>
            <w:r>
              <w:rPr>
                <w:rFonts w:ascii="Arial" w:cs="Arial" w:eastAsia="Arial" w:hAnsi="Arial"/>
                <w:sz w:val="14"/>
                <w:szCs w:val="14"/>
                <w:b w:val="1"/>
                <w:bCs w:val="1"/>
                <w:color w:val="auto"/>
              </w:rPr>
              <w:t>Parsippany,</w:t>
            </w:r>
          </w:p>
        </w:tc>
        <w:tc>
          <w:tcPr>
            <w:tcW w:w="1620" w:type="dxa"/>
            <w:vAlign w:val="bottom"/>
          </w:tcPr>
          <w:p>
            <w:pPr>
              <w:spacing w:after="0"/>
              <w:rPr>
                <w:sz w:val="20"/>
                <w:szCs w:val="20"/>
                <w:color w:val="auto"/>
              </w:rPr>
            </w:pPr>
            <w:r>
              <w:rPr>
                <w:rFonts w:ascii="Arial" w:cs="Arial" w:eastAsia="Arial" w:hAnsi="Arial"/>
                <w:sz w:val="14"/>
                <w:szCs w:val="14"/>
                <w:b w:val="1"/>
                <w:bCs w:val="1"/>
                <w:color w:val="auto"/>
              </w:rPr>
              <w:t>NJ</w:t>
            </w:r>
          </w:p>
        </w:tc>
        <w:tc>
          <w:tcPr>
            <w:tcW w:w="7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60" w:type="dxa"/>
            <w:vAlign w:val="bottom"/>
          </w:tcPr>
          <w:p>
            <w:pPr>
              <w:jc w:val="right"/>
              <w:ind w:right="1048"/>
              <w:spacing w:after="0"/>
              <w:rPr>
                <w:sz w:val="20"/>
                <w:szCs w:val="20"/>
                <w:color w:val="auto"/>
              </w:rPr>
            </w:pPr>
            <w:r>
              <w:rPr>
                <w:rFonts w:ascii="Arial" w:cs="Arial" w:eastAsia="Arial" w:hAnsi="Arial"/>
                <w:sz w:val="14"/>
                <w:szCs w:val="14"/>
                <w:b w:val="1"/>
                <w:bCs w:val="1"/>
                <w:color w:val="auto"/>
              </w:rPr>
              <w:t>07054</w:t>
            </w:r>
          </w:p>
        </w:tc>
        <w:tc>
          <w:tcPr>
            <w:tcW w:w="0" w:type="dxa"/>
            <w:vAlign w:val="bottom"/>
          </w:tcPr>
          <w:p>
            <w:pPr>
              <w:spacing w:after="0"/>
              <w:rPr>
                <w:sz w:val="1"/>
                <w:szCs w:val="1"/>
                <w:color w:val="auto"/>
              </w:rPr>
            </w:pPr>
          </w:p>
        </w:tc>
      </w:tr>
      <w:tr>
        <w:trPr>
          <w:trHeight w:val="189"/>
        </w:trPr>
        <w:tc>
          <w:tcPr>
            <w:tcW w:w="3740" w:type="dxa"/>
            <w:vAlign w:val="bottom"/>
            <w:gridSpan w:val="2"/>
          </w:tcPr>
          <w:p>
            <w:pPr>
              <w:jc w:val="center"/>
              <w:ind w:right="168"/>
              <w:spacing w:after="0"/>
              <w:rPr>
                <w:sz w:val="20"/>
                <w:szCs w:val="20"/>
                <w:color w:val="auto"/>
              </w:rPr>
            </w:pPr>
            <w:r>
              <w:rPr>
                <w:rFonts w:ascii="Arial" w:cs="Arial" w:eastAsia="Arial" w:hAnsi="Arial"/>
                <w:sz w:val="14"/>
                <w:szCs w:val="14"/>
                <w:i w:val="1"/>
                <w:iCs w:val="1"/>
                <w:color w:val="auto"/>
              </w:rPr>
              <w:t>(Address of principal executive offices)</w:t>
            </w:r>
          </w:p>
        </w:tc>
        <w:tc>
          <w:tcPr>
            <w:tcW w:w="3040" w:type="dxa"/>
            <w:vAlign w:val="bottom"/>
            <w:gridSpan w:val="2"/>
            <w:vMerge w:val="restart"/>
          </w:tcPr>
          <w:p>
            <w:pPr>
              <w:jc w:val="right"/>
              <w:ind w:right="453"/>
              <w:spacing w:after="0"/>
              <w:rPr>
                <w:sz w:val="20"/>
                <w:szCs w:val="20"/>
                <w:color w:val="auto"/>
              </w:rPr>
            </w:pPr>
            <w:r>
              <w:rPr>
                <w:rFonts w:ascii="Arial" w:cs="Arial" w:eastAsia="Arial" w:hAnsi="Arial"/>
                <w:sz w:val="14"/>
                <w:szCs w:val="14"/>
                <w:b w:val="1"/>
                <w:bCs w:val="1"/>
                <w:color w:val="auto"/>
              </w:rPr>
              <w:t>(973)   496-4700</w:t>
            </w:r>
          </w:p>
        </w:tc>
        <w:tc>
          <w:tcPr>
            <w:tcW w:w="840" w:type="dxa"/>
            <w:vAlign w:val="bottom"/>
          </w:tcPr>
          <w:p>
            <w:pPr>
              <w:spacing w:after="0"/>
              <w:rPr>
                <w:sz w:val="16"/>
                <w:szCs w:val="16"/>
                <w:color w:val="auto"/>
              </w:rPr>
            </w:pPr>
          </w:p>
        </w:tc>
        <w:tc>
          <w:tcPr>
            <w:tcW w:w="3260" w:type="dxa"/>
            <w:vAlign w:val="bottom"/>
          </w:tcPr>
          <w:p>
            <w:pPr>
              <w:jc w:val="center"/>
              <w:ind w:left="548"/>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40" w:type="dxa"/>
            <w:vAlign w:val="bottom"/>
            <w:gridSpan w:val="2"/>
            <w:vMerge w:val="continue"/>
          </w:tcPr>
          <w:p>
            <w:pPr>
              <w:spacing w:after="0"/>
              <w:rPr>
                <w:sz w:val="16"/>
                <w:szCs w:val="16"/>
                <w:color w:val="auto"/>
              </w:rPr>
            </w:pPr>
          </w:p>
        </w:tc>
        <w:tc>
          <w:tcPr>
            <w:tcW w:w="8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880" w:type="dxa"/>
            <w:vAlign w:val="bottom"/>
            <w:gridSpan w:val="3"/>
          </w:tcPr>
          <w:p>
            <w:pPr>
              <w:ind w:left="260"/>
              <w:spacing w:after="0"/>
              <w:rPr>
                <w:sz w:val="20"/>
                <w:szCs w:val="20"/>
                <w:color w:val="auto"/>
              </w:rPr>
            </w:pPr>
            <w:r>
              <w:rPr>
                <w:rFonts w:ascii="Arial" w:cs="Arial" w:eastAsia="Arial" w:hAnsi="Arial"/>
                <w:sz w:val="14"/>
                <w:szCs w:val="14"/>
                <w:color w:val="auto"/>
              </w:rPr>
              <w:t>(Registrant’s telephone number, including area code)</w:t>
            </w: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4"/>
        </w:trPr>
        <w:tc>
          <w:tcPr>
            <w:tcW w:w="374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740" w:type="dxa"/>
            <w:vAlign w:val="bottom"/>
          </w:tcPr>
          <w:p>
            <w:pPr>
              <w:spacing w:after="0"/>
              <w:rPr>
                <w:sz w:val="17"/>
                <w:szCs w:val="17"/>
                <w:color w:val="auto"/>
              </w:rPr>
            </w:pPr>
          </w:p>
        </w:tc>
        <w:tc>
          <w:tcPr>
            <w:tcW w:w="31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Trading Symbol(s)</w:t>
            </w:r>
          </w:p>
        </w:tc>
        <w:tc>
          <w:tcPr>
            <w:tcW w:w="3260" w:type="dxa"/>
            <w:vAlign w:val="bottom"/>
          </w:tcPr>
          <w:p>
            <w:pPr>
              <w:jc w:val="center"/>
              <w:ind w:left="14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9"/>
        </w:trPr>
        <w:tc>
          <w:tcPr>
            <w:tcW w:w="3740" w:type="dxa"/>
            <w:vAlign w:val="bottom"/>
            <w:gridSpan w:val="2"/>
          </w:tcPr>
          <w:p>
            <w:pPr>
              <w:jc w:val="center"/>
              <w:spacing w:after="0"/>
              <w:rPr>
                <w:sz w:val="20"/>
                <w:szCs w:val="20"/>
                <w:color w:val="auto"/>
              </w:rPr>
            </w:pPr>
            <w:r>
              <w:rPr>
                <w:rFonts w:ascii="Arial" w:cs="Arial" w:eastAsia="Arial" w:hAnsi="Arial"/>
                <w:sz w:val="14"/>
                <w:szCs w:val="14"/>
                <w:color w:val="auto"/>
              </w:rPr>
              <w:t>Common Stock, Par Value $0.01</w:t>
            </w:r>
          </w:p>
        </w:tc>
        <w:tc>
          <w:tcPr>
            <w:tcW w:w="740" w:type="dxa"/>
            <w:vAlign w:val="bottom"/>
          </w:tcPr>
          <w:p>
            <w:pPr>
              <w:spacing w:after="0"/>
              <w:rPr>
                <w:sz w:val="16"/>
                <w:szCs w:val="16"/>
                <w:color w:val="auto"/>
              </w:rPr>
            </w:pPr>
          </w:p>
        </w:tc>
        <w:tc>
          <w:tcPr>
            <w:tcW w:w="3140" w:type="dxa"/>
            <w:vAlign w:val="bottom"/>
            <w:gridSpan w:val="2"/>
          </w:tcPr>
          <w:p>
            <w:pPr>
              <w:jc w:val="center"/>
              <w:ind w:right="880"/>
              <w:spacing w:after="0"/>
              <w:rPr>
                <w:sz w:val="20"/>
                <w:szCs w:val="20"/>
                <w:color w:val="auto"/>
              </w:rPr>
            </w:pPr>
            <w:r>
              <w:rPr>
                <w:rFonts w:ascii="Arial" w:cs="Arial" w:eastAsia="Arial" w:hAnsi="Arial"/>
                <w:sz w:val="14"/>
                <w:szCs w:val="14"/>
                <w:color w:val="auto"/>
              </w:rPr>
              <w:t>CAR</w:t>
            </w:r>
          </w:p>
        </w:tc>
        <w:tc>
          <w:tcPr>
            <w:tcW w:w="3260" w:type="dxa"/>
            <w:vAlign w:val="bottom"/>
          </w:tcPr>
          <w:p>
            <w:pPr>
              <w:jc w:val="center"/>
              <w:ind w:left="148"/>
              <w:spacing w:after="0"/>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22" w:lineRule="exact"/>
        <w:rPr>
          <w:sz w:val="24"/>
          <w:szCs w:val="24"/>
          <w:color w:val="auto"/>
        </w:rPr>
      </w:pPr>
    </w:p>
    <w:p>
      <w:pPr>
        <w:ind w:right="80"/>
        <w:spacing w:after="0" w:line="23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2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174"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220"/>
          </w:cols>
          <w:pgMar w:left="320" w:top="247" w:right="359" w:bottom="1440" w:gutter="0" w:footer="0" w:header="0"/>
        </w:sectPr>
      </w:pPr>
    </w:p>
    <w:p>
      <w:pPr>
        <w:spacing w:after="0" w:line="96" w:lineRule="exact"/>
        <w:rPr>
          <w:sz w:val="24"/>
          <w:szCs w:val="24"/>
          <w:color w:val="auto"/>
        </w:rPr>
      </w:pPr>
    </w:p>
    <w:p>
      <w:pPr>
        <w:ind w:left="100" w:right="880"/>
        <w:spacing w:after="0" w:line="379"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72" w:lineRule="exact"/>
        <w:rPr>
          <w:sz w:val="20"/>
          <w:szCs w:val="20"/>
          <w:color w:val="auto"/>
        </w:rPr>
      </w:pPr>
      <w:r>
        <w:rPr>
          <w:rFonts w:ascii="MS PGothic" w:cs="MS PGothic" w:eastAsia="MS PGothic" w:hAnsi="MS PGothic"/>
          <w:sz w:val="18"/>
          <w:szCs w:val="18"/>
          <w:color w:val="auto"/>
        </w:rPr>
        <w:t>☒</w:t>
      </w:r>
    </w:p>
    <w:p>
      <w:pPr>
        <w:spacing w:after="0" w:line="8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72" w:lineRule="exact"/>
        <w:rPr>
          <w:sz w:val="20"/>
          <w:szCs w:val="20"/>
          <w:color w:val="auto"/>
        </w:rPr>
      </w:pPr>
      <w:r>
        <w:rPr>
          <w:rFonts w:ascii="MS PGothic" w:cs="MS PGothic" w:eastAsia="MS PGothic" w:hAnsi="MS PGothic"/>
          <w:sz w:val="18"/>
          <w:szCs w:val="18"/>
          <w:color w:val="auto"/>
        </w:rPr>
        <w:t>☐</w:t>
      </w:r>
    </w:p>
    <w:p>
      <w:pPr>
        <w:spacing w:after="0" w:line="8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72" w:lineRule="exact"/>
        <w:rPr>
          <w:sz w:val="20"/>
          <w:szCs w:val="20"/>
          <w:color w:val="auto"/>
        </w:rPr>
      </w:pPr>
      <w:r>
        <w:rPr>
          <w:rFonts w:ascii="MS PGothic" w:cs="MS PGothic" w:eastAsia="MS PGothic" w:hAnsi="MS PGothic"/>
          <w:sz w:val="18"/>
          <w:szCs w:val="18"/>
          <w:color w:val="auto"/>
        </w:rPr>
        <w:t>☐</w:t>
      </w:r>
    </w:p>
    <w:p>
      <w:pPr>
        <w:spacing w:after="0" w:line="430" w:lineRule="exact"/>
        <w:rPr>
          <w:sz w:val="24"/>
          <w:szCs w:val="24"/>
          <w:color w:val="auto"/>
        </w:rPr>
      </w:pPr>
    </w:p>
    <w:p>
      <w:pPr>
        <w:sectPr>
          <w:pgSz w:w="11900" w:h="16838" w:orient="portrait"/>
          <w:cols w:equalWidth="0" w:num="6">
            <w:col w:w="2780" w:space="720"/>
            <w:col w:w="180" w:space="100"/>
            <w:col w:w="2700" w:space="720"/>
            <w:col w:w="180" w:space="100"/>
            <w:col w:w="2700" w:space="720"/>
            <w:col w:w="320"/>
          </w:cols>
          <w:pgMar w:left="320" w:top="247" w:right="359" w:bottom="1440" w:gutter="0" w:footer="0" w:header="0"/>
          <w:type w:val="continuous"/>
        </w:sectPr>
      </w:pPr>
    </w:p>
    <w:p>
      <w:pPr>
        <w:ind w:right="28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spacing w:after="0" w:line="184" w:lineRule="exact"/>
        <w:tabs>
          <w:tab w:leader="none" w:pos="79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293"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issuer’s common stock was 56,447,571 shares as of October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089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680" w:type="dxa"/>
            <w:vAlign w:val="bottom"/>
            <w:tcBorders>
              <w:bottom w:val="single" w:sz="8" w:color="0000FF"/>
            </w:tcBorders>
            <w:gridSpan w:val="7"/>
          </w:tcPr>
          <w:p>
            <w:pPr>
              <w:spacing w:after="0" w:line="196"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Financial Information</w:t>
              </w:r>
            </w:hyperlink>
          </w:p>
        </w:tc>
        <w:tc>
          <w:tcPr>
            <w:tcW w:w="7760" w:type="dxa"/>
            <w:vAlign w:val="bottom"/>
            <w:gridSpan w:val="12"/>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944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Financial Statements</w:t>
              </w:r>
            </w:hyperlink>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3"/>
            <w:vMerge w:val="restart"/>
          </w:tcPr>
          <w:p>
            <w:pPr>
              <w:spacing w:after="0" w:line="20" w:lineRule="exact"/>
              <w:rPr>
                <w:sz w:val="1"/>
                <w:szCs w:val="1"/>
                <w:color w:val="auto"/>
              </w:rPr>
            </w:pPr>
          </w:p>
        </w:tc>
        <w:tc>
          <w:tcPr>
            <w:tcW w:w="160" w:type="dxa"/>
            <w:vAlign w:val="bottom"/>
            <w:gridSpan w:val="2"/>
            <w:vMerge w:val="restart"/>
          </w:tcPr>
          <w:p>
            <w:pPr>
              <w:jc w:val="right"/>
              <w:ind w:right="6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0" w:type="dxa"/>
            <w:vAlign w:val="bottom"/>
          </w:tcPr>
          <w:p>
            <w:pPr>
              <w:spacing w:after="0" w:line="20" w:lineRule="exact"/>
              <w:rPr>
                <w:sz w:val="1"/>
                <w:szCs w:val="1"/>
                <w:color w:val="auto"/>
              </w:rPr>
            </w:pPr>
          </w:p>
        </w:tc>
      </w:tr>
      <w:tr>
        <w:trPr>
          <w:trHeight w:val="217"/>
        </w:trPr>
        <w:tc>
          <w:tcPr>
            <w:tcW w:w="1020" w:type="dxa"/>
            <w:vAlign w:val="bottom"/>
          </w:tcPr>
          <w:p>
            <w:pPr>
              <w:spacing w:after="0"/>
              <w:rPr>
                <w:sz w:val="18"/>
                <w:szCs w:val="18"/>
                <w:color w:val="auto"/>
              </w:rPr>
            </w:pPr>
          </w:p>
        </w:tc>
        <w:tc>
          <w:tcPr>
            <w:tcW w:w="8200" w:type="dxa"/>
            <w:vAlign w:val="bottom"/>
            <w:gridSpan w:val="15"/>
          </w:tcPr>
          <w:p>
            <w:pPr>
              <w:spacing w:after="0" w:line="196"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Consolidated Condensed Statements of Comprehensive Income for the Three and Nine Months Ended</w:t>
              </w:r>
            </w:hyperlink>
          </w:p>
        </w:tc>
        <w:tc>
          <w:tcPr>
            <w:tcW w:w="1240" w:type="dxa"/>
            <w:vAlign w:val="bottom"/>
            <w:gridSpan w:val="4"/>
          </w:tcPr>
          <w:p>
            <w:pPr>
              <w:spacing w:after="0"/>
              <w:rPr>
                <w:sz w:val="18"/>
                <w:szCs w:val="18"/>
                <w:color w:val="auto"/>
              </w:rPr>
            </w:pPr>
          </w:p>
        </w:tc>
        <w:tc>
          <w:tcPr>
            <w:tcW w:w="620" w:type="dxa"/>
            <w:vAlign w:val="bottom"/>
            <w:gridSpan w:val="3"/>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8200" w:type="dxa"/>
            <w:vAlign w:val="bottom"/>
            <w:tcBorders>
              <w:top w:val="single" w:sz="8" w:color="0000FF"/>
            </w:tcBorders>
            <w:gridSpan w:val="15"/>
          </w:tcPr>
          <w:p>
            <w:pPr>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September 30, 2021 and 2020 (Unaudited)</w:t>
              </w:r>
            </w:hyperlink>
          </w:p>
        </w:tc>
        <w:tc>
          <w:tcPr>
            <w:tcW w:w="1240" w:type="dxa"/>
            <w:vAlign w:val="bottom"/>
            <w:gridSpan w:val="4"/>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3"/>
            <w:vMerge w:val="restart"/>
          </w:tcPr>
          <w:p>
            <w:pPr>
              <w:spacing w:after="0" w:line="20" w:lineRule="exact"/>
              <w:rPr>
                <w:sz w:val="1"/>
                <w:szCs w:val="1"/>
                <w:color w:val="auto"/>
              </w:rPr>
            </w:pPr>
          </w:p>
        </w:tc>
        <w:tc>
          <w:tcPr>
            <w:tcW w:w="160" w:type="dxa"/>
            <w:vAlign w:val="bottom"/>
            <w:gridSpan w:val="2"/>
            <w:vMerge w:val="restart"/>
          </w:tcPr>
          <w:p>
            <w:pPr>
              <w:jc w:val="right"/>
              <w:ind w:right="6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0" w:type="dxa"/>
            <w:vAlign w:val="bottom"/>
          </w:tcPr>
          <w:p>
            <w:pPr>
              <w:spacing w:after="0" w:line="20" w:lineRule="exact"/>
              <w:rPr>
                <w:sz w:val="1"/>
                <w:szCs w:val="1"/>
                <w:color w:val="auto"/>
              </w:rPr>
            </w:pPr>
          </w:p>
        </w:tc>
      </w:tr>
      <w:tr>
        <w:trPr>
          <w:trHeight w:val="236"/>
        </w:trPr>
        <w:tc>
          <w:tcPr>
            <w:tcW w:w="1020" w:type="dxa"/>
            <w:vAlign w:val="bottom"/>
          </w:tcPr>
          <w:p>
            <w:pPr>
              <w:spacing w:after="0"/>
              <w:rPr>
                <w:sz w:val="20"/>
                <w:szCs w:val="20"/>
                <w:color w:val="auto"/>
              </w:rPr>
            </w:pPr>
          </w:p>
        </w:tc>
        <w:tc>
          <w:tcPr>
            <w:tcW w:w="944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Condensed Balance Sheets as of September 30, 2021 and December 31, 2020 (Unaudited)</w:t>
              </w:r>
            </w:hyperlink>
          </w:p>
        </w:tc>
        <w:tc>
          <w:tcPr>
            <w:tcW w:w="620" w:type="dxa"/>
            <w:vAlign w:val="bottom"/>
            <w:gridSpan w:val="3"/>
            <w:vMerge w:val="continue"/>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500" w:type="dxa"/>
            <w:vAlign w:val="bottom"/>
            <w:tcBorders>
              <w:bottom w:val="single" w:sz="8" w:color="0000FF"/>
            </w:tcBorders>
            <w:gridSpan w:val="2"/>
          </w:tcPr>
          <w:p>
            <w:pPr>
              <w:spacing w:after="0" w:line="20" w:lineRule="exact"/>
              <w:rPr>
                <w:sz w:val="1"/>
                <w:szCs w:val="1"/>
                <w:color w:val="auto"/>
              </w:rPr>
            </w:pPr>
          </w:p>
        </w:tc>
        <w:tc>
          <w:tcPr>
            <w:tcW w:w="500" w:type="dxa"/>
            <w:vAlign w:val="bottom"/>
            <w:tcBorders>
              <w:bottom w:val="single" w:sz="8" w:color="0000FF"/>
            </w:tcBorders>
          </w:tcPr>
          <w:p>
            <w:pPr>
              <w:spacing w:after="0" w:line="20" w:lineRule="exact"/>
              <w:rPr>
                <w:sz w:val="1"/>
                <w:szCs w:val="1"/>
                <w:color w:val="auto"/>
              </w:rPr>
            </w:pPr>
          </w:p>
        </w:tc>
        <w:tc>
          <w:tcPr>
            <w:tcW w:w="2200" w:type="dxa"/>
            <w:vAlign w:val="bottom"/>
            <w:tcBorders>
              <w:bottom w:val="single" w:sz="8" w:color="0000FF"/>
            </w:tcBorders>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1620" w:type="dxa"/>
            <w:vAlign w:val="bottom"/>
            <w:tcBorders>
              <w:bottom w:val="single" w:sz="8" w:color="0000FF"/>
            </w:tcBorders>
          </w:tcPr>
          <w:p>
            <w:pPr>
              <w:spacing w:after="0" w:line="20" w:lineRule="exact"/>
              <w:rPr>
                <w:sz w:val="1"/>
                <w:szCs w:val="1"/>
                <w:color w:val="auto"/>
              </w:rPr>
            </w:pPr>
          </w:p>
        </w:tc>
        <w:tc>
          <w:tcPr>
            <w:tcW w:w="1340" w:type="dxa"/>
            <w:vAlign w:val="bottom"/>
            <w:tcBorders>
              <w:bottom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440" w:type="dxa"/>
            <w:vAlign w:val="bottom"/>
            <w:gridSpan w:val="1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Consolidated Condensed Statements of Cash Flows for the Nine Months Ended September 30, 2021 and 2020</w:t>
              </w:r>
            </w:hyperlink>
          </w:p>
        </w:tc>
        <w:tc>
          <w:tcPr>
            <w:tcW w:w="620" w:type="dxa"/>
            <w:vAlign w:val="bottom"/>
            <w:gridSpan w:val="3"/>
          </w:tcPr>
          <w:p>
            <w:pPr>
              <w:spacing w:after="0"/>
              <w:rPr>
                <w:sz w:val="20"/>
                <w:szCs w:val="20"/>
                <w:color w:val="auto"/>
              </w:rPr>
            </w:pPr>
          </w:p>
        </w:tc>
        <w:tc>
          <w:tcPr>
            <w:tcW w:w="160" w:type="dxa"/>
            <w:vAlign w:val="bottom"/>
            <w:gridSpan w:val="2"/>
          </w:tcPr>
          <w:p>
            <w:pPr>
              <w:jc w:val="right"/>
              <w:ind w:right="6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8840" w:type="dxa"/>
            <w:vAlign w:val="bottom"/>
            <w:tcBorders>
              <w:top w:val="single" w:sz="8" w:color="0000FF"/>
            </w:tcBorders>
            <w:gridSpan w:val="17"/>
          </w:tcPr>
          <w:p>
            <w:pPr>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(Unaudited)</w:t>
              </w:r>
            </w:hyperlink>
          </w:p>
        </w:tc>
        <w:tc>
          <w:tcPr>
            <w:tcW w:w="60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3"/>
            <w:vMerge w:val="restart"/>
          </w:tcPr>
          <w:p>
            <w:pPr>
              <w:spacing w:after="0" w:line="20" w:lineRule="exact"/>
              <w:rPr>
                <w:sz w:val="1"/>
                <w:szCs w:val="1"/>
                <w:color w:val="auto"/>
              </w:rPr>
            </w:pPr>
          </w:p>
        </w:tc>
        <w:tc>
          <w:tcPr>
            <w:tcW w:w="160" w:type="dxa"/>
            <w:vAlign w:val="bottom"/>
            <w:gridSpan w:val="2"/>
            <w:vMerge w:val="restart"/>
          </w:tcPr>
          <w:p>
            <w:pPr>
              <w:jc w:val="right"/>
              <w:ind w:right="6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8</w:t>
              </w:r>
            </w:hyperlink>
          </w:p>
        </w:tc>
        <w:tc>
          <w:tcPr>
            <w:tcW w:w="0" w:type="dxa"/>
            <w:vAlign w:val="bottom"/>
          </w:tcPr>
          <w:p>
            <w:pPr>
              <w:spacing w:after="0" w:line="20" w:lineRule="exact"/>
              <w:rPr>
                <w:sz w:val="1"/>
                <w:szCs w:val="1"/>
                <w:color w:val="auto"/>
              </w:rPr>
            </w:pPr>
          </w:p>
        </w:tc>
      </w:tr>
      <w:tr>
        <w:trPr>
          <w:trHeight w:val="244"/>
        </w:trPr>
        <w:tc>
          <w:tcPr>
            <w:tcW w:w="1020" w:type="dxa"/>
            <w:vAlign w:val="bottom"/>
          </w:tcPr>
          <w:p>
            <w:pPr>
              <w:spacing w:after="0"/>
              <w:rPr>
                <w:sz w:val="21"/>
                <w:szCs w:val="21"/>
                <w:color w:val="auto"/>
              </w:rPr>
            </w:pPr>
          </w:p>
        </w:tc>
        <w:tc>
          <w:tcPr>
            <w:tcW w:w="8860" w:type="dxa"/>
            <w:vAlign w:val="bottom"/>
            <w:gridSpan w:val="18"/>
          </w:tcPr>
          <w:p>
            <w:pPr>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Consolidated Condensed Statements of Stockholders’ Equity for the Three and Nine Months Ended September</w:t>
              </w:r>
            </w:hyperlink>
          </w:p>
        </w:tc>
        <w:tc>
          <w:tcPr>
            <w:tcW w:w="580" w:type="dxa"/>
            <w:vAlign w:val="bottom"/>
          </w:tcPr>
          <w:p>
            <w:pPr>
              <w:spacing w:after="0"/>
              <w:rPr>
                <w:sz w:val="21"/>
                <w:szCs w:val="21"/>
                <w:color w:val="auto"/>
              </w:rPr>
            </w:pPr>
          </w:p>
        </w:tc>
        <w:tc>
          <w:tcPr>
            <w:tcW w:w="620" w:type="dxa"/>
            <w:vAlign w:val="bottom"/>
            <w:gridSpan w:val="3"/>
            <w:vMerge w:val="continue"/>
          </w:tcPr>
          <w:p>
            <w:pPr>
              <w:spacing w:after="0"/>
              <w:rPr>
                <w:sz w:val="21"/>
                <w:szCs w:val="21"/>
                <w:color w:val="auto"/>
              </w:rPr>
            </w:pP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2500" w:type="dxa"/>
            <w:vAlign w:val="bottom"/>
            <w:tcBorders>
              <w:top w:val="single" w:sz="8" w:color="0000FF"/>
              <w:bottom w:val="single" w:sz="8" w:color="0000FF"/>
            </w:tcBorders>
            <w:gridSpan w:val="9"/>
          </w:tcPr>
          <w:p>
            <w:pPr>
              <w:spacing w:after="0" w:line="202" w:lineRule="exact"/>
              <w:rPr>
                <w:rFonts w:ascii="Arial" w:cs="Arial" w:eastAsia="Arial" w:hAnsi="Arial"/>
                <w:sz w:val="18"/>
                <w:szCs w:val="18"/>
                <w:color w:val="0000FF"/>
                <w:w w:val="99"/>
              </w:rPr>
            </w:pPr>
            <w:hyperlink w:anchor="page9">
              <w:r>
                <w:rPr>
                  <w:rFonts w:ascii="Arial" w:cs="Arial" w:eastAsia="Arial" w:hAnsi="Arial"/>
                  <w:sz w:val="18"/>
                  <w:szCs w:val="18"/>
                  <w:color w:val="0000FF"/>
                  <w:w w:val="99"/>
                </w:rPr>
                <w:t>30, 2021 and 2020 (Unaudited)</w:t>
              </w:r>
            </w:hyperlink>
          </w:p>
        </w:tc>
        <w:tc>
          <w:tcPr>
            <w:tcW w:w="6360" w:type="dxa"/>
            <w:vAlign w:val="bottom"/>
            <w:tcBorders>
              <w:top w:val="single" w:sz="8" w:color="0000FF"/>
            </w:tcBorders>
            <w:gridSpan w:val="9"/>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p>
        </w:tc>
        <w:tc>
          <w:tcPr>
            <w:tcW w:w="9440" w:type="dxa"/>
            <w:vAlign w:val="bottom"/>
            <w:gridSpan w:val="19"/>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Consolidated Condensed Financial Statements (Unaudited)</w:t>
              </w:r>
            </w:hyperlink>
          </w:p>
        </w:tc>
        <w:tc>
          <w:tcPr>
            <w:tcW w:w="780" w:type="dxa"/>
            <w:vAlign w:val="bottom"/>
            <w:gridSpan w:val="5"/>
          </w:tcPr>
          <w:p>
            <w:pPr>
              <w:jc w:val="right"/>
              <w:ind w:right="60"/>
              <w:spacing w:after="0"/>
              <w:rPr>
                <w:rFonts w:ascii="Arial" w:cs="Arial" w:eastAsia="Arial" w:hAnsi="Arial"/>
                <w:sz w:val="18"/>
                <w:szCs w:val="18"/>
                <w:color w:val="0000FF"/>
              </w:rPr>
            </w:pPr>
            <w:hyperlink w:anchor="page10">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9440" w:type="dxa"/>
            <w:vAlign w:val="bottom"/>
            <w:gridSpan w:val="19"/>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Management’s Discussion and Analysis of Financial Condition and Results of Operations</w:t>
              </w:r>
            </w:hyperlink>
          </w:p>
        </w:tc>
        <w:tc>
          <w:tcPr>
            <w:tcW w:w="780" w:type="dxa"/>
            <w:vAlign w:val="bottom"/>
            <w:gridSpan w:val="5"/>
          </w:tcPr>
          <w:p>
            <w:pPr>
              <w:jc w:val="right"/>
              <w:ind w:right="60"/>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3.</w:t>
            </w:r>
          </w:p>
        </w:tc>
        <w:tc>
          <w:tcPr>
            <w:tcW w:w="4700" w:type="dxa"/>
            <w:vAlign w:val="bottom"/>
            <w:gridSpan w:val="11"/>
          </w:tcPr>
          <w:p>
            <w:pPr>
              <w:spacing w:after="0"/>
              <w:rPr>
                <w:rFonts w:ascii="Arial" w:cs="Arial" w:eastAsia="Arial" w:hAnsi="Arial"/>
                <w:sz w:val="18"/>
                <w:szCs w:val="18"/>
                <w:color w:val="0000FF"/>
                <w:w w:val="99"/>
              </w:rPr>
            </w:pPr>
            <w:hyperlink w:anchor="page42">
              <w:r>
                <w:rPr>
                  <w:rFonts w:ascii="Arial" w:cs="Arial" w:eastAsia="Arial" w:hAnsi="Arial"/>
                  <w:sz w:val="18"/>
                  <w:szCs w:val="18"/>
                  <w:color w:val="0000FF"/>
                  <w:w w:val="99"/>
                </w:rPr>
                <w:t>Quantitative and Qualitative Disclosures about Market Risk</w:t>
              </w:r>
            </w:hyperlink>
          </w:p>
        </w:tc>
        <w:tc>
          <w:tcPr>
            <w:tcW w:w="2380" w:type="dxa"/>
            <w:vAlign w:val="bottom"/>
            <w:gridSpan w:val="3"/>
          </w:tcPr>
          <w:p>
            <w:pPr>
              <w:spacing w:after="0"/>
              <w:rPr>
                <w:sz w:val="18"/>
                <w:szCs w:val="18"/>
                <w:color w:val="auto"/>
              </w:rPr>
            </w:pPr>
          </w:p>
        </w:tc>
        <w:tc>
          <w:tcPr>
            <w:tcW w:w="2360" w:type="dxa"/>
            <w:vAlign w:val="bottom"/>
            <w:gridSpan w:val="5"/>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4.</w:t>
            </w:r>
          </w:p>
        </w:tc>
        <w:tc>
          <w:tcPr>
            <w:tcW w:w="2000" w:type="dxa"/>
            <w:vAlign w:val="bottom"/>
            <w:gridSpan w:val="8"/>
          </w:tcPr>
          <w:p>
            <w:pPr>
              <w:spacing w:after="0"/>
              <w:rPr>
                <w:rFonts w:ascii="Arial" w:cs="Arial" w:eastAsia="Arial" w:hAnsi="Arial"/>
                <w:sz w:val="18"/>
                <w:szCs w:val="18"/>
                <w:color w:val="0000FF"/>
                <w:w w:val="99"/>
              </w:rPr>
            </w:pPr>
            <w:hyperlink w:anchor="page42">
              <w:r>
                <w:rPr>
                  <w:rFonts w:ascii="Arial" w:cs="Arial" w:eastAsia="Arial" w:hAnsi="Arial"/>
                  <w:sz w:val="18"/>
                  <w:szCs w:val="18"/>
                  <w:color w:val="0000FF"/>
                  <w:w w:val="99"/>
                </w:rPr>
                <w:t>Controls and Procedures</w:t>
              </w:r>
            </w:hyperlink>
          </w:p>
        </w:tc>
        <w:tc>
          <w:tcPr>
            <w:tcW w:w="2700" w:type="dxa"/>
            <w:vAlign w:val="bottom"/>
            <w:gridSpan w:val="3"/>
          </w:tcPr>
          <w:p>
            <w:pPr>
              <w:spacing w:after="0"/>
              <w:rPr>
                <w:sz w:val="18"/>
                <w:szCs w:val="18"/>
                <w:color w:val="auto"/>
              </w:rPr>
            </w:pPr>
          </w:p>
        </w:tc>
        <w:tc>
          <w:tcPr>
            <w:tcW w:w="4740" w:type="dxa"/>
            <w:vAlign w:val="bottom"/>
            <w:gridSpan w:val="8"/>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40</w:t>
              </w:r>
            </w:hyperlink>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8"/>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Other Information</w:t>
              </w:r>
            </w:hyperlink>
          </w:p>
        </w:tc>
        <w:tc>
          <w:tcPr>
            <w:tcW w:w="7440" w:type="dxa"/>
            <w:vAlign w:val="bottom"/>
            <w:gridSpan w:val="11"/>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rFonts w:ascii="Arial" w:cs="Arial" w:eastAsia="Arial" w:hAnsi="Arial"/>
                <w:sz w:val="18"/>
                <w:szCs w:val="18"/>
                <w:color w:val="0000FF"/>
                <w:w w:val="99"/>
              </w:rPr>
            </w:pPr>
            <w:hyperlink w:anchor="page43">
              <w:r>
                <w:rPr>
                  <w:rFonts w:ascii="Arial" w:cs="Arial" w:eastAsia="Arial" w:hAnsi="Arial"/>
                  <w:sz w:val="18"/>
                  <w:szCs w:val="18"/>
                  <w:color w:val="0000FF"/>
                  <w:w w:val="99"/>
                </w:rPr>
                <w:t>Legal Proceedings</w:t>
              </w:r>
            </w:hyperlink>
          </w:p>
        </w:tc>
        <w:tc>
          <w:tcPr>
            <w:tcW w:w="7940" w:type="dxa"/>
            <w:vAlign w:val="bottom"/>
            <w:gridSpan w:val="13"/>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Risk Factors</w:t>
              </w:r>
            </w:hyperlink>
          </w:p>
        </w:tc>
        <w:tc>
          <w:tcPr>
            <w:tcW w:w="7940" w:type="dxa"/>
            <w:vAlign w:val="bottom"/>
            <w:gridSpan w:val="13"/>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60" w:type="dxa"/>
            <w:vAlign w:val="bottom"/>
            <w:gridSpan w:val="8"/>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4860" w:type="dxa"/>
            <w:vAlign w:val="bottom"/>
            <w:gridSpan w:val="12"/>
          </w:tcPr>
          <w:p>
            <w:pPr>
              <w:spacing w:after="0"/>
              <w:rPr>
                <w:rFonts w:ascii="Arial" w:cs="Arial" w:eastAsia="Arial" w:hAnsi="Arial"/>
                <w:sz w:val="18"/>
                <w:szCs w:val="18"/>
                <w:color w:val="0000FF"/>
                <w:w w:val="99"/>
              </w:rPr>
            </w:pPr>
            <w:hyperlink w:anchor="page43">
              <w:r>
                <w:rPr>
                  <w:rFonts w:ascii="Arial" w:cs="Arial" w:eastAsia="Arial" w:hAnsi="Arial"/>
                  <w:sz w:val="18"/>
                  <w:szCs w:val="18"/>
                  <w:color w:val="0000FF"/>
                  <w:w w:val="99"/>
                </w:rPr>
                <w:t>Unregistered Sales of Equity Securities and Use of Proceeds</w:t>
              </w:r>
            </w:hyperlink>
          </w:p>
        </w:tc>
        <w:tc>
          <w:tcPr>
            <w:tcW w:w="4580" w:type="dxa"/>
            <w:vAlign w:val="bottom"/>
            <w:gridSpan w:val="7"/>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0" w:type="dxa"/>
            <w:vAlign w:val="bottom"/>
            <w:gridSpan w:val="10"/>
            <w:shd w:val="clear" w:color="auto" w:fill="0000FF"/>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rFonts w:ascii="Arial" w:cs="Arial" w:eastAsia="Arial" w:hAnsi="Arial"/>
                <w:sz w:val="18"/>
                <w:szCs w:val="18"/>
                <w:color w:val="0000FF"/>
                <w:w w:val="98"/>
              </w:rPr>
            </w:pPr>
            <w:hyperlink w:anchor="page43">
              <w:r>
                <w:rPr>
                  <w:rFonts w:ascii="Arial" w:cs="Arial" w:eastAsia="Arial" w:hAnsi="Arial"/>
                  <w:sz w:val="18"/>
                  <w:szCs w:val="18"/>
                  <w:color w:val="0000FF"/>
                  <w:w w:val="98"/>
                </w:rPr>
                <w:t>Exhibits</w:t>
              </w:r>
            </w:hyperlink>
          </w:p>
        </w:tc>
        <w:tc>
          <w:tcPr>
            <w:tcW w:w="4220" w:type="dxa"/>
            <w:vAlign w:val="bottom"/>
            <w:gridSpan w:val="11"/>
          </w:tcPr>
          <w:p>
            <w:pPr>
              <w:spacing w:after="0"/>
              <w:rPr>
                <w:sz w:val="18"/>
                <w:szCs w:val="18"/>
                <w:color w:val="auto"/>
              </w:rPr>
            </w:pPr>
          </w:p>
        </w:tc>
        <w:tc>
          <w:tcPr>
            <w:tcW w:w="4580" w:type="dxa"/>
            <w:vAlign w:val="bottom"/>
            <w:gridSpan w:val="7"/>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580" w:type="dxa"/>
            <w:vAlign w:val="bottom"/>
            <w:gridSpan w:val="1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18"/>
                <w:szCs w:val="18"/>
                <w:color w:val="auto"/>
              </w:rPr>
            </w:pPr>
          </w:p>
        </w:tc>
        <w:tc>
          <w:tcPr>
            <w:tcW w:w="9440" w:type="dxa"/>
            <w:vAlign w:val="bottom"/>
            <w:gridSpan w:val="19"/>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Signatures</w:t>
              </w:r>
            </w:hyperlink>
          </w:p>
        </w:tc>
        <w:tc>
          <w:tcPr>
            <w:tcW w:w="780" w:type="dxa"/>
            <w:vAlign w:val="bottom"/>
            <w:gridSpan w:val="5"/>
          </w:tcPr>
          <w:p>
            <w:pPr>
              <w:jc w:val="right"/>
              <w:ind w:right="60"/>
              <w:spacing w:after="0"/>
              <w:rPr>
                <w:rFonts w:ascii="Arial" w:cs="Arial" w:eastAsia="Arial" w:hAnsi="Arial"/>
                <w:sz w:val="18"/>
                <w:szCs w:val="18"/>
                <w:color w:val="0000FF"/>
              </w:rPr>
            </w:pPr>
            <w:hyperlink w:anchor="page43">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1053"/>
        </w:trPr>
        <w:tc>
          <w:tcPr>
            <w:tcW w:w="10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 Additionally, many of these risks and uncertainties are currently amplified by and will continue to be amplified by, or in the future may be amplified by, the Coronavirus (“COVID-19”) pandemic, and the continued restrictions that have been placed on travel in many countries and the resulting adverse impact on the global economy. These factors include, but are not limited to:</w:t>
      </w:r>
    </w:p>
    <w:p>
      <w:pPr>
        <w:spacing w:after="0" w:line="238" w:lineRule="exact"/>
        <w:rPr>
          <w:sz w:val="20"/>
          <w:szCs w:val="20"/>
          <w:color w:val="auto"/>
        </w:rPr>
      </w:pPr>
    </w:p>
    <w:p>
      <w:pPr>
        <w:jc w:val="both"/>
        <w:ind w:left="660" w:hanging="328"/>
        <w:spacing w:after="0" w:line="254"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COVID-19 and its resulting impact on the global economy, which has had, and is expected to continue to have, a significant impact on our operations, including unprecedented volatility in demand levels, as well as its current, and uncertain future impact, including, but not limited to, its effect on the ability or desire of people to travel, including due to travel restrictions, and other restrictions and orders, which may continue to impact our results, operations, outlooks, plans, goals, growth, cash flows, liquidity, and stock price;</w:t>
      </w:r>
    </w:p>
    <w:p>
      <w:pPr>
        <w:spacing w:after="0" w:line="23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high level of competition in the mobility industry, including from new companies or technology, and the impact such competition may have on pricing and rental volume;</w:t>
      </w:r>
    </w:p>
    <w:p>
      <w:pPr>
        <w:spacing w:after="0" w:line="22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our fleet costs, including as a result of a change in the cost of new vehicles, manufacturer recalls, disruption in the supply of new vehicles, shortages in semiconductors used in new vehicle production, and/or a change in the price at which we dispose of used vehicles either in the used vehicle market or under repurchase or guaranteed depreciation programs;</w:t>
      </w:r>
    </w:p>
    <w:p>
      <w:pPr>
        <w:spacing w:after="0" w:line="228"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 particularly as COVID-19 related restrictions are lifted and travel demand increases;</w:t>
      </w:r>
    </w:p>
    <w:p>
      <w:pPr>
        <w:spacing w:after="0" w:line="23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significant volatility in travel demand as a result of COVID-19, including the current and any future disruptions in airline passenger traffic;</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absence of an improvement in, or further deterioration of, economic conditions, particularly during our peak season or in key market segments;</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occurrence or threat of terrorism, the current and any future pandemic diseases, natural disasters, military conflict or civil unrest in the locations in which we operate;</w:t>
      </w:r>
    </w:p>
    <w:p>
      <w:pPr>
        <w:spacing w:after="0" w:line="22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 including the current and any future impacts as a result of COVID-19, inflation or otherwise;</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successfully implement our business strategies, achieve and maintain cost savings and adapt our business to changes in mobility;</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political, economic or commercial instability in the countries in which we operate, and our ability to conform to multiple and conflicting laws or regulations in those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22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228"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 and our ability to obtain insurance at desired levels and the cost of that insurance;</w:t>
      </w:r>
    </w:p>
    <w:p>
      <w:pPr>
        <w:spacing w:after="0" w:line="22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228"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protecting the integrity of, and preventing unauthorized access to, our information technology systems or those of our third-party vendors, licensees, dealers, independent operators and independent contractors, and protecting the confidential information of our employees and customers against security breaches, including physical or cybersecurity breaches, attacks, or other disruptions, and compliance with privacy and data protection regulation;</w:t>
      </w:r>
    </w:p>
    <w:p>
      <w:pPr>
        <w:spacing w:after="0" w:line="230"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third-party vendors, independent operators and independent contractors and/or disputes that may arise out of our agreements with such parties;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5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potential interest rate increases, recent and potential further downgrades by rating agencies and our ability to incur substantially more debt;</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 or to obtain a waiver or amendment of such covenants should we be unable to meet such covenants;</w:t>
      </w:r>
    </w:p>
    <w:p>
      <w:pPr>
        <w:spacing w:after="0" w:line="22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achieve our business plans, deterioration in general economic conditions of the countries in which we operate, or significant changes in the assumptions and estimates that are used in our impairment testing for goodwill or intangible assets, which could result in a significant impairment of our goodwill; and</w:t>
      </w:r>
    </w:p>
    <w:p>
      <w:pPr>
        <w:spacing w:after="0" w:line="228"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in “Management’s Discussion and Analysis of Financial Condition and Results of Operations,” in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Item 2 and “Risk Factors” in Item 1A in this quarterly report and in similarly titled sections set forth in Item 7 and in Item 1A and in other portions of our 2020 Annual Report on Form 10-K filed with the Securities and Exchange Commission on February 17, 2021 (the “2020 Form 10-K”), may cause actual results to differ materially from those projected in any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0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9"/>
              </w:rPr>
              <w:t>Three Months Ended</w:t>
            </w:r>
          </w:p>
        </w:tc>
        <w:tc>
          <w:tcPr>
            <w:tcW w:w="300" w:type="dxa"/>
            <w:vAlign w:val="bottom"/>
          </w:tcPr>
          <w:p>
            <w:pPr>
              <w:spacing w:after="0"/>
              <w:rPr>
                <w:sz w:val="17"/>
                <w:szCs w:val="17"/>
                <w:color w:val="auto"/>
              </w:rPr>
            </w:pPr>
          </w:p>
        </w:tc>
        <w:tc>
          <w:tcPr>
            <w:tcW w:w="25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19"/>
                <w:szCs w:val="19"/>
                <w:color w:val="auto"/>
              </w:rPr>
            </w:pPr>
          </w:p>
        </w:tc>
        <w:tc>
          <w:tcPr>
            <w:tcW w:w="25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w:t>
            </w:r>
          </w:p>
        </w:tc>
        <w:tc>
          <w:tcPr>
            <w:tcW w:w="0" w:type="dxa"/>
            <w:vAlign w:val="bottom"/>
          </w:tcPr>
          <w:p>
            <w:pPr>
              <w:spacing w:after="0"/>
              <w:rPr>
                <w:sz w:val="1"/>
                <w:szCs w:val="1"/>
                <w:color w:val="auto"/>
              </w:rPr>
            </w:pPr>
          </w:p>
        </w:tc>
      </w:tr>
      <w:tr>
        <w:trPr>
          <w:trHeight w:val="358"/>
        </w:trPr>
        <w:tc>
          <w:tcPr>
            <w:tcW w:w="53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Vehicle depreciation and lease charges,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Vehicle interest,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Non-vehicle related depreciation and amortization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Interest expense related to corporate debt, net:</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5340" w:type="dxa"/>
            <w:vAlign w:val="bottom"/>
          </w:tcPr>
          <w:p>
            <w:pPr>
              <w:ind w:left="340"/>
              <w:spacing w:after="0"/>
              <w:rPr>
                <w:sz w:val="20"/>
                <w:szCs w:val="20"/>
                <w:color w:val="auto"/>
              </w:rPr>
            </w:pPr>
            <w:r>
              <w:rPr>
                <w:rFonts w:ascii="Arial" w:cs="Arial" w:eastAsia="Arial" w:hAnsi="Arial"/>
                <w:sz w:val="18"/>
                <w:szCs w:val="18"/>
                <w:color w:val="auto"/>
              </w:rPr>
              <w:t>Early extinguishment of debt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Restructuring and other related charges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Transaction-related costs,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Total expenses</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466"/>
        </w:trPr>
        <w:tc>
          <w:tcPr>
            <w:tcW w:w="534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23"/>
        </w:trPr>
        <w:tc>
          <w:tcPr>
            <w:tcW w:w="5340" w:type="dxa"/>
            <w:vAlign w:val="bottom"/>
          </w:tcPr>
          <w:p>
            <w:pPr>
              <w:ind w:left="120"/>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23"/>
        </w:trPr>
        <w:tc>
          <w:tcPr>
            <w:tcW w:w="5340" w:type="dxa"/>
            <w:vAlign w:val="bottom"/>
          </w:tcPr>
          <w:p>
            <w:pPr>
              <w:ind w:left="120"/>
              <w:spacing w:after="0"/>
              <w:rPr>
                <w:sz w:val="20"/>
                <w:szCs w:val="20"/>
                <w:color w:val="auto"/>
              </w:rPr>
            </w:pPr>
            <w:r>
              <w:rPr>
                <w:rFonts w:ascii="Arial" w:cs="Arial" w:eastAsia="Arial" w:hAnsi="Arial"/>
                <w:sz w:val="18"/>
                <w:szCs w:val="18"/>
                <w:color w:val="auto"/>
              </w:rPr>
              <w:t>Less: net loss attributable to non-controlling interests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b w:val="1"/>
                <w:bCs w:val="1"/>
                <w:color w:val="auto"/>
              </w:rPr>
              <w:t>Net income (loss) attributable to Avis Budget Group, Inc.</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(loss) attributable to Avis Budget</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3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60"/>
              <w:spacing w:after="0"/>
              <w:rPr>
                <w:sz w:val="20"/>
                <w:szCs w:val="20"/>
                <w:color w:val="auto"/>
              </w:rPr>
            </w:pPr>
            <w:r>
              <w:rPr>
                <w:rFonts w:ascii="Arial" w:cs="Arial" w:eastAsia="Arial" w:hAnsi="Arial"/>
                <w:sz w:val="18"/>
                <w:szCs w:val="18"/>
                <w:b w:val="1"/>
                <w:bCs w:val="1"/>
                <w:color w:val="auto"/>
              </w:rPr>
              <w:t>Group, Inc.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358"/>
        </w:trPr>
        <w:tc>
          <w:tcPr>
            <w:tcW w:w="5340" w:type="dxa"/>
            <w:vAlign w:val="bottom"/>
          </w:tcPr>
          <w:p>
            <w:pPr>
              <w:spacing w:after="0"/>
              <w:rPr>
                <w:sz w:val="20"/>
                <w:szCs w:val="20"/>
                <w:color w:val="auto"/>
              </w:rPr>
            </w:pPr>
            <w:r>
              <w:rPr>
                <w:rFonts w:ascii="Arial" w:cs="Arial" w:eastAsia="Arial" w:hAnsi="Arial"/>
                <w:sz w:val="18"/>
                <w:szCs w:val="18"/>
                <w:b w:val="1"/>
                <w:bCs w:val="1"/>
                <w:color w:val="auto"/>
              </w:rPr>
              <w:t>Earnings (loss) per share</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5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5"/>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886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88"/>
        </w:trPr>
        <w:tc>
          <w:tcPr>
            <w:tcW w:w="7760" w:type="dxa"/>
            <w:vAlign w:val="bottom"/>
          </w:tcPr>
          <w:p>
            <w:pPr>
              <w:ind w:left="220"/>
              <w:spacing w:after="0"/>
              <w:rPr>
                <w:sz w:val="20"/>
                <w:szCs w:val="20"/>
                <w:color w:val="auto"/>
              </w:rPr>
            </w:pPr>
            <w:r>
              <w:rPr>
                <w:rFonts w:ascii="Arial" w:cs="Arial" w:eastAsia="Arial" w:hAnsi="Arial"/>
                <w:sz w:val="14"/>
                <w:szCs w:val="14"/>
                <w:color w:val="auto"/>
              </w:rPr>
              <w:t>Other current assets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184"/>
        </w:trPr>
        <w:tc>
          <w:tcPr>
            <w:tcW w:w="7760" w:type="dxa"/>
            <w:vAlign w:val="bottom"/>
          </w:tcPr>
          <w:p>
            <w:pPr>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2,267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1,795</w:t>
            </w:r>
          </w:p>
        </w:tc>
        <w:tc>
          <w:tcPr>
            <w:tcW w:w="0" w:type="dxa"/>
            <w:vAlign w:val="bottom"/>
          </w:tcPr>
          <w:p>
            <w:pPr>
              <w:spacing w:after="0"/>
              <w:rPr>
                <w:sz w:val="1"/>
                <w:szCs w:val="1"/>
                <w:color w:val="auto"/>
              </w:rPr>
            </w:pPr>
          </w:p>
        </w:tc>
      </w:tr>
      <w:tr>
        <w:trPr>
          <w:trHeight w:val="338"/>
        </w:trPr>
        <w:tc>
          <w:tcPr>
            <w:tcW w:w="77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2,309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2,560</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1,198</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1,137</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Other intangibles, net</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188"/>
        </w:trPr>
        <w:tc>
          <w:tcPr>
            <w:tcW w:w="776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color w:val="auto"/>
              </w:rPr>
              <w:t>Total assets exclusive of assets under vehicle programs</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8,588</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8,365</w:t>
            </w:r>
          </w:p>
        </w:tc>
        <w:tc>
          <w:tcPr>
            <w:tcW w:w="0" w:type="dxa"/>
            <w:vAlign w:val="bottom"/>
          </w:tcPr>
          <w:p>
            <w:pPr>
              <w:spacing w:after="0"/>
              <w:rPr>
                <w:sz w:val="1"/>
                <w:szCs w:val="1"/>
                <w:color w:val="auto"/>
              </w:rPr>
            </w:pPr>
          </w:p>
        </w:tc>
      </w:tr>
      <w:tr>
        <w:trPr>
          <w:trHeight w:val="319"/>
        </w:trPr>
        <w:tc>
          <w:tcPr>
            <w:tcW w:w="776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Program cash</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Vehicles, net</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11,925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8,153</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Receivables from vehicle manufacturers and other</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88"/>
        </w:trPr>
        <w:tc>
          <w:tcPr>
            <w:tcW w:w="7760" w:type="dxa"/>
            <w:vAlign w:val="bottom"/>
          </w:tcPr>
          <w:p>
            <w:pPr>
              <w:ind w:left="220"/>
              <w:spacing w:after="0"/>
              <w:rPr>
                <w:sz w:val="20"/>
                <w:szCs w:val="20"/>
                <w:color w:val="auto"/>
              </w:rPr>
            </w:pPr>
            <w:r>
              <w:rPr>
                <w:rFonts w:ascii="Arial" w:cs="Arial" w:eastAsia="Arial" w:hAnsi="Arial"/>
                <w:sz w:val="14"/>
                <w:szCs w:val="14"/>
                <w:color w:val="auto"/>
              </w:rPr>
              <w:t>Investment in Avis Budget Rental Car Funding (AESOP) LLC—related party</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183"/>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13,022</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9,173</w:t>
            </w:r>
          </w:p>
        </w:tc>
        <w:tc>
          <w:tcPr>
            <w:tcW w:w="0" w:type="dxa"/>
            <w:vAlign w:val="bottom"/>
          </w:tcPr>
          <w:p>
            <w:pPr>
              <w:spacing w:after="0"/>
              <w:rPr>
                <w:sz w:val="1"/>
                <w:szCs w:val="1"/>
                <w:color w:val="auto"/>
              </w:rPr>
            </w:pPr>
          </w:p>
        </w:tc>
      </w:tr>
      <w:tr>
        <w:trPr>
          <w:trHeight w:val="183"/>
        </w:trPr>
        <w:tc>
          <w:tcPr>
            <w:tcW w:w="776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21,610</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17,538</w:t>
            </w:r>
          </w:p>
        </w:tc>
        <w:tc>
          <w:tcPr>
            <w:tcW w:w="0" w:type="dxa"/>
            <w:vAlign w:val="bottom"/>
          </w:tcPr>
          <w:p>
            <w:pPr>
              <w:spacing w:after="0"/>
              <w:rPr>
                <w:sz w:val="1"/>
                <w:szCs w:val="1"/>
                <w:color w:val="auto"/>
              </w:rPr>
            </w:pPr>
          </w:p>
        </w:tc>
      </w:tr>
      <w:tr>
        <w:trPr>
          <w:trHeight w:val="21"/>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5"/>
        </w:trPr>
        <w:tc>
          <w:tcPr>
            <w:tcW w:w="7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Accounts payable and other current liabilities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2,480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188"/>
        </w:trPr>
        <w:tc>
          <w:tcPr>
            <w:tcW w:w="7760" w:type="dxa"/>
            <w:vAlign w:val="bottom"/>
          </w:tcPr>
          <w:p>
            <w:pPr>
              <w:ind w:left="220"/>
              <w:spacing w:after="0"/>
              <w:rPr>
                <w:sz w:val="20"/>
                <w:szCs w:val="20"/>
                <w:color w:val="auto"/>
              </w:rPr>
            </w:pPr>
            <w:r>
              <w:rPr>
                <w:rFonts w:ascii="Arial" w:cs="Arial" w:eastAsia="Arial" w:hAnsi="Arial"/>
                <w:sz w:val="14"/>
                <w:szCs w:val="14"/>
                <w:color w:val="auto"/>
              </w:rPr>
              <w:t>Short-term debt and current portion of long-term debt</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4"/>
        </w:trPr>
        <w:tc>
          <w:tcPr>
            <w:tcW w:w="776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2,053</w:t>
            </w:r>
          </w:p>
        </w:tc>
        <w:tc>
          <w:tcPr>
            <w:tcW w:w="0" w:type="dxa"/>
            <w:vAlign w:val="bottom"/>
          </w:tcPr>
          <w:p>
            <w:pPr>
              <w:spacing w:after="0"/>
              <w:rPr>
                <w:sz w:val="1"/>
                <w:szCs w:val="1"/>
                <w:color w:val="auto"/>
              </w:rPr>
            </w:pPr>
          </w:p>
        </w:tc>
      </w:tr>
      <w:tr>
        <w:trPr>
          <w:trHeight w:val="338"/>
        </w:trPr>
        <w:tc>
          <w:tcPr>
            <w:tcW w:w="7760" w:type="dxa"/>
            <w:vAlign w:val="bottom"/>
          </w:tcPr>
          <w:p>
            <w:pPr>
              <w:spacing w:after="0"/>
              <w:rPr>
                <w:sz w:val="20"/>
                <w:szCs w:val="20"/>
                <w:color w:val="auto"/>
              </w:rPr>
            </w:pPr>
            <w:r>
              <w:rPr>
                <w:rFonts w:ascii="Arial" w:cs="Arial" w:eastAsia="Arial" w:hAnsi="Arial"/>
                <w:sz w:val="14"/>
                <w:szCs w:val="14"/>
                <w:color w:val="auto"/>
              </w:rPr>
              <w:t>Long-term debt</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4,009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4,191</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Long-term operating lease liabilities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2,078</w:t>
            </w:r>
          </w:p>
        </w:tc>
        <w:tc>
          <w:tcPr>
            <w:tcW w:w="0" w:type="dxa"/>
            <w:vAlign w:val="bottom"/>
          </w:tcPr>
          <w:p>
            <w:pPr>
              <w:spacing w:after="0"/>
              <w:rPr>
                <w:sz w:val="1"/>
                <w:szCs w:val="1"/>
                <w:color w:val="auto"/>
              </w:rPr>
            </w:pPr>
          </w:p>
        </w:tc>
      </w:tr>
      <w:tr>
        <w:trPr>
          <w:trHeight w:val="188"/>
        </w:trPr>
        <w:tc>
          <w:tcPr>
            <w:tcW w:w="776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 programs</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9,027</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9,053</w:t>
            </w:r>
          </w:p>
        </w:tc>
        <w:tc>
          <w:tcPr>
            <w:tcW w:w="0" w:type="dxa"/>
            <w:vAlign w:val="bottom"/>
          </w:tcPr>
          <w:p>
            <w:pPr>
              <w:spacing w:after="0"/>
              <w:rPr>
                <w:sz w:val="1"/>
                <w:szCs w:val="1"/>
                <w:color w:val="auto"/>
              </w:rPr>
            </w:pPr>
          </w:p>
        </w:tc>
      </w:tr>
      <w:tr>
        <w:trPr>
          <w:trHeight w:val="319"/>
        </w:trPr>
        <w:tc>
          <w:tcPr>
            <w:tcW w:w="776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Debt</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Debt due to Avis Budget Rental Car Funding (AESOP) LLC—related party</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8,117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5,080</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1,383</w:t>
            </w:r>
          </w:p>
        </w:tc>
        <w:tc>
          <w:tcPr>
            <w:tcW w:w="0" w:type="dxa"/>
            <w:vAlign w:val="bottom"/>
          </w:tcPr>
          <w:p>
            <w:pPr>
              <w:spacing w:after="0"/>
              <w:rPr>
                <w:sz w:val="1"/>
                <w:szCs w:val="1"/>
                <w:color w:val="auto"/>
              </w:rPr>
            </w:pPr>
          </w:p>
        </w:tc>
      </w:tr>
      <w:tr>
        <w:trPr>
          <w:trHeight w:val="188"/>
        </w:trPr>
        <w:tc>
          <w:tcPr>
            <w:tcW w:w="7760" w:type="dxa"/>
            <w:vAlign w:val="bottom"/>
          </w:tcPr>
          <w:p>
            <w:pPr>
              <w:ind w:left="2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12,781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8,640</w:t>
            </w:r>
          </w:p>
        </w:tc>
        <w:tc>
          <w:tcPr>
            <w:tcW w:w="0" w:type="dxa"/>
            <w:vAlign w:val="bottom"/>
          </w:tcPr>
          <w:p>
            <w:pPr>
              <w:spacing w:after="0"/>
              <w:rPr>
                <w:sz w:val="1"/>
                <w:szCs w:val="1"/>
                <w:color w:val="auto"/>
              </w:rPr>
            </w:pPr>
          </w:p>
        </w:tc>
      </w:tr>
      <w:tr>
        <w:trPr>
          <w:trHeight w:val="170"/>
        </w:trPr>
        <w:tc>
          <w:tcPr>
            <w:tcW w:w="7760" w:type="dxa"/>
            <w:vAlign w:val="bottom"/>
          </w:tcPr>
          <w:p>
            <w:pPr>
              <w:spacing w:after="0"/>
              <w:rPr>
                <w:sz w:val="20"/>
                <w:szCs w:val="20"/>
                <w:color w:val="auto"/>
              </w:rPr>
            </w:pPr>
            <w:r>
              <w:rPr>
                <w:rFonts w:ascii="Arial" w:cs="Arial" w:eastAsia="Arial" w:hAnsi="Arial"/>
                <w:sz w:val="14"/>
                <w:szCs w:val="14"/>
                <w:color w:val="auto"/>
              </w:rPr>
              <w:t>Commitments and contingencies (Note 13)</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7760" w:type="dxa"/>
            <w:vAlign w:val="bottom"/>
          </w:tcPr>
          <w:p>
            <w:pPr>
              <w:spacing w:after="0"/>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Preferred stock, $0.01 par value—authorized 10 shares; none issued and outstanding, respectively</w:t>
            </w:r>
          </w:p>
        </w:tc>
        <w:tc>
          <w:tcPr>
            <w:tcW w:w="22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Common stock, $0.01 par value—authorized 250 shares; issued 137 shares, respectively</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6,673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6,668</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Accumulated deficit</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(1,470)</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88"/>
        </w:trPr>
        <w:tc>
          <w:tcPr>
            <w:tcW w:w="7760" w:type="dxa"/>
            <w:vAlign w:val="bottom"/>
          </w:tcPr>
          <w:p>
            <w:pPr>
              <w:ind w:left="220"/>
              <w:spacing w:after="0"/>
              <w:rPr>
                <w:sz w:val="20"/>
                <w:szCs w:val="20"/>
                <w:color w:val="auto"/>
              </w:rPr>
            </w:pPr>
            <w:r>
              <w:rPr>
                <w:rFonts w:ascii="Arial" w:cs="Arial" w:eastAsia="Arial" w:hAnsi="Arial"/>
                <w:sz w:val="14"/>
                <w:szCs w:val="14"/>
                <w:color w:val="auto"/>
              </w:rPr>
              <w:t>Treasury stock, at cost— 79 and 67 shares, respectively</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(5,167)</w:t>
            </w:r>
          </w:p>
        </w:tc>
        <w:tc>
          <w:tcPr>
            <w:tcW w:w="0" w:type="dxa"/>
            <w:vAlign w:val="bottom"/>
          </w:tcPr>
          <w:p>
            <w:pPr>
              <w:spacing w:after="0"/>
              <w:rPr>
                <w:sz w:val="1"/>
                <w:szCs w:val="1"/>
                <w:color w:val="auto"/>
              </w:rPr>
            </w:pPr>
          </w:p>
        </w:tc>
      </w:tr>
      <w:tr>
        <w:trPr>
          <w:trHeight w:val="184"/>
        </w:trPr>
        <w:tc>
          <w:tcPr>
            <w:tcW w:w="7760" w:type="dxa"/>
            <w:vAlign w:val="bottom"/>
          </w:tcPr>
          <w:p>
            <w:pPr>
              <w:spacing w:after="0"/>
              <w:rPr>
                <w:sz w:val="20"/>
                <w:szCs w:val="20"/>
                <w:color w:val="auto"/>
              </w:rPr>
            </w:pPr>
            <w:r>
              <w:rPr>
                <w:rFonts w:ascii="Arial" w:cs="Arial" w:eastAsia="Arial" w:hAnsi="Arial"/>
                <w:sz w:val="14"/>
                <w:szCs w:val="14"/>
                <w:color w:val="auto"/>
              </w:rPr>
              <w:t>Stockholders’ equity attributable to Avis Budget Group, Inc.</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88"/>
        </w:trPr>
        <w:tc>
          <w:tcPr>
            <w:tcW w:w="7760" w:type="dxa"/>
            <w:vAlign w:val="bottom"/>
          </w:tcPr>
          <w:p>
            <w:pPr>
              <w:ind w:left="220"/>
              <w:spacing w:after="0"/>
              <w:rPr>
                <w:sz w:val="20"/>
                <w:szCs w:val="20"/>
                <w:color w:val="auto"/>
              </w:rPr>
            </w:pPr>
            <w:r>
              <w:rPr>
                <w:rFonts w:ascii="Arial" w:cs="Arial" w:eastAsia="Arial" w:hAnsi="Arial"/>
                <w:sz w:val="14"/>
                <w:szCs w:val="14"/>
                <w:color w:val="auto"/>
              </w:rPr>
              <w:t>Non-controlling interests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21,610</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17,538</w:t>
            </w:r>
          </w:p>
        </w:tc>
        <w:tc>
          <w:tcPr>
            <w:tcW w:w="0" w:type="dxa"/>
            <w:vAlign w:val="bottom"/>
          </w:tcPr>
          <w:p>
            <w:pPr>
              <w:spacing w:after="0"/>
              <w:rPr>
                <w:sz w:val="1"/>
                <w:szCs w:val="1"/>
                <w:color w:val="auto"/>
              </w:rPr>
            </w:pPr>
          </w:p>
        </w:tc>
      </w:tr>
      <w:tr>
        <w:trPr>
          <w:trHeight w:val="21"/>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400" w:type="dxa"/>
            <w:vAlign w:val="bottom"/>
            <w:tcBorders>
              <w:top w:val="single" w:sz="8" w:color="0000FF"/>
            </w:tcBorders>
          </w:tcPr>
          <w:p>
            <w:pPr>
              <w:spacing w:after="0"/>
              <w:rPr>
                <w:sz w:val="24"/>
                <w:szCs w:val="24"/>
                <w:color w:val="auto"/>
              </w:rPr>
            </w:pPr>
          </w:p>
        </w:tc>
        <w:tc>
          <w:tcPr>
            <w:tcW w:w="6820" w:type="dxa"/>
            <w:vAlign w:val="bottom"/>
          </w:tcPr>
          <w:p>
            <w:pPr>
              <w:ind w:left="3520"/>
              <w:spacing w:after="0"/>
              <w:rPr>
                <w:sz w:val="20"/>
                <w:szCs w:val="20"/>
                <w:color w:val="auto"/>
              </w:rPr>
            </w:pPr>
            <w:r>
              <w:rPr>
                <w:rFonts w:ascii="Arial" w:cs="Arial" w:eastAsia="Arial" w:hAnsi="Arial"/>
                <w:sz w:val="18"/>
                <w:szCs w:val="18"/>
                <w:b w:val="1"/>
                <w:bCs w:val="1"/>
                <w:color w:val="auto"/>
              </w:rPr>
              <w:t>Avis Budget Group,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140" w:type="dxa"/>
            <w:vAlign w:val="bottom"/>
            <w:gridSpan w:val="2"/>
          </w:tcPr>
          <w:p>
            <w:pPr>
              <w:jc w:val="center"/>
              <w:ind w:left="123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8"/>
              </w:rPr>
              <w:t>(In millions)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6820" w:type="dxa"/>
            <w:vAlign w:val="bottom"/>
          </w:tcPr>
          <w:p>
            <w:pPr>
              <w:jc w:val="center"/>
              <w:ind w:left="1490"/>
              <w:spacing w:after="0"/>
              <w:rPr>
                <w:sz w:val="20"/>
                <w:szCs w:val="20"/>
                <w:color w:val="auto"/>
              </w:rPr>
            </w:pPr>
            <w:r>
              <w:rPr>
                <w:rFonts w:ascii="Arial" w:cs="Arial" w:eastAsia="Arial" w:hAnsi="Arial"/>
                <w:sz w:val="18"/>
                <w:szCs w:val="18"/>
                <w:b w:val="1"/>
                <w:bCs w:val="1"/>
                <w:color w:val="auto"/>
                <w:w w:val="99"/>
              </w:rPr>
              <w:t>(Unaudited)</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4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8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82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Vehicle depreciation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Amortization of right-of-use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(Gain) loss on sale of vehicles,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Non-vehicle related 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Amortization of debt financing fees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Early extinguishment of debt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Net change in assets and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340"/>
              <w:spacing w:after="0"/>
              <w:rPr>
                <w:sz w:val="20"/>
                <w:szCs w:val="20"/>
                <w:color w:val="auto"/>
              </w:rPr>
            </w:pPr>
            <w:r>
              <w:rPr>
                <w:rFonts w:ascii="Arial" w:cs="Arial" w:eastAsia="Arial" w:hAnsi="Arial"/>
                <w:sz w:val="18"/>
                <w:szCs w:val="18"/>
                <w:color w:val="auto"/>
              </w:rPr>
              <w:t>Receivables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8220" w:type="dxa"/>
            <w:vAlign w:val="bottom"/>
            <w:gridSpan w:val="2"/>
          </w:tcPr>
          <w:p>
            <w:pPr>
              <w:ind w:left="340"/>
              <w:spacing w:after="0"/>
              <w:rPr>
                <w:sz w:val="20"/>
                <w:szCs w:val="20"/>
                <w:color w:val="auto"/>
              </w:rPr>
            </w:pPr>
            <w:r>
              <w:rPr>
                <w:rFonts w:ascii="Arial" w:cs="Arial" w:eastAsia="Arial" w:hAnsi="Arial"/>
                <w:sz w:val="18"/>
                <w:szCs w:val="18"/>
                <w:color w:val="auto"/>
              </w:rPr>
              <w:t>Income taxes and deferred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9"/>
        </w:trPr>
        <w:tc>
          <w:tcPr>
            <w:tcW w:w="8220" w:type="dxa"/>
            <w:vAlign w:val="bottom"/>
            <w:gridSpan w:val="2"/>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466"/>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Property and equipment additions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Proceeds received on asset sales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Net assets acquired (net of cash acquired)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466"/>
        </w:trPr>
        <w:tc>
          <w:tcPr>
            <w:tcW w:w="822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Investment in vehicles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(4,749)</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Proceeds received on disposition of vehicles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7,386</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Investment in debt securities of Avis Budget Rental Car Funding (AESOP) LLC—related party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Proceeds from debt securities of Avis Budget Rental Car Funding (AESOP) LLC—related party</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8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23"/>
        </w:trPr>
        <w:tc>
          <w:tcPr>
            <w:tcW w:w="8220" w:type="dxa"/>
            <w:vAlign w:val="bottom"/>
            <w:gridSpan w:val="2"/>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400" w:type="dxa"/>
            <w:vAlign w:val="bottom"/>
            <w:tcBorders>
              <w:top w:val="single" w:sz="8" w:color="0000FF"/>
            </w:tcBorders>
          </w:tcPr>
          <w:p>
            <w:pPr>
              <w:spacing w:after="0"/>
              <w:rPr>
                <w:sz w:val="24"/>
                <w:szCs w:val="24"/>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Avis Budget Group,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83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CONSOLIDATED CONDENSED STATEMENTS OF CASH FLOWS (Continued)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8"/>
              </w:rPr>
              <w:t>(In millions)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(Unaudited)</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4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8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82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Proceeds from long-term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Payments on long-term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Repurchases of common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Debt financing fees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Contributions from non-controlling interests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 exclusive of vehicle programs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466"/>
        </w:trPr>
        <w:tc>
          <w:tcPr>
            <w:tcW w:w="822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Proceeds from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12,349</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Payments on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(15,280)</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Debt financing fees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8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23"/>
        </w:trPr>
        <w:tc>
          <w:tcPr>
            <w:tcW w:w="8220" w:type="dxa"/>
            <w:vAlign w:val="bottom"/>
            <w:gridSpan w:val="2"/>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466"/>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Effect of changes in exchange rates on cash and cash equivalents, program and restricted cash</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66"/>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Net increase in cash and cash equivalents, program and restricted cash</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 program and restricted cash,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Condensed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Stockholders’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80" w:type="dxa"/>
            <w:vAlign w:val="bottom"/>
          </w:tcPr>
          <w:p>
            <w:pPr>
              <w:spacing w:after="0"/>
              <w:rPr>
                <w:sz w:val="10"/>
                <w:szCs w:val="10"/>
                <w:color w:val="auto"/>
              </w:rPr>
            </w:pPr>
          </w:p>
        </w:tc>
        <w:tc>
          <w:tcPr>
            <w:tcW w:w="1420" w:type="dxa"/>
            <w:vAlign w:val="bottom"/>
            <w:gridSpan w:val="6"/>
          </w:tcPr>
          <w:p>
            <w:pPr>
              <w:ind w:left="260"/>
              <w:spacing w:after="0" w:line="122" w:lineRule="exact"/>
              <w:rPr>
                <w:sz w:val="20"/>
                <w:szCs w:val="20"/>
                <w:color w:val="auto"/>
              </w:rPr>
            </w:pPr>
            <w:r>
              <w:rPr>
                <w:rFonts w:ascii="Arial" w:cs="Arial" w:eastAsia="Arial" w:hAnsi="Arial"/>
                <w:sz w:val="11"/>
                <w:szCs w:val="11"/>
                <w:b w:val="1"/>
                <w:bCs w:val="1"/>
                <w:color w:val="auto"/>
              </w:rPr>
              <w:t>Common Stock</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96"/>
              </w:rPr>
              <w:t>Additional</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8"/>
              </w:rPr>
              <w:t>Accumulated Other</w:t>
            </w:r>
          </w:p>
        </w:tc>
        <w:tc>
          <w:tcPr>
            <w:tcW w:w="20" w:type="dxa"/>
            <w:vAlign w:val="bottom"/>
          </w:tcPr>
          <w:p>
            <w:pPr>
              <w:spacing w:after="0"/>
              <w:rPr>
                <w:sz w:val="10"/>
                <w:szCs w:val="10"/>
                <w:color w:val="auto"/>
              </w:rPr>
            </w:pPr>
          </w:p>
        </w:tc>
        <w:tc>
          <w:tcPr>
            <w:tcW w:w="1480" w:type="dxa"/>
            <w:vAlign w:val="bottom"/>
            <w:gridSpan w:val="8"/>
          </w:tcPr>
          <w:p>
            <w:pPr>
              <w:ind w:left="300"/>
              <w:spacing w:after="0" w:line="122" w:lineRule="exact"/>
              <w:rPr>
                <w:sz w:val="20"/>
                <w:szCs w:val="20"/>
                <w:color w:val="auto"/>
              </w:rPr>
            </w:pPr>
            <w:r>
              <w:rPr>
                <w:rFonts w:ascii="Arial" w:cs="Arial" w:eastAsia="Arial" w:hAnsi="Arial"/>
                <w:sz w:val="11"/>
                <w:szCs w:val="11"/>
                <w:b w:val="1"/>
                <w:bCs w:val="1"/>
                <w:color w:val="auto"/>
              </w:rPr>
              <w:t>Treasury Stock</w:t>
            </w:r>
          </w:p>
        </w:tc>
        <w:tc>
          <w:tcPr>
            <w:tcW w:w="110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Equity Attributable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54"/>
        </w:trPr>
        <w:tc>
          <w:tcPr>
            <w:tcW w:w="19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3"/>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Paid-in</w:t>
            </w:r>
          </w:p>
        </w:tc>
        <w:tc>
          <w:tcPr>
            <w:tcW w:w="100" w:type="dxa"/>
            <w:vAlign w:val="bottom"/>
          </w:tcPr>
          <w:p>
            <w:pPr>
              <w:spacing w:after="0"/>
              <w:rPr>
                <w:sz w:val="4"/>
                <w:szCs w:val="4"/>
                <w:color w:val="auto"/>
              </w:rPr>
            </w:pPr>
          </w:p>
        </w:tc>
        <w:tc>
          <w:tcPr>
            <w:tcW w:w="940" w:type="dxa"/>
            <w:vAlign w:val="bottom"/>
            <w:gridSpan w:val="3"/>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4"/>
                <w:szCs w:val="4"/>
                <w:color w:val="auto"/>
              </w:rPr>
            </w:pPr>
          </w:p>
        </w:tc>
        <w:tc>
          <w:tcPr>
            <w:tcW w:w="1120" w:type="dxa"/>
            <w:vAlign w:val="bottom"/>
            <w:gridSpan w:val="3"/>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Comprehensive</w:t>
            </w: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1040" w:type="dxa"/>
            <w:vAlign w:val="bottom"/>
            <w:gridSpan w:val="3"/>
            <w:vMerge w:val="restart"/>
          </w:tcPr>
          <w:p>
            <w:pPr>
              <w:jc w:val="center"/>
              <w:ind w:right="160"/>
              <w:spacing w:after="0" w:line="95" w:lineRule="exact"/>
              <w:rPr>
                <w:sz w:val="20"/>
                <w:szCs w:val="20"/>
                <w:color w:val="auto"/>
              </w:rPr>
            </w:pPr>
            <w:r>
              <w:rPr>
                <w:rFonts w:ascii="Arial" w:cs="Arial" w:eastAsia="Arial" w:hAnsi="Arial"/>
                <w:sz w:val="10"/>
                <w:szCs w:val="10"/>
                <w:b w:val="1"/>
                <w:bCs w:val="1"/>
                <w:color w:val="auto"/>
              </w:rPr>
              <w:t>to Avis Budget</w:t>
            </w:r>
          </w:p>
        </w:tc>
        <w:tc>
          <w:tcPr>
            <w:tcW w:w="80" w:type="dxa"/>
            <w:vAlign w:val="bottom"/>
          </w:tcPr>
          <w:p>
            <w:pPr>
              <w:spacing w:after="0"/>
              <w:rPr>
                <w:sz w:val="4"/>
                <w:szCs w:val="4"/>
                <w:color w:val="auto"/>
              </w:rPr>
            </w:pPr>
          </w:p>
        </w:tc>
        <w:tc>
          <w:tcPr>
            <w:tcW w:w="1080" w:type="dxa"/>
            <w:vAlign w:val="bottom"/>
            <w:gridSpan w:val="6"/>
            <w:vMerge w:val="restart"/>
          </w:tcPr>
          <w:p>
            <w:pPr>
              <w:jc w:val="center"/>
              <w:ind w:right="280"/>
              <w:spacing w:after="0" w:line="95" w:lineRule="exact"/>
              <w:rPr>
                <w:sz w:val="20"/>
                <w:szCs w:val="20"/>
                <w:color w:val="auto"/>
              </w:rPr>
            </w:pPr>
            <w:r>
              <w:rPr>
                <w:rFonts w:ascii="Arial" w:cs="Arial" w:eastAsia="Arial" w:hAnsi="Arial"/>
                <w:sz w:val="10"/>
                <w:szCs w:val="10"/>
                <w:b w:val="1"/>
                <w:bCs w:val="1"/>
                <w:color w:val="auto"/>
              </w:rPr>
              <w:t>Non-controlling</w:t>
            </w:r>
          </w:p>
        </w:tc>
        <w:tc>
          <w:tcPr>
            <w:tcW w:w="80" w:type="dxa"/>
            <w:vAlign w:val="bottom"/>
          </w:tcPr>
          <w:p>
            <w:pPr>
              <w:spacing w:after="0"/>
              <w:rPr>
                <w:sz w:val="4"/>
                <w:szCs w:val="4"/>
                <w:color w:val="auto"/>
              </w:rPr>
            </w:pPr>
          </w:p>
        </w:tc>
        <w:tc>
          <w:tcPr>
            <w:tcW w:w="840" w:type="dxa"/>
            <w:vAlign w:val="bottom"/>
            <w:vMerge w:val="restart"/>
          </w:tcPr>
          <w:p>
            <w:pPr>
              <w:jc w:val="center"/>
              <w:ind w:right="26"/>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1980" w:type="dxa"/>
            <w:vAlign w:val="bottom"/>
          </w:tcPr>
          <w:p>
            <w:pPr>
              <w:spacing w:after="0" w:line="20" w:lineRule="exact"/>
              <w:rPr>
                <w:sz w:val="1"/>
                <w:szCs w:val="1"/>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6"/>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8"/>
              </w:rPr>
              <w:t>Capital</w:t>
            </w:r>
          </w:p>
        </w:tc>
        <w:tc>
          <w:tcPr>
            <w:tcW w:w="100" w:type="dxa"/>
            <w:vAlign w:val="bottom"/>
          </w:tcPr>
          <w:p>
            <w:pPr>
              <w:spacing w:after="0"/>
              <w:rPr>
                <w:sz w:val="12"/>
                <w:szCs w:val="12"/>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5"/>
              </w:rPr>
              <w:t>Deficit</w:t>
            </w:r>
          </w:p>
        </w:tc>
        <w:tc>
          <w:tcPr>
            <w:tcW w:w="120" w:type="dxa"/>
            <w:vAlign w:val="bottom"/>
          </w:tcPr>
          <w:p>
            <w:pPr>
              <w:spacing w:after="0"/>
              <w:rPr>
                <w:sz w:val="12"/>
                <w:szCs w:val="12"/>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9"/>
              </w:rPr>
              <w:t>Income (Loss)</w:t>
            </w:r>
          </w:p>
        </w:tc>
        <w:tc>
          <w:tcPr>
            <w:tcW w:w="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Group, Inc.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ind w:right="440"/>
              <w:spacing w:after="0"/>
              <w:rPr>
                <w:sz w:val="20"/>
                <w:szCs w:val="20"/>
                <w:color w:val="auto"/>
              </w:rPr>
            </w:pPr>
            <w:r>
              <w:rPr>
                <w:rFonts w:ascii="Arial" w:cs="Arial" w:eastAsia="Arial" w:hAnsi="Arial"/>
                <w:sz w:val="11"/>
                <w:szCs w:val="11"/>
                <w:b w:val="1"/>
                <w:bCs w:val="1"/>
                <w:color w:val="auto"/>
              </w:rPr>
              <w:t>Interests</w:t>
            </w:r>
          </w:p>
        </w:tc>
        <w:tc>
          <w:tcPr>
            <w:tcW w:w="80" w:type="dxa"/>
            <w:vAlign w:val="bottom"/>
          </w:tcPr>
          <w:p>
            <w:pPr>
              <w:spacing w:after="0"/>
              <w:rPr>
                <w:sz w:val="12"/>
                <w:szCs w:val="12"/>
                <w:color w:val="auto"/>
              </w:rPr>
            </w:pPr>
          </w:p>
        </w:tc>
        <w:tc>
          <w:tcPr>
            <w:tcW w:w="840" w:type="dxa"/>
            <w:vAlign w:val="bottom"/>
          </w:tcPr>
          <w:p>
            <w:pPr>
              <w:jc w:val="center"/>
              <w:ind w:right="4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1"/>
                <w:szCs w:val="11"/>
                <w:b w:val="1"/>
                <w:bCs w:val="1"/>
                <w:color w:val="auto"/>
              </w:rPr>
              <w:t>Balance at June 30, 2021</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980" w:type="dxa"/>
            <w:vAlign w:val="bottom"/>
            <w:vMerge w:val="continue"/>
          </w:tcPr>
          <w:p>
            <w:pPr>
              <w:spacing w:after="0"/>
              <w:rPr>
                <w:sz w:val="11"/>
                <w:szCs w:val="11"/>
                <w:color w:val="auto"/>
              </w:rPr>
            </w:pPr>
          </w:p>
        </w:tc>
        <w:tc>
          <w:tcPr>
            <w:tcW w:w="6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1"/>
                <w:szCs w:val="11"/>
                <w:color w:val="auto"/>
              </w:rPr>
            </w:pPr>
          </w:p>
        </w:tc>
        <w:tc>
          <w:tcPr>
            <w:tcW w:w="10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10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6,646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(1,242)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(161)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(67.1)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gridSpan w:val="2"/>
          </w:tcPr>
          <w:p>
            <w:pPr>
              <w:jc w:val="center"/>
              <w:ind w:right="6"/>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(5,152)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gridSpan w:val="2"/>
          </w:tcPr>
          <w:p>
            <w:pPr>
              <w:ind w:left="20"/>
              <w:spacing w:after="0"/>
              <w:rPr>
                <w:sz w:val="20"/>
                <w:szCs w:val="20"/>
                <w:color w:val="auto"/>
              </w:rPr>
            </w:pPr>
            <w:r>
              <w:rPr>
                <w:rFonts w:ascii="Arial" w:cs="Arial" w:eastAsia="Arial" w:hAnsi="Arial"/>
                <w:sz w:val="11"/>
                <w:szCs w:val="11"/>
                <w:color w:val="auto"/>
              </w:rPr>
              <w:t>$</w:t>
            </w:r>
          </w:p>
        </w:tc>
        <w:tc>
          <w:tcPr>
            <w:tcW w:w="8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92</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92</w:t>
            </w:r>
          </w:p>
        </w:tc>
        <w:tc>
          <w:tcPr>
            <w:tcW w:w="0" w:type="dxa"/>
            <w:vAlign w:val="bottom"/>
          </w:tcPr>
          <w:p>
            <w:pPr>
              <w:spacing w:after="0"/>
              <w:rPr>
                <w:sz w:val="1"/>
                <w:szCs w:val="1"/>
                <w:color w:val="auto"/>
              </w:rPr>
            </w:pPr>
          </w:p>
        </w:tc>
      </w:tr>
      <w:tr>
        <w:trPr>
          <w:trHeight w:val="214"/>
        </w:trPr>
        <w:tc>
          <w:tcPr>
            <w:tcW w:w="198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20"/>
                <w:szCs w:val="20"/>
                <w:color w:val="auto"/>
              </w:rPr>
            </w:pPr>
            <w:r>
              <w:rPr>
                <w:rFonts w:ascii="Arial" w:cs="Arial" w:eastAsia="Arial" w:hAnsi="Arial"/>
                <w:sz w:val="11"/>
                <w:szCs w:val="11"/>
                <w:color w:val="auto"/>
              </w:rPr>
              <w:t>Net income (loss)</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675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675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674</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20"/>
                <w:szCs w:val="20"/>
                <w:color w:val="auto"/>
              </w:rPr>
            </w:pPr>
            <w:r>
              <w:rPr>
                <w:rFonts w:ascii="Arial" w:cs="Arial" w:eastAsia="Arial" w:hAnsi="Arial"/>
                <w:sz w:val="11"/>
                <w:szCs w:val="11"/>
                <w:color w:val="auto"/>
              </w:rPr>
              <w:t>Other comprehensive loss</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22"/>
        </w:trPr>
        <w:tc>
          <w:tcPr>
            <w:tcW w:w="1980" w:type="dxa"/>
            <w:vAlign w:val="bottom"/>
            <w:vMerge w:val="restart"/>
          </w:tcPr>
          <w:p>
            <w:pPr>
              <w:spacing w:after="0"/>
              <w:rPr>
                <w:sz w:val="20"/>
                <w:szCs w:val="20"/>
                <w:color w:val="auto"/>
              </w:rPr>
            </w:pPr>
            <w:r>
              <w:rPr>
                <w:rFonts w:ascii="Arial" w:cs="Arial" w:eastAsia="Arial" w:hAnsi="Arial"/>
                <w:sz w:val="11"/>
                <w:szCs w:val="11"/>
                <w:b w:val="1"/>
                <w:bCs w:val="1"/>
                <w:color w:val="auto"/>
              </w:rPr>
              <w:t>Total comprehensive income (loss)</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198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675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660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659</w:t>
            </w:r>
          </w:p>
        </w:tc>
        <w:tc>
          <w:tcPr>
            <w:tcW w:w="0" w:type="dxa"/>
            <w:vAlign w:val="bottom"/>
          </w:tcPr>
          <w:p>
            <w:pPr>
              <w:spacing w:after="0"/>
              <w:rPr>
                <w:sz w:val="1"/>
                <w:szCs w:val="1"/>
                <w:color w:val="auto"/>
              </w:rPr>
            </w:pPr>
          </w:p>
        </w:tc>
      </w:tr>
      <w:tr>
        <w:trPr>
          <w:trHeight w:val="194"/>
        </w:trPr>
        <w:tc>
          <w:tcPr>
            <w:tcW w:w="1980" w:type="dxa"/>
            <w:vAlign w:val="bottom"/>
          </w:tcPr>
          <w:p>
            <w:pPr>
              <w:spacing w:after="0"/>
              <w:rPr>
                <w:sz w:val="20"/>
                <w:szCs w:val="20"/>
                <w:color w:val="auto"/>
              </w:rPr>
            </w:pPr>
            <w:r>
              <w:rPr>
                <w:rFonts w:ascii="Arial" w:cs="Arial" w:eastAsia="Arial" w:hAnsi="Arial"/>
                <w:sz w:val="11"/>
                <w:szCs w:val="11"/>
                <w:color w:val="auto"/>
              </w:rPr>
              <w:t>Contributions from non-controlling</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980" w:type="dxa"/>
            <w:vAlign w:val="bottom"/>
          </w:tcPr>
          <w:p>
            <w:pPr>
              <w:spacing w:after="0"/>
              <w:rPr>
                <w:sz w:val="20"/>
                <w:szCs w:val="20"/>
                <w:color w:val="auto"/>
              </w:rPr>
            </w:pPr>
            <w:r>
              <w:rPr>
                <w:rFonts w:ascii="Arial" w:cs="Arial" w:eastAsia="Arial" w:hAnsi="Arial"/>
                <w:sz w:val="11"/>
                <w:szCs w:val="11"/>
                <w:color w:val="auto"/>
              </w:rPr>
              <w:t>interests</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20"/>
                <w:szCs w:val="20"/>
                <w:color w:val="auto"/>
              </w:rPr>
            </w:pPr>
            <w:r>
              <w:rPr>
                <w:rFonts w:ascii="Arial" w:cs="Arial" w:eastAsia="Arial" w:hAnsi="Arial"/>
                <w:sz w:val="11"/>
                <w:szCs w:val="11"/>
                <w:color w:val="auto"/>
              </w:rPr>
              <w:t>Repurchase of common stock</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(11.6)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(994)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(994)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(994)</w:t>
            </w:r>
          </w:p>
        </w:tc>
        <w:tc>
          <w:tcPr>
            <w:tcW w:w="0" w:type="dxa"/>
            <w:vAlign w:val="bottom"/>
          </w:tcPr>
          <w:p>
            <w:pPr>
              <w:spacing w:after="0"/>
              <w:rPr>
                <w:sz w:val="1"/>
                <w:szCs w:val="1"/>
                <w:color w:val="auto"/>
              </w:rPr>
            </w:pPr>
          </w:p>
        </w:tc>
      </w:tr>
      <w:tr>
        <w:trPr>
          <w:trHeight w:val="140"/>
        </w:trPr>
        <w:tc>
          <w:tcPr>
            <w:tcW w:w="1980" w:type="dxa"/>
            <w:vAlign w:val="bottom"/>
          </w:tcPr>
          <w:p>
            <w:pPr>
              <w:spacing w:after="0"/>
              <w:rPr>
                <w:sz w:val="20"/>
                <w:szCs w:val="20"/>
                <w:color w:val="auto"/>
              </w:rPr>
            </w:pPr>
            <w:r>
              <w:rPr>
                <w:rFonts w:ascii="Arial" w:cs="Arial" w:eastAsia="Arial" w:hAnsi="Arial"/>
                <w:sz w:val="11"/>
                <w:szCs w:val="11"/>
                <w:color w:val="auto"/>
              </w:rPr>
              <w:t>Net activity related to restricted 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80" w:type="dxa"/>
            <w:vAlign w:val="bottom"/>
          </w:tcPr>
          <w:p>
            <w:pPr>
              <w:spacing w:after="0"/>
              <w:rPr>
                <w:sz w:val="20"/>
                <w:szCs w:val="20"/>
                <w:color w:val="auto"/>
              </w:rPr>
            </w:pPr>
            <w:r>
              <w:rPr>
                <w:rFonts w:ascii="Arial" w:cs="Arial" w:eastAsia="Arial" w:hAnsi="Arial"/>
                <w:sz w:val="11"/>
                <w:szCs w:val="11"/>
                <w:color w:val="auto"/>
              </w:rPr>
              <w:t>units</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80" w:type="dxa"/>
            <w:vAlign w:val="bottom"/>
          </w:tcPr>
          <w:p>
            <w:pPr>
              <w:spacing w:after="0"/>
              <w:rPr>
                <w:sz w:val="20"/>
                <w:szCs w:val="20"/>
                <w:color w:val="auto"/>
              </w:rPr>
            </w:pPr>
            <w:r>
              <w:rPr>
                <w:rFonts w:ascii="Arial" w:cs="Arial" w:eastAsia="Arial" w:hAnsi="Arial"/>
                <w:sz w:val="11"/>
                <w:szCs w:val="11"/>
                <w:b w:val="1"/>
                <w:bCs w:val="1"/>
                <w:color w:val="auto"/>
              </w:rPr>
              <w:t>Balance at September 30, 2021</w:t>
            </w: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3"/>
                <w:szCs w:val="13"/>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6,673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(78.7)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gridSpan w:val="2"/>
          </w:tcPr>
          <w:p>
            <w:pPr>
              <w:jc w:val="center"/>
              <w:ind w:right="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(6,142)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(211)</w:t>
            </w: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(198)</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1"/>
                <w:szCs w:val="11"/>
                <w:b w:val="1"/>
                <w:bCs w:val="1"/>
                <w:color w:val="auto"/>
              </w:rPr>
              <w:t>Balance at June 30, 2020</w:t>
            </w: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1980" w:type="dxa"/>
            <w:vAlign w:val="bottom"/>
            <w:vMerge w:val="continue"/>
          </w:tcPr>
          <w:p>
            <w:pPr>
              <w:spacing w:after="0"/>
              <w:rPr>
                <w:sz w:val="24"/>
                <w:szCs w:val="24"/>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6,670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(1,425)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(223)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(67.4)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gridSpan w:val="2"/>
          </w:tcPr>
          <w:p>
            <w:pPr>
              <w:jc w:val="center"/>
              <w:ind w:right="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(5,176)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(153)</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(153)</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20"/>
                <w:szCs w:val="20"/>
                <w:color w:val="auto"/>
              </w:rPr>
            </w:pPr>
            <w:r>
              <w:rPr>
                <w:rFonts w:ascii="Arial" w:cs="Arial" w:eastAsia="Arial" w:hAnsi="Arial"/>
                <w:sz w:val="11"/>
                <w:szCs w:val="11"/>
                <w:color w:val="auto"/>
              </w:rPr>
              <w:t>Net income</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45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45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22"/>
        </w:trPr>
        <w:tc>
          <w:tcPr>
            <w:tcW w:w="1980" w:type="dxa"/>
            <w:vAlign w:val="bottom"/>
            <w:vMerge w:val="restart"/>
          </w:tcPr>
          <w:p>
            <w:pPr>
              <w:spacing w:after="0"/>
              <w:rPr>
                <w:sz w:val="20"/>
                <w:szCs w:val="20"/>
                <w:color w:val="auto"/>
              </w:rPr>
            </w:pPr>
            <w:r>
              <w:rPr>
                <w:rFonts w:ascii="Arial" w:cs="Arial" w:eastAsia="Arial" w:hAnsi="Arial"/>
                <w:sz w:val="11"/>
                <w:szCs w:val="11"/>
                <w:b w:val="1"/>
                <w:bCs w:val="1"/>
                <w:color w:val="auto"/>
              </w:rPr>
              <w:t>Total comprehensive income</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198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74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tcPr>
          <w:p>
            <w:pPr>
              <w:ind w:left="540"/>
              <w:spacing w:after="0"/>
              <w:rPr>
                <w:sz w:val="20"/>
                <w:szCs w:val="20"/>
                <w:color w:val="auto"/>
              </w:rPr>
            </w:pPr>
            <w:r>
              <w:rPr>
                <w:rFonts w:ascii="Arial" w:cs="Arial" w:eastAsia="Arial" w:hAnsi="Arial"/>
                <w:sz w:val="11"/>
                <w:szCs w:val="11"/>
                <w:color w:val="auto"/>
              </w:rPr>
              <w:t>—  —</w:t>
            </w:r>
          </w:p>
        </w:tc>
        <w:tc>
          <w:tcPr>
            <w:tcW w:w="8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74</w:t>
            </w:r>
          </w:p>
        </w:tc>
        <w:tc>
          <w:tcPr>
            <w:tcW w:w="0" w:type="dxa"/>
            <w:vAlign w:val="bottom"/>
          </w:tcPr>
          <w:p>
            <w:pPr>
              <w:spacing w:after="0"/>
              <w:rPr>
                <w:sz w:val="1"/>
                <w:szCs w:val="1"/>
                <w:color w:val="auto"/>
              </w:rPr>
            </w:pPr>
          </w:p>
        </w:tc>
      </w:tr>
      <w:tr>
        <w:trPr>
          <w:trHeight w:val="194"/>
        </w:trPr>
        <w:tc>
          <w:tcPr>
            <w:tcW w:w="1980" w:type="dxa"/>
            <w:vAlign w:val="bottom"/>
          </w:tcPr>
          <w:p>
            <w:pPr>
              <w:spacing w:after="0"/>
              <w:rPr>
                <w:sz w:val="20"/>
                <w:szCs w:val="20"/>
                <w:color w:val="auto"/>
              </w:rPr>
            </w:pPr>
            <w:r>
              <w:rPr>
                <w:rFonts w:ascii="Arial" w:cs="Arial" w:eastAsia="Arial" w:hAnsi="Arial"/>
                <w:sz w:val="11"/>
                <w:szCs w:val="11"/>
                <w:color w:val="auto"/>
              </w:rPr>
              <w:t>Net activity related to restricted stock</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980" w:type="dxa"/>
            <w:vAlign w:val="bottom"/>
          </w:tcPr>
          <w:p>
            <w:pPr>
              <w:spacing w:after="0"/>
              <w:rPr>
                <w:sz w:val="20"/>
                <w:szCs w:val="20"/>
                <w:color w:val="auto"/>
              </w:rPr>
            </w:pPr>
            <w:r>
              <w:rPr>
                <w:rFonts w:ascii="Arial" w:cs="Arial" w:eastAsia="Arial" w:hAnsi="Arial"/>
                <w:sz w:val="11"/>
                <w:szCs w:val="11"/>
                <w:color w:val="auto"/>
              </w:rPr>
              <w:t>units</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80" w:type="dxa"/>
            <w:vAlign w:val="bottom"/>
          </w:tcPr>
          <w:p>
            <w:pPr>
              <w:spacing w:after="0"/>
              <w:rPr>
                <w:sz w:val="20"/>
                <w:szCs w:val="20"/>
                <w:color w:val="auto"/>
              </w:rPr>
            </w:pPr>
            <w:r>
              <w:rPr>
                <w:rFonts w:ascii="Arial" w:cs="Arial" w:eastAsia="Arial" w:hAnsi="Arial"/>
                <w:sz w:val="11"/>
                <w:szCs w:val="11"/>
                <w:b w:val="1"/>
                <w:bCs w:val="1"/>
                <w:color w:val="auto"/>
              </w:rPr>
              <w:t>Balance at September 30, 2020</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6,672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(1,380)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(194)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(67.4)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gridSpan w:val="2"/>
          </w:tcPr>
          <w:p>
            <w:pPr>
              <w:jc w:val="center"/>
              <w:ind w:right="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(5,175)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(76)</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(76)</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1980" w:type="dxa"/>
            <w:vAlign w:val="bottom"/>
          </w:tcPr>
          <w:p>
            <w:pPr>
              <w:spacing w:after="0"/>
              <w:rPr>
                <w:sz w:val="24"/>
                <w:szCs w:val="24"/>
                <w:color w:val="auto"/>
              </w:rPr>
            </w:pPr>
          </w:p>
        </w:tc>
        <w:tc>
          <w:tcPr>
            <w:tcW w:w="1420" w:type="dxa"/>
            <w:vAlign w:val="bottom"/>
            <w:gridSpan w:val="6"/>
            <w:vMerge w:val="restart"/>
          </w:tcPr>
          <w:p>
            <w:pPr>
              <w:ind w:left="260"/>
              <w:spacing w:after="0"/>
              <w:rPr>
                <w:sz w:val="20"/>
                <w:szCs w:val="20"/>
                <w:color w:val="auto"/>
              </w:rPr>
            </w:pPr>
            <w:r>
              <w:rPr>
                <w:rFonts w:ascii="Arial" w:cs="Arial" w:eastAsia="Arial" w:hAnsi="Arial"/>
                <w:sz w:val="11"/>
                <w:szCs w:val="11"/>
                <w:b w:val="1"/>
                <w:bCs w:val="1"/>
                <w:color w:val="auto"/>
              </w:rPr>
              <w:t>Common Stock</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vMerge w:val="restart"/>
          </w:tcPr>
          <w:p>
            <w:pPr>
              <w:jc w:val="center"/>
              <w:ind w:right="18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vMerge w:val="restart"/>
          </w:tcPr>
          <w:p>
            <w:pPr>
              <w:jc w:val="center"/>
              <w:ind w:right="80"/>
              <w:spacing w:after="0"/>
              <w:rPr>
                <w:sz w:val="20"/>
                <w:szCs w:val="20"/>
                <w:color w:val="auto"/>
              </w:rPr>
            </w:pPr>
            <w:r>
              <w:rPr>
                <w:rFonts w:ascii="Arial" w:cs="Arial" w:eastAsia="Arial" w:hAnsi="Arial"/>
                <w:sz w:val="11"/>
                <w:szCs w:val="11"/>
                <w:b w:val="1"/>
                <w:bCs w:val="1"/>
                <w:color w:val="auto"/>
                <w:w w:val="98"/>
              </w:rPr>
              <w:t>Accumulated Other</w:t>
            </w:r>
          </w:p>
        </w:tc>
        <w:tc>
          <w:tcPr>
            <w:tcW w:w="20" w:type="dxa"/>
            <w:vAlign w:val="bottom"/>
          </w:tcPr>
          <w:p>
            <w:pPr>
              <w:spacing w:after="0"/>
              <w:rPr>
                <w:sz w:val="24"/>
                <w:szCs w:val="24"/>
                <w:color w:val="auto"/>
              </w:rPr>
            </w:pPr>
          </w:p>
        </w:tc>
        <w:tc>
          <w:tcPr>
            <w:tcW w:w="1480" w:type="dxa"/>
            <w:vAlign w:val="bottom"/>
            <w:gridSpan w:val="8"/>
            <w:vMerge w:val="restart"/>
          </w:tcPr>
          <w:p>
            <w:pPr>
              <w:jc w:val="center"/>
              <w:ind w:right="60"/>
              <w:spacing w:after="0"/>
              <w:rPr>
                <w:sz w:val="20"/>
                <w:szCs w:val="20"/>
                <w:color w:val="auto"/>
              </w:rPr>
            </w:pPr>
            <w:r>
              <w:rPr>
                <w:rFonts w:ascii="Arial" w:cs="Arial" w:eastAsia="Arial" w:hAnsi="Arial"/>
                <w:sz w:val="11"/>
                <w:szCs w:val="11"/>
                <w:b w:val="1"/>
                <w:bCs w:val="1"/>
                <w:color w:val="auto"/>
                <w:w w:val="98"/>
              </w:rPr>
              <w:t>Treasury Stock</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8"/>
              </w:rPr>
              <w:t>Stockholders’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142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1480" w:type="dxa"/>
            <w:vAlign w:val="bottom"/>
            <w:gridSpan w:val="8"/>
            <w:vMerge w:val="continue"/>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gridSpan w:val="3"/>
          </w:tcPr>
          <w:p>
            <w:pPr>
              <w:jc w:val="center"/>
              <w:spacing w:after="0" w:line="108" w:lineRule="exact"/>
              <w:rPr>
                <w:sz w:val="20"/>
                <w:szCs w:val="20"/>
                <w:color w:val="auto"/>
              </w:rPr>
            </w:pPr>
            <w:r>
              <w:rPr>
                <w:rFonts w:ascii="Arial" w:cs="Arial" w:eastAsia="Arial" w:hAnsi="Arial"/>
                <w:sz w:val="11"/>
                <w:szCs w:val="11"/>
                <w:b w:val="1"/>
                <w:bCs w:val="1"/>
                <w:color w:val="auto"/>
                <w:w w:val="97"/>
              </w:rPr>
              <w:t>Equity Attributable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9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3"/>
            <w:vMerge w:val="restart"/>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Paid-in</w:t>
            </w:r>
          </w:p>
        </w:tc>
        <w:tc>
          <w:tcPr>
            <w:tcW w:w="100" w:type="dxa"/>
            <w:vAlign w:val="bottom"/>
          </w:tcPr>
          <w:p>
            <w:pPr>
              <w:spacing w:after="0"/>
              <w:rPr>
                <w:sz w:val="4"/>
                <w:szCs w:val="4"/>
                <w:color w:val="auto"/>
              </w:rPr>
            </w:pPr>
          </w:p>
        </w:tc>
        <w:tc>
          <w:tcPr>
            <w:tcW w:w="940" w:type="dxa"/>
            <w:vAlign w:val="bottom"/>
            <w:gridSpan w:val="3"/>
            <w:vMerge w:val="restart"/>
          </w:tcPr>
          <w:p>
            <w:pPr>
              <w:jc w:val="center"/>
              <w:ind w:right="180"/>
              <w:spacing w:after="0" w:line="108" w:lineRule="exact"/>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4"/>
                <w:szCs w:val="4"/>
                <w:color w:val="auto"/>
              </w:rPr>
            </w:pPr>
          </w:p>
        </w:tc>
        <w:tc>
          <w:tcPr>
            <w:tcW w:w="1120" w:type="dxa"/>
            <w:vAlign w:val="bottom"/>
            <w:gridSpan w:val="3"/>
            <w:vMerge w:val="restart"/>
          </w:tcPr>
          <w:p>
            <w:pPr>
              <w:jc w:val="center"/>
              <w:ind w:right="200"/>
              <w:spacing w:after="0" w:line="108" w:lineRule="exact"/>
              <w:rPr>
                <w:sz w:val="20"/>
                <w:szCs w:val="20"/>
                <w:color w:val="auto"/>
              </w:rPr>
            </w:pPr>
            <w:r>
              <w:rPr>
                <w:rFonts w:ascii="Arial" w:cs="Arial" w:eastAsia="Arial" w:hAnsi="Arial"/>
                <w:sz w:val="11"/>
                <w:szCs w:val="11"/>
                <w:b w:val="1"/>
                <w:bCs w:val="1"/>
                <w:color w:val="auto"/>
                <w:w w:val="96"/>
              </w:rPr>
              <w:t>Comprehensive</w:t>
            </w:r>
          </w:p>
        </w:tc>
        <w:tc>
          <w:tcPr>
            <w:tcW w:w="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2"/>
            <w:vMerge w:val="restart"/>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to Avis Budget</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5"/>
            <w:vMerge w:val="restart"/>
          </w:tcPr>
          <w:p>
            <w:pPr>
              <w:ind w:left="40"/>
              <w:spacing w:after="0" w:line="108" w:lineRule="exact"/>
              <w:rPr>
                <w:sz w:val="20"/>
                <w:szCs w:val="20"/>
                <w:color w:val="auto"/>
              </w:rPr>
            </w:pPr>
            <w:r>
              <w:rPr>
                <w:rFonts w:ascii="Arial" w:cs="Arial" w:eastAsia="Arial" w:hAnsi="Arial"/>
                <w:sz w:val="11"/>
                <w:szCs w:val="11"/>
                <w:b w:val="1"/>
                <w:bCs w:val="1"/>
                <w:color w:val="auto"/>
              </w:rPr>
              <w:t>Non-controlling</w:t>
            </w:r>
          </w:p>
        </w:tc>
        <w:tc>
          <w:tcPr>
            <w:tcW w:w="80" w:type="dxa"/>
            <w:vAlign w:val="bottom"/>
          </w:tcPr>
          <w:p>
            <w:pPr>
              <w:spacing w:after="0"/>
              <w:rPr>
                <w:sz w:val="4"/>
                <w:szCs w:val="4"/>
                <w:color w:val="auto"/>
              </w:rPr>
            </w:pPr>
          </w:p>
        </w:tc>
        <w:tc>
          <w:tcPr>
            <w:tcW w:w="840" w:type="dxa"/>
            <w:vAlign w:val="bottom"/>
            <w:vMerge w:val="restart"/>
          </w:tcPr>
          <w:p>
            <w:pPr>
              <w:jc w:val="center"/>
              <w:ind w:right="46"/>
              <w:spacing w:after="0" w:line="108" w:lineRule="exact"/>
              <w:rPr>
                <w:sz w:val="20"/>
                <w:szCs w:val="20"/>
                <w:color w:val="auto"/>
              </w:rPr>
            </w:pPr>
            <w:r>
              <w:rPr>
                <w:rFonts w:ascii="Arial" w:cs="Arial" w:eastAsia="Arial" w:hAnsi="Arial"/>
                <w:sz w:val="11"/>
                <w:szCs w:val="11"/>
                <w:b w:val="1"/>
                <w:bCs w:val="1"/>
                <w:color w:val="auto"/>
                <w:w w:val="96"/>
              </w:rPr>
              <w:t>Stockholders’</w:t>
            </w:r>
          </w:p>
        </w:tc>
        <w:tc>
          <w:tcPr>
            <w:tcW w:w="0" w:type="dxa"/>
            <w:vAlign w:val="bottom"/>
          </w:tcPr>
          <w:p>
            <w:pPr>
              <w:spacing w:after="0"/>
              <w:rPr>
                <w:sz w:val="1"/>
                <w:szCs w:val="1"/>
                <w:color w:val="auto"/>
              </w:rPr>
            </w:pPr>
          </w:p>
        </w:tc>
      </w:tr>
      <w:tr>
        <w:trPr>
          <w:trHeight w:val="34"/>
        </w:trPr>
        <w:tc>
          <w:tcPr>
            <w:tcW w:w="1980" w:type="dxa"/>
            <w:vAlign w:val="bottom"/>
          </w:tcPr>
          <w:p>
            <w:pPr>
              <w:spacing w:after="0"/>
              <w:rPr>
                <w:sz w:val="2"/>
                <w:szCs w:val="2"/>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19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8"/>
              </w:rPr>
              <w:t>Capital</w:t>
            </w:r>
          </w:p>
        </w:tc>
        <w:tc>
          <w:tcPr>
            <w:tcW w:w="100" w:type="dxa"/>
            <w:vAlign w:val="bottom"/>
          </w:tcPr>
          <w:p>
            <w:pPr>
              <w:spacing w:after="0"/>
              <w:rPr>
                <w:sz w:val="12"/>
                <w:szCs w:val="12"/>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6"/>
              </w:rPr>
              <w:t>Income (Loss)</w:t>
            </w:r>
          </w:p>
        </w:tc>
        <w:tc>
          <w:tcPr>
            <w:tcW w:w="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Group, Inc.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ind w:left="120"/>
              <w:spacing w:after="0"/>
              <w:rPr>
                <w:sz w:val="20"/>
                <w:szCs w:val="20"/>
                <w:color w:val="auto"/>
              </w:rPr>
            </w:pPr>
            <w:r>
              <w:rPr>
                <w:rFonts w:ascii="Arial" w:cs="Arial" w:eastAsia="Arial" w:hAnsi="Arial"/>
                <w:sz w:val="11"/>
                <w:szCs w:val="11"/>
                <w:b w:val="1"/>
                <w:bCs w:val="1"/>
                <w:color w:val="auto"/>
              </w:rPr>
              <w:t>Interests</w:t>
            </w:r>
          </w:p>
        </w:tc>
        <w:tc>
          <w:tcPr>
            <w:tcW w:w="80" w:type="dxa"/>
            <w:vAlign w:val="bottom"/>
          </w:tcPr>
          <w:p>
            <w:pPr>
              <w:spacing w:after="0"/>
              <w:rPr>
                <w:sz w:val="12"/>
                <w:szCs w:val="12"/>
                <w:color w:val="auto"/>
              </w:rPr>
            </w:pPr>
          </w:p>
        </w:tc>
        <w:tc>
          <w:tcPr>
            <w:tcW w:w="840" w:type="dxa"/>
            <w:vAlign w:val="bottom"/>
          </w:tcPr>
          <w:p>
            <w:pPr>
              <w:jc w:val="center"/>
              <w:ind w:right="4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1"/>
                <w:szCs w:val="11"/>
                <w:b w:val="1"/>
                <w:bCs w:val="1"/>
                <w:color w:val="auto"/>
              </w:rPr>
              <w:t>Balance at December 31, 2020</w:t>
            </w: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1980" w:type="dxa"/>
            <w:vAlign w:val="bottom"/>
            <w:vMerge w:val="continue"/>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1"/>
                <w:szCs w:val="11"/>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6,668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(1,470)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(187)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1"/>
                <w:szCs w:val="11"/>
                <w:color w:val="auto"/>
              </w:rPr>
              <w:t>(67.3)</w:t>
            </w:r>
          </w:p>
        </w:tc>
        <w:tc>
          <w:tcPr>
            <w:tcW w:w="100" w:type="dxa"/>
            <w:vAlign w:val="bottom"/>
          </w:tcPr>
          <w:p>
            <w:pPr>
              <w:spacing w:after="0"/>
              <w:rPr>
                <w:sz w:val="11"/>
                <w:szCs w:val="11"/>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1"/>
                <w:szCs w:val="11"/>
                <w:color w:val="auto"/>
              </w:rPr>
              <w:t>(5,167)</w:t>
            </w:r>
          </w:p>
        </w:tc>
        <w:tc>
          <w:tcPr>
            <w:tcW w:w="80" w:type="dxa"/>
            <w:vAlign w:val="bottom"/>
          </w:tcPr>
          <w:p>
            <w:pPr>
              <w:spacing w:after="0"/>
              <w:rPr>
                <w:sz w:val="11"/>
                <w:szCs w:val="11"/>
                <w:color w:val="auto"/>
              </w:rPr>
            </w:pP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1"/>
                <w:szCs w:val="11"/>
                <w:color w:val="auto"/>
              </w:rPr>
              <w:t>(155)</w:t>
            </w:r>
          </w:p>
        </w:tc>
        <w:tc>
          <w:tcPr>
            <w:tcW w:w="80" w:type="dxa"/>
            <w:vAlign w:val="bottom"/>
          </w:tcPr>
          <w:p>
            <w:pPr>
              <w:spacing w:after="0"/>
              <w:rPr>
                <w:sz w:val="11"/>
                <w:szCs w:val="11"/>
                <w:color w:val="auto"/>
              </w:rPr>
            </w:pPr>
          </w:p>
        </w:tc>
        <w:tc>
          <w:tcPr>
            <w:tcW w:w="180" w:type="dxa"/>
            <w:vAlign w:val="bottom"/>
            <w:gridSpan w:val="2"/>
          </w:tcPr>
          <w:p>
            <w:pPr>
              <w:ind w:left="100"/>
              <w:spacing w:after="0"/>
              <w:rPr>
                <w:sz w:val="20"/>
                <w:szCs w:val="20"/>
                <w:color w:val="auto"/>
              </w:rPr>
            </w:pPr>
            <w:r>
              <w:rPr>
                <w:rFonts w:ascii="Arial" w:cs="Arial" w:eastAsia="Arial" w:hAnsi="Arial"/>
                <w:sz w:val="11"/>
                <w:szCs w:val="11"/>
                <w:color w:val="auto"/>
                <w:w w:val="97"/>
              </w:rPr>
              <w:t>$</w:t>
            </w:r>
          </w:p>
        </w:tc>
        <w:tc>
          <w:tcPr>
            <w:tcW w:w="90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(155)</w:t>
            </w:r>
          </w:p>
        </w:tc>
        <w:tc>
          <w:tcPr>
            <w:tcW w:w="0" w:type="dxa"/>
            <w:vAlign w:val="bottom"/>
          </w:tcPr>
          <w:p>
            <w:pPr>
              <w:spacing w:after="0"/>
              <w:rPr>
                <w:sz w:val="1"/>
                <w:szCs w:val="1"/>
                <w:color w:val="auto"/>
              </w:rPr>
            </w:pPr>
          </w:p>
        </w:tc>
      </w:tr>
      <w:tr>
        <w:trPr>
          <w:trHeight w:val="270"/>
        </w:trPr>
        <w:tc>
          <w:tcPr>
            <w:tcW w:w="198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20"/>
                <w:szCs w:val="20"/>
                <w:color w:val="auto"/>
              </w:rPr>
            </w:pPr>
            <w:r>
              <w:rPr>
                <w:rFonts w:ascii="Arial" w:cs="Arial" w:eastAsia="Arial" w:hAnsi="Arial"/>
                <w:sz w:val="11"/>
                <w:szCs w:val="11"/>
                <w:color w:val="auto"/>
              </w:rPr>
              <w:t>Net income (loss)</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903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1"/>
                <w:szCs w:val="11"/>
                <w:color w:val="auto"/>
              </w:rPr>
              <w:t>903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902</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2"/>
        </w:trPr>
        <w:tc>
          <w:tcPr>
            <w:tcW w:w="1980" w:type="dxa"/>
            <w:vAlign w:val="bottom"/>
            <w:vMerge w:val="restart"/>
          </w:tcPr>
          <w:p>
            <w:pPr>
              <w:spacing w:after="0"/>
              <w:rPr>
                <w:sz w:val="20"/>
                <w:szCs w:val="20"/>
                <w:color w:val="auto"/>
              </w:rPr>
            </w:pPr>
            <w:r>
              <w:rPr>
                <w:rFonts w:ascii="Arial" w:cs="Arial" w:eastAsia="Arial" w:hAnsi="Arial"/>
                <w:sz w:val="11"/>
                <w:szCs w:val="11"/>
                <w:b w:val="1"/>
                <w:bCs w:val="1"/>
                <w:color w:val="auto"/>
              </w:rPr>
              <w:t>Total comprehensive income (loss)</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98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903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1"/>
                <w:szCs w:val="11"/>
                <w:color w:val="auto"/>
              </w:rPr>
              <w:t>914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913</w:t>
            </w:r>
          </w:p>
        </w:tc>
        <w:tc>
          <w:tcPr>
            <w:tcW w:w="0" w:type="dxa"/>
            <w:vAlign w:val="bottom"/>
          </w:tcPr>
          <w:p>
            <w:pPr>
              <w:spacing w:after="0"/>
              <w:rPr>
                <w:sz w:val="1"/>
                <w:szCs w:val="1"/>
                <w:color w:val="auto"/>
              </w:rPr>
            </w:pPr>
          </w:p>
        </w:tc>
      </w:tr>
      <w:tr>
        <w:trPr>
          <w:trHeight w:val="235"/>
        </w:trPr>
        <w:tc>
          <w:tcPr>
            <w:tcW w:w="1980" w:type="dxa"/>
            <w:vAlign w:val="bottom"/>
          </w:tcPr>
          <w:p>
            <w:pPr>
              <w:spacing w:after="0"/>
              <w:rPr>
                <w:sz w:val="20"/>
                <w:szCs w:val="20"/>
                <w:color w:val="auto"/>
              </w:rPr>
            </w:pPr>
            <w:r>
              <w:rPr>
                <w:rFonts w:ascii="Arial" w:cs="Arial" w:eastAsia="Arial" w:hAnsi="Arial"/>
                <w:sz w:val="11"/>
                <w:szCs w:val="11"/>
                <w:color w:val="auto"/>
              </w:rPr>
              <w:t>Contributions from non-controlling</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1980" w:type="dxa"/>
            <w:vAlign w:val="bottom"/>
          </w:tcPr>
          <w:p>
            <w:pPr>
              <w:spacing w:after="0"/>
              <w:rPr>
                <w:sz w:val="20"/>
                <w:szCs w:val="20"/>
                <w:color w:val="auto"/>
              </w:rPr>
            </w:pPr>
            <w:r>
              <w:rPr>
                <w:rFonts w:ascii="Arial" w:cs="Arial" w:eastAsia="Arial" w:hAnsi="Arial"/>
                <w:sz w:val="11"/>
                <w:szCs w:val="11"/>
                <w:color w:val="auto"/>
              </w:rPr>
              <w:t>interests</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40"/>
        </w:trPr>
        <w:tc>
          <w:tcPr>
            <w:tcW w:w="1980" w:type="dxa"/>
            <w:vAlign w:val="bottom"/>
          </w:tcPr>
          <w:p>
            <w:pPr>
              <w:spacing w:after="0"/>
              <w:rPr>
                <w:sz w:val="20"/>
                <w:szCs w:val="20"/>
                <w:color w:val="auto"/>
              </w:rPr>
            </w:pPr>
            <w:r>
              <w:rPr>
                <w:rFonts w:ascii="Arial" w:cs="Arial" w:eastAsia="Arial" w:hAnsi="Arial"/>
                <w:sz w:val="11"/>
                <w:szCs w:val="11"/>
                <w:color w:val="auto"/>
              </w:rPr>
              <w:t>Net activity related to restricted 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80" w:type="dxa"/>
            <w:vAlign w:val="bottom"/>
          </w:tcPr>
          <w:p>
            <w:pPr>
              <w:spacing w:after="0"/>
              <w:rPr>
                <w:sz w:val="20"/>
                <w:szCs w:val="20"/>
                <w:color w:val="auto"/>
              </w:rPr>
            </w:pPr>
            <w:r>
              <w:rPr>
                <w:rFonts w:ascii="Arial" w:cs="Arial" w:eastAsia="Arial" w:hAnsi="Arial"/>
                <w:sz w:val="11"/>
                <w:szCs w:val="11"/>
                <w:color w:val="auto"/>
              </w:rPr>
              <w:t>units</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0.3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3"/>
          </w:tcPr>
          <w:p>
            <w:pPr>
              <w:jc w:val="right"/>
              <w:ind w:right="20"/>
              <w:spacing w:after="0"/>
              <w:rPr>
                <w:sz w:val="20"/>
                <w:szCs w:val="20"/>
                <w:color w:val="auto"/>
              </w:rPr>
            </w:pPr>
            <w:r>
              <w:rPr>
                <w:rFonts w:ascii="Arial" w:cs="Arial" w:eastAsia="Arial" w:hAnsi="Arial"/>
                <w:sz w:val="11"/>
                <w:szCs w:val="11"/>
                <w:color w:val="auto"/>
              </w:rPr>
              <w:t>(11.7)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1"/>
                <w:szCs w:val="11"/>
                <w:color w:val="auto"/>
              </w:rPr>
              <w:t>(1,004)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1"/>
                <w:szCs w:val="11"/>
                <w:color w:val="auto"/>
              </w:rPr>
              <w:t>(1,004)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(1,004)</w:t>
            </w: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980" w:type="dxa"/>
            <w:vAlign w:val="bottom"/>
          </w:tcPr>
          <w:p>
            <w:pPr>
              <w:spacing w:after="0"/>
              <w:rPr>
                <w:sz w:val="20"/>
                <w:szCs w:val="20"/>
                <w:color w:val="auto"/>
              </w:rPr>
            </w:pPr>
            <w:r>
              <w:rPr>
                <w:rFonts w:ascii="Arial" w:cs="Arial" w:eastAsia="Arial" w:hAnsi="Arial"/>
                <w:sz w:val="11"/>
                <w:szCs w:val="11"/>
                <w:b w:val="1"/>
                <w:bCs w:val="1"/>
                <w:color w:val="auto"/>
              </w:rPr>
              <w:t>Balance at September 30, 2021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6,673</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(567)</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(176)</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(78.7)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(6,142)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(211)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w:t>
            </w:r>
          </w:p>
        </w:tc>
        <w:tc>
          <w:tcPr>
            <w:tcW w:w="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(198)</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1"/>
                <w:szCs w:val="11"/>
                <w:b w:val="1"/>
                <w:bCs w:val="1"/>
                <w:color w:val="auto"/>
              </w:rPr>
              <w:t>Balance at December 31, 2019</w:t>
            </w: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1980" w:type="dxa"/>
            <w:vAlign w:val="bottom"/>
            <w:vMerge w:val="continue"/>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6,741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(785)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(157)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1"/>
                <w:szCs w:val="11"/>
                <w:color w:val="auto"/>
              </w:rPr>
              <w:t>(63.2)</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1"/>
                <w:szCs w:val="11"/>
                <w:color w:val="auto"/>
              </w:rPr>
              <w:t>(5,144)</w:t>
            </w:r>
          </w:p>
        </w:tc>
        <w:tc>
          <w:tcPr>
            <w:tcW w:w="80" w:type="dxa"/>
            <w:vAlign w:val="bottom"/>
          </w:tcPr>
          <w:p>
            <w:pPr>
              <w:spacing w:after="0"/>
              <w:rPr>
                <w:sz w:val="22"/>
                <w:szCs w:val="22"/>
                <w:color w:val="auto"/>
              </w:rPr>
            </w:pP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1"/>
                <w:szCs w:val="11"/>
                <w:color w:val="auto"/>
              </w:rPr>
              <w:t>656</w:t>
            </w:r>
          </w:p>
        </w:tc>
        <w:tc>
          <w:tcPr>
            <w:tcW w:w="80" w:type="dxa"/>
            <w:vAlign w:val="bottom"/>
          </w:tcPr>
          <w:p>
            <w:pPr>
              <w:spacing w:after="0"/>
              <w:rPr>
                <w:sz w:val="22"/>
                <w:szCs w:val="22"/>
                <w:color w:val="auto"/>
              </w:rPr>
            </w:pPr>
          </w:p>
        </w:tc>
        <w:tc>
          <w:tcPr>
            <w:tcW w:w="180" w:type="dxa"/>
            <w:vAlign w:val="bottom"/>
            <w:gridSpan w:val="2"/>
          </w:tcPr>
          <w:p>
            <w:pPr>
              <w:ind w:left="100"/>
              <w:spacing w:after="0"/>
              <w:rPr>
                <w:sz w:val="20"/>
                <w:szCs w:val="20"/>
                <w:color w:val="auto"/>
              </w:rPr>
            </w:pPr>
            <w:r>
              <w:rPr>
                <w:rFonts w:ascii="Arial" w:cs="Arial" w:eastAsia="Arial" w:hAnsi="Arial"/>
                <w:sz w:val="11"/>
                <w:szCs w:val="11"/>
                <w:color w:val="auto"/>
                <w:w w:val="97"/>
              </w:rPr>
              <w:t>$</w:t>
            </w:r>
          </w:p>
        </w:tc>
        <w:tc>
          <w:tcPr>
            <w:tcW w:w="90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656</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1"/>
                <w:szCs w:val="11"/>
                <w:color w:val="auto"/>
              </w:rPr>
              <w:t>Cumulative effect of accounting change</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20"/>
                <w:szCs w:val="20"/>
                <w:color w:val="auto"/>
              </w:rPr>
            </w:pPr>
            <w:r>
              <w:rPr>
                <w:rFonts w:ascii="Arial" w:cs="Arial" w:eastAsia="Arial" w:hAnsi="Arial"/>
                <w:sz w:val="11"/>
                <w:szCs w:val="11"/>
                <w:b w:val="1"/>
                <w:bCs w:val="1"/>
                <w:color w:val="auto"/>
              </w:rPr>
              <w:t>Comprehensive loss: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20"/>
                <w:szCs w:val="20"/>
                <w:color w:val="auto"/>
              </w:rPr>
            </w:pPr>
            <w:r>
              <w:rPr>
                <w:rFonts w:ascii="Arial" w:cs="Arial" w:eastAsia="Arial" w:hAnsi="Arial"/>
                <w:sz w:val="11"/>
                <w:szCs w:val="11"/>
                <w:color w:val="auto"/>
              </w:rPr>
              <w:t>Net loss</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(594)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1"/>
                <w:szCs w:val="11"/>
                <w:color w:val="auto"/>
              </w:rPr>
              <w:t>(594)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(594)</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20"/>
                <w:szCs w:val="20"/>
                <w:color w:val="auto"/>
              </w:rPr>
            </w:pPr>
            <w:r>
              <w:rPr>
                <w:rFonts w:ascii="Arial" w:cs="Arial" w:eastAsia="Arial" w:hAnsi="Arial"/>
                <w:sz w:val="11"/>
                <w:szCs w:val="11"/>
                <w:color w:val="auto"/>
              </w:rPr>
              <w:t>Other comprehensive loss</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1"/>
                <w:szCs w:val="11"/>
                <w:color w:val="auto"/>
              </w:rPr>
              <w:t>(37)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22"/>
        </w:trPr>
        <w:tc>
          <w:tcPr>
            <w:tcW w:w="1980" w:type="dxa"/>
            <w:vAlign w:val="bottom"/>
            <w:vMerge w:val="restart"/>
          </w:tcPr>
          <w:p>
            <w:pPr>
              <w:spacing w:after="0"/>
              <w:rPr>
                <w:sz w:val="20"/>
                <w:szCs w:val="20"/>
                <w:color w:val="auto"/>
              </w:rPr>
            </w:pPr>
            <w:r>
              <w:rPr>
                <w:rFonts w:ascii="Arial" w:cs="Arial" w:eastAsia="Arial" w:hAnsi="Arial"/>
                <w:sz w:val="11"/>
                <w:szCs w:val="11"/>
                <w:b w:val="1"/>
                <w:bCs w:val="1"/>
                <w:color w:val="auto"/>
              </w:rPr>
              <w:t>Total comprehensive loss</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198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(594)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1"/>
                <w:szCs w:val="11"/>
                <w:color w:val="auto"/>
              </w:rPr>
              <w:t>(631)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(631)</w:t>
            </w: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0"/>
                <w:szCs w:val="20"/>
                <w:color w:val="auto"/>
              </w:rPr>
            </w:pPr>
            <w:r>
              <w:rPr>
                <w:rFonts w:ascii="Arial" w:cs="Arial" w:eastAsia="Arial" w:hAnsi="Arial"/>
                <w:sz w:val="11"/>
                <w:szCs w:val="11"/>
                <w:color w:val="auto"/>
              </w:rPr>
              <w:t>Non-controlling interests</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2"/>
                <w:szCs w:val="22"/>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2"/>
                <w:szCs w:val="22"/>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0"/>
        </w:trPr>
        <w:tc>
          <w:tcPr>
            <w:tcW w:w="1980" w:type="dxa"/>
            <w:vAlign w:val="bottom"/>
          </w:tcPr>
          <w:p>
            <w:pPr>
              <w:spacing w:after="0"/>
              <w:rPr>
                <w:sz w:val="20"/>
                <w:szCs w:val="20"/>
                <w:color w:val="auto"/>
              </w:rPr>
            </w:pPr>
            <w:r>
              <w:rPr>
                <w:rFonts w:ascii="Arial" w:cs="Arial" w:eastAsia="Arial" w:hAnsi="Arial"/>
                <w:sz w:val="11"/>
                <w:szCs w:val="11"/>
                <w:color w:val="auto"/>
              </w:rPr>
              <w:t>Net activity related to restricted 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80" w:type="dxa"/>
            <w:vAlign w:val="bottom"/>
          </w:tcPr>
          <w:p>
            <w:pPr>
              <w:spacing w:after="0"/>
              <w:rPr>
                <w:sz w:val="20"/>
                <w:szCs w:val="20"/>
                <w:color w:val="auto"/>
              </w:rPr>
            </w:pPr>
            <w:r>
              <w:rPr>
                <w:rFonts w:ascii="Arial" w:cs="Arial" w:eastAsia="Arial" w:hAnsi="Arial"/>
                <w:sz w:val="11"/>
                <w:szCs w:val="11"/>
                <w:color w:val="auto"/>
              </w:rPr>
              <w:t>units</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0.4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20"/>
                <w:szCs w:val="20"/>
                <w:color w:val="auto"/>
              </w:rPr>
            </w:pPr>
            <w:r>
              <w:rPr>
                <w:rFonts w:ascii="Arial" w:cs="Arial" w:eastAsia="Arial" w:hAnsi="Arial"/>
                <w:sz w:val="11"/>
                <w:szCs w:val="11"/>
                <w:color w:val="auto"/>
              </w:rPr>
              <w:t>Issuance of common stock</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0.4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3"/>
          </w:tcPr>
          <w:p>
            <w:pPr>
              <w:jc w:val="right"/>
              <w:ind w:right="20"/>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1"/>
                <w:szCs w:val="11"/>
                <w:color w:val="auto"/>
              </w:rPr>
              <w:t>(113)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1"/>
                <w:szCs w:val="11"/>
                <w:color w:val="auto"/>
              </w:rPr>
              <w:t>(113)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(113)</w:t>
            </w: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980" w:type="dxa"/>
            <w:vAlign w:val="bottom"/>
          </w:tcPr>
          <w:p>
            <w:pPr>
              <w:spacing w:after="0"/>
              <w:rPr>
                <w:sz w:val="20"/>
                <w:szCs w:val="20"/>
                <w:color w:val="auto"/>
              </w:rPr>
            </w:pPr>
            <w:r>
              <w:rPr>
                <w:rFonts w:ascii="Arial" w:cs="Arial" w:eastAsia="Arial" w:hAnsi="Arial"/>
                <w:sz w:val="11"/>
                <w:szCs w:val="11"/>
                <w:b w:val="1"/>
                <w:bCs w:val="1"/>
                <w:color w:val="auto"/>
              </w:rPr>
              <w:t>Balance at September 30, 2020</w:t>
            </w:r>
          </w:p>
        </w:tc>
        <w:tc>
          <w:tcPr>
            <w:tcW w:w="620" w:type="dxa"/>
            <w:vAlign w:val="bottom"/>
          </w:tcPr>
          <w:p>
            <w:pPr>
              <w:jc w:val="right"/>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6,672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(1,380)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(194)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1"/>
                <w:szCs w:val="11"/>
                <w:color w:val="auto"/>
              </w:rPr>
              <w:t>(67.4)</w:t>
            </w:r>
          </w:p>
        </w:tc>
        <w:tc>
          <w:tcPr>
            <w:tcW w:w="10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1"/>
                <w:szCs w:val="11"/>
                <w:color w:val="auto"/>
              </w:rPr>
              <w:t>(5,175)</w:t>
            </w:r>
          </w:p>
        </w:tc>
        <w:tc>
          <w:tcPr>
            <w:tcW w:w="80" w:type="dxa"/>
            <w:vAlign w:val="bottom"/>
          </w:tcPr>
          <w:p>
            <w:pPr>
              <w:spacing w:after="0"/>
              <w:rPr>
                <w:sz w:val="13"/>
                <w:szCs w:val="13"/>
                <w:color w:val="auto"/>
              </w:rPr>
            </w:pP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1"/>
                <w:szCs w:val="11"/>
                <w:color w:val="auto"/>
              </w:rPr>
              <w:t>(76)</w:t>
            </w:r>
          </w:p>
        </w:tc>
        <w:tc>
          <w:tcPr>
            <w:tcW w:w="80" w:type="dxa"/>
            <w:vAlign w:val="bottom"/>
          </w:tcPr>
          <w:p>
            <w:pPr>
              <w:spacing w:after="0"/>
              <w:rPr>
                <w:sz w:val="13"/>
                <w:szCs w:val="13"/>
                <w:color w:val="auto"/>
              </w:rPr>
            </w:pPr>
          </w:p>
        </w:tc>
        <w:tc>
          <w:tcPr>
            <w:tcW w:w="180" w:type="dxa"/>
            <w:vAlign w:val="bottom"/>
            <w:gridSpan w:val="2"/>
          </w:tcPr>
          <w:p>
            <w:pPr>
              <w:ind w:left="100"/>
              <w:spacing w:after="0"/>
              <w:rPr>
                <w:sz w:val="20"/>
                <w:szCs w:val="20"/>
                <w:color w:val="auto"/>
              </w:rPr>
            </w:pPr>
            <w:r>
              <w:rPr>
                <w:rFonts w:ascii="Arial" w:cs="Arial" w:eastAsia="Arial" w:hAnsi="Arial"/>
                <w:sz w:val="11"/>
                <w:szCs w:val="11"/>
                <w:color w:val="auto"/>
                <w:w w:val="97"/>
              </w:rPr>
              <w:t>$</w:t>
            </w:r>
          </w:p>
        </w:tc>
        <w:tc>
          <w:tcPr>
            <w:tcW w:w="90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(76)</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30"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74"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Avis Budget Group, Inc. provides mobility solutions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the “Company”), and have been prepared pursuant to the rules and regulations of the U.S. Securities and Exchange Commission for interim financial reporting.</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operates the following reportable business segments:</w:t>
      </w:r>
    </w:p>
    <w:p>
      <w:pPr>
        <w:spacing w:after="0" w:line="230" w:lineRule="exact"/>
        <w:rPr>
          <w:sz w:val="20"/>
          <w:szCs w:val="20"/>
          <w:color w:val="auto"/>
        </w:rPr>
      </w:pPr>
    </w:p>
    <w:p>
      <w:pPr>
        <w:jc w:val="both"/>
        <w:ind w:left="1300" w:hanging="482"/>
        <w:spacing w:after="0" w:line="268"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the Company does not operate directly.</w:t>
      </w:r>
    </w:p>
    <w:p>
      <w:pPr>
        <w:spacing w:after="0" w:line="62" w:lineRule="exact"/>
        <w:rPr>
          <w:rFonts w:ascii="Arial" w:cs="Arial" w:eastAsia="Arial" w:hAnsi="Arial"/>
          <w:sz w:val="18"/>
          <w:szCs w:val="18"/>
          <w:color w:val="auto"/>
        </w:rPr>
      </w:pPr>
    </w:p>
    <w:p>
      <w:pPr>
        <w:jc w:val="both"/>
        <w:ind w:left="1300" w:hanging="482"/>
        <w:spacing w:after="0" w:line="268"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—consisting primarily of (i) vehicle rental operations in Europe, the Middle East, Africa, Asia and Australasia,</w:t>
      </w:r>
      <w:r>
        <w:rPr>
          <w:rFonts w:ascii="Arial" w:cs="Arial" w:eastAsia="Arial" w:hAnsi="Arial"/>
          <w:sz w:val="18"/>
          <w:szCs w:val="18"/>
          <w:b w:val="1"/>
          <w:bCs w:val="1"/>
          <w:color w:val="auto"/>
        </w:rPr>
        <w:t xml:space="preserve"> </w:t>
      </w:r>
      <w:r>
        <w:rPr>
          <w:rFonts w:ascii="Arial" w:cs="Arial" w:eastAsia="Arial" w:hAnsi="Arial"/>
          <w:sz w:val="18"/>
          <w:szCs w:val="18"/>
          <w:color w:val="auto"/>
        </w:rPr>
        <w:t>(ii) car sharing operations in certain of these markets, and (iii) licensees in the areas in which the Company does not operate directly.</w:t>
      </w:r>
    </w:p>
    <w:p>
      <w:pPr>
        <w:spacing w:after="0" w:line="206" w:lineRule="exact"/>
        <w:rPr>
          <w:sz w:val="20"/>
          <w:szCs w:val="20"/>
          <w:color w:val="auto"/>
        </w:rPr>
      </w:pPr>
    </w:p>
    <w:p>
      <w:pPr>
        <w:jc w:val="both"/>
        <w:ind w:left="500"/>
        <w:spacing w:after="0" w:line="225" w:lineRule="auto"/>
        <w:rPr>
          <w:sz w:val="20"/>
          <w:szCs w:val="20"/>
          <w:color w:val="auto"/>
        </w:rPr>
      </w:pPr>
      <w:r>
        <w:rPr>
          <w:rFonts w:ascii="Arial" w:cs="Arial" w:eastAsia="Arial" w:hAnsi="Arial"/>
          <w:sz w:val="18"/>
          <w:szCs w:val="18"/>
          <w:color w:val="auto"/>
        </w:rPr>
        <w:t>The operating results of acquired businesses are included in the accompanying Consolidated Condensed Financial Statements from the dates of acquisition. Differences between the preliminary allocation of purchase price and the final allocation for the Company’s 2020 acquisitions of various licensees were not material. The Company consolidates joint venture activities within its Consolidated Condensed Financial Statements and records related non-controlling interests within stockholders’ equity and the statement of comprehensive income.</w:t>
      </w:r>
    </w:p>
    <w:p>
      <w:pPr>
        <w:spacing w:after="0" w:line="231"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the Company’s 2020 Form 10-K.</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Liquidity and Management’s Plans</w:t>
      </w:r>
    </w:p>
    <w:p>
      <w:pPr>
        <w:spacing w:after="0" w:line="328"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The COVID-19 pandemic, which rapidly spread across the globe in 2020, resulted in an economic slowdown and significant disruptions in travel that had a negative impact on our business, specifically a significant decline in vehicle rental volumes. During the first nine months of 2021, global travel restrictions were eased, leading to an increase in travel demand and an improvement in general economic conditions. The Company believes the full extent of the ongoing impact of this virus on its long-term operational performance and liquidity will depend on future developments, including those outside of its control, such as the spread of new variants of the virus which may be resistant to currently approved vaccines and the implementation of new or continued travel restrictions.</w:t>
      </w:r>
    </w:p>
    <w:p>
      <w:pPr>
        <w:spacing w:after="0" w:line="235"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In April 2020, the Company entered into an amendment (the “Amendment”) to its senior credit facilities, consisting of an approximately $1.2 billion term loan maturing in 2027 and a $1.8 billion revolving credit facility maturing in 2023, which remained in place after the Amendment. The Amendment provided for relief from a quarterly-tested leverage covenant contained in the credit agreement governing the senior credit facilities until June 30, 2021, during which time additional restrictions and requirements were also imposed. The Company subsequently further amended the credit agreement in February 2021 to permit refinancing of certain existing indebtedness and in July 2021 to remove the restrictions imposed in April 2020, increase the revolving credit facility to $1.95 billion and extend the maturity of the facility to 2026. As a result, the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Company has no meaningful corporate debt maturities until 2024.</w:t>
      </w:r>
    </w:p>
    <w:p>
      <w:pPr>
        <w:spacing w:after="0" w:line="252"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The Company cannot assure its assumptions used to estimate its liquidity requirements will be correct because it has never previously experienced such volatility in demand, and as a consequence, its ability to be predictive is uncertain. The Company plans to finance routine Asset Backed Securities (“ABS”) maturities with program cash on hand, available revolving debt capacity, new term note issuances and vehicle sales. As a result, based on current operational assumptions, the Company believes it has adequate liquidity beyond the next twelve months.</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74" w:lineRule="exact"/>
        <w:rPr>
          <w:sz w:val="20"/>
          <w:szCs w:val="20"/>
          <w:color w:val="auto"/>
        </w:rPr>
      </w:pPr>
    </w:p>
    <w:p>
      <w:pPr>
        <w:jc w:val="both"/>
        <w:ind w:left="500" w:right="20"/>
        <w:spacing w:after="0" w:line="261" w:lineRule="auto"/>
        <w:rPr>
          <w:sz w:val="20"/>
          <w:szCs w:val="20"/>
          <w:color w:val="auto"/>
        </w:rPr>
      </w:pPr>
      <w:r>
        <w:rPr>
          <w:rFonts w:ascii="Arial" w:cs="Arial" w:eastAsia="Arial" w:hAnsi="Arial"/>
          <w:sz w:val="18"/>
          <w:szCs w:val="18"/>
          <w:color w:val="auto"/>
        </w:rPr>
        <w:t>The Company’s significant accounting policies are fully described in Note 2, “Summary of Significant Accounting Policies,” in its 2020 Form 10-K.</w:t>
      </w:r>
    </w:p>
    <w:p>
      <w:pPr>
        <w:spacing w:after="0" w:line="207" w:lineRule="exact"/>
        <w:rPr>
          <w:sz w:val="20"/>
          <w:szCs w:val="20"/>
          <w:color w:val="auto"/>
        </w:rPr>
      </w:pPr>
    </w:p>
    <w:p>
      <w:pPr>
        <w:jc w:val="both"/>
        <w:ind w:left="500"/>
        <w:spacing w:after="0" w:line="266" w:lineRule="auto"/>
        <w:rPr>
          <w:sz w:val="20"/>
          <w:szCs w:val="20"/>
          <w:color w:val="auto"/>
        </w:rPr>
      </w:pPr>
      <w:r>
        <w:rPr>
          <w:rFonts w:ascii="Arial" w:cs="Arial" w:eastAsia="Arial" w:hAnsi="Arial"/>
          <w:sz w:val="18"/>
          <w:szCs w:val="18"/>
          <w:i w:val="1"/>
          <w:iCs w:val="1"/>
          <w:color w:val="auto"/>
        </w:rPr>
        <w:t xml:space="preserve">Cash and cash equivalents, Program cash and Restricted cash. </w:t>
      </w:r>
      <w:r>
        <w:rPr>
          <w:rFonts w:ascii="Arial" w:cs="Arial" w:eastAsia="Arial" w:hAnsi="Arial"/>
          <w:sz w:val="18"/>
          <w:szCs w:val="18"/>
          <w:color w:val="auto"/>
        </w:rPr>
        <w:t>The following table provides a detail of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and restricted cash reported within the Consolidated Condensed Balance Sheets to the amounts shown in the Consolidated Condensed Statements of Cash Flows.</w:t>
      </w:r>
    </w:p>
    <w:p>
      <w:pPr>
        <w:spacing w:after="0" w:line="239"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7120" w:type="dxa"/>
            <w:vAlign w:val="bottom"/>
          </w:tcPr>
          <w:p>
            <w:pPr>
              <w:spacing w:after="0"/>
              <w:rPr>
                <w:sz w:val="20"/>
                <w:szCs w:val="20"/>
                <w:color w:val="auto"/>
              </w:rPr>
            </w:pPr>
          </w:p>
        </w:tc>
        <w:tc>
          <w:tcPr>
            <w:tcW w:w="2960" w:type="dxa"/>
            <w:vAlign w:val="bottom"/>
            <w:tcBorders>
              <w:bottom w:val="single" w:sz="8" w:color="auto"/>
            </w:tcBorders>
            <w:gridSpan w:val="5"/>
          </w:tcPr>
          <w:p>
            <w:pPr>
              <w:jc w:val="right"/>
              <w:ind w:right="530"/>
              <w:spacing w:after="0"/>
              <w:rPr>
                <w:sz w:val="20"/>
                <w:szCs w:val="20"/>
                <w:color w:val="auto"/>
              </w:rPr>
            </w:pPr>
            <w:r>
              <w:rPr>
                <w:rFonts w:ascii="Arial" w:cs="Arial" w:eastAsia="Arial" w:hAnsi="Arial"/>
                <w:sz w:val="18"/>
                <w:szCs w:val="18"/>
                <w:b w:val="1"/>
                <w:bCs w:val="1"/>
                <w:color w:val="auto"/>
              </w:rPr>
              <w:t>As of September 30,</w:t>
            </w:r>
          </w:p>
        </w:tc>
      </w:tr>
      <w:tr>
        <w:trPr>
          <w:trHeight w:val="223"/>
        </w:trPr>
        <w:tc>
          <w:tcPr>
            <w:tcW w:w="71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1,564</w:t>
            </w: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Program cash</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9"/>
                <w:szCs w:val="9"/>
                <w:color w:val="auto"/>
              </w:rPr>
              <w:t>(a)</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Total cash and cash equivalents, program and restricted cash</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w:t>
            </w:r>
          </w:p>
        </w:tc>
      </w:tr>
      <w:tr>
        <w:trPr>
          <w:trHeight w:val="20"/>
        </w:trPr>
        <w:tc>
          <w:tcPr>
            <w:tcW w:w="7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w:t>
      </w:r>
    </w:p>
    <w:p>
      <w:pPr>
        <w:ind w:left="820" w:hanging="326"/>
        <w:spacing w:after="0" w:line="198" w:lineRule="auto"/>
        <w:tabs>
          <w:tab w:leader="none" w:pos="8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Included within other current assets.</w:t>
      </w:r>
    </w:p>
    <w:p>
      <w:pPr>
        <w:spacing w:after="0" w:line="210"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The Company presents separately the financial data of its vehicle programs. These programs are distinct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214" w:lineRule="exact"/>
        <w:rPr>
          <w:sz w:val="20"/>
          <w:szCs w:val="20"/>
          <w:color w:val="auto"/>
        </w:rPr>
      </w:pPr>
    </w:p>
    <w:p>
      <w:pPr>
        <w:jc w:val="both"/>
        <w:ind w:left="500"/>
        <w:spacing w:after="0" w:line="258"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related to acquisition-related activities such as due diligence and other advisory costs, expenses related to the integration of the acquiree’s operations with those of the Company, including the implementation of best practices and process improvements, non-cash gains and losses related to re-acquired rights, expenses related to pre-acquisition contingencies and contingent consideration related to acquisitions.</w:t>
      </w:r>
    </w:p>
    <w:p>
      <w:pPr>
        <w:spacing w:after="0" w:line="210" w:lineRule="exact"/>
        <w:rPr>
          <w:sz w:val="20"/>
          <w:szCs w:val="20"/>
          <w:color w:val="auto"/>
        </w:rPr>
      </w:pPr>
    </w:p>
    <w:p>
      <w:pPr>
        <w:jc w:val="both"/>
        <w:ind w:left="500"/>
        <w:spacing w:after="0" w:line="258"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The Company records the gain or loss on foreign-currency transactions on certain intercompany loans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gain or loss on intercompany loan hedges within interest expense related to corporate debt, net. During the three months ended September 30, 2021 and 2020, the Company recorded an immaterial amount in each period, related to such items. During the nine months ended September 30, 2021 and 2020, the Company recorded an immaterial amount and a loss of $5 million, respectively, related to such items.</w:t>
      </w:r>
    </w:p>
    <w:p>
      <w:pPr>
        <w:spacing w:after="0" w:line="210" w:lineRule="exact"/>
        <w:rPr>
          <w:sz w:val="20"/>
          <w:szCs w:val="20"/>
          <w:color w:val="auto"/>
        </w:rPr>
      </w:pPr>
    </w:p>
    <w:p>
      <w:pPr>
        <w:jc w:val="both"/>
        <w:ind w:left="500"/>
        <w:spacing w:after="0" w:line="258"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In May 2021, the Company completed the sale of its operation in Argentina to Urbiz S.A. for $4 million. As part of the sale,</w:t>
      </w:r>
      <w:r>
        <w:rPr>
          <w:rFonts w:ascii="Arial" w:cs="Arial" w:eastAsia="Arial" w:hAnsi="Arial"/>
          <w:sz w:val="18"/>
          <w:szCs w:val="18"/>
          <w:i w:val="1"/>
          <w:iCs w:val="1"/>
          <w:color w:val="auto"/>
        </w:rPr>
        <w:t xml:space="preserve"> </w:t>
      </w:r>
      <w:r>
        <w:rPr>
          <w:rFonts w:ascii="Arial" w:cs="Arial" w:eastAsia="Arial" w:hAnsi="Arial"/>
          <w:sz w:val="18"/>
          <w:szCs w:val="18"/>
          <w:color w:val="auto"/>
        </w:rPr>
        <w:t>Urbiz S.A. agreed to pay the purchase price, plus interest, over two years for the right to operate the Avis and Budget brands. During the nine months ended September 30, 2021, the Company recorded a loss of $14 million, net of the impact of foreign currency adjustments, within restructuring and other related charges. In addition, the Company paid severance to terminated employees of $1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both"/>
        <w:ind w:left="500"/>
        <w:spacing w:after="0" w:line="258"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September 30, 2021 and December 31, 2020, the Company had equity method investments with a carrying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$70 million and $63 million, respectively, which are recorded within other non-current assets. Earnings from the Company’s equity method investments are reported within operating expenses. For the three and nine months ended September 30, 2021, the Company recorded $6 million and $8 million, respectively, and for the three and nine months ended September 30, 2020, the Company recorded $3 million and $4 million, respectively, related to its equity method investments.</w:t>
      </w:r>
    </w:p>
    <w:p>
      <w:pPr>
        <w:spacing w:after="0" w:line="210" w:lineRule="exact"/>
        <w:rPr>
          <w:sz w:val="20"/>
          <w:szCs w:val="20"/>
          <w:color w:val="auto"/>
        </w:rPr>
      </w:pPr>
    </w:p>
    <w:p>
      <w:pPr>
        <w:ind w:left="500"/>
        <w:spacing w:after="0" w:line="250" w:lineRule="auto"/>
        <w:rPr>
          <w:sz w:val="20"/>
          <w:szCs w:val="20"/>
          <w:color w:val="auto"/>
        </w:rPr>
      </w:pPr>
      <w:r>
        <w:rPr>
          <w:rFonts w:ascii="Arial" w:cs="Arial" w:eastAsia="Arial" w:hAnsi="Arial"/>
          <w:sz w:val="18"/>
          <w:szCs w:val="18"/>
          <w:i w:val="1"/>
          <w:iCs w:val="1"/>
          <w:color w:val="auto"/>
        </w:rPr>
        <w:t xml:space="preserve">Nonmarketable Equity Securities. </w:t>
      </w:r>
      <w:r>
        <w:rPr>
          <w:rFonts w:ascii="Arial" w:cs="Arial" w:eastAsia="Arial" w:hAnsi="Arial"/>
          <w:sz w:val="18"/>
          <w:szCs w:val="18"/>
          <w:color w:val="auto"/>
        </w:rPr>
        <w:t>As of December 31, 2020, the Company had nonmarketable equity securities with a carrying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$8 million, which was recorded within other non-current assets. As of September 30, 2021, the securities are marketable equity securities with a fair value of $8 million, which are recorded within other non-current assets.</w:t>
      </w:r>
    </w:p>
    <w:p>
      <w:pPr>
        <w:spacing w:after="0" w:line="190" w:lineRule="exact"/>
        <w:rPr>
          <w:sz w:val="20"/>
          <w:szCs w:val="20"/>
          <w:color w:val="auto"/>
        </w:rPr>
      </w:pPr>
    </w:p>
    <w:p>
      <w:pPr>
        <w:jc w:val="both"/>
        <w:ind w:left="500"/>
        <w:spacing w:after="0" w:line="232"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are recognized under “Leases (Topic 842),” with the exception of royalty fee revenue derived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licensees and revenue related to the Company’s customer loyalty program, which were approximately $34 million and $30 million during the three months ended September 30, 2021 and 2020, respectively and $93 million and $84 million during the nine months ended September 30, 2021 and 2020, respectively.</w:t>
      </w:r>
    </w:p>
    <w:p>
      <w:pPr>
        <w:spacing w:after="0" w:line="2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revenues disaggregated by geography:</w:t>
      </w:r>
    </w:p>
    <w:p>
      <w:pPr>
        <w:spacing w:after="0" w:line="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24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4"/>
          </w:tcPr>
          <w:p>
            <w:pPr>
              <w:jc w:val="right"/>
              <w:ind w:right="557"/>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4180" w:type="dxa"/>
            <w:vAlign w:val="bottom"/>
          </w:tcPr>
          <w:p>
            <w:pPr>
              <w:spacing w:after="0"/>
              <w:rPr>
                <w:sz w:val="19"/>
                <w:szCs w:val="19"/>
                <w:color w:val="auto"/>
              </w:rPr>
            </w:pPr>
          </w:p>
        </w:tc>
        <w:tc>
          <w:tcPr>
            <w:tcW w:w="24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8"/>
                <w:szCs w:val="18"/>
                <w:b w:val="1"/>
                <w:bCs w:val="1"/>
                <w:color w:val="auto"/>
              </w:rPr>
              <w:t>September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1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2020</w:t>
            </w: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Americas</w:t>
            </w:r>
          </w:p>
        </w:tc>
        <w:tc>
          <w:tcPr>
            <w:tcW w:w="920" w:type="dxa"/>
            <w:vAlign w:val="bottom"/>
          </w:tcPr>
          <w:p>
            <w:pPr>
              <w:jc w:val="right"/>
              <w:ind w:right="714"/>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2,403</w:t>
            </w:r>
          </w:p>
        </w:tc>
        <w:tc>
          <w:tcPr>
            <w:tcW w:w="100" w:type="dxa"/>
            <w:vAlign w:val="bottom"/>
          </w:tcPr>
          <w:p>
            <w:pPr>
              <w:spacing w:after="0"/>
              <w:rPr>
                <w:sz w:val="18"/>
                <w:szCs w:val="18"/>
                <w:color w:val="auto"/>
              </w:rPr>
            </w:pPr>
          </w:p>
        </w:tc>
        <w:tc>
          <w:tcPr>
            <w:tcW w:w="900" w:type="dxa"/>
            <w:vAlign w:val="bottom"/>
          </w:tcPr>
          <w:p>
            <w:pPr>
              <w:jc w:val="right"/>
              <w:ind w:right="696"/>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1,114</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5,457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2,936</w:t>
            </w: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879</w:t>
            </w: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Asia and Australasia</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Total revenues</w:t>
            </w:r>
          </w:p>
        </w:tc>
        <w:tc>
          <w:tcPr>
            <w:tcW w:w="920" w:type="dxa"/>
            <w:vAlign w:val="bottom"/>
            <w:tcBorders>
              <w:bottom w:val="single" w:sz="8" w:color="auto"/>
            </w:tcBorders>
          </w:tcPr>
          <w:p>
            <w:pPr>
              <w:jc w:val="right"/>
              <w:ind w:right="714"/>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3,001</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1,534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4,047</w:t>
            </w:r>
          </w:p>
        </w:tc>
      </w:tr>
      <w:tr>
        <w:trPr>
          <w:trHeight w:val="20"/>
        </w:trPr>
        <w:tc>
          <w:tcPr>
            <w:tcW w:w="4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revenues disaggregated by brand:</w:t>
      </w:r>
    </w:p>
    <w:p>
      <w:pPr>
        <w:spacing w:after="0" w:line="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2400" w:type="dxa"/>
            <w:vAlign w:val="bottom"/>
            <w:gridSpan w:val="4"/>
          </w:tcPr>
          <w:p>
            <w:pPr>
              <w:jc w:val="right"/>
              <w:ind w:right="16"/>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4"/>
          </w:tcPr>
          <w:p>
            <w:pPr>
              <w:jc w:val="right"/>
              <w:ind w:right="76"/>
              <w:spacing w:after="0"/>
              <w:rPr>
                <w:sz w:val="20"/>
                <w:szCs w:val="20"/>
                <w:color w:val="auto"/>
              </w:rPr>
            </w:pPr>
            <w:r>
              <w:rPr>
                <w:rFonts w:ascii="Arial" w:cs="Arial" w:eastAsia="Arial" w:hAnsi="Arial"/>
                <w:sz w:val="18"/>
                <w:szCs w:val="18"/>
                <w:b w:val="1"/>
                <w:bCs w:val="1"/>
                <w:color w:val="auto"/>
              </w:rPr>
              <w:t>Nine Months Ended</w:t>
            </w:r>
          </w:p>
        </w:tc>
        <w:tc>
          <w:tcPr>
            <w:tcW w:w="500" w:type="dxa"/>
            <w:vAlign w:val="bottom"/>
          </w:tcPr>
          <w:p>
            <w:pPr>
              <w:spacing w:after="0"/>
              <w:rPr>
                <w:sz w:val="17"/>
                <w:szCs w:val="17"/>
                <w:color w:val="auto"/>
              </w:rPr>
            </w:pPr>
          </w:p>
        </w:tc>
      </w:tr>
      <w:tr>
        <w:trPr>
          <w:trHeight w:val="229"/>
        </w:trPr>
        <w:tc>
          <w:tcPr>
            <w:tcW w:w="4160" w:type="dxa"/>
            <w:vAlign w:val="bottom"/>
          </w:tcPr>
          <w:p>
            <w:pPr>
              <w:spacing w:after="0"/>
              <w:rPr>
                <w:sz w:val="19"/>
                <w:szCs w:val="19"/>
                <w:color w:val="auto"/>
              </w:rPr>
            </w:pPr>
          </w:p>
        </w:tc>
        <w:tc>
          <w:tcPr>
            <w:tcW w:w="24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8"/>
                <w:szCs w:val="18"/>
                <w:b w:val="1"/>
                <w:bCs w:val="1"/>
                <w:color w:val="auto"/>
              </w:rPr>
              <w:t>September 30,</w:t>
            </w:r>
          </w:p>
        </w:tc>
        <w:tc>
          <w:tcPr>
            <w:tcW w:w="500" w:type="dxa"/>
            <w:vAlign w:val="bottom"/>
            <w:tcBorders>
              <w:bottom w:val="single" w:sz="8" w:color="auto"/>
            </w:tcBorders>
          </w:tcPr>
          <w:p>
            <w:pPr>
              <w:spacing w:after="0"/>
              <w:rPr>
                <w:sz w:val="19"/>
                <w:szCs w:val="19"/>
                <w:color w:val="auto"/>
              </w:rPr>
            </w:pPr>
          </w:p>
        </w:tc>
      </w:tr>
      <w:tr>
        <w:trPr>
          <w:trHeight w:val="223"/>
        </w:trPr>
        <w:tc>
          <w:tcPr>
            <w:tcW w:w="41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r>
      <w:tr>
        <w:trPr>
          <w:trHeight w:val="210"/>
        </w:trPr>
        <w:tc>
          <w:tcPr>
            <w:tcW w:w="4160" w:type="dxa"/>
            <w:vAlign w:val="bottom"/>
          </w:tcPr>
          <w:p>
            <w:pPr>
              <w:spacing w:after="0"/>
              <w:rPr>
                <w:sz w:val="20"/>
                <w:szCs w:val="20"/>
                <w:color w:val="auto"/>
              </w:rPr>
            </w:pPr>
            <w:r>
              <w:rPr>
                <w:rFonts w:ascii="Arial" w:cs="Arial" w:eastAsia="Arial" w:hAnsi="Arial"/>
                <w:sz w:val="18"/>
                <w:szCs w:val="18"/>
                <w:color w:val="auto"/>
              </w:rPr>
              <w:t>Avis</w:t>
            </w:r>
          </w:p>
        </w:tc>
        <w:tc>
          <w:tcPr>
            <w:tcW w:w="900" w:type="dxa"/>
            <w:vAlign w:val="bottom"/>
          </w:tcPr>
          <w:p>
            <w:pPr>
              <w:jc w:val="right"/>
              <w:ind w:right="71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1,588</w:t>
            </w:r>
          </w:p>
        </w:tc>
        <w:tc>
          <w:tcPr>
            <w:tcW w:w="120" w:type="dxa"/>
            <w:vAlign w:val="bottom"/>
          </w:tcPr>
          <w:p>
            <w:pPr>
              <w:spacing w:after="0"/>
              <w:rPr>
                <w:sz w:val="18"/>
                <w:szCs w:val="18"/>
                <w:color w:val="auto"/>
              </w:rPr>
            </w:pPr>
          </w:p>
        </w:tc>
        <w:tc>
          <w:tcPr>
            <w:tcW w:w="900" w:type="dxa"/>
            <w:vAlign w:val="bottom"/>
          </w:tcPr>
          <w:p>
            <w:pPr>
              <w:jc w:val="right"/>
              <w:ind w:right="716"/>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Pr>
          <w:p>
            <w:pPr>
              <w:spacing w:after="0"/>
              <w:rPr>
                <w:sz w:val="18"/>
                <w:szCs w:val="18"/>
                <w:color w:val="auto"/>
              </w:rPr>
            </w:pPr>
          </w:p>
        </w:tc>
        <w:tc>
          <w:tcPr>
            <w:tcW w:w="920" w:type="dxa"/>
            <w:vAlign w:val="bottom"/>
          </w:tcPr>
          <w:p>
            <w:pPr>
              <w:jc w:val="right"/>
              <w:ind w:right="73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3,509</w:t>
            </w:r>
          </w:p>
        </w:tc>
        <w:tc>
          <w:tcPr>
            <w:tcW w:w="100" w:type="dxa"/>
            <w:vAlign w:val="bottom"/>
          </w:tcPr>
          <w:p>
            <w:pPr>
              <w:spacing w:after="0"/>
              <w:rPr>
                <w:sz w:val="18"/>
                <w:szCs w:val="18"/>
                <w:color w:val="auto"/>
              </w:rPr>
            </w:pPr>
          </w:p>
        </w:tc>
        <w:tc>
          <w:tcPr>
            <w:tcW w:w="920" w:type="dxa"/>
            <w:vAlign w:val="bottom"/>
          </w:tcPr>
          <w:p>
            <w:pPr>
              <w:jc w:val="right"/>
              <w:ind w:right="716"/>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2,230</w:t>
            </w: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Budget</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1,198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539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2,707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1,425</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r>
      <w:tr>
        <w:trPr>
          <w:trHeight w:val="210"/>
        </w:trPr>
        <w:tc>
          <w:tcPr>
            <w:tcW w:w="4160" w:type="dxa"/>
            <w:vAlign w:val="bottom"/>
          </w:tcPr>
          <w:p>
            <w:pPr>
              <w:spacing w:after="0"/>
              <w:rPr>
                <w:sz w:val="20"/>
                <w:szCs w:val="20"/>
                <w:color w:val="auto"/>
              </w:rPr>
            </w:pPr>
            <w:r>
              <w:rPr>
                <w:rFonts w:ascii="Arial" w:cs="Arial" w:eastAsia="Arial" w:hAnsi="Arial"/>
                <w:sz w:val="18"/>
                <w:szCs w:val="18"/>
                <w:color w:val="auto"/>
              </w:rPr>
              <w:t>Total revenues</w:t>
            </w: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3,001</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1,534</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ind w:right="73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6,744</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4,047</w:t>
            </w:r>
          </w:p>
        </w:tc>
      </w:tr>
      <w:tr>
        <w:trPr>
          <w:trHeight w:val="20"/>
        </w:trPr>
        <w:tc>
          <w:tcPr>
            <w:tcW w:w="4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includes Zipcar and other operating brands.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Simplifying the Accounting for Income Taxes</w:t>
      </w:r>
    </w:p>
    <w:p>
      <w:pPr>
        <w:spacing w:after="0" w:line="270"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On January 1, 2021, as the result of a new accounting pronouncement, the Company adopted ASU 2019-12, “Simplifying the Accounting for Income Taxes,” which simplifies the accounting for income taxes by removing certain exceptions and improving the application of existing guidance. The adoption of this accounting pronouncement did not have a material impact on the Company's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Compensation—Retirement Benefits—Defined Benefit Plans</w:t>
      </w:r>
    </w:p>
    <w:p>
      <w:pPr>
        <w:spacing w:after="0" w:line="270"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color w:val="auto"/>
        </w:rPr>
        <w:t>On January 1, 2021, as the result of a new accounting pronouncement, the Company adopted ASU 2018-14, “Disclosure Framework— Changes to the Disclosure Requirements for Defined Benefit Plans,” which adds, removes, and clarifies disclosure requirements related to defined benefit pension and other postretirement plans. These changes are part of the FASB’s disclosure framework project, which the Board launched in 2014 to improve the effectiveness of disclosures in notes to financial statements. The adoption of this accounting pronouncement did not have a material impact on the Company's Consolidated Condensed Financial Statements.</w:t>
      </w:r>
    </w:p>
    <w:p>
      <w:pPr>
        <w:spacing w:after="0" w:line="197" w:lineRule="exact"/>
        <w:rPr>
          <w:sz w:val="20"/>
          <w:szCs w:val="20"/>
          <w:color w:val="auto"/>
        </w:rPr>
      </w:pPr>
    </w:p>
    <w:p>
      <w:pPr>
        <w:ind w:left="500" w:right="10160" w:hanging="492"/>
        <w:spacing w:after="0" w:line="318" w:lineRule="auto"/>
        <w:tabs>
          <w:tab w:leader="none" w:pos="364"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b w:val="1"/>
          <w:bCs w:val="1"/>
          <w:i w:val="1"/>
          <w:iCs w:val="1"/>
          <w:color w:val="auto"/>
        </w:rPr>
        <w:t>Lessor</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lease revenues disaggregated by geography:</w:t>
      </w:r>
    </w:p>
    <w:p>
      <w:pPr>
        <w:spacing w:after="0" w:line="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9"/>
              </w:rPr>
              <w:t>Three Months Ended</w:t>
            </w:r>
          </w:p>
        </w:tc>
        <w:tc>
          <w:tcPr>
            <w:tcW w:w="300" w:type="dxa"/>
            <w:vAlign w:val="bottom"/>
          </w:tcPr>
          <w:p>
            <w:pPr>
              <w:spacing w:after="0"/>
              <w:rPr>
                <w:sz w:val="17"/>
                <w:szCs w:val="17"/>
                <w:color w:val="auto"/>
              </w:rPr>
            </w:pPr>
          </w:p>
        </w:tc>
        <w:tc>
          <w:tcPr>
            <w:tcW w:w="26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4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9"/>
              </w:rPr>
              <w:t>September 30,</w:t>
            </w:r>
          </w:p>
        </w:tc>
        <w:tc>
          <w:tcPr>
            <w:tcW w:w="300" w:type="dxa"/>
            <w:vAlign w:val="bottom"/>
          </w:tcPr>
          <w:p>
            <w:pPr>
              <w:spacing w:after="0"/>
              <w:rPr>
                <w:sz w:val="19"/>
                <w:szCs w:val="19"/>
                <w:color w:val="auto"/>
              </w:rPr>
            </w:pPr>
          </w:p>
        </w:tc>
        <w:tc>
          <w:tcPr>
            <w:tcW w:w="26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Americas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2,391</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1,099</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5,417</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2,896</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843</w:t>
            </w: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Asia and Australasia</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Total lease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6,651</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w:t>
            </w:r>
          </w:p>
        </w:tc>
      </w:tr>
      <w:tr>
        <w:trPr>
          <w:trHeight w:val="21"/>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lease revenues disaggregated by brand:</w:t>
      </w:r>
    </w:p>
    <w:p>
      <w:pPr>
        <w:spacing w:after="0" w:line="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17"/>
                <w:szCs w:val="17"/>
                <w:color w:val="auto"/>
              </w:rPr>
            </w:pPr>
          </w:p>
        </w:tc>
        <w:tc>
          <w:tcPr>
            <w:tcW w:w="26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4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9"/>
                <w:szCs w:val="19"/>
                <w:color w:val="auto"/>
              </w:rPr>
            </w:pPr>
          </w:p>
        </w:tc>
        <w:tc>
          <w:tcPr>
            <w:tcW w:w="26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Avis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1,573</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3,464</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2,181</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Budget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2,676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1,401</w:t>
            </w: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Total lease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6,651</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w:t>
            </w:r>
          </w:p>
        </w:tc>
      </w:tr>
      <w:tr>
        <w:trPr>
          <w:trHeight w:val="21"/>
        </w:trPr>
        <w:tc>
          <w:tcPr>
            <w:tcW w:w="4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_______</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Other includes Zipcar and other operating brands.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Lessee</w:t>
      </w:r>
    </w:p>
    <w:p>
      <w:pPr>
        <w:spacing w:after="0" w:line="328"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The Company has operating and finance leases for rental locations, corporate offices, vehicle rental fleet and equipment. Many of the Company’s operating leases for rental locations contain concession agreements with various airport authorities that allow the Company to conduct its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Right of Use (“ROU”) assets and operating lease liabilities, and are recorded as variable lease expense as incurred. The Company’s operating leases for rental locations often also require the Company to pay or reimburse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600" w:type="dxa"/>
            <w:vAlign w:val="bottom"/>
            <w:gridSpan w:val="2"/>
          </w:tcPr>
          <w:p>
            <w:pPr>
              <w:ind w:left="500"/>
              <w:spacing w:after="0"/>
              <w:rPr>
                <w:sz w:val="20"/>
                <w:szCs w:val="20"/>
                <w:color w:val="auto"/>
              </w:rPr>
            </w:pPr>
            <w:r>
              <w:rPr>
                <w:rFonts w:ascii="Arial" w:cs="Arial" w:eastAsia="Arial" w:hAnsi="Arial"/>
                <w:sz w:val="18"/>
                <w:szCs w:val="18"/>
                <w:color w:val="auto"/>
              </w:rPr>
              <w:t>The components of lease expense are as follows:</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460" w:type="dxa"/>
            <w:vAlign w:val="bottom"/>
            <w:gridSpan w:val="4"/>
          </w:tcPr>
          <w:p>
            <w:pPr>
              <w:jc w:val="right"/>
              <w:ind w:right="70"/>
              <w:spacing w:after="0" w:line="202" w:lineRule="exact"/>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550"/>
              <w:spacing w:after="0" w:line="202"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4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60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 xml:space="preserve">Property leases </w:t>
            </w:r>
            <w:r>
              <w:rPr>
                <w:rFonts w:ascii="Arial" w:cs="Arial" w:eastAsia="Arial" w:hAnsi="Arial"/>
                <w:sz w:val="23"/>
                <w:szCs w:val="23"/>
                <w:b w:val="1"/>
                <w:bCs w:val="1"/>
                <w:color w:val="auto"/>
                <w:vertAlign w:val="superscript"/>
              </w:rPr>
              <w:t>(a)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460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0" w:type="dxa"/>
            <w:vAlign w:val="bottom"/>
            <w:gridSpan w:val="2"/>
          </w:tcPr>
          <w:p>
            <w:pPr>
              <w:ind w:left="520"/>
              <w:spacing w:after="0"/>
              <w:rPr>
                <w:sz w:val="20"/>
                <w:szCs w:val="20"/>
                <w:color w:val="auto"/>
              </w:rPr>
            </w:pPr>
            <w:r>
              <w:rPr>
                <w:rFonts w:ascii="Arial" w:cs="Arial" w:eastAsia="Arial" w:hAnsi="Arial"/>
                <w:sz w:val="18"/>
                <w:szCs w:val="18"/>
                <w:color w:val="auto"/>
              </w:rPr>
              <w:t>Operating lease expense</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30"/>
        </w:trPr>
        <w:tc>
          <w:tcPr>
            <w:tcW w:w="4600" w:type="dxa"/>
            <w:vAlign w:val="bottom"/>
            <w:gridSpan w:val="2"/>
          </w:tcPr>
          <w:p>
            <w:pPr>
              <w:ind w:left="520"/>
              <w:spacing w:after="0"/>
              <w:rPr>
                <w:sz w:val="20"/>
                <w:szCs w:val="20"/>
                <w:color w:val="auto"/>
              </w:rPr>
            </w:pPr>
            <w:r>
              <w:rPr>
                <w:rFonts w:ascii="Arial" w:cs="Arial" w:eastAsia="Arial" w:hAnsi="Arial"/>
                <w:sz w:val="18"/>
                <w:szCs w:val="18"/>
                <w:color w:val="auto"/>
              </w:rPr>
              <w:t>Variable lease expense</w:t>
            </w: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4600" w:type="dxa"/>
            <w:vAlign w:val="bottom"/>
            <w:gridSpan w:val="2"/>
          </w:tcPr>
          <w:p>
            <w:pPr>
              <w:ind w:left="520"/>
              <w:spacing w:after="0"/>
              <w:rPr>
                <w:sz w:val="20"/>
                <w:szCs w:val="20"/>
                <w:color w:val="auto"/>
              </w:rPr>
            </w:pPr>
            <w:r>
              <w:rPr>
                <w:rFonts w:ascii="Arial" w:cs="Arial" w:eastAsia="Arial" w:hAnsi="Arial"/>
                <w:sz w:val="18"/>
                <w:szCs w:val="18"/>
                <w:b w:val="1"/>
                <w:bCs w:val="1"/>
                <w:color w:val="auto"/>
              </w:rPr>
              <w:t>Total property lease expense</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ind w:left="820" w:right="60" w:hanging="326"/>
        <w:spacing w:after="0" w:line="220" w:lineRule="auto"/>
        <w:tabs>
          <w:tab w:leader="none" w:pos="77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Primarily within operating expense and includes $(4) million and $11 million for the three months ended September 30, 2021 and 2020, respectively, and $12 million and $41 million for the nine months ended September 30, 2021 and 2020, respectively, of minimum annual guaranteed rent in excess of concession fees, net, as defined in our rental concession agreements.</w:t>
      </w:r>
    </w:p>
    <w:p>
      <w:pPr>
        <w:spacing w:after="0" w:line="22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balance sheet information related to leases is as follows:</w:t>
      </w:r>
    </w:p>
    <w:p>
      <w:pPr>
        <w:spacing w:after="0" w:line="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As of</w:t>
            </w:r>
          </w:p>
        </w:tc>
        <w:tc>
          <w:tcPr>
            <w:tcW w:w="220" w:type="dxa"/>
            <w:vAlign w:val="bottom"/>
          </w:tcPr>
          <w:p>
            <w:pPr>
              <w:spacing w:after="0"/>
              <w:rPr>
                <w:sz w:val="17"/>
                <w:szCs w:val="17"/>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29"/>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Property leases</w:t>
            </w:r>
          </w:p>
        </w:tc>
        <w:tc>
          <w:tcPr>
            <w:tcW w:w="200" w:type="dxa"/>
            <w:vAlign w:val="bottom"/>
          </w:tcPr>
          <w:p>
            <w:pPr>
              <w:spacing w:after="0"/>
              <w:rPr>
                <w:sz w:val="19"/>
                <w:szCs w:val="19"/>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September 30, 2021</w:t>
            </w:r>
          </w:p>
        </w:tc>
        <w:tc>
          <w:tcPr>
            <w:tcW w:w="220" w:type="dxa"/>
            <w:vAlign w:val="bottom"/>
          </w:tcPr>
          <w:p>
            <w:pPr>
              <w:spacing w:after="0"/>
              <w:rPr>
                <w:sz w:val="19"/>
                <w:szCs w:val="19"/>
                <w:color w:val="auto"/>
              </w:rPr>
            </w:pPr>
          </w:p>
        </w:tc>
        <w:tc>
          <w:tcPr>
            <w:tcW w:w="204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2,309</w:t>
            </w: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34"/>
        </w:trPr>
        <w:tc>
          <w:tcPr>
            <w:tcW w:w="5460" w:type="dxa"/>
            <w:vAlign w:val="bottom"/>
          </w:tcPr>
          <w:p>
            <w:pPr>
              <w:ind w:left="200"/>
              <w:spacing w:after="0"/>
              <w:rPr>
                <w:sz w:val="20"/>
                <w:szCs w:val="20"/>
                <w:color w:val="auto"/>
              </w:rPr>
            </w:pPr>
            <w:r>
              <w:rPr>
                <w:rFonts w:ascii="Arial" w:cs="Arial" w:eastAsia="Arial" w:hAnsi="Arial"/>
                <w:sz w:val="18"/>
                <w:szCs w:val="18"/>
                <w:color w:val="auto"/>
              </w:rPr>
              <w:t>Operating lease ROU assets</w:t>
            </w:r>
          </w:p>
        </w:tc>
        <w:tc>
          <w:tcPr>
            <w:tcW w:w="20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460" w:type="dxa"/>
            <w:vAlign w:val="bottom"/>
          </w:tcPr>
          <w:p>
            <w:pPr>
              <w:ind w:left="200"/>
              <w:spacing w:after="0"/>
              <w:rPr>
                <w:sz w:val="20"/>
                <w:szCs w:val="20"/>
                <w:color w:val="auto"/>
              </w:rPr>
            </w:pPr>
            <w:r>
              <w:rPr>
                <w:rFonts w:ascii="Arial" w:cs="Arial" w:eastAsia="Arial" w:hAnsi="Arial"/>
                <w:sz w:val="18"/>
                <w:szCs w:val="18"/>
                <w:color w:val="auto"/>
              </w:rPr>
              <w:t xml:space="preserve">Short-term operating lease liabilities </w:t>
            </w:r>
            <w:r>
              <w:rPr>
                <w:rFonts w:ascii="Arial" w:cs="Arial" w:eastAsia="Arial" w:hAnsi="Arial"/>
                <w:sz w:val="9"/>
                <w:szCs w:val="9"/>
                <w:color w:val="auto"/>
              </w:rPr>
              <w:t>(a)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130"/>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9"/>
        </w:trPr>
        <w:tc>
          <w:tcPr>
            <w:tcW w:w="5460" w:type="dxa"/>
            <w:vAlign w:val="bottom"/>
          </w:tcPr>
          <w:p>
            <w:pPr>
              <w:ind w:left="200"/>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1,862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23"/>
        </w:trPr>
        <w:tc>
          <w:tcPr>
            <w:tcW w:w="546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2,346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460" w:type="dxa"/>
            <w:vAlign w:val="bottom"/>
          </w:tcPr>
          <w:p>
            <w:pPr>
              <w:ind w:left="200"/>
              <w:spacing w:after="0"/>
              <w:rPr>
                <w:sz w:val="20"/>
                <w:szCs w:val="20"/>
                <w:color w:val="auto"/>
              </w:rPr>
            </w:pPr>
            <w:r>
              <w:rPr>
                <w:rFonts w:ascii="Arial" w:cs="Arial" w:eastAsia="Arial" w:hAnsi="Arial"/>
                <w:sz w:val="18"/>
                <w:szCs w:val="18"/>
                <w:color w:val="auto"/>
              </w:rPr>
              <w:t>Weighted average remaining lease term</w:t>
            </w:r>
          </w:p>
        </w:tc>
        <w:tc>
          <w:tcPr>
            <w:tcW w:w="200" w:type="dxa"/>
            <w:vAlign w:val="bottom"/>
          </w:tcPr>
          <w:p>
            <w:pPr>
              <w:spacing w:after="0"/>
              <w:rPr>
                <w:sz w:val="24"/>
                <w:szCs w:val="24"/>
                <w:color w:val="auto"/>
              </w:rPr>
            </w:pPr>
          </w:p>
        </w:tc>
        <w:tc>
          <w:tcPr>
            <w:tcW w:w="2160" w:type="dxa"/>
            <w:vAlign w:val="bottom"/>
            <w:gridSpan w:val="2"/>
          </w:tcPr>
          <w:p>
            <w:pPr>
              <w:ind w:left="1300"/>
              <w:spacing w:after="0"/>
              <w:rPr>
                <w:sz w:val="20"/>
                <w:szCs w:val="20"/>
                <w:color w:val="auto"/>
              </w:rPr>
            </w:pPr>
            <w:r>
              <w:rPr>
                <w:rFonts w:ascii="Arial" w:cs="Arial" w:eastAsia="Arial" w:hAnsi="Arial"/>
                <w:sz w:val="18"/>
                <w:szCs w:val="18"/>
                <w:color w:val="auto"/>
              </w:rPr>
              <w:t>8.2 years</w:t>
            </w:r>
          </w:p>
        </w:tc>
        <w:tc>
          <w:tcPr>
            <w:tcW w:w="22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8.4 years</w:t>
            </w:r>
          </w:p>
        </w:tc>
        <w:tc>
          <w:tcPr>
            <w:tcW w:w="0" w:type="dxa"/>
            <w:vAlign w:val="bottom"/>
          </w:tcPr>
          <w:p>
            <w:pPr>
              <w:spacing w:after="0"/>
              <w:rPr>
                <w:sz w:val="1"/>
                <w:szCs w:val="1"/>
                <w:color w:val="auto"/>
              </w:rPr>
            </w:pPr>
          </w:p>
        </w:tc>
      </w:tr>
      <w:tr>
        <w:trPr>
          <w:trHeight w:val="229"/>
        </w:trPr>
        <w:tc>
          <w:tcPr>
            <w:tcW w:w="5460" w:type="dxa"/>
            <w:vAlign w:val="bottom"/>
          </w:tcPr>
          <w:p>
            <w:pPr>
              <w:ind w:left="200"/>
              <w:spacing w:after="0"/>
              <w:rPr>
                <w:sz w:val="20"/>
                <w:szCs w:val="20"/>
                <w:color w:val="auto"/>
              </w:rPr>
            </w:pPr>
            <w:r>
              <w:rPr>
                <w:rFonts w:ascii="Arial" w:cs="Arial" w:eastAsia="Arial" w:hAnsi="Arial"/>
                <w:sz w:val="18"/>
                <w:szCs w:val="18"/>
                <w:color w:val="auto"/>
              </w:rPr>
              <w:t>Weighted average discount rate</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3.86 %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3.86 %</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w:t>
      </w:r>
    </w:p>
    <w:p>
      <w:pPr>
        <w:ind w:left="760" w:hanging="266"/>
        <w:spacing w:after="0" w:line="205" w:lineRule="auto"/>
        <w:tabs>
          <w:tab w:leader="none" w:pos="76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Included in Accounts payable and other current liabilities.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18"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Nine Months Ended</w:t>
      </w:r>
    </w:p>
    <w:p>
      <w:pPr>
        <w:ind w:left="850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520" w:type="dxa"/>
        <w:tblCellMar>
          <w:top w:w="0" w:type="dxa"/>
          <w:left w:w="0" w:type="dxa"/>
          <w:bottom w:w="0" w:type="dxa"/>
          <w:right w:w="0" w:type="dxa"/>
        </w:tblCellMar>
      </w:tblPr>
      <w:tr>
        <w:trPr>
          <w:trHeight w:val="223"/>
        </w:trPr>
        <w:tc>
          <w:tcPr>
            <w:tcW w:w="7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10"/>
        </w:trPr>
        <w:tc>
          <w:tcPr>
            <w:tcW w:w="7120" w:type="dxa"/>
            <w:vAlign w:val="bottom"/>
          </w:tcPr>
          <w:p>
            <w:pPr>
              <w:spacing w:after="0"/>
              <w:rPr>
                <w:sz w:val="20"/>
                <w:szCs w:val="20"/>
                <w:color w:val="auto"/>
              </w:rPr>
            </w:pPr>
            <w:r>
              <w:rPr>
                <w:rFonts w:ascii="Arial" w:cs="Arial" w:eastAsia="Arial" w:hAnsi="Arial"/>
                <w:sz w:val="18"/>
                <w:szCs w:val="18"/>
                <w:color w:val="auto"/>
              </w:rPr>
              <w:t>Cash payments for lease liabilities within operating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7120" w:type="dxa"/>
            <w:vAlign w:val="bottom"/>
          </w:tcPr>
          <w:p>
            <w:pPr>
              <w:ind w:left="200"/>
              <w:spacing w:after="0"/>
              <w:rPr>
                <w:sz w:val="20"/>
                <w:szCs w:val="20"/>
                <w:color w:val="auto"/>
              </w:rPr>
            </w:pPr>
            <w:r>
              <w:rPr>
                <w:rFonts w:ascii="Arial" w:cs="Arial" w:eastAsia="Arial" w:hAnsi="Arial"/>
                <w:sz w:val="18"/>
                <w:szCs w:val="18"/>
                <w:color w:val="auto"/>
              </w:rPr>
              <w:t>Property operating leases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Non-cash activities - increase (decrease) in ROU assets in exchange for lease liabilities: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120" w:type="dxa"/>
            <w:vAlign w:val="bottom"/>
          </w:tcPr>
          <w:p>
            <w:pPr>
              <w:ind w:left="200"/>
              <w:spacing w:after="0"/>
              <w:rPr>
                <w:sz w:val="20"/>
                <w:szCs w:val="20"/>
                <w:color w:val="auto"/>
              </w:rPr>
            </w:pPr>
            <w:r>
              <w:rPr>
                <w:rFonts w:ascii="Arial" w:cs="Arial" w:eastAsia="Arial" w:hAnsi="Arial"/>
                <w:sz w:val="18"/>
                <w:szCs w:val="18"/>
                <w:color w:val="auto"/>
              </w:rPr>
              <w:t>Property operating leases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588</w:t>
            </w:r>
          </w:p>
        </w:tc>
      </w:tr>
    </w:tbl>
    <w:p>
      <w:pPr>
        <w:spacing w:after="0" w:line="32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w:t>
        <w:tab/>
        <w:t>Restructuring and Other Related Charges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Restructuring</w:t>
      </w:r>
    </w:p>
    <w:p>
      <w:pPr>
        <w:spacing w:after="0" w:line="328"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During the first quarter of 2021, the Company initiated a global restructuring plan to focus on cost discipline by reviewing headcounts, facilities and contractor agreements. The Company is transforming its business as it prepares to exit the COVID-19 crisis by controlling fixed costs and matching variable costs to demand (“T21”). As of September 30, 2021, the Company formally communicated the termination of employment to approximately 260 employees, as part of this process, and terminated approximately 255 of these employees. The Company expects further restructuring expense of approximately $20 million related to this initiative to be incurred in 2021.</w:t>
      </w:r>
    </w:p>
    <w:p>
      <w:pPr>
        <w:spacing w:after="0" w:line="235"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During the first quarter of 2020, the Company initiated a global restructuring plan to reduce operating costs, such as headcount and facilities, due to declining reservations and revenue resulting from the COVID-19</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outbreak (“2020 Optimization Plan”). The Company expects no further restructuring expense related to this initiative.</w:t>
      </w:r>
    </w:p>
    <w:p>
      <w:pPr>
        <w:spacing w:after="0" w:line="252"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During the first quarter of 2019, the Company initiated a restructuring plan to drive global efficiency by improving processes and consolidating functions, and to create new objectives and strategies for its truck rental operations in the U.S. by reducing headcount, large vehicles and rental locations (“T19”). This initiative is complete.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the changes to our restructuring-related liabilities and identifies the amounts recorded within the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Company’s reporting segments for restructuring charges and corresponding payments and utilizations:</w:t>
      </w:r>
    </w:p>
    <w:p>
      <w:pPr>
        <w:spacing w:after="0" w:line="140" w:lineRule="exact"/>
        <w:rPr>
          <w:sz w:val="20"/>
          <w:szCs w:val="20"/>
          <w:color w:val="auto"/>
        </w:rPr>
      </w:pPr>
    </w:p>
    <w:tbl>
      <w:tblPr>
        <w:tblLayout w:type="fixed"/>
        <w:tblInd w:w="52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194"/>
              <w:spacing w:after="0"/>
              <w:rPr>
                <w:sz w:val="20"/>
                <w:szCs w:val="20"/>
                <w:color w:val="auto"/>
              </w:rPr>
            </w:pPr>
            <w:r>
              <w:rPr>
                <w:rFonts w:ascii="Arial" w:cs="Arial" w:eastAsia="Arial" w:hAnsi="Arial"/>
                <w:sz w:val="16"/>
                <w:szCs w:val="16"/>
                <w:b w:val="1"/>
                <w:bCs w:val="1"/>
                <w:color w:val="auto"/>
                <w:w w:val="99"/>
              </w:rPr>
              <w:t>Americas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International</w:t>
            </w:r>
          </w:p>
        </w:tc>
        <w:tc>
          <w:tcPr>
            <w:tcW w:w="300" w:type="dxa"/>
            <w:vAlign w:val="bottom"/>
          </w:tcPr>
          <w:p>
            <w:pPr>
              <w:spacing w:after="0"/>
              <w:rPr>
                <w:sz w:val="18"/>
                <w:szCs w:val="18"/>
                <w:color w:val="auto"/>
              </w:rPr>
            </w:pPr>
          </w:p>
        </w:tc>
        <w:tc>
          <w:tcPr>
            <w:tcW w:w="102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Balance as of January 1, 2021</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420" w:type="dxa"/>
            <w:vAlign w:val="bottom"/>
          </w:tcPr>
          <w:p>
            <w:pPr>
              <w:ind w:left="18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00"/>
              <w:spacing w:after="0"/>
              <w:rPr>
                <w:sz w:val="20"/>
                <w:szCs w:val="20"/>
                <w:color w:val="auto"/>
              </w:rPr>
            </w:pPr>
            <w:r>
              <w:rPr>
                <w:rFonts w:ascii="Arial" w:cs="Arial" w:eastAsia="Arial" w:hAnsi="Arial"/>
                <w:sz w:val="18"/>
                <w:szCs w:val="18"/>
                <w:color w:val="auto"/>
              </w:rPr>
              <w:t>T21</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420" w:type="dxa"/>
            <w:vAlign w:val="bottom"/>
          </w:tcPr>
          <w:p>
            <w:pPr>
              <w:ind w:left="280"/>
              <w:spacing w:after="0"/>
              <w:rPr>
                <w:sz w:val="20"/>
                <w:szCs w:val="20"/>
                <w:color w:val="auto"/>
              </w:rPr>
            </w:pPr>
            <w:r>
              <w:rPr>
                <w:rFonts w:ascii="Arial" w:cs="Arial" w:eastAsia="Arial" w:hAnsi="Arial"/>
                <w:sz w:val="18"/>
                <w:szCs w:val="18"/>
                <w:color w:val="auto"/>
              </w:rPr>
              <w:t>T19</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420" w:type="dxa"/>
            <w:vAlign w:val="bottom"/>
          </w:tcPr>
          <w:p>
            <w:pPr>
              <w:ind w:left="180"/>
              <w:spacing w:after="0"/>
              <w:rPr>
                <w:sz w:val="20"/>
                <w:szCs w:val="20"/>
                <w:color w:val="auto"/>
              </w:rPr>
            </w:pPr>
            <w:r>
              <w:rPr>
                <w:rFonts w:ascii="Arial" w:cs="Arial" w:eastAsia="Arial" w:hAnsi="Arial"/>
                <w:sz w:val="18"/>
                <w:szCs w:val="18"/>
                <w:color w:val="auto"/>
              </w:rPr>
              <w:t>Restructuring payment/utilization:</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00"/>
              <w:spacing w:after="0"/>
              <w:rPr>
                <w:sz w:val="20"/>
                <w:szCs w:val="20"/>
                <w:color w:val="auto"/>
              </w:rPr>
            </w:pPr>
            <w:r>
              <w:rPr>
                <w:rFonts w:ascii="Arial" w:cs="Arial" w:eastAsia="Arial" w:hAnsi="Arial"/>
                <w:sz w:val="18"/>
                <w:szCs w:val="18"/>
                <w:color w:val="auto"/>
              </w:rPr>
              <w:t>T21</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420" w:type="dxa"/>
            <w:vAlign w:val="bottom"/>
          </w:tcPr>
          <w:p>
            <w:pPr>
              <w:ind w:left="300"/>
              <w:spacing w:after="0"/>
              <w:rPr>
                <w:sz w:val="20"/>
                <w:szCs w:val="20"/>
                <w:color w:val="auto"/>
              </w:rPr>
            </w:pPr>
            <w:r>
              <w:rPr>
                <w:rFonts w:ascii="Arial" w:cs="Arial" w:eastAsia="Arial" w:hAnsi="Arial"/>
                <w:sz w:val="18"/>
                <w:szCs w:val="18"/>
                <w:color w:val="auto"/>
              </w:rPr>
              <w:t>2020 Optimization Plan</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420" w:type="dxa"/>
            <w:vAlign w:val="bottom"/>
          </w:tcPr>
          <w:p>
            <w:pPr>
              <w:ind w:left="300"/>
              <w:spacing w:after="0"/>
              <w:rPr>
                <w:sz w:val="20"/>
                <w:szCs w:val="20"/>
                <w:color w:val="auto"/>
              </w:rPr>
            </w:pPr>
            <w:r>
              <w:rPr>
                <w:rFonts w:ascii="Arial" w:cs="Arial" w:eastAsia="Arial" w:hAnsi="Arial"/>
                <w:sz w:val="18"/>
                <w:szCs w:val="18"/>
                <w:color w:val="auto"/>
              </w:rPr>
              <w:t>T19</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Balance as of September 30, 2021</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4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Personnel</w:t>
            </w:r>
          </w:p>
        </w:tc>
        <w:tc>
          <w:tcPr>
            <w:tcW w:w="1080" w:type="dxa"/>
            <w:vAlign w:val="bottom"/>
          </w:tcPr>
          <w:p>
            <w:pPr>
              <w:jc w:val="center"/>
              <w:ind w:left="194"/>
              <w:spacing w:after="0"/>
              <w:rPr>
                <w:sz w:val="20"/>
                <w:szCs w:val="20"/>
                <w:color w:val="auto"/>
              </w:rPr>
            </w:pPr>
            <w:r>
              <w:rPr>
                <w:rFonts w:ascii="Arial" w:cs="Arial" w:eastAsia="Arial" w:hAnsi="Arial"/>
                <w:sz w:val="16"/>
                <w:szCs w:val="16"/>
                <w:b w:val="1"/>
                <w:bCs w:val="1"/>
                <w:color w:val="auto"/>
              </w:rPr>
              <w:t>Facility</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3"/>
              </w:rPr>
              <w:t xml:space="preserve">Other </w:t>
            </w:r>
            <w:r>
              <w:rPr>
                <w:rFonts w:ascii="Arial" w:cs="Arial" w:eastAsia="Arial" w:hAnsi="Arial"/>
                <w:sz w:val="21"/>
                <w:szCs w:val="21"/>
                <w:b w:val="1"/>
                <w:bCs w:val="1"/>
                <w:color w:val="auto"/>
                <w:w w:val="93"/>
                <w:vertAlign w:val="superscript"/>
              </w:rPr>
              <w:t>(a)</w:t>
            </w:r>
          </w:p>
        </w:tc>
        <w:tc>
          <w:tcPr>
            <w:tcW w:w="300" w:type="dxa"/>
            <w:vAlign w:val="bottom"/>
          </w:tcPr>
          <w:p>
            <w:pPr>
              <w:spacing w:after="0"/>
              <w:rPr>
                <w:sz w:val="24"/>
                <w:szCs w:val="24"/>
                <w:color w:val="auto"/>
              </w:rPr>
            </w:pPr>
          </w:p>
        </w:tc>
        <w:tc>
          <w:tcPr>
            <w:tcW w:w="102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80" w:type="dxa"/>
            <w:vAlign w:val="bottom"/>
          </w:tcPr>
          <w:p>
            <w:pPr>
              <w:jc w:val="center"/>
              <w:ind w:left="194"/>
              <w:spacing w:after="0"/>
              <w:rPr>
                <w:sz w:val="20"/>
                <w:szCs w:val="20"/>
                <w:color w:val="auto"/>
              </w:rPr>
            </w:pPr>
            <w:r>
              <w:rPr>
                <w:rFonts w:ascii="Arial" w:cs="Arial" w:eastAsia="Arial" w:hAnsi="Arial"/>
                <w:sz w:val="16"/>
                <w:szCs w:val="16"/>
                <w:b w:val="1"/>
                <w:bCs w:val="1"/>
                <w:color w:val="auto"/>
              </w:rPr>
              <w:t>Related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Balance as of January 1, 2021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420" w:type="dxa"/>
            <w:vAlign w:val="bottom"/>
          </w:tcPr>
          <w:p>
            <w:pPr>
              <w:ind w:left="18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00"/>
              <w:spacing w:after="0"/>
              <w:rPr>
                <w:sz w:val="20"/>
                <w:szCs w:val="20"/>
                <w:color w:val="auto"/>
              </w:rPr>
            </w:pPr>
            <w:r>
              <w:rPr>
                <w:rFonts w:ascii="Arial" w:cs="Arial" w:eastAsia="Arial" w:hAnsi="Arial"/>
                <w:sz w:val="18"/>
                <w:szCs w:val="18"/>
                <w:color w:val="auto"/>
              </w:rPr>
              <w:t>T21</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420" w:type="dxa"/>
            <w:vAlign w:val="bottom"/>
          </w:tcPr>
          <w:p>
            <w:pPr>
              <w:ind w:left="280"/>
              <w:spacing w:after="0"/>
              <w:rPr>
                <w:sz w:val="20"/>
                <w:szCs w:val="20"/>
                <w:color w:val="auto"/>
              </w:rPr>
            </w:pPr>
            <w:r>
              <w:rPr>
                <w:rFonts w:ascii="Arial" w:cs="Arial" w:eastAsia="Arial" w:hAnsi="Arial"/>
                <w:sz w:val="18"/>
                <w:szCs w:val="18"/>
                <w:color w:val="auto"/>
              </w:rPr>
              <w:t>T19</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Restructuring payment/utilization:</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00"/>
              <w:spacing w:after="0"/>
              <w:rPr>
                <w:sz w:val="20"/>
                <w:szCs w:val="20"/>
                <w:color w:val="auto"/>
              </w:rPr>
            </w:pPr>
            <w:r>
              <w:rPr>
                <w:rFonts w:ascii="Arial" w:cs="Arial" w:eastAsia="Arial" w:hAnsi="Arial"/>
                <w:sz w:val="18"/>
                <w:szCs w:val="18"/>
                <w:color w:val="auto"/>
              </w:rPr>
              <w:t>T21</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420" w:type="dxa"/>
            <w:vAlign w:val="bottom"/>
          </w:tcPr>
          <w:p>
            <w:pPr>
              <w:ind w:left="300"/>
              <w:spacing w:after="0"/>
              <w:rPr>
                <w:sz w:val="20"/>
                <w:szCs w:val="20"/>
                <w:color w:val="auto"/>
              </w:rPr>
            </w:pPr>
            <w:r>
              <w:rPr>
                <w:rFonts w:ascii="Arial" w:cs="Arial" w:eastAsia="Arial" w:hAnsi="Arial"/>
                <w:sz w:val="18"/>
                <w:szCs w:val="18"/>
                <w:color w:val="auto"/>
              </w:rPr>
              <w:t>2020 Optimization Plan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420" w:type="dxa"/>
            <w:vAlign w:val="bottom"/>
          </w:tcPr>
          <w:p>
            <w:pPr>
              <w:ind w:left="300"/>
              <w:spacing w:after="0"/>
              <w:rPr>
                <w:sz w:val="20"/>
                <w:szCs w:val="20"/>
                <w:color w:val="auto"/>
              </w:rPr>
            </w:pPr>
            <w:r>
              <w:rPr>
                <w:rFonts w:ascii="Arial" w:cs="Arial" w:eastAsia="Arial" w:hAnsi="Arial"/>
                <w:sz w:val="18"/>
                <w:szCs w:val="18"/>
                <w:color w:val="auto"/>
              </w:rPr>
              <w:t>T19</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Balance as of September 30, 2021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w:t>
      </w:r>
    </w:p>
    <w:p>
      <w:pPr>
        <w:ind w:left="820" w:hanging="326"/>
        <w:spacing w:after="0" w:line="198" w:lineRule="auto"/>
        <w:tabs>
          <w:tab w:leader="none" w:pos="82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Includes expenses primarily related to the disposition of vehicles.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Related Charges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Limited Voluntary Opportunity Plan (“LVOP”)</w:t>
      </w:r>
    </w:p>
    <w:p>
      <w:pPr>
        <w:spacing w:after="0" w:line="270"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During the second quarter of 2021, the Company’s operations in International offered a voluntary termination program to certain employees in field operations, shared services and general and administrative functions for a limited time. These employees, if qualified, elected resignation from employment in return for enhanced severance benefits to be settled in cash. During the nine months ended September 30, 2021, the Company recorded other related charges of approximately $17 million in connection with the LVOP. As of September 30, 2021, approximately 120 employees elected to participate in the plan and the employment of all participants had been terminated.</w:t>
      </w:r>
    </w:p>
    <w:p>
      <w:pPr>
        <w:spacing w:after="0" w:line="235"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During 2020, the Company offered a voluntary termination program to certain employees in field operations, shared services, and general and administrative functions for a limited time. These employees, if qualified, elected resignation from employment in return for enhanced severance benefits to be settled in cash. During the nine months ended September 30, 2020, the Company recorded other related charges of approximately $18 million in connection with the LVOP.</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Officer Separation Costs</w:t>
      </w:r>
    </w:p>
    <w:p>
      <w:pPr>
        <w:spacing w:after="0" w:line="270"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In August 2020, the Company announced the resignation of John F. North, III as the Company’s Chief Financial Officer. Following his post-resignation transition to an advisory position, Mr. North continued to serve as a consultant through January 1, 2021. In connection with Mr. North’s departure, the Company recorded other related charges of approximately $3 million, inclusive of accelerated stock-based compensation expense, for the three months ended September 30, 2020.</w:t>
      </w:r>
    </w:p>
    <w:p>
      <w:pPr>
        <w:spacing w:after="0" w:line="231"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In March 2020, the Company announced the departure of Michael K. Tucker as Executive Vice President, General Counsel effective March 27, 2020. In connection with Mr. Tucker’s separation, the Company recorded other related charges of approximately $2 million for the nine months ended September 30, 2020.</w:t>
      </w:r>
    </w:p>
    <w:p>
      <w:pPr>
        <w:spacing w:after="0" w:line="207"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15"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18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218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51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59"/>
        </w:trPr>
        <w:tc>
          <w:tcPr>
            <w:tcW w:w="5140" w:type="dxa"/>
            <w:vAlign w:val="bottom"/>
          </w:tcPr>
          <w:p>
            <w:pPr>
              <w:spacing w:after="0" w:line="159" w:lineRule="exact"/>
              <w:rPr>
                <w:sz w:val="20"/>
                <w:szCs w:val="20"/>
                <w:color w:val="auto"/>
              </w:rPr>
            </w:pPr>
            <w:r>
              <w:rPr>
                <w:rFonts w:ascii="Arial" w:cs="Arial" w:eastAsia="Arial" w:hAnsi="Arial"/>
                <w:sz w:val="16"/>
                <w:szCs w:val="16"/>
                <w:color w:val="auto"/>
              </w:rPr>
              <w:t>Net income (loss) attributable to Avis Budget Group, Inc. for basic and</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675</w:t>
            </w:r>
          </w:p>
        </w:tc>
        <w:tc>
          <w:tcPr>
            <w:tcW w:w="120" w:type="dxa"/>
            <w:vAlign w:val="bottom"/>
          </w:tcPr>
          <w:p>
            <w:pPr>
              <w:spacing w:after="0"/>
              <w:rPr>
                <w:sz w:val="13"/>
                <w:szCs w:val="13"/>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3"/>
                <w:szCs w:val="13"/>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903</w:t>
            </w:r>
          </w:p>
        </w:tc>
        <w:tc>
          <w:tcPr>
            <w:tcW w:w="120" w:type="dxa"/>
            <w:vAlign w:val="bottom"/>
          </w:tcPr>
          <w:p>
            <w:pPr>
              <w:spacing w:after="0"/>
              <w:rPr>
                <w:sz w:val="13"/>
                <w:szCs w:val="13"/>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179"/>
        </w:trPr>
        <w:tc>
          <w:tcPr>
            <w:tcW w:w="5140" w:type="dxa"/>
            <w:vAlign w:val="bottom"/>
          </w:tcPr>
          <w:p>
            <w:pPr>
              <w:ind w:left="160"/>
              <w:spacing w:after="0" w:line="174" w:lineRule="exact"/>
              <w:rPr>
                <w:sz w:val="20"/>
                <w:szCs w:val="20"/>
                <w:color w:val="auto"/>
              </w:rPr>
            </w:pPr>
            <w:r>
              <w:rPr>
                <w:rFonts w:ascii="Arial" w:cs="Arial" w:eastAsia="Arial" w:hAnsi="Arial"/>
                <w:sz w:val="16"/>
                <w:szCs w:val="16"/>
                <w:color w:val="auto"/>
              </w:rPr>
              <w:t>diluted EPS</w:t>
            </w:r>
          </w:p>
        </w:tc>
        <w:tc>
          <w:tcPr>
            <w:tcW w:w="26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5140" w:type="dxa"/>
            <w:vAlign w:val="bottom"/>
          </w:tcPr>
          <w:p>
            <w:pPr>
              <w:spacing w:after="0"/>
              <w:rPr>
                <w:sz w:val="20"/>
                <w:szCs w:val="20"/>
                <w:color w:val="auto"/>
              </w:rPr>
            </w:pPr>
            <w:r>
              <w:rPr>
                <w:rFonts w:ascii="Arial" w:cs="Arial" w:eastAsia="Arial" w:hAnsi="Arial"/>
                <w:sz w:val="16"/>
                <w:szCs w:val="16"/>
                <w:color w:val="auto"/>
              </w:rPr>
              <w:t>Basic weighted average shares outstanding</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22"/>
        </w:trPr>
        <w:tc>
          <w:tcPr>
            <w:tcW w:w="5140" w:type="dxa"/>
            <w:vAlign w:val="bottom"/>
          </w:tcPr>
          <w:p>
            <w:pPr>
              <w:spacing w:after="0" w:line="222" w:lineRule="exact"/>
              <w:rPr>
                <w:sz w:val="20"/>
                <w:szCs w:val="20"/>
                <w:color w:val="auto"/>
              </w:rPr>
            </w:pPr>
            <w:r>
              <w:rPr>
                <w:rFonts w:ascii="Arial" w:cs="Arial" w:eastAsia="Arial" w:hAnsi="Arial"/>
                <w:sz w:val="16"/>
                <w:szCs w:val="16"/>
                <w:color w:val="auto"/>
              </w:rPr>
              <w:t xml:space="preserve">Non-vested stock </w:t>
            </w:r>
            <w:r>
              <w:rPr>
                <w:rFonts w:ascii="Arial" w:cs="Arial" w:eastAsia="Arial" w:hAnsi="Arial"/>
                <w:sz w:val="21"/>
                <w:szCs w:val="21"/>
                <w:color w:val="auto"/>
                <w:vertAlign w:val="superscript"/>
              </w:rPr>
              <w:t>(a)</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40" w:type="dxa"/>
            <w:vAlign w:val="bottom"/>
          </w:tcPr>
          <w:p>
            <w:pPr>
              <w:spacing w:after="0"/>
              <w:rPr>
                <w:sz w:val="20"/>
                <w:szCs w:val="20"/>
                <w:color w:val="auto"/>
              </w:rPr>
            </w:pPr>
            <w:r>
              <w:rPr>
                <w:rFonts w:ascii="Arial" w:cs="Arial" w:eastAsia="Arial" w:hAnsi="Arial"/>
                <w:sz w:val="16"/>
                <w:szCs w:val="16"/>
                <w:color w:val="auto"/>
              </w:rPr>
              <w:t>Diluted weighted average shares outstanding</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1"/>
        </w:trPr>
        <w:tc>
          <w:tcPr>
            <w:tcW w:w="5140" w:type="dxa"/>
            <w:vAlign w:val="bottom"/>
            <w:vMerge w:val="restart"/>
          </w:tcPr>
          <w:p>
            <w:pPr>
              <w:spacing w:after="0"/>
              <w:rPr>
                <w:sz w:val="20"/>
                <w:szCs w:val="20"/>
                <w:color w:val="auto"/>
              </w:rPr>
            </w:pPr>
            <w:r>
              <w:rPr>
                <w:rFonts w:ascii="Arial" w:cs="Arial" w:eastAsia="Arial" w:hAnsi="Arial"/>
                <w:sz w:val="16"/>
                <w:szCs w:val="16"/>
                <w:i w:val="1"/>
                <w:iCs w:val="1"/>
                <w:color w:val="auto"/>
              </w:rPr>
              <w:t>Earnings (loss) per share: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5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8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10.58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13.31</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216"/>
        </w:trPr>
        <w:tc>
          <w:tcPr>
            <w:tcW w:w="5140" w:type="dxa"/>
            <w:vAlign w:val="bottom"/>
          </w:tcPr>
          <w:p>
            <w:pPr>
              <w:ind w:left="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10.45</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13.16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113" w:lineRule="exact"/>
        <w:rPr>
          <w:sz w:val="20"/>
          <w:szCs w:val="20"/>
          <w:color w:val="auto"/>
        </w:rPr>
      </w:pPr>
    </w:p>
    <w:p>
      <w:pPr>
        <w:jc w:val="both"/>
        <w:ind w:left="820" w:hanging="326"/>
        <w:spacing w:after="0" w:line="230" w:lineRule="auto"/>
        <w:tabs>
          <w:tab w:leader="none" w:pos="813" w:val="left"/>
        </w:tabs>
        <w:numPr>
          <w:ilvl w:val="1"/>
          <w:numId w:val="11"/>
        </w:numPr>
        <w:rPr>
          <w:rFonts w:ascii="Arial" w:cs="Arial" w:eastAsia="Arial" w:hAnsi="Arial"/>
          <w:sz w:val="21"/>
          <w:szCs w:val="21"/>
          <w:i w:val="1"/>
          <w:iCs w:val="1"/>
          <w:color w:val="auto"/>
          <w:vertAlign w:val="superscript"/>
        </w:rPr>
      </w:pPr>
      <w:r>
        <w:rPr>
          <w:rFonts w:ascii="Arial" w:cs="Arial" w:eastAsia="Arial" w:hAnsi="Arial"/>
          <w:sz w:val="16"/>
          <w:szCs w:val="16"/>
          <w:color w:val="auto"/>
        </w:rPr>
        <w:t>For the three months ended September 30, 2020, 0.2 million, non-vested stock awards have an anti-dilutive effect and therefore are excluded from the computation of diluted weighted average shares outstanding. For the nine months ended September 30, 2021 and 2020, 0.4 million and 1.4 million, non-vested stock awards, respectively, have an anti-dilutive effect and therefore are excluded from the computation of diluted weighted average shares outstanding.</w:t>
      </w:r>
    </w:p>
    <w:p>
      <w:pPr>
        <w:spacing w:after="0" w:line="321" w:lineRule="exact"/>
        <w:rPr>
          <w:rFonts w:ascii="Arial" w:cs="Arial" w:eastAsia="Arial" w:hAnsi="Arial"/>
          <w:sz w:val="21"/>
          <w:szCs w:val="21"/>
          <w:i w:val="1"/>
          <w:iCs w:val="1"/>
          <w:color w:val="auto"/>
          <w:vertAlign w:val="superscript"/>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61" w:lineRule="exact"/>
        <w:rPr>
          <w:sz w:val="20"/>
          <w:szCs w:val="20"/>
          <w:color w:val="auto"/>
        </w:rPr>
      </w:pPr>
    </w:p>
    <w:p>
      <w:pPr>
        <w:jc w:val="both"/>
        <w:ind w:left="500"/>
        <w:spacing w:after="0" w:line="223" w:lineRule="auto"/>
        <w:rPr>
          <w:sz w:val="20"/>
          <w:szCs w:val="20"/>
          <w:color w:val="auto"/>
        </w:rPr>
      </w:pPr>
      <w:r>
        <w:rPr>
          <w:rFonts w:ascii="Arial" w:cs="Arial" w:eastAsia="Arial" w:hAnsi="Arial"/>
          <w:sz w:val="18"/>
          <w:szCs w:val="18"/>
          <w:color w:val="auto"/>
        </w:rPr>
        <w:t>During the third quarter of 2021, the Company completed the acquisitions of various licensees in Europe and North America, for approximately $ 13 million, plus $4 million for acquired fleet. These investments were in-line with the Company’s strategy to re-acquire licensees when advantageous to expand its footprint of Company-operated locations. The acquired fleet was financed under the Company’s existing financing arrangements. In connection with these acquisitions, approximately $ 18 million was recorded to other intangibles related to franchise agreements. The license agreements are being amortized over a weighted average useful life of approximately 2 years. The fair value of the assets acquired and liabilities assumed has not yet been finalized and is therefore subject to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65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831"/>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6.  Other Current Assets</w:t>
            </w: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59"/>
        </w:trPr>
        <w:tc>
          <w:tcPr>
            <w:tcW w:w="6540" w:type="dxa"/>
            <w:vAlign w:val="bottom"/>
            <w:gridSpan w:val="2"/>
          </w:tcPr>
          <w:p>
            <w:pPr>
              <w:ind w:left="500"/>
              <w:spacing w:after="0"/>
              <w:rPr>
                <w:sz w:val="20"/>
                <w:szCs w:val="20"/>
                <w:color w:val="auto"/>
              </w:rPr>
            </w:pPr>
            <w:r>
              <w:rPr>
                <w:rFonts w:ascii="Arial" w:cs="Arial" w:eastAsia="Arial" w:hAnsi="Arial"/>
                <w:sz w:val="18"/>
                <w:szCs w:val="18"/>
                <w:color w:val="auto"/>
              </w:rPr>
              <w:t>Other current assets consisted of:</w:t>
            </w: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89"/>
        </w:trPr>
        <w:tc>
          <w:tcPr>
            <w:tcW w:w="140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As of</w:t>
            </w:r>
          </w:p>
        </w:tc>
        <w:tc>
          <w:tcPr>
            <w:tcW w:w="200" w:type="dxa"/>
            <w:vAlign w:val="bottom"/>
          </w:tcPr>
          <w:p>
            <w:pPr>
              <w:spacing w:after="0"/>
              <w:rPr>
                <w:sz w:val="16"/>
                <w:szCs w:val="16"/>
                <w:color w:val="auto"/>
              </w:rPr>
            </w:pPr>
          </w:p>
        </w:tc>
        <w:tc>
          <w:tcPr>
            <w:tcW w:w="1820" w:type="dxa"/>
            <w:vAlign w:val="bottom"/>
          </w:tcPr>
          <w:p>
            <w:pPr>
              <w:jc w:val="right"/>
              <w:ind w:right="759"/>
              <w:spacing w:after="0"/>
              <w:rPr>
                <w:sz w:val="20"/>
                <w:szCs w:val="20"/>
                <w:color w:val="auto"/>
              </w:rPr>
            </w:pPr>
            <w:r>
              <w:rPr>
                <w:rFonts w:ascii="Arial" w:cs="Arial" w:eastAsia="Arial" w:hAnsi="Arial"/>
                <w:sz w:val="16"/>
                <w:szCs w:val="16"/>
                <w:b w:val="1"/>
                <w:bCs w:val="1"/>
                <w:color w:val="auto"/>
              </w:rPr>
              <w:t>As of</w:t>
            </w:r>
          </w:p>
        </w:tc>
      </w:tr>
      <w:tr>
        <w:trPr>
          <w:trHeight w:val="215"/>
        </w:trPr>
        <w:tc>
          <w:tcPr>
            <w:tcW w:w="14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September 30, 2021</w:t>
            </w:r>
          </w:p>
        </w:tc>
        <w:tc>
          <w:tcPr>
            <w:tcW w:w="200" w:type="dxa"/>
            <w:vAlign w:val="bottom"/>
          </w:tcPr>
          <w:p>
            <w:pPr>
              <w:spacing w:after="0"/>
              <w:rPr>
                <w:sz w:val="18"/>
                <w:szCs w:val="18"/>
                <w:color w:val="auto"/>
              </w:rPr>
            </w:pPr>
          </w:p>
        </w:tc>
        <w:tc>
          <w:tcPr>
            <w:tcW w:w="182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 2020</w:t>
            </w:r>
          </w:p>
        </w:tc>
      </w:tr>
      <w:tr>
        <w:trPr>
          <w:trHeight w:val="204"/>
        </w:trPr>
        <w:tc>
          <w:tcPr>
            <w:tcW w:w="6540" w:type="dxa"/>
            <w:vAlign w:val="bottom"/>
            <w:gridSpan w:val="2"/>
          </w:tcPr>
          <w:p>
            <w:pPr>
              <w:ind w:left="520"/>
              <w:spacing w:after="0"/>
              <w:rPr>
                <w:sz w:val="20"/>
                <w:szCs w:val="20"/>
                <w:color w:val="auto"/>
              </w:rPr>
            </w:pPr>
            <w:r>
              <w:rPr>
                <w:rFonts w:ascii="Arial" w:cs="Arial" w:eastAsia="Arial" w:hAnsi="Arial"/>
                <w:sz w:val="16"/>
                <w:szCs w:val="16"/>
                <w:color w:val="auto"/>
              </w:rPr>
              <w:t>Sales and use tax</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w:t>
            </w:r>
          </w:p>
        </w:tc>
      </w:tr>
      <w:tr>
        <w:trPr>
          <w:trHeight w:val="216"/>
        </w:trPr>
        <w:tc>
          <w:tcPr>
            <w:tcW w:w="6540" w:type="dxa"/>
            <w:vAlign w:val="bottom"/>
            <w:gridSpan w:val="2"/>
          </w:tcPr>
          <w:p>
            <w:pPr>
              <w:ind w:left="52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19"/>
        </w:trPr>
        <w:tc>
          <w:tcPr>
            <w:tcW w:w="6540" w:type="dxa"/>
            <w:vAlign w:val="bottom"/>
            <w:gridSpan w:val="2"/>
          </w:tcPr>
          <w:p>
            <w:pPr>
              <w:ind w:left="5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r>
      <w:tr>
        <w:trPr>
          <w:trHeight w:val="213"/>
        </w:trPr>
        <w:tc>
          <w:tcPr>
            <w:tcW w:w="6540" w:type="dxa"/>
            <w:vAlign w:val="bottom"/>
            <w:gridSpan w:val="2"/>
          </w:tcPr>
          <w:p>
            <w:pPr>
              <w:ind w:left="5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r>
      <w:tr>
        <w:trPr>
          <w:trHeight w:val="20"/>
        </w:trPr>
        <w:tc>
          <w:tcPr>
            <w:tcW w:w="14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Intangible Assets</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consisted of:</w:t>
      </w:r>
    </w:p>
    <w:p>
      <w:pPr>
        <w:spacing w:after="0" w:line="32" w:lineRule="exact"/>
        <w:rPr>
          <w:sz w:val="20"/>
          <w:szCs w:val="20"/>
          <w:color w:val="auto"/>
        </w:rPr>
      </w:pPr>
    </w:p>
    <w:tbl>
      <w:tblPr>
        <w:tblLayout w:type="fixed"/>
        <w:tblInd w:w="520" w:type="dxa"/>
        <w:tblCellMar>
          <w:top w:w="0" w:type="dxa"/>
          <w:left w:w="0" w:type="dxa"/>
          <w:bottom w:w="0" w:type="dxa"/>
          <w:right w:w="0" w:type="dxa"/>
        </w:tblCellMar>
      </w:tblPr>
      <w:tr>
        <w:trPr>
          <w:trHeight w:val="218"/>
        </w:trPr>
        <w:tc>
          <w:tcPr>
            <w:tcW w:w="2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center"/>
              <w:ind w:left="679"/>
              <w:spacing w:after="0"/>
              <w:rPr>
                <w:sz w:val="20"/>
                <w:szCs w:val="20"/>
                <w:color w:val="auto"/>
              </w:rPr>
            </w:pPr>
            <w:r>
              <w:rPr>
                <w:rFonts w:ascii="Arial" w:cs="Arial" w:eastAsia="Arial" w:hAnsi="Arial"/>
                <w:sz w:val="16"/>
                <w:szCs w:val="16"/>
                <w:b w:val="1"/>
                <w:bCs w:val="1"/>
                <w:color w:val="auto"/>
              </w:rPr>
              <w:t>As of September 30, 2021</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center"/>
              <w:ind w:left="679"/>
              <w:spacing w:after="0"/>
              <w:rPr>
                <w:sz w:val="20"/>
                <w:szCs w:val="20"/>
                <w:color w:val="auto"/>
              </w:rPr>
            </w:pPr>
            <w:r>
              <w:rPr>
                <w:rFonts w:ascii="Arial" w:cs="Arial" w:eastAsia="Arial" w:hAnsi="Arial"/>
                <w:sz w:val="16"/>
                <w:szCs w:val="16"/>
                <w:b w:val="1"/>
                <w:bCs w:val="1"/>
                <w:color w:val="auto"/>
              </w:rPr>
              <w:t>As of December 31, 2020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9"/>
              </w:rPr>
              <w:t>Gross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3"/>
                <w:szCs w:val="13"/>
                <w:color w:val="auto"/>
              </w:rPr>
            </w:pPr>
          </w:p>
        </w:tc>
        <w:tc>
          <w:tcPr>
            <w:tcW w:w="920" w:type="dxa"/>
            <w:vAlign w:val="bottom"/>
          </w:tcPr>
          <w:p>
            <w:pPr>
              <w:jc w:val="center"/>
              <w:ind w:right="139"/>
              <w:spacing w:after="0" w:line="158" w:lineRule="exact"/>
              <w:rPr>
                <w:sz w:val="20"/>
                <w:szCs w:val="20"/>
                <w:color w:val="auto"/>
              </w:rPr>
            </w:pPr>
            <w:r>
              <w:rPr>
                <w:rFonts w:ascii="Arial" w:cs="Arial" w:eastAsia="Arial" w:hAnsi="Arial"/>
                <w:sz w:val="16"/>
                <w:szCs w:val="16"/>
                <w:b w:val="1"/>
                <w:bCs w:val="1"/>
                <w:color w:val="auto"/>
              </w:rPr>
              <w:t>Net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3"/>
                <w:szCs w:val="13"/>
                <w:color w:val="auto"/>
              </w:rPr>
            </w:pPr>
          </w:p>
        </w:tc>
        <w:tc>
          <w:tcPr>
            <w:tcW w:w="940" w:type="dxa"/>
            <w:vAlign w:val="bottom"/>
          </w:tcPr>
          <w:p>
            <w:pPr>
              <w:jc w:val="center"/>
              <w:ind w:right="119"/>
              <w:spacing w:after="0" w:line="158" w:lineRule="exact"/>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4"/>
                <w:szCs w:val="14"/>
                <w:color w:val="auto"/>
              </w:rPr>
            </w:pPr>
          </w:p>
        </w:tc>
        <w:tc>
          <w:tcPr>
            <w:tcW w:w="96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Amount</w:t>
            </w:r>
          </w:p>
        </w:tc>
        <w:tc>
          <w:tcPr>
            <w:tcW w:w="160" w:type="dxa"/>
            <w:vAlign w:val="bottom"/>
          </w:tcPr>
          <w:p>
            <w:pPr>
              <w:spacing w:after="0"/>
              <w:rPr>
                <w:sz w:val="18"/>
                <w:szCs w:val="18"/>
                <w:color w:val="auto"/>
              </w:rPr>
            </w:pPr>
          </w:p>
        </w:tc>
        <w:tc>
          <w:tcPr>
            <w:tcW w:w="96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940" w:type="dxa"/>
            <w:vAlign w:val="bottom"/>
          </w:tcPr>
          <w:p>
            <w:pPr>
              <w:jc w:val="center"/>
              <w:ind w:right="11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191"/>
        </w:trPr>
        <w:tc>
          <w:tcPr>
            <w:tcW w:w="2420" w:type="dxa"/>
            <w:vAlign w:val="bottom"/>
          </w:tcPr>
          <w:p>
            <w:pPr>
              <w:spacing w:after="0"/>
              <w:rPr>
                <w:sz w:val="20"/>
                <w:szCs w:val="20"/>
                <w:color w:val="auto"/>
              </w:rPr>
            </w:pPr>
            <w:r>
              <w:rPr>
                <w:rFonts w:ascii="Arial" w:cs="Arial" w:eastAsia="Arial" w:hAnsi="Arial"/>
                <w:sz w:val="16"/>
                <w:szCs w:val="16"/>
                <w:i w:val="1"/>
                <w:iCs w:val="1"/>
                <w:color w:val="auto"/>
              </w:rPr>
              <w:t>Amortized Intangible Assets</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6"/>
                <w:szCs w:val="16"/>
                <w:color w:val="auto"/>
              </w:rPr>
              <w:t>License agreements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291</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6"/>
                <w:szCs w:val="16"/>
                <w:color w:val="auto"/>
              </w:rPr>
              <w:t>Customer relationships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9"/>
        </w:trPr>
        <w:tc>
          <w:tcPr>
            <w:tcW w:w="2420" w:type="dxa"/>
            <w:vAlign w:val="bottom"/>
          </w:tcPr>
          <w:p>
            <w:pPr>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602</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602</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
        </w:trPr>
        <w:tc>
          <w:tcPr>
            <w:tcW w:w="24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Unamortized Intangible Assets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2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20" w:type="dxa"/>
            <w:vAlign w:val="bottom"/>
          </w:tcPr>
          <w:p>
            <w:pPr>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Arial" w:cs="Arial" w:eastAsia="Arial" w:hAnsi="Arial"/>
                <w:sz w:val="16"/>
                <w:szCs w:val="16"/>
                <w:color w:val="auto"/>
              </w:rPr>
              <w:t>Trademarks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For the three months ended September 30, 2021 and 2020, amortization expense related to amortizable intangible assets was approximately $ 13 million and $17 million, respectively. For the nine months ended September 30, 2021 and 2020, amortization expense related to amortizable intangible assets was approximately $45 million and $46 million, respectively. Based on the Company’s amortizable intangible assets at September 30, 2021, the Company expects amortization expense of approximately $16 million for the remainder of 2021, $44 million for 2022, $29 million for 2023, $22 million for 2024, $17 million for 2025 and $15 million for 2026, excluding effects of currency exchange rates.</w:t>
      </w:r>
    </w:p>
    <w:p>
      <w:pPr>
        <w:spacing w:after="0" w:line="213"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vehicles, net within assets under vehicle programs were as follows:</w:t>
      </w:r>
    </w:p>
    <w:p>
      <w:pPr>
        <w:spacing w:after="0" w:line="32" w:lineRule="exact"/>
        <w:rPr>
          <w:sz w:val="20"/>
          <w:szCs w:val="20"/>
          <w:color w:val="auto"/>
        </w:rPr>
      </w:pPr>
    </w:p>
    <w:tbl>
      <w:tblPr>
        <w:tblLayout w:type="fixed"/>
        <w:tblInd w:w="520" w:type="dxa"/>
        <w:tblCellMar>
          <w:top w:w="0" w:type="dxa"/>
          <w:left w:w="0" w:type="dxa"/>
          <w:bottom w:w="0" w:type="dxa"/>
          <w:right w:w="0" w:type="dxa"/>
        </w:tblCellMar>
      </w:tblPr>
      <w:tr>
        <w:trPr>
          <w:trHeight w:val="215"/>
        </w:trPr>
        <w:tc>
          <w:tcPr>
            <w:tcW w:w="6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As of</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440" w:type="dxa"/>
            <w:vAlign w:val="bottom"/>
          </w:tcPr>
          <w:p>
            <w:pPr>
              <w:jc w:val="center"/>
              <w:ind w:right="139"/>
              <w:spacing w:after="0"/>
              <w:rPr>
                <w:sz w:val="20"/>
                <w:szCs w:val="20"/>
                <w:color w:val="auto"/>
              </w:rPr>
            </w:pPr>
            <w:r>
              <w:rPr>
                <w:rFonts w:ascii="Arial" w:cs="Arial" w:eastAsia="Arial" w:hAnsi="Arial"/>
                <w:sz w:val="16"/>
                <w:szCs w:val="16"/>
                <w:b w:val="1"/>
                <w:bCs w:val="1"/>
                <w:color w:val="auto"/>
              </w:rPr>
              <w:t>December 31,</w:t>
            </w:r>
          </w:p>
        </w:tc>
      </w:tr>
      <w:tr>
        <w:trPr>
          <w:trHeight w:val="219"/>
        </w:trPr>
        <w:tc>
          <w:tcPr>
            <w:tcW w:w="6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2020</w:t>
            </w:r>
          </w:p>
        </w:tc>
      </w:tr>
      <w:tr>
        <w:trPr>
          <w:trHeight w:val="207"/>
        </w:trPr>
        <w:tc>
          <w:tcPr>
            <w:tcW w:w="6580" w:type="dxa"/>
            <w:vAlign w:val="bottom"/>
          </w:tcPr>
          <w:p>
            <w:pPr>
              <w:spacing w:after="0"/>
              <w:rPr>
                <w:sz w:val="20"/>
                <w:szCs w:val="20"/>
                <w:color w:val="auto"/>
              </w:rPr>
            </w:pPr>
            <w:r>
              <w:rPr>
                <w:rFonts w:ascii="Arial" w:cs="Arial" w:eastAsia="Arial" w:hAnsi="Arial"/>
                <w:sz w:val="16"/>
                <w:szCs w:val="16"/>
                <w:color w:val="auto"/>
              </w:rPr>
              <w:t>Rental vehicles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13,501</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9,210</w:t>
            </w:r>
          </w:p>
        </w:tc>
      </w:tr>
      <w:tr>
        <w:trPr>
          <w:trHeight w:val="219"/>
        </w:trPr>
        <w:tc>
          <w:tcPr>
            <w:tcW w:w="6580" w:type="dxa"/>
            <w:vAlign w:val="bottom"/>
          </w:tcPr>
          <w:p>
            <w:pPr>
              <w:spacing w:after="0"/>
              <w:rPr>
                <w:sz w:val="20"/>
                <w:szCs w:val="20"/>
                <w:color w:val="auto"/>
              </w:rPr>
            </w:pPr>
            <w:r>
              <w:rPr>
                <w:rFonts w:ascii="Arial" w:cs="Arial" w:eastAsia="Arial" w:hAnsi="Arial"/>
                <w:sz w:val="16"/>
                <w:szCs w:val="16"/>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w:t>
            </w:r>
          </w:p>
        </w:tc>
      </w:tr>
      <w:tr>
        <w:trPr>
          <w:trHeight w:val="206"/>
        </w:trPr>
        <w:tc>
          <w:tcPr>
            <w:tcW w:w="6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11,802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7,873</w:t>
            </w:r>
          </w:p>
        </w:tc>
      </w:tr>
      <w:tr>
        <w:trPr>
          <w:trHeight w:val="219"/>
        </w:trPr>
        <w:tc>
          <w:tcPr>
            <w:tcW w:w="6580" w:type="dxa"/>
            <w:vAlign w:val="bottom"/>
          </w:tcPr>
          <w:p>
            <w:pPr>
              <w:spacing w:after="0"/>
              <w:rPr>
                <w:sz w:val="20"/>
                <w:szCs w:val="20"/>
                <w:color w:val="auto"/>
              </w:rPr>
            </w:pPr>
            <w:r>
              <w:rPr>
                <w:rFonts w:ascii="Arial" w:cs="Arial" w:eastAsia="Arial" w:hAnsi="Arial"/>
                <w:sz w:val="16"/>
                <w:szCs w:val="16"/>
                <w:color w:val="auto"/>
              </w:rPr>
              <w:t>Vehicles held for sale</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r>
      <w:tr>
        <w:trPr>
          <w:trHeight w:val="213"/>
        </w:trPr>
        <w:tc>
          <w:tcPr>
            <w:tcW w:w="6580" w:type="dxa"/>
            <w:vAlign w:val="bottom"/>
          </w:tcPr>
          <w:p>
            <w:pPr>
              <w:spacing w:after="0"/>
              <w:rPr>
                <w:sz w:val="20"/>
                <w:szCs w:val="20"/>
                <w:color w:val="auto"/>
              </w:rPr>
            </w:pPr>
            <w:r>
              <w:rPr>
                <w:rFonts w:ascii="Arial" w:cs="Arial" w:eastAsia="Arial" w:hAnsi="Arial"/>
                <w:sz w:val="16"/>
                <w:szCs w:val="16"/>
                <w:color w:val="auto"/>
              </w:rPr>
              <w:t>Vehicles,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8,153</w:t>
            </w:r>
          </w:p>
        </w:tc>
      </w:tr>
      <w:tr>
        <w:trPr>
          <w:trHeight w:val="20"/>
        </w:trPr>
        <w:tc>
          <w:tcPr>
            <w:tcW w:w="6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15"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4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Nine Months Ended</w:t>
            </w:r>
          </w:p>
        </w:tc>
        <w:tc>
          <w:tcPr>
            <w:tcW w:w="500" w:type="dxa"/>
            <w:vAlign w:val="bottom"/>
          </w:tcPr>
          <w:p>
            <w:pPr>
              <w:spacing w:after="0"/>
              <w:rPr>
                <w:sz w:val="16"/>
                <w:szCs w:val="16"/>
                <w:color w:val="auto"/>
              </w:rPr>
            </w:pPr>
          </w:p>
        </w:tc>
      </w:tr>
      <w:tr>
        <w:trPr>
          <w:trHeight w:val="215"/>
        </w:trPr>
        <w:tc>
          <w:tcPr>
            <w:tcW w:w="4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Borders>
              <w:bottom w:val="single" w:sz="8" w:color="auto"/>
            </w:tcBorders>
          </w:tcPr>
          <w:p>
            <w:pPr>
              <w:spacing w:after="0"/>
              <w:rPr>
                <w:sz w:val="18"/>
                <w:szCs w:val="18"/>
                <w:color w:val="auto"/>
              </w:rPr>
            </w:pPr>
          </w:p>
        </w:tc>
      </w:tr>
      <w:tr>
        <w:trPr>
          <w:trHeight w:val="209"/>
        </w:trPr>
        <w:tc>
          <w:tcPr>
            <w:tcW w:w="4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r>
      <w:tr>
        <w:trPr>
          <w:trHeight w:val="204"/>
        </w:trPr>
        <w:tc>
          <w:tcPr>
            <w:tcW w:w="4140" w:type="dxa"/>
            <w:vAlign w:val="bottom"/>
          </w:tcPr>
          <w:p>
            <w:pPr>
              <w:spacing w:after="0"/>
              <w:rPr>
                <w:sz w:val="20"/>
                <w:szCs w:val="20"/>
                <w:color w:val="auto"/>
              </w:rPr>
            </w:pPr>
            <w:r>
              <w:rPr>
                <w:rFonts w:ascii="Arial" w:cs="Arial" w:eastAsia="Arial" w:hAnsi="Arial"/>
                <w:sz w:val="16"/>
                <w:szCs w:val="16"/>
                <w:color w:val="auto"/>
              </w:rPr>
              <w:t>Depreciation expense</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7"/>
                <w:szCs w:val="17"/>
                <w:color w:val="auto"/>
              </w:rPr>
            </w:pP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7"/>
                <w:szCs w:val="17"/>
                <w:color w:val="auto"/>
              </w:rPr>
            </w:pPr>
          </w:p>
        </w:tc>
        <w:tc>
          <w:tcPr>
            <w:tcW w:w="90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tcPr>
          <w:p>
            <w:pPr>
              <w:jc w:val="center"/>
              <w:spacing w:after="0"/>
              <w:rPr>
                <w:sz w:val="20"/>
                <w:szCs w:val="20"/>
                <w:color w:val="auto"/>
              </w:rPr>
            </w:pPr>
            <w:r>
              <w:rPr>
                <w:rFonts w:ascii="Arial" w:cs="Arial" w:eastAsia="Arial" w:hAnsi="Arial"/>
                <w:sz w:val="16"/>
                <w:szCs w:val="16"/>
                <w:color w:val="auto"/>
                <w:w w:val="97"/>
              </w:rPr>
              <w:t>981</w:t>
            </w:r>
          </w:p>
        </w:tc>
        <w:tc>
          <w:tcPr>
            <w:tcW w:w="100" w:type="dxa"/>
            <w:vAlign w:val="bottom"/>
          </w:tcPr>
          <w:p>
            <w:pPr>
              <w:spacing w:after="0"/>
              <w:rPr>
                <w:sz w:val="17"/>
                <w:szCs w:val="17"/>
                <w:color w:val="auto"/>
              </w:rPr>
            </w:pP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1,063</w:t>
            </w:r>
          </w:p>
        </w:tc>
      </w:tr>
      <w:tr>
        <w:trPr>
          <w:trHeight w:val="216"/>
        </w:trPr>
        <w:tc>
          <w:tcPr>
            <w:tcW w:w="4140" w:type="dxa"/>
            <w:vAlign w:val="bottom"/>
          </w:tcPr>
          <w:p>
            <w:pPr>
              <w:spacing w:after="0"/>
              <w:rPr>
                <w:sz w:val="20"/>
                <w:szCs w:val="20"/>
                <w:color w:val="auto"/>
              </w:rPr>
            </w:pPr>
            <w:r>
              <w:rPr>
                <w:rFonts w:ascii="Arial" w:cs="Arial" w:eastAsia="Arial" w:hAnsi="Arial"/>
                <w:sz w:val="16"/>
                <w:szCs w:val="16"/>
                <w:color w:val="auto"/>
              </w:rPr>
              <w:t>Lease charges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6"/>
                <w:szCs w:val="16"/>
                <w:color w:val="auto"/>
                <w:w w:val="97"/>
              </w:rPr>
              <w:t>129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19"/>
        </w:trPr>
        <w:tc>
          <w:tcPr>
            <w:tcW w:w="4140" w:type="dxa"/>
            <w:vAlign w:val="bottom"/>
          </w:tcPr>
          <w:p>
            <w:pPr>
              <w:spacing w:after="0"/>
              <w:rPr>
                <w:sz w:val="20"/>
                <w:szCs w:val="20"/>
                <w:color w:val="auto"/>
              </w:rPr>
            </w:pPr>
            <w:r>
              <w:rPr>
                <w:rFonts w:ascii="Arial" w:cs="Arial" w:eastAsia="Arial" w:hAnsi="Arial"/>
                <w:sz w:val="16"/>
                <w:szCs w:val="16"/>
                <w:color w:val="auto"/>
              </w:rPr>
              <w:t>(Gain) loss on sale of vehicles, net</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r>
      <w:tr>
        <w:trPr>
          <w:trHeight w:val="213"/>
        </w:trPr>
        <w:tc>
          <w:tcPr>
            <w:tcW w:w="4140" w:type="dxa"/>
            <w:vAlign w:val="bottom"/>
          </w:tcPr>
          <w:p>
            <w:pPr>
              <w:spacing w:after="0"/>
              <w:rPr>
                <w:sz w:val="20"/>
                <w:szCs w:val="20"/>
                <w:color w:val="auto"/>
              </w:rPr>
            </w:pPr>
            <w:r>
              <w:rPr>
                <w:rFonts w:ascii="Arial" w:cs="Arial" w:eastAsia="Arial" w:hAnsi="Arial"/>
                <w:sz w:val="16"/>
                <w:szCs w:val="16"/>
                <w:color w:val="auto"/>
              </w:rPr>
              <w:t>Vehicle depreciation and lease charges, net</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869</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1,089</w:t>
            </w:r>
          </w:p>
        </w:tc>
      </w:tr>
      <w:tr>
        <w:trPr>
          <w:trHeight w:val="20"/>
        </w:trPr>
        <w:tc>
          <w:tcPr>
            <w:tcW w:w="4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left="500" w:right="20"/>
        <w:spacing w:after="0" w:line="256" w:lineRule="auto"/>
        <w:rPr>
          <w:sz w:val="20"/>
          <w:szCs w:val="20"/>
          <w:color w:val="auto"/>
        </w:rPr>
      </w:pPr>
      <w:r>
        <w:rPr>
          <w:rFonts w:ascii="Arial" w:cs="Arial" w:eastAsia="Arial" w:hAnsi="Arial"/>
          <w:sz w:val="18"/>
          <w:szCs w:val="18"/>
          <w:color w:val="auto"/>
        </w:rPr>
        <w:t>At September 30, 2021 and 2020, the Company had payables related to vehicle purchases included in liabilities under vehicle programs - other of $167 million and $213 million, respectively, and receivables related to vehicle sales included in assets under vehicle programs - receivables from vehicle manufacturers and other of $145 million and $357 million, respectively.</w:t>
      </w:r>
    </w:p>
    <w:p>
      <w:pPr>
        <w:spacing w:after="0" w:line="207"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4"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The Company’s effective tax rate for the nine months ended September 30, 2021 and 2020 were provision of and (benefit) of 22.6% and (27.6)%, respectively. Such rates differed from the Federal Statutory rate of 21.0% primarily due to foreign taxes on the Company’s International operations and state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80" w:type="dxa"/>
            <w:vAlign w:val="bottom"/>
          </w:tcPr>
          <w:p>
            <w:pPr>
              <w:spacing w:after="0"/>
              <w:rPr>
                <w:sz w:val="20"/>
                <w:szCs w:val="20"/>
                <w:color w:val="auto"/>
              </w:rPr>
            </w:pPr>
            <w:r>
              <w:rPr>
                <w:rFonts w:ascii="Arial" w:cs="Arial" w:eastAsia="Arial" w:hAnsi="Arial"/>
                <w:sz w:val="18"/>
                <w:szCs w:val="18"/>
                <w:b w:val="1"/>
                <w:bCs w:val="1"/>
                <w:color w:val="auto"/>
              </w:rPr>
              <w:t>10.  Accounts Payable and Other Current Liabilities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9"/>
        </w:trPr>
        <w:tc>
          <w:tcPr>
            <w:tcW w:w="7280" w:type="dxa"/>
            <w:vAlign w:val="bottom"/>
          </w:tcPr>
          <w:p>
            <w:pPr>
              <w:ind w:left="500"/>
              <w:spacing w:after="0"/>
              <w:rPr>
                <w:sz w:val="20"/>
                <w:szCs w:val="20"/>
                <w:color w:val="auto"/>
              </w:rPr>
            </w:pPr>
            <w:r>
              <w:rPr>
                <w:rFonts w:ascii="Arial" w:cs="Arial" w:eastAsia="Arial" w:hAnsi="Arial"/>
                <w:sz w:val="18"/>
                <w:szCs w:val="18"/>
                <w:color w:val="auto"/>
              </w:rPr>
              <w:t>Accounts payable and other current liabilities consisted of:</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7"/>
        </w:trPr>
        <w:tc>
          <w:tcPr>
            <w:tcW w:w="7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As of</w:t>
            </w:r>
          </w:p>
        </w:tc>
        <w:tc>
          <w:tcPr>
            <w:tcW w:w="180" w:type="dxa"/>
            <w:vAlign w:val="bottom"/>
          </w:tcPr>
          <w:p>
            <w:pPr>
              <w:spacing w:after="0"/>
              <w:rPr>
                <w:sz w:val="21"/>
                <w:szCs w:val="21"/>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As of</w:t>
            </w:r>
          </w:p>
        </w:tc>
      </w:tr>
      <w:tr>
        <w:trPr>
          <w:trHeight w:val="229"/>
        </w:trPr>
        <w:tc>
          <w:tcPr>
            <w:tcW w:w="7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December 31,</w:t>
            </w:r>
          </w:p>
        </w:tc>
      </w:tr>
      <w:tr>
        <w:trPr>
          <w:trHeight w:val="239"/>
        </w:trPr>
        <w:tc>
          <w:tcPr>
            <w:tcW w:w="7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7280" w:type="dxa"/>
            <w:vAlign w:val="bottom"/>
          </w:tcPr>
          <w:p>
            <w:pPr>
              <w:ind w:left="520"/>
              <w:spacing w:after="0"/>
              <w:rPr>
                <w:sz w:val="20"/>
                <w:szCs w:val="20"/>
                <w:color w:val="auto"/>
              </w:rPr>
            </w:pPr>
            <w:r>
              <w:rPr>
                <w:rFonts w:ascii="Arial" w:cs="Arial" w:eastAsia="Arial" w:hAnsi="Arial"/>
                <w:sz w:val="18"/>
                <w:szCs w:val="18"/>
                <w:color w:val="auto"/>
              </w:rPr>
              <w:t>Short-term operating lease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30"/>
        </w:trPr>
        <w:tc>
          <w:tcPr>
            <w:tcW w:w="728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29"/>
        </w:trPr>
        <w:tc>
          <w:tcPr>
            <w:tcW w:w="7280" w:type="dxa"/>
            <w:vAlign w:val="bottom"/>
          </w:tcPr>
          <w:p>
            <w:pPr>
              <w:ind w:left="520"/>
              <w:spacing w:after="0"/>
              <w:rPr>
                <w:sz w:val="20"/>
                <w:szCs w:val="20"/>
                <w:color w:val="auto"/>
              </w:rPr>
            </w:pPr>
            <w:r>
              <w:rPr>
                <w:rFonts w:ascii="Arial" w:cs="Arial" w:eastAsia="Arial" w:hAnsi="Arial"/>
                <w:sz w:val="18"/>
                <w:szCs w:val="18"/>
                <w:color w:val="auto"/>
              </w:rPr>
              <w:t>Accrued sales and use taxes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30"/>
        </w:trPr>
        <w:tc>
          <w:tcPr>
            <w:tcW w:w="7280" w:type="dxa"/>
            <w:vAlign w:val="bottom"/>
          </w:tcPr>
          <w:p>
            <w:pPr>
              <w:ind w:left="520"/>
              <w:spacing w:after="0"/>
              <w:rPr>
                <w:sz w:val="20"/>
                <w:szCs w:val="20"/>
                <w:color w:val="auto"/>
              </w:rPr>
            </w:pPr>
            <w:r>
              <w:rPr>
                <w:rFonts w:ascii="Arial" w:cs="Arial" w:eastAsia="Arial" w:hAnsi="Arial"/>
                <w:sz w:val="18"/>
                <w:szCs w:val="18"/>
                <w:color w:val="auto"/>
              </w:rPr>
              <w:t>Deferred lease revenues - current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7280" w:type="dxa"/>
            <w:vAlign w:val="bottom"/>
          </w:tcPr>
          <w:p>
            <w:pPr>
              <w:ind w:left="520"/>
              <w:spacing w:after="0"/>
              <w:rPr>
                <w:sz w:val="20"/>
                <w:szCs w:val="20"/>
                <w:color w:val="auto"/>
              </w:rPr>
            </w:pPr>
            <w:r>
              <w:rPr>
                <w:rFonts w:ascii="Arial" w:cs="Arial" w:eastAsia="Arial" w:hAnsi="Arial"/>
                <w:sz w:val="18"/>
                <w:szCs w:val="18"/>
                <w:color w:val="auto"/>
              </w:rPr>
              <w:t>Accrued advertising and marketing</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7280" w:type="dxa"/>
            <w:vAlign w:val="bottom"/>
          </w:tcPr>
          <w:p>
            <w:pPr>
              <w:ind w:left="520"/>
              <w:spacing w:after="0"/>
              <w:rPr>
                <w:sz w:val="20"/>
                <w:szCs w:val="20"/>
                <w:color w:val="auto"/>
              </w:rPr>
            </w:pPr>
            <w:r>
              <w:rPr>
                <w:rFonts w:ascii="Arial" w:cs="Arial" w:eastAsia="Arial" w:hAnsi="Arial"/>
                <w:sz w:val="18"/>
                <w:szCs w:val="18"/>
                <w:color w:val="auto"/>
              </w:rPr>
              <w:t>Accrued payroll and related</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7280" w:type="dxa"/>
            <w:vAlign w:val="bottom"/>
          </w:tcPr>
          <w:p>
            <w:pPr>
              <w:ind w:left="520"/>
              <w:spacing w:after="0"/>
              <w:rPr>
                <w:sz w:val="20"/>
                <w:szCs w:val="20"/>
                <w:color w:val="auto"/>
              </w:rPr>
            </w:pPr>
            <w:r>
              <w:rPr>
                <w:rFonts w:ascii="Arial" w:cs="Arial" w:eastAsia="Arial" w:hAnsi="Arial"/>
                <w:sz w:val="18"/>
                <w:szCs w:val="18"/>
                <w:color w:val="auto"/>
              </w:rPr>
              <w:t>Public liability and property damage insurance liabilities - current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7280" w:type="dxa"/>
            <w:vAlign w:val="bottom"/>
          </w:tcPr>
          <w:p>
            <w:pPr>
              <w:ind w:left="5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r>
      <w:tr>
        <w:trPr>
          <w:trHeight w:val="223"/>
        </w:trPr>
        <w:tc>
          <w:tcPr>
            <w:tcW w:w="7280" w:type="dxa"/>
            <w:vAlign w:val="bottom"/>
          </w:tcPr>
          <w:p>
            <w:pPr>
              <w:ind w:left="520"/>
              <w:spacing w:after="0"/>
              <w:rPr>
                <w:sz w:val="20"/>
                <w:szCs w:val="20"/>
                <w:color w:val="auto"/>
              </w:rPr>
            </w:pPr>
            <w:r>
              <w:rPr>
                <w:rFonts w:ascii="Arial" w:cs="Arial" w:eastAsia="Arial" w:hAnsi="Arial"/>
                <w:sz w:val="18"/>
                <w:szCs w:val="18"/>
                <w:color w:val="auto"/>
              </w:rPr>
              <w:t>Accounts payable and other current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w:t>
            </w:r>
          </w:p>
        </w:tc>
      </w:tr>
      <w:tr>
        <w:trPr>
          <w:trHeight w:val="20"/>
        </w:trPr>
        <w:tc>
          <w:tcPr>
            <w:tcW w:w="7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Corporate Debt and Borrowing Arrangements</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corporate debt and borrowing arrangements consisted of:</w:t>
      </w:r>
    </w:p>
    <w:p>
      <w:pPr>
        <w:spacing w:after="0" w:line="32" w:lineRule="exact"/>
        <w:rPr>
          <w:sz w:val="20"/>
          <w:szCs w:val="20"/>
          <w:color w:val="auto"/>
        </w:rPr>
      </w:pPr>
    </w:p>
    <w:tbl>
      <w:tblPr>
        <w:tblLayout w:type="fixed"/>
        <w:tblInd w:w="52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As of</w:t>
            </w:r>
          </w:p>
        </w:tc>
        <w:tc>
          <w:tcPr>
            <w:tcW w:w="200" w:type="dxa"/>
            <w:vAlign w:val="bottom"/>
          </w:tcPr>
          <w:p>
            <w:pPr>
              <w:spacing w:after="0"/>
              <w:rPr>
                <w:sz w:val="18"/>
                <w:szCs w:val="18"/>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As of</w:t>
            </w:r>
          </w:p>
        </w:tc>
      </w:tr>
      <w:tr>
        <w:trPr>
          <w:trHeight w:val="222"/>
        </w:trPr>
        <w:tc>
          <w:tcPr>
            <w:tcW w:w="5080" w:type="dxa"/>
            <w:vAlign w:val="bottom"/>
          </w:tcPr>
          <w:p>
            <w:pPr>
              <w:spacing w:after="0"/>
              <w:rPr>
                <w:sz w:val="19"/>
                <w:szCs w:val="19"/>
                <w:color w:val="auto"/>
              </w:rPr>
            </w:pPr>
          </w:p>
        </w:tc>
        <w:tc>
          <w:tcPr>
            <w:tcW w:w="1700" w:type="dxa"/>
            <w:vAlign w:val="bottom"/>
            <w:gridSpan w:val="2"/>
          </w:tcPr>
          <w:p>
            <w:pPr>
              <w:ind w:left="480"/>
              <w:spacing w:after="0"/>
              <w:rPr>
                <w:sz w:val="20"/>
                <w:szCs w:val="20"/>
                <w:color w:val="auto"/>
              </w:rPr>
            </w:pPr>
            <w:r>
              <w:rPr>
                <w:rFonts w:ascii="Arial" w:cs="Arial" w:eastAsia="Arial" w:hAnsi="Arial"/>
                <w:sz w:val="16"/>
                <w:szCs w:val="16"/>
                <w:b w:val="1"/>
                <w:bCs w:val="1"/>
                <w:color w:val="auto"/>
              </w:rPr>
              <w:t>Maturity</w:t>
            </w:r>
          </w:p>
        </w:tc>
        <w:tc>
          <w:tcPr>
            <w:tcW w:w="18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9"/>
                <w:szCs w:val="19"/>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080" w:type="dxa"/>
            <w:vAlign w:val="bottom"/>
          </w:tcPr>
          <w:p>
            <w:pPr>
              <w:spacing w:after="0"/>
              <w:rPr>
                <w:sz w:val="18"/>
                <w:szCs w:val="18"/>
                <w:color w:val="auto"/>
              </w:rPr>
            </w:pPr>
          </w:p>
        </w:tc>
        <w:tc>
          <w:tcPr>
            <w:tcW w:w="15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Date</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2020</w:t>
            </w:r>
          </w:p>
        </w:tc>
      </w:tr>
      <w:tr>
        <w:trPr>
          <w:trHeight w:val="204"/>
        </w:trPr>
        <w:tc>
          <w:tcPr>
            <w:tcW w:w="5080" w:type="dxa"/>
            <w:vAlign w:val="bottom"/>
          </w:tcPr>
          <w:p>
            <w:pPr>
              <w:ind w:left="80"/>
              <w:spacing w:after="0"/>
              <w:rPr>
                <w:sz w:val="20"/>
                <w:szCs w:val="20"/>
                <w:color w:val="auto"/>
              </w:rPr>
            </w:pPr>
            <w:r>
              <w:rPr>
                <w:rFonts w:ascii="Arial" w:cs="Arial" w:eastAsia="Arial" w:hAnsi="Arial"/>
                <w:sz w:val="16"/>
                <w:szCs w:val="16"/>
                <w:color w:val="auto"/>
              </w:rPr>
              <w:t>6.375%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16"/>
        </w:trPr>
        <w:tc>
          <w:tcPr>
            <w:tcW w:w="5080" w:type="dxa"/>
            <w:vAlign w:val="bottom"/>
          </w:tcPr>
          <w:p>
            <w:pPr>
              <w:ind w:left="80"/>
              <w:spacing w:after="0"/>
              <w:rPr>
                <w:sz w:val="20"/>
                <w:szCs w:val="20"/>
                <w:color w:val="auto"/>
              </w:rPr>
            </w:pPr>
            <w:r>
              <w:rPr>
                <w:rFonts w:ascii="Arial" w:cs="Arial" w:eastAsia="Arial" w:hAnsi="Arial"/>
                <w:sz w:val="16"/>
                <w:szCs w:val="16"/>
                <w:color w:val="auto"/>
              </w:rPr>
              <w:t>4.125% euro-denominated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2024</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366</w:t>
            </w:r>
          </w:p>
        </w:tc>
      </w:tr>
      <w:tr>
        <w:trPr>
          <w:trHeight w:val="216"/>
        </w:trPr>
        <w:tc>
          <w:tcPr>
            <w:tcW w:w="5080" w:type="dxa"/>
            <w:vAlign w:val="bottom"/>
          </w:tcPr>
          <w:p>
            <w:pPr>
              <w:ind w:left="80"/>
              <w:spacing w:after="0"/>
              <w:rPr>
                <w:sz w:val="20"/>
                <w:szCs w:val="20"/>
                <w:color w:val="auto"/>
              </w:rPr>
            </w:pPr>
            <w:r>
              <w:rPr>
                <w:rFonts w:ascii="Arial" w:cs="Arial" w:eastAsia="Arial" w:hAnsi="Arial"/>
                <w:sz w:val="16"/>
                <w:szCs w:val="16"/>
                <w:color w:val="auto"/>
              </w:rPr>
              <w:t>5.250%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2025</w:t>
            </w:r>
          </w:p>
        </w:tc>
        <w:tc>
          <w:tcPr>
            <w:tcW w:w="1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375</w:t>
            </w:r>
          </w:p>
        </w:tc>
      </w:tr>
      <w:tr>
        <w:trPr>
          <w:trHeight w:val="216"/>
        </w:trPr>
        <w:tc>
          <w:tcPr>
            <w:tcW w:w="5080" w:type="dxa"/>
            <w:vAlign w:val="bottom"/>
          </w:tcPr>
          <w:p>
            <w:pPr>
              <w:ind w:left="80"/>
              <w:spacing w:after="0"/>
              <w:rPr>
                <w:sz w:val="20"/>
                <w:szCs w:val="20"/>
                <w:color w:val="auto"/>
              </w:rPr>
            </w:pPr>
            <w:r>
              <w:rPr>
                <w:rFonts w:ascii="Arial" w:cs="Arial" w:eastAsia="Arial" w:hAnsi="Arial"/>
                <w:sz w:val="16"/>
                <w:szCs w:val="16"/>
                <w:color w:val="auto"/>
              </w:rPr>
              <w:t>4.500% euro-denominated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May 2025</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10.500% Senior Secured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May 2025</w:t>
            </w:r>
          </w:p>
        </w:tc>
        <w:tc>
          <w:tcPr>
            <w:tcW w:w="1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216"/>
        </w:trPr>
        <w:tc>
          <w:tcPr>
            <w:tcW w:w="5080" w:type="dxa"/>
            <w:vAlign w:val="bottom"/>
          </w:tcPr>
          <w:p>
            <w:pPr>
              <w:ind w:left="80"/>
              <w:spacing w:after="0"/>
              <w:rPr>
                <w:sz w:val="20"/>
                <w:szCs w:val="20"/>
                <w:color w:val="auto"/>
              </w:rPr>
            </w:pPr>
            <w:r>
              <w:rPr>
                <w:rFonts w:ascii="Arial" w:cs="Arial" w:eastAsia="Arial" w:hAnsi="Arial"/>
                <w:sz w:val="16"/>
                <w:szCs w:val="16"/>
                <w:color w:val="auto"/>
              </w:rPr>
              <w:t>4.750% euro-denominated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2026</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428</w:t>
            </w:r>
          </w:p>
        </w:tc>
      </w:tr>
      <w:tr>
        <w:trPr>
          <w:trHeight w:val="216"/>
        </w:trPr>
        <w:tc>
          <w:tcPr>
            <w:tcW w:w="5080" w:type="dxa"/>
            <w:vAlign w:val="bottom"/>
          </w:tcPr>
          <w:p>
            <w:pPr>
              <w:ind w:left="80"/>
              <w:spacing w:after="0"/>
              <w:rPr>
                <w:sz w:val="20"/>
                <w:szCs w:val="20"/>
                <w:color w:val="auto"/>
              </w:rPr>
            </w:pPr>
            <w:r>
              <w:rPr>
                <w:rFonts w:ascii="Arial" w:cs="Arial" w:eastAsia="Arial" w:hAnsi="Arial"/>
                <w:sz w:val="16"/>
                <w:szCs w:val="16"/>
                <w:color w:val="auto"/>
              </w:rPr>
              <w:t>5.750%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July 2027</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724</w:t>
            </w:r>
          </w:p>
        </w:tc>
      </w:tr>
      <w:tr>
        <w:trPr>
          <w:trHeight w:val="216"/>
        </w:trPr>
        <w:tc>
          <w:tcPr>
            <w:tcW w:w="5080" w:type="dxa"/>
            <w:vAlign w:val="bottom"/>
          </w:tcPr>
          <w:p>
            <w:pPr>
              <w:ind w:left="80"/>
              <w:spacing w:after="0"/>
              <w:rPr>
                <w:sz w:val="20"/>
                <w:szCs w:val="20"/>
                <w:color w:val="auto"/>
              </w:rPr>
            </w:pPr>
            <w:r>
              <w:rPr>
                <w:rFonts w:ascii="Arial" w:cs="Arial" w:eastAsia="Arial" w:hAnsi="Arial"/>
                <w:sz w:val="16"/>
                <w:szCs w:val="16"/>
                <w:color w:val="auto"/>
              </w:rPr>
              <w:t>4.750%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2028</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080" w:type="dxa"/>
            <w:vAlign w:val="bottom"/>
          </w:tcPr>
          <w:p>
            <w:pPr>
              <w:ind w:left="80"/>
              <w:spacing w:after="0"/>
              <w:rPr>
                <w:sz w:val="20"/>
                <w:szCs w:val="20"/>
                <w:color w:val="auto"/>
              </w:rPr>
            </w:pPr>
            <w:r>
              <w:rPr>
                <w:rFonts w:ascii="Arial" w:cs="Arial" w:eastAsia="Arial" w:hAnsi="Arial"/>
                <w:sz w:val="16"/>
                <w:szCs w:val="16"/>
                <w:color w:val="auto"/>
              </w:rPr>
              <w:t>5.375%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2029</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080" w:type="dxa"/>
            <w:vAlign w:val="bottom"/>
          </w:tcPr>
          <w:p>
            <w:pPr>
              <w:spacing w:after="0" w:line="235" w:lineRule="exact"/>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August 2027</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1,199</w:t>
            </w:r>
          </w:p>
        </w:tc>
      </w:tr>
      <w:tr>
        <w:trPr>
          <w:trHeight w:val="219"/>
        </w:trPr>
        <w:tc>
          <w:tcPr>
            <w:tcW w:w="5080" w:type="dxa"/>
            <w:vAlign w:val="bottom"/>
          </w:tcPr>
          <w:p>
            <w:pPr>
              <w:spacing w:after="0" w:line="21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95"/>
        </w:trPr>
        <w:tc>
          <w:tcPr>
            <w:tcW w:w="5080" w:type="dxa"/>
            <w:vAlign w:val="bottom"/>
          </w:tcPr>
          <w:p>
            <w:pPr>
              <w:spacing w:after="0"/>
              <w:rPr>
                <w:sz w:val="20"/>
                <w:szCs w:val="20"/>
                <w:color w:val="auto"/>
              </w:rPr>
            </w:pPr>
            <w:r>
              <w:rPr>
                <w:rFonts w:ascii="Arial" w:cs="Arial" w:eastAsia="Arial" w:hAnsi="Arial"/>
                <w:sz w:val="16"/>
                <w:szCs w:val="16"/>
                <w:color w:val="auto"/>
              </w:rPr>
              <w:t>Deferred financing fees</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09"/>
        </w:trPr>
        <w:tc>
          <w:tcPr>
            <w:tcW w:w="5080" w:type="dxa"/>
            <w:vAlign w:val="bottom"/>
          </w:tcPr>
          <w:p>
            <w:pPr>
              <w:spacing w:after="0"/>
              <w:rPr>
                <w:sz w:val="20"/>
                <w:szCs w:val="20"/>
                <w:color w:val="auto"/>
              </w:rPr>
            </w:pPr>
            <w:r>
              <w:rPr>
                <w:rFonts w:ascii="Arial" w:cs="Arial" w:eastAsia="Arial" w:hAnsi="Arial"/>
                <w:sz w:val="16"/>
                <w:szCs w:val="16"/>
                <w:color w:val="auto"/>
              </w:rPr>
              <w:t>Total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4,210</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Less: Short-term debt and current portion of long-term debt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Long-term debt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4,191</w:t>
            </w:r>
          </w:p>
        </w:tc>
      </w:tr>
      <w:tr>
        <w:trPr>
          <w:trHeight w:val="23"/>
        </w:trPr>
        <w:tc>
          <w:tcPr>
            <w:tcW w:w="5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10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jc w:val="both"/>
        <w:ind w:left="820" w:hanging="326"/>
        <w:spacing w:after="0" w:line="221" w:lineRule="auto"/>
        <w:tabs>
          <w:tab w:leader="none" w:pos="813"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The floating rate term loan is part of the Company’s senior revolving credit facility, which is secured by pledges of capital stock of certain subsidiaries of the Company, and liens on substantially all of the Company’s intellectual property and certain other real and personal property. As of September 30, 2021, the floating rate term loan due 2027 bears interest at one-month LIBOR plus 175 basis points, for an aggregate rate of 1.84%. The Company has entered into a swap to hedge $700 million of its interest rate exposure related to the floating rate term loan at an aggregate rate of 4.75%.</w:t>
      </w:r>
    </w:p>
    <w:p>
      <w:pPr>
        <w:spacing w:after="0" w:line="2" w:lineRule="exact"/>
        <w:rPr>
          <w:rFonts w:ascii="Arial" w:cs="Arial" w:eastAsia="Arial" w:hAnsi="Arial"/>
          <w:sz w:val="19"/>
          <w:szCs w:val="19"/>
          <w:color w:val="auto"/>
          <w:vertAlign w:val="superscript"/>
        </w:rPr>
      </w:pPr>
    </w:p>
    <w:p>
      <w:pPr>
        <w:ind w:left="820" w:hanging="326"/>
        <w:spacing w:after="0" w:line="189" w:lineRule="auto"/>
        <w:tabs>
          <w:tab w:leader="none" w:pos="82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Primarily includes finance leases which are secured by liens on the related assets.</w:t>
      </w:r>
    </w:p>
    <w:p>
      <w:pPr>
        <w:spacing w:after="0" w:line="227"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In March 2021, the Company issued $600 million of 5.375% Senior Notes due March 2029, at par, with interest paid semiannually. Net proceeds, together with cash on hand, were used to redeem all of the outstanding 10.500% Senior Secured Notes due 2025 for $599 million plus accrued interest.</w:t>
      </w:r>
    </w:p>
    <w:p>
      <w:pPr>
        <w:spacing w:after="0" w:line="229"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In March 2021, the Company issued $ 500 million of 4.750% Senior Notes due April 2028, at par, with interest paid semiannually. Net proceeds, together with cash on hand, were used to redeem all of the outstanding 6.375% Senior Notes due 2024 for $356 million plus accrued interest and a portion of its outstanding 5.250% Senior Notes due 2025 for $142 million plus accrued interest.</w:t>
      </w:r>
    </w:p>
    <w:p>
      <w:pPr>
        <w:spacing w:after="0" w:line="229"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The 5.375% and 4.750% Senior Notes are guaranteed on a senior unsecured basis by the Company and certain of the Company’s subsidiaries.</w:t>
      </w:r>
    </w:p>
    <w:p>
      <w:pPr>
        <w:spacing w:after="0" w:line="225"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In September 2021, the Company redeemed its 5.250% Senior Notes due March 2025 with an aggregate outstanding balance of $235 million for $239 million plus accrued interest.</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2021, the committed corporate credit facilities available to the Company and/or its subsidiaries were as follows:</w:t>
      </w:r>
    </w:p>
    <w:p>
      <w:pPr>
        <w:spacing w:after="0" w:line="15"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Total</w:t>
            </w:r>
          </w:p>
        </w:tc>
        <w:tc>
          <w:tcPr>
            <w:tcW w:w="180" w:type="dxa"/>
            <w:vAlign w:val="bottom"/>
          </w:tcPr>
          <w:p>
            <w:pPr>
              <w:spacing w:after="0"/>
              <w:rPr>
                <w:sz w:val="16"/>
                <w:szCs w:val="16"/>
                <w:color w:val="auto"/>
              </w:rPr>
            </w:pPr>
          </w:p>
        </w:tc>
        <w:tc>
          <w:tcPr>
            <w:tcW w:w="150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rPr>
              <w:t>Outstanding</w:t>
            </w: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Letters of</w:t>
            </w:r>
          </w:p>
        </w:tc>
        <w:tc>
          <w:tcPr>
            <w:tcW w:w="220" w:type="dxa"/>
            <w:vAlign w:val="bottom"/>
          </w:tcPr>
          <w:p>
            <w:pPr>
              <w:spacing w:after="0"/>
              <w:rPr>
                <w:sz w:val="16"/>
                <w:szCs w:val="16"/>
                <w:color w:val="auto"/>
              </w:rPr>
            </w:pP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rPr>
              <w:t>Available</w:t>
            </w:r>
          </w:p>
        </w:tc>
      </w:tr>
      <w:tr>
        <w:trPr>
          <w:trHeight w:val="215"/>
        </w:trPr>
        <w:tc>
          <w:tcPr>
            <w:tcW w:w="4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Capacity</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Credit Issued</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Capacity</w:t>
            </w:r>
          </w:p>
        </w:tc>
      </w:tr>
      <w:tr>
        <w:trPr>
          <w:trHeight w:val="276"/>
        </w:trPr>
        <w:tc>
          <w:tcPr>
            <w:tcW w:w="420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2026 </w:t>
            </w:r>
            <w:r>
              <w:rPr>
                <w:rFonts w:ascii="Arial" w:cs="Arial" w:eastAsia="Arial" w:hAnsi="Arial"/>
                <w:sz w:val="21"/>
                <w:szCs w:val="21"/>
                <w:color w:val="auto"/>
                <w:vertAlign w:val="superscript"/>
              </w:rPr>
              <w:t>(a)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1,950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260" w:type="dxa"/>
            <w:vAlign w:val="bottom"/>
          </w:tcPr>
          <w:p>
            <w:pPr>
              <w:jc w:val="right"/>
              <w:spacing w:after="0"/>
              <w:rPr>
                <w:sz w:val="20"/>
                <w:szCs w:val="20"/>
                <w:color w:val="auto"/>
              </w:rPr>
            </w:pPr>
            <w:r>
              <w:rPr>
                <w:rFonts w:ascii="Arial" w:cs="Arial" w:eastAsia="Arial" w:hAnsi="Arial"/>
                <w:sz w:val="16"/>
                <w:szCs w:val="16"/>
                <w:color w:val="auto"/>
              </w:rPr>
              <w:t>1,560</w:t>
            </w: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390</w:t>
            </w:r>
          </w:p>
        </w:tc>
      </w:tr>
      <w:tr>
        <w:trPr>
          <w:trHeight w:val="237"/>
        </w:trPr>
        <w:tc>
          <w:tcPr>
            <w:tcW w:w="4200" w:type="dxa"/>
            <w:vAlign w:val="bottom"/>
          </w:tcPr>
          <w:p>
            <w:pPr>
              <w:spacing w:after="0"/>
              <w:rPr>
                <w:sz w:val="20"/>
                <w:szCs w:val="20"/>
                <w:color w:val="auto"/>
              </w:rPr>
            </w:pPr>
            <w:r>
              <w:rPr>
                <w:rFonts w:ascii="Arial" w:cs="Arial" w:eastAsia="Arial" w:hAnsi="Arial"/>
                <w:sz w:val="16"/>
                <w:szCs w:val="16"/>
                <w:color w:val="auto"/>
              </w:rPr>
              <w:t>__________</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jc w:val="both"/>
        <w:ind w:left="820" w:hanging="326"/>
        <w:spacing w:after="0" w:line="219" w:lineRule="auto"/>
        <w:tabs>
          <w:tab w:leader="none" w:pos="813" w:val="left"/>
        </w:tabs>
        <w:numPr>
          <w:ilvl w:val="0"/>
          <w:numId w:val="17"/>
        </w:numPr>
        <w:rPr>
          <w:rFonts w:ascii="Arial" w:cs="Arial" w:eastAsia="Arial" w:hAnsi="Arial"/>
          <w:sz w:val="9"/>
          <w:szCs w:val="9"/>
          <w:color w:val="auto"/>
        </w:rPr>
      </w:pPr>
      <w:r>
        <w:rPr>
          <w:rFonts w:ascii="Arial" w:cs="Arial" w:eastAsia="Arial" w:hAnsi="Arial"/>
          <w:sz w:val="14"/>
          <w:szCs w:val="14"/>
          <w:color w:val="auto"/>
        </w:rPr>
        <w:t>The senior revolving credit facility bears interest at one-month LIBOR plus 200 basis points and is part of the Company’s senior credit facilities, which include the floating rate term loan and the senior revolving credit facility, and which are secured by pledges of capital stock of certain subsidiaries of the Company, liens on substantially all of the Company’s intellectual property and certain other real and personal property.</w:t>
      </w:r>
    </w:p>
    <w:p>
      <w:pPr>
        <w:spacing w:after="0" w:line="215" w:lineRule="exact"/>
        <w:rPr>
          <w:sz w:val="20"/>
          <w:szCs w:val="20"/>
          <w:color w:val="auto"/>
        </w:rPr>
      </w:pPr>
    </w:p>
    <w:p>
      <w:pPr>
        <w:ind w:left="500" w:right="620"/>
        <w:spacing w:after="0" w:line="261" w:lineRule="auto"/>
        <w:rPr>
          <w:sz w:val="20"/>
          <w:szCs w:val="20"/>
          <w:color w:val="auto"/>
        </w:rPr>
      </w:pPr>
      <w:r>
        <w:rPr>
          <w:rFonts w:ascii="Arial" w:cs="Arial" w:eastAsia="Arial" w:hAnsi="Arial"/>
          <w:sz w:val="18"/>
          <w:szCs w:val="18"/>
          <w:color w:val="auto"/>
        </w:rPr>
        <w:t>In July 2021, the Company amended the credit agreement to increase the revolving credit facility to $1.95 billion and extend the maturity of the facility to 2026.</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74"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 xml:space="preserve">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facility also contains a maximum leverage ratio requirement (See Note 1 </w:t>
      </w:r>
      <w:r>
        <w:rPr>
          <w:rFonts w:ascii="Arial" w:cs="Arial" w:eastAsia="Arial" w:hAnsi="Arial"/>
          <w:sz w:val="14"/>
          <w:szCs w:val="14"/>
          <w:color w:val="auto"/>
        </w:rPr>
        <w:t>–</w:t>
      </w:r>
      <w:r>
        <w:rPr>
          <w:rFonts w:ascii="Arial" w:cs="Arial" w:eastAsia="Arial" w:hAnsi="Arial"/>
          <w:sz w:val="18"/>
          <w:szCs w:val="18"/>
          <w:color w:val="auto"/>
        </w:rPr>
        <w:t xml:space="preserve"> Basis of Presentation </w:t>
      </w:r>
      <w:r>
        <w:rPr>
          <w:rFonts w:ascii="Arial" w:cs="Arial" w:eastAsia="Arial" w:hAnsi="Arial"/>
          <w:sz w:val="14"/>
          <w:szCs w:val="14"/>
          <w:color w:val="auto"/>
        </w:rPr>
        <w:t>–</w:t>
      </w:r>
      <w:r>
        <w:rPr>
          <w:rFonts w:ascii="Arial" w:cs="Arial" w:eastAsia="Arial" w:hAnsi="Arial"/>
          <w:sz w:val="18"/>
          <w:szCs w:val="18"/>
          <w:color w:val="auto"/>
        </w:rPr>
        <w:t xml:space="preserve"> Liquidity and Management’s Plans). As of September 30, 2021, the Company was in compliance with the financial covenants governing its indebtedness.</w:t>
      </w:r>
    </w:p>
    <w:p>
      <w:pPr>
        <w:spacing w:after="0" w:line="21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74"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tbl>
      <w:tblPr>
        <w:tblLayout w:type="fixed"/>
        <w:tblInd w:w="520" w:type="dxa"/>
        <w:tblCellMar>
          <w:top w:w="0" w:type="dxa"/>
          <w:left w:w="0" w:type="dxa"/>
          <w:bottom w:w="0" w:type="dxa"/>
          <w:right w:w="0" w:type="dxa"/>
        </w:tblCellMar>
      </w:tblPr>
      <w:tr>
        <w:trPr>
          <w:trHeight w:val="230"/>
        </w:trPr>
        <w:tc>
          <w:tcPr>
            <w:tcW w:w="6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As of</w:t>
            </w:r>
          </w:p>
        </w:tc>
        <w:tc>
          <w:tcPr>
            <w:tcW w:w="18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As of</w:t>
            </w:r>
          </w:p>
        </w:tc>
      </w:tr>
      <w:tr>
        <w:trPr>
          <w:trHeight w:val="229"/>
        </w:trPr>
        <w:tc>
          <w:tcPr>
            <w:tcW w:w="6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December 31,</w:t>
            </w:r>
          </w:p>
        </w:tc>
      </w:tr>
      <w:tr>
        <w:trPr>
          <w:trHeight w:val="239"/>
        </w:trPr>
        <w:tc>
          <w:tcPr>
            <w:tcW w:w="6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Americas - Debt due to Avis Budget Rental Car Funding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8,156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5,116</w:t>
            </w: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Americas - Debt borrowings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International - Debt borrowings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1,115</w:t>
            </w: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International - Finance leases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tcPr>
          <w:p>
            <w:pPr>
              <w:spacing w:after="0" w:line="230" w:lineRule="exact"/>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3"/>
                <w:szCs w:val="23"/>
                <w:color w:val="auto"/>
                <w:vertAlign w:val="superscript"/>
              </w:rPr>
              <w:t>(a)</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6,857</w:t>
            </w:r>
          </w:p>
        </w:tc>
      </w:tr>
      <w:tr>
        <w:trPr>
          <w:trHeight w:val="21"/>
        </w:trPr>
        <w:tc>
          <w:tcPr>
            <w:tcW w:w="6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820" w:hanging="326"/>
        <w:spacing w:after="0" w:line="211" w:lineRule="auto"/>
        <w:tabs>
          <w:tab w:leader="none" w:pos="813"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Deferred financing fees related to Debt due to Avis Budget Rental Car Funding as of September 30, 2021 and December 31, 2020 were $39 million and $36 million, respectively.</w:t>
      </w:r>
    </w:p>
    <w:p>
      <w:pPr>
        <w:spacing w:after="0" w:line="228" w:lineRule="exact"/>
        <w:rPr>
          <w:sz w:val="20"/>
          <w:szCs w:val="20"/>
          <w:color w:val="auto"/>
        </w:rPr>
      </w:pPr>
    </w:p>
    <w:p>
      <w:pPr>
        <w:jc w:val="both"/>
        <w:ind w:left="500" w:right="20"/>
        <w:spacing w:after="0" w:line="261" w:lineRule="auto"/>
        <w:rPr>
          <w:sz w:val="20"/>
          <w:szCs w:val="20"/>
          <w:color w:val="auto"/>
        </w:rPr>
      </w:pPr>
      <w:r>
        <w:rPr>
          <w:rFonts w:ascii="Arial" w:cs="Arial" w:eastAsia="Arial" w:hAnsi="Arial"/>
          <w:sz w:val="18"/>
          <w:szCs w:val="18"/>
          <w:color w:val="auto"/>
        </w:rPr>
        <w:t>In May 2021, the Company’s Avis Budget Rental Car Funding (AESOP) LLC subsidiary issued $800 million of asset-backed notes with an expected final payment date of August 2026, with a weighted average interest rate of 1.73%.</w:t>
      </w:r>
    </w:p>
    <w:p>
      <w:pPr>
        <w:spacing w:after="0" w:line="225"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In June 2021, the Company’s Avis Budget Rental Car Funding (AESOP) LLC subsidiary issued $96 million, $105 million and $103 million of asset-backed notes with expected final payment dates of March 2024, September 2024 and August 2025, respectively, with a weighted average interest rate of 3.14%.</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Maturities</w:t>
      </w:r>
    </w:p>
    <w:p>
      <w:pPr>
        <w:spacing w:after="0" w:line="274"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The following table provides the contractual maturities of the Company’s debt under vehicle programs, including related party debt due to Avis Budget Rental Car Funding, at September 30, 2021:</w:t>
      </w:r>
    </w:p>
    <w:p>
      <w:pPr>
        <w:jc w:val="center"/>
        <w:ind w:left="8420"/>
        <w:spacing w:after="0" w:line="229" w:lineRule="auto"/>
        <w:rPr>
          <w:sz w:val="20"/>
          <w:szCs w:val="20"/>
          <w:color w:val="auto"/>
        </w:rPr>
      </w:pPr>
      <w:r>
        <w:rPr>
          <w:rFonts w:ascii="Arial" w:cs="Arial" w:eastAsia="Arial" w:hAnsi="Arial"/>
          <w:sz w:val="18"/>
          <w:szCs w:val="18"/>
          <w:b w:val="1"/>
          <w:bCs w:val="1"/>
          <w:color w:val="auto"/>
        </w:rPr>
        <w:t>Debt under</w:t>
      </w:r>
    </w:p>
    <w:p>
      <w:pPr>
        <w:jc w:val="center"/>
        <w:ind w:left="8420"/>
        <w:spacing w:after="0" w:line="193" w:lineRule="auto"/>
        <w:rPr>
          <w:sz w:val="20"/>
          <w:szCs w:val="20"/>
          <w:color w:val="auto"/>
        </w:rPr>
      </w:pPr>
      <w:r>
        <w:rPr>
          <w:rFonts w:ascii="Arial" w:cs="Arial" w:eastAsia="Arial" w:hAnsi="Arial"/>
          <w:sz w:val="12"/>
          <w:szCs w:val="12"/>
          <w:b w:val="1"/>
          <w:bCs w:val="1"/>
          <w:color w:val="auto"/>
        </w:rPr>
        <w:t>Vehicle Programs</w:t>
      </w:r>
    </w:p>
    <w:p>
      <w:pPr>
        <w:ind w:left="9780"/>
        <w:spacing w:after="0"/>
        <w:rPr>
          <w:sz w:val="20"/>
          <w:szCs w:val="20"/>
          <w:color w:val="auto"/>
        </w:rPr>
      </w:pPr>
      <w:r>
        <w:rPr>
          <w:rFonts w:ascii="Arial" w:cs="Arial" w:eastAsia="Arial" w:hAnsi="Arial"/>
          <w:sz w:val="12"/>
          <w:szCs w:val="12"/>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48260</wp:posOffset>
            </wp:positionV>
            <wp:extent cx="10369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Within 1 year </w:t>
      </w:r>
      <w:r>
        <w:rPr>
          <w:rFonts w:ascii="Arial" w:cs="Arial" w:eastAsia="Arial" w:hAnsi="Arial"/>
          <w:sz w:val="23"/>
          <w:szCs w:val="23"/>
          <w:color w:val="auto"/>
          <w:vertAlign w:val="superscript"/>
        </w:rPr>
        <w:t>(b)</w:t>
      </w:r>
    </w:p>
    <w:p>
      <w:pPr>
        <w:ind w:left="520"/>
        <w:spacing w:after="0" w:line="208" w:lineRule="auto"/>
        <w:rPr>
          <w:sz w:val="20"/>
          <w:szCs w:val="20"/>
          <w:color w:val="auto"/>
        </w:rPr>
      </w:pPr>
      <w:r>
        <w:rPr>
          <w:rFonts w:ascii="Arial" w:cs="Arial" w:eastAsia="Arial" w:hAnsi="Arial"/>
          <w:sz w:val="18"/>
          <w:szCs w:val="18"/>
          <w:color w:val="auto"/>
        </w:rPr>
        <w:t xml:space="preserve">Between 1 and 2 years </w:t>
      </w:r>
      <w:r>
        <w:rPr>
          <w:rFonts w:ascii="Arial" w:cs="Arial" w:eastAsia="Arial" w:hAnsi="Arial"/>
          <w:sz w:val="23"/>
          <w:szCs w:val="23"/>
          <w:color w:val="auto"/>
          <w:vertAlign w:val="superscript"/>
        </w:rPr>
        <w:t>(c)</w:t>
      </w:r>
    </w:p>
    <w:p>
      <w:pPr>
        <w:ind w:left="520"/>
        <w:spacing w:after="0" w:line="217" w:lineRule="auto"/>
        <w:rPr>
          <w:sz w:val="20"/>
          <w:szCs w:val="20"/>
          <w:color w:val="auto"/>
        </w:rPr>
      </w:pPr>
      <w:r>
        <w:rPr>
          <w:rFonts w:ascii="Arial" w:cs="Arial" w:eastAsia="Arial" w:hAnsi="Arial"/>
          <w:sz w:val="18"/>
          <w:szCs w:val="18"/>
          <w:color w:val="auto"/>
        </w:rPr>
        <w:t xml:space="preserve">Between 2 and 3 years </w:t>
      </w:r>
      <w:r>
        <w:rPr>
          <w:rFonts w:ascii="Arial" w:cs="Arial" w:eastAsia="Arial" w:hAnsi="Arial"/>
          <w:sz w:val="23"/>
          <w:szCs w:val="23"/>
          <w:color w:val="auto"/>
          <w:vertAlign w:val="superscript"/>
        </w:rPr>
        <w:t>(d)</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Between 3 and 4 years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Between 4 and 5 years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Thereafter</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760" w:hanging="266"/>
        <w:spacing w:after="0" w:line="187" w:lineRule="auto"/>
        <w:tabs>
          <w:tab w:leader="none" w:pos="76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Vehicle-backed debt primarily represents asset-backed securities.</w:t>
      </w:r>
    </w:p>
    <w:p>
      <w:pPr>
        <w:ind w:left="760" w:hanging="266"/>
        <w:spacing w:after="0" w:line="187" w:lineRule="auto"/>
        <w:tabs>
          <w:tab w:leader="none" w:pos="7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Includes $2.0 billion of bank and bank-sponsored facilities.</w:t>
      </w:r>
    </w:p>
    <w:p>
      <w:pPr>
        <w:ind w:left="760" w:hanging="266"/>
        <w:spacing w:after="0" w:line="187" w:lineRule="auto"/>
        <w:tabs>
          <w:tab w:leader="none" w:pos="7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Includes $1.5 billion of bank and bank-sponsored facilities.</w:t>
      </w:r>
    </w:p>
    <w:p>
      <w:pPr>
        <w:ind w:left="760" w:hanging="266"/>
        <w:spacing w:after="0" w:line="189" w:lineRule="auto"/>
        <w:tabs>
          <w:tab w:leader="none" w:pos="76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Includes $0.1 billion of bank and bank-sponsored facilities.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left="1096" w:hanging="1096"/>
        <w:spacing w:after="0"/>
        <w:tabs>
          <w:tab w:leader="none" w:pos="1096" w:val="left"/>
        </w:tabs>
        <w:numPr>
          <w:ilvl w:val="0"/>
          <w:numId w:val="21"/>
        </w:numPr>
        <w:rPr>
          <w:rFonts w:ascii="Arial" w:cs="Arial" w:eastAsia="Arial" w:hAnsi="Arial"/>
          <w:sz w:val="17"/>
          <w:szCs w:val="17"/>
          <w:color w:val="auto"/>
        </w:rPr>
      </w:pPr>
      <w:r>
        <w:rPr>
          <w:rFonts w:ascii="Arial" w:cs="Arial" w:eastAsia="Arial" w:hAnsi="Arial"/>
          <w:sz w:val="17"/>
          <w:szCs w:val="17"/>
          <w:color w:val="auto"/>
        </w:rPr>
        <w:t>3,518</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2,614</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1,761</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1,648</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1,252</w:t>
      </w:r>
    </w:p>
    <w:p>
      <w:pPr>
        <w:spacing w:after="0" w:line="34" w:lineRule="exact"/>
        <w:rPr>
          <w:rFonts w:ascii="Arial" w:cs="Arial" w:eastAsia="Arial" w:hAnsi="Arial"/>
          <w:sz w:val="17"/>
          <w:szCs w:val="17"/>
          <w:color w:val="auto"/>
        </w:rPr>
      </w:pPr>
    </w:p>
    <w:p>
      <w:pPr>
        <w:ind w:left="1356"/>
        <w:spacing w:after="0"/>
        <w:rPr>
          <w:rFonts w:ascii="Arial" w:cs="Arial" w:eastAsia="Arial" w:hAnsi="Arial"/>
          <w:sz w:val="17"/>
          <w:szCs w:val="17"/>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10369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16" w:lineRule="exact"/>
        <w:rPr>
          <w:sz w:val="20"/>
          <w:szCs w:val="20"/>
          <w:color w:val="auto"/>
        </w:rPr>
      </w:pPr>
    </w:p>
    <w:p>
      <w:pPr>
        <w:ind w:left="996" w:hanging="996"/>
        <w:spacing w:after="0"/>
        <w:tabs>
          <w:tab w:leader="none" w:pos="9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10,793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10369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3695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39370</wp:posOffset>
            </wp:positionV>
            <wp:extent cx="10369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235" w:lineRule="exact"/>
        <w:rPr>
          <w:sz w:val="20"/>
          <w:szCs w:val="20"/>
          <w:color w:val="auto"/>
        </w:rPr>
      </w:pPr>
    </w:p>
    <w:p>
      <w:pPr>
        <w:sectPr>
          <w:pgSz w:w="11900" w:h="16838" w:orient="portrait"/>
          <w:cols w:equalWidth="0" w:num="2">
            <w:col w:w="8324" w:space="720"/>
            <w:col w:w="2196"/>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74"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As of September 30, 2021, available funding under the Company’s vehicle programs, including related party debt due to Avis Budget Rental Car Funding, consisted of:</w:t>
      </w:r>
    </w:p>
    <w:tbl>
      <w:tblPr>
        <w:tblLayout w:type="fixed"/>
        <w:tblInd w:w="520" w:type="dxa"/>
        <w:tblCellMar>
          <w:top w:w="0" w:type="dxa"/>
          <w:left w:w="0" w:type="dxa"/>
          <w:bottom w:w="0" w:type="dxa"/>
          <w:right w:w="0" w:type="dxa"/>
        </w:tblCellMar>
      </w:tblPr>
      <w:tr>
        <w:trPr>
          <w:trHeight w:val="172"/>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40"/>
              <w:spacing w:after="0" w:line="171" w:lineRule="exact"/>
              <w:rPr>
                <w:sz w:val="20"/>
                <w:szCs w:val="20"/>
                <w:color w:val="auto"/>
              </w:rPr>
            </w:pPr>
            <w:r>
              <w:rPr>
                <w:rFonts w:ascii="Arial" w:cs="Arial" w:eastAsia="Arial" w:hAnsi="Arial"/>
                <w:sz w:val="16"/>
                <w:szCs w:val="16"/>
                <w:b w:val="1"/>
                <w:bCs w:val="1"/>
                <w:color w:val="auto"/>
                <w:w w:val="99"/>
              </w:rPr>
              <w:t>Total</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line="171" w:lineRule="exact"/>
              <w:rPr>
                <w:sz w:val="20"/>
                <w:szCs w:val="20"/>
                <w:color w:val="auto"/>
              </w:rPr>
            </w:pPr>
            <w:r>
              <w:rPr>
                <w:rFonts w:ascii="Arial" w:cs="Arial" w:eastAsia="Arial" w:hAnsi="Arial"/>
                <w:sz w:val="16"/>
                <w:szCs w:val="16"/>
                <w:b w:val="1"/>
                <w:bCs w:val="1"/>
                <w:color w:val="auto"/>
              </w:rPr>
              <w:t>Outstanding</w:t>
            </w:r>
          </w:p>
        </w:tc>
        <w:tc>
          <w:tcPr>
            <w:tcW w:w="260" w:type="dxa"/>
            <w:vAlign w:val="bottom"/>
          </w:tcPr>
          <w:p>
            <w:pPr>
              <w:spacing w:after="0"/>
              <w:rPr>
                <w:sz w:val="14"/>
                <w:szCs w:val="14"/>
                <w:color w:val="auto"/>
              </w:rPr>
            </w:pPr>
          </w:p>
        </w:tc>
        <w:tc>
          <w:tcPr>
            <w:tcW w:w="1300" w:type="dxa"/>
            <w:vAlign w:val="bottom"/>
          </w:tcPr>
          <w:p>
            <w:pPr>
              <w:jc w:val="right"/>
              <w:ind w:right="359"/>
              <w:spacing w:after="0" w:line="171" w:lineRule="exact"/>
              <w:rPr>
                <w:sz w:val="20"/>
                <w:szCs w:val="20"/>
                <w:color w:val="auto"/>
              </w:rPr>
            </w:pPr>
            <w:r>
              <w:rPr>
                <w:rFonts w:ascii="Arial" w:cs="Arial" w:eastAsia="Arial" w:hAnsi="Arial"/>
                <w:sz w:val="16"/>
                <w:szCs w:val="16"/>
                <w:b w:val="1"/>
                <w:bCs w:val="1"/>
                <w:color w:val="auto"/>
              </w:rPr>
              <w:t>Available</w:t>
            </w: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line="216" w:lineRule="exact"/>
              <w:rPr>
                <w:sz w:val="20"/>
                <w:szCs w:val="20"/>
                <w:color w:val="auto"/>
              </w:rPr>
            </w:pPr>
            <w:r>
              <w:rPr>
                <w:rFonts w:ascii="Arial" w:cs="Arial" w:eastAsia="Arial" w:hAnsi="Arial"/>
                <w:sz w:val="16"/>
                <w:szCs w:val="16"/>
                <w:b w:val="1"/>
                <w:bCs w:val="1"/>
                <w:color w:val="auto"/>
                <w:w w:val="95"/>
              </w:rPr>
              <w:t xml:space="preserve">Capacity </w:t>
            </w:r>
            <w:r>
              <w:rPr>
                <w:rFonts w:ascii="Arial" w:cs="Arial" w:eastAsia="Arial" w:hAnsi="Arial"/>
                <w:sz w:val="21"/>
                <w:szCs w:val="21"/>
                <w:color w:val="auto"/>
                <w:w w:val="95"/>
                <w:vertAlign w:val="superscript"/>
              </w:rPr>
              <w:t>(a)</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line="216" w:lineRule="exact"/>
              <w:rPr>
                <w:sz w:val="20"/>
                <w:szCs w:val="20"/>
                <w:color w:val="auto"/>
              </w:rPr>
            </w:pPr>
            <w:r>
              <w:rPr>
                <w:rFonts w:ascii="Arial" w:cs="Arial" w:eastAsia="Arial" w:hAnsi="Arial"/>
                <w:sz w:val="16"/>
                <w:szCs w:val="16"/>
                <w:b w:val="1"/>
                <w:bCs w:val="1"/>
                <w:color w:val="auto"/>
                <w:w w:val="97"/>
              </w:rPr>
              <w:t xml:space="preserve">Borrowings </w:t>
            </w:r>
            <w:r>
              <w:rPr>
                <w:rFonts w:ascii="Arial" w:cs="Arial" w:eastAsia="Arial" w:hAnsi="Arial"/>
                <w:sz w:val="21"/>
                <w:szCs w:val="21"/>
                <w:color w:val="auto"/>
                <w:w w:val="97"/>
                <w:vertAlign w:val="superscript"/>
              </w:rPr>
              <w:t>(b)</w:t>
            </w:r>
          </w:p>
        </w:tc>
        <w:tc>
          <w:tcPr>
            <w:tcW w:w="260" w:type="dxa"/>
            <w:vAlign w:val="bottom"/>
          </w:tcPr>
          <w:p>
            <w:pPr>
              <w:spacing w:after="0"/>
              <w:rPr>
                <w:sz w:val="18"/>
                <w:szCs w:val="18"/>
                <w:color w:val="auto"/>
              </w:rPr>
            </w:pPr>
          </w:p>
        </w:tc>
        <w:tc>
          <w:tcPr>
            <w:tcW w:w="1300" w:type="dxa"/>
            <w:vAlign w:val="bottom"/>
          </w:tcPr>
          <w:p>
            <w:pPr>
              <w:jc w:val="right"/>
              <w:ind w:right="359"/>
              <w:spacing w:after="0"/>
              <w:rPr>
                <w:sz w:val="20"/>
                <w:szCs w:val="20"/>
                <w:color w:val="auto"/>
              </w:rPr>
            </w:pPr>
            <w:r>
              <w:rPr>
                <w:rFonts w:ascii="Arial" w:cs="Arial" w:eastAsia="Arial" w:hAnsi="Arial"/>
                <w:sz w:val="16"/>
                <w:szCs w:val="16"/>
                <w:b w:val="1"/>
                <w:bCs w:val="1"/>
                <w:color w:val="auto"/>
              </w:rPr>
              <w:t>Capacity</w:t>
            </w:r>
          </w:p>
        </w:tc>
      </w:tr>
      <w:tr>
        <w:trPr>
          <w:trHeight w:val="203"/>
        </w:trPr>
        <w:tc>
          <w:tcPr>
            <w:tcW w:w="5180" w:type="dxa"/>
            <w:vAlign w:val="bottom"/>
          </w:tcPr>
          <w:p>
            <w:pPr>
              <w:spacing w:after="0"/>
              <w:rPr>
                <w:sz w:val="20"/>
                <w:szCs w:val="20"/>
                <w:color w:val="auto"/>
              </w:rPr>
            </w:pPr>
            <w:r>
              <w:rPr>
                <w:rFonts w:ascii="Arial" w:cs="Arial" w:eastAsia="Arial" w:hAnsi="Arial"/>
                <w:sz w:val="16"/>
                <w:szCs w:val="16"/>
                <w:color w:val="auto"/>
              </w:rPr>
              <w:t>Americas - Debt due to Avis Budget Rental Car Funding</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9,881</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8,156</w:t>
            </w: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1,725</w:t>
            </w: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Americas - Debt borrowings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International - Debt borrowings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844</w:t>
            </w: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International - Finance leases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5180" w:type="dxa"/>
            <w:vAlign w:val="bottom"/>
          </w:tcPr>
          <w:p>
            <w:pPr>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180" w:type="dxa"/>
            <w:vAlign w:val="bottom"/>
          </w:tcPr>
          <w:p>
            <w:pPr>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2,716</w:t>
            </w:r>
          </w:p>
        </w:tc>
      </w:tr>
      <w:tr>
        <w:trPr>
          <w:trHeight w:val="21"/>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21" w:lineRule="exact"/>
        <w:rPr>
          <w:sz w:val="20"/>
          <w:szCs w:val="20"/>
          <w:color w:val="auto"/>
        </w:rPr>
      </w:pPr>
    </w:p>
    <w:p>
      <w:pPr>
        <w:ind w:left="760" w:hanging="266"/>
        <w:spacing w:after="0"/>
        <w:tabs>
          <w:tab w:leader="none" w:pos="760" w:val="left"/>
        </w:tabs>
        <w:numPr>
          <w:ilvl w:val="0"/>
          <w:numId w:val="23"/>
        </w:numPr>
        <w:rPr>
          <w:rFonts w:ascii="Arial" w:cs="Arial" w:eastAsia="Arial" w:hAnsi="Arial"/>
          <w:sz w:val="9"/>
          <w:szCs w:val="9"/>
          <w:color w:val="auto"/>
        </w:rPr>
      </w:pPr>
      <w:r>
        <w:rPr>
          <w:rFonts w:ascii="Arial" w:cs="Arial" w:eastAsia="Arial" w:hAnsi="Arial"/>
          <w:sz w:val="14"/>
          <w:szCs w:val="14"/>
          <w:color w:val="auto"/>
        </w:rPr>
        <w:t>Capacity is subject to maintaining sufficient assets to collateralize debt.</w:t>
      </w:r>
    </w:p>
    <w:p>
      <w:pPr>
        <w:spacing w:after="0" w:line="1" w:lineRule="exact"/>
        <w:rPr>
          <w:rFonts w:ascii="Arial" w:cs="Arial" w:eastAsia="Arial" w:hAnsi="Arial"/>
          <w:sz w:val="9"/>
          <w:szCs w:val="9"/>
          <w:color w:val="auto"/>
        </w:rPr>
      </w:pPr>
    </w:p>
    <w:p>
      <w:pPr>
        <w:ind w:left="820" w:hanging="326"/>
        <w:spacing w:after="0" w:line="258" w:lineRule="auto"/>
        <w:tabs>
          <w:tab w:leader="none" w:pos="824" w:val="left"/>
        </w:tabs>
        <w:numPr>
          <w:ilvl w:val="0"/>
          <w:numId w:val="23"/>
        </w:numPr>
        <w:rPr>
          <w:rFonts w:ascii="Arial" w:cs="Arial" w:eastAsia="Arial" w:hAnsi="Arial"/>
          <w:sz w:val="9"/>
          <w:szCs w:val="9"/>
          <w:color w:val="auto"/>
        </w:rPr>
      </w:pPr>
      <w:r>
        <w:rPr>
          <w:rFonts w:ascii="Arial" w:cs="Arial" w:eastAsia="Arial" w:hAnsi="Arial"/>
          <w:sz w:val="14"/>
          <w:szCs w:val="14"/>
          <w:color w:val="auto"/>
        </w:rPr>
        <w:t>The outstanding debt is collateralized by vehicles and related assets of $9.3 billion for Americas - Debt due to Avis Budget Rental Car Funding; $0.9 billion for Americas - Debt borrowings; $2.0 billion for International - Debt borrowings; and $0.2 billion for International - Finance leases.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74"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September 30, 2021, the Company is not aware of any instances of non-compliance with any of the financial covenants contained in the debt agreements under its vehicle-backed funding programs.</w:t>
      </w:r>
    </w:p>
    <w:p>
      <w:pPr>
        <w:spacing w:after="0" w:line="210" w:lineRule="exact"/>
        <w:rPr>
          <w:sz w:val="20"/>
          <w:szCs w:val="20"/>
          <w:color w:val="auto"/>
        </w:rPr>
      </w:pPr>
    </w:p>
    <w:p>
      <w:pPr>
        <w:ind w:left="500" w:right="7920" w:hanging="492"/>
        <w:spacing w:after="0" w:line="569" w:lineRule="auto"/>
        <w:tabs>
          <w:tab w:leader="none" w:pos="46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13"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In 2006, the Company completed the spin-offs of its Realogy and Wyndham subsidiaries. The Company does not believe that the impact of any resolution of pre-existing contingent liabilities in connection with the spin-offs should result in a material liability to the Company in relation to its consolidated financial position or liquidity, as Realogy and Wyndham each have agreed to assume responsibility for these liabilities. The Company is also named in litigation that is primarily related to the businesses of its former subsidiaries, including Realogy and Wyndham. The Company is entitled to indemnification from such entities for any liability resulting from such litigation.</w:t>
      </w:r>
    </w:p>
    <w:p>
      <w:pPr>
        <w:spacing w:after="0" w:line="235"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In February 2017, following state court trials in Georgia, the Company was found liable for damages in two cases brought by plaintiffs who were injured in a vehicle accident allegedly caused by an employee of an independent contractor of the Company who was acting outside of the scope of employment. In the fourth quarter of 2019, the Company appealed both verdicts resulting in a reversal of the judgments rendered. The Georgia Supreme Court granted the plaintiffs’ application to review the appellate court’s reversal of the judgements entered at the trial court. The Georgia Supreme Court heard oral arguments in December 2020 and on May 3, 2021 issued a decision affirming the appellate court’s judgments. Following the issuance of this decision, plaintiffs filed motions for reconsideration, which were denied in June 2021. The Company reversed a previously recognized liability related to these cases, net of recoverable insurance proceeds, of approximately $12 million within operating expenses.</w:t>
      </w:r>
    </w:p>
    <w:p>
      <w:pPr>
        <w:spacing w:after="0" w:line="232"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In November 2011, Jose Mendez v. Avis Budget Group Inc., et al. was filed in U.S. District Court for the District of New Jersey. The plaintiff seeks to represent a purported nationwide class and two sub-classes of certain renters of vehicles from the Company’s Avis and Budget subsidiaries from April 2007 through December 2015. The plaintiff seeks damages in connection with claims relating to the Company's electronic toll service, including that administrative fees and toll charges were not properly disclosed to customers and/or were excessive. Plaintiff’s motion for class certification was approved by the Court in November 2017. The parties are currently engaged in mediation. The Company has been named as a defendant in other purported consumer class action law suits, including a class action filed against the Company in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Florida seeking damages in connection with a breach of contract claim and a purported class action filed against the Company in New Jersey related to fines and fees charged to car renters by the Company for violations incurred during the course of their rental. A trial on class damages is set for the Florida lawsuit in January 2022.</w:t>
      </w:r>
    </w:p>
    <w:p>
      <w:pPr>
        <w:spacing w:after="0" w:line="229" w:lineRule="exact"/>
        <w:rPr>
          <w:sz w:val="20"/>
          <w:szCs w:val="20"/>
          <w:color w:val="auto"/>
        </w:rPr>
      </w:pPr>
    </w:p>
    <w:p>
      <w:pPr>
        <w:jc w:val="both"/>
        <w:ind w:left="500"/>
        <w:spacing w:after="0" w:line="251" w:lineRule="auto"/>
        <w:rPr>
          <w:sz w:val="20"/>
          <w:szCs w:val="20"/>
          <w:color w:val="auto"/>
        </w:rPr>
      </w:pPr>
      <w:r>
        <w:rPr>
          <w:rFonts w:ascii="Arial" w:cs="Arial" w:eastAsia="Arial" w:hAnsi="Arial"/>
          <w:sz w:val="18"/>
          <w:szCs w:val="18"/>
          <w:color w:val="auto"/>
        </w:rPr>
        <w:t>The Company is currently involved, and in the future may be involved, in claims and/or legal proceedings, including class actions, and governmental inquiries that are incidental to its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Litigation is inherently unpredictable and, although the Company believes that its accruals are adequate and/or that it has valid defenses in these matters, unfavorable resolutions could occur. The Company estimates that the potential exposure resulting from adverse outcomes of current legal proceedings in which it is reasonably possible that a loss may be incurred could, in the aggregate, be up to approximately $35 million in excess of amounts accrued as of September 30, 2021. The Company does not believe that the impact should result in a material liability to the Company in relation to its consolidated financial condition or results of operations.</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74"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The Company maintains agreements with vehicle manufacturers under which the Company has agreed to purchase approximately $4.1 billion of vehicles from manufacturers over the next 12 months, a $4.6 billion decrease compared to December 31, 2020,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274"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Concentrations of credit risk as of September 30, 2021 include (i) risks related to the Company’s repurchase and guaranteed depreciation agreements with domestic and foreign car manufacturers, primarily with respect to receivables for program cars that have been disposed but for which the Company has not yet received payment from the manufacturers and (ii) risks related to Realogy and Wyndham, including receivables of $26 million and $ 15 million, respectively, related to certain contingent, income tax and other corporate liabilities assumed by Realogy and Wyndham in connection with their disposition.</w:t>
      </w:r>
    </w:p>
    <w:p>
      <w:pPr>
        <w:spacing w:after="0" w:line="210" w:lineRule="exact"/>
        <w:rPr>
          <w:sz w:val="20"/>
          <w:szCs w:val="20"/>
          <w:color w:val="auto"/>
        </w:rPr>
      </w:pPr>
    </w:p>
    <w:p>
      <w:pPr>
        <w:ind w:left="500" w:right="9000" w:hanging="492"/>
        <w:spacing w:after="0" w:line="577" w:lineRule="auto"/>
        <w:tabs>
          <w:tab w:leader="none" w:pos="464"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Share Repurchases</w:t>
      </w:r>
    </w:p>
    <w:p>
      <w:pPr>
        <w:jc w:val="both"/>
        <w:ind w:left="500"/>
        <w:spacing w:after="0" w:line="253" w:lineRule="auto"/>
        <w:rPr>
          <w:sz w:val="20"/>
          <w:szCs w:val="20"/>
          <w:color w:val="auto"/>
        </w:rPr>
      </w:pPr>
      <w:r>
        <w:rPr>
          <w:rFonts w:ascii="Arial" w:cs="Arial" w:eastAsia="Arial" w:hAnsi="Arial"/>
          <w:sz w:val="18"/>
          <w:szCs w:val="18"/>
          <w:color w:val="auto"/>
        </w:rPr>
        <w:t>The Company’s Board of Directors has authorized the repurchase of up to $3.1 billion of its common stock under a plan originally approved in 2013 and subsequently expanded most recently in August 2021 (the “Stock Repurchase Program”). During the nine months ended September 30, 2021, the Company repurchased approximately 11.7 million shares of common stock at a cost of approximately $1 billion under the program. As of September 30, 2021, approximately $397 million of authorization remains available to repurchase common stock under the program.</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 Issuances</w:t>
      </w:r>
    </w:p>
    <w:p>
      <w:pPr>
        <w:spacing w:after="0" w:line="274"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On February 10, 2020, the Company announced it had appointed a new Chairman of the Board of Directors and in connection with this appointment, the new Chairman purchased an aggregate $15 million of unregistered shares of the Company’s common stock at a price per share equal to the closing price of the Company’s common stock on February 7, 2020.</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Total Comprehensive Income (Loss)</w:t>
      </w:r>
    </w:p>
    <w:p>
      <w:pPr>
        <w:spacing w:after="0" w:line="274"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Comprehensive income (loss) consists of net income (loss) and other gains and losses affecting stockholders’ equity that, under GAAP, are excluded from net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comprehensive income (loss) were as follows:</w:t>
      </w:r>
    </w:p>
    <w:p>
      <w:pPr>
        <w:spacing w:after="0" w:line="15"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58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4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5"/>
        </w:trPr>
        <w:tc>
          <w:tcPr>
            <w:tcW w:w="4180" w:type="dxa"/>
            <w:vAlign w:val="bottom"/>
          </w:tcPr>
          <w:p>
            <w:pPr>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17"/>
                <w:szCs w:val="17"/>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902</w:t>
            </w:r>
          </w:p>
        </w:tc>
        <w:tc>
          <w:tcPr>
            <w:tcW w:w="100" w:type="dxa"/>
            <w:vAlign w:val="bottom"/>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216"/>
        </w:trPr>
        <w:tc>
          <w:tcPr>
            <w:tcW w:w="4180" w:type="dxa"/>
            <w:vAlign w:val="bottom"/>
          </w:tcPr>
          <w:p>
            <w:pPr>
              <w:ind w:left="160"/>
              <w:spacing w:after="0"/>
              <w:rPr>
                <w:sz w:val="20"/>
                <w:szCs w:val="20"/>
                <w:color w:val="auto"/>
              </w:rPr>
            </w:pPr>
            <w:r>
              <w:rPr>
                <w:rFonts w:ascii="Arial" w:cs="Arial" w:eastAsia="Arial" w:hAnsi="Arial"/>
                <w:sz w:val="16"/>
                <w:szCs w:val="16"/>
                <w:color w:val="auto"/>
              </w:rPr>
              <w:t>Less: net loss attributable to non-controlling interests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180" w:type="dxa"/>
            <w:vAlign w:val="bottom"/>
          </w:tcPr>
          <w:p>
            <w:pPr>
              <w:spacing w:after="0"/>
              <w:rPr>
                <w:sz w:val="20"/>
                <w:szCs w:val="20"/>
                <w:color w:val="auto"/>
              </w:rPr>
            </w:pPr>
            <w:r>
              <w:rPr>
                <w:rFonts w:ascii="Arial" w:cs="Arial" w:eastAsia="Arial" w:hAnsi="Arial"/>
                <w:sz w:val="16"/>
                <w:szCs w:val="16"/>
                <w:color w:val="auto"/>
              </w:rPr>
              <w:t>Net income (loss) attributable to Avis Budget Group, inc.</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180" w:type="dxa"/>
            <w:vAlign w:val="bottom"/>
          </w:tcPr>
          <w:p>
            <w:pPr>
              <w:ind w:left="160"/>
              <w:spacing w:after="0"/>
              <w:rPr>
                <w:sz w:val="20"/>
                <w:szCs w:val="20"/>
                <w:color w:val="auto"/>
              </w:rPr>
            </w:pPr>
            <w:r>
              <w:rPr>
                <w:rFonts w:ascii="Arial" w:cs="Arial" w:eastAsia="Arial" w:hAnsi="Arial"/>
                <w:sz w:val="16"/>
                <w:szCs w:val="16"/>
                <w:color w:val="auto"/>
              </w:rPr>
              <w:t>Currency translation adjustments (net of tax of $(6),</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180" w:type="dxa"/>
            <w:vAlign w:val="bottom"/>
          </w:tcPr>
          <w:p>
            <w:pPr>
              <w:ind w:left="160"/>
              <w:spacing w:after="0"/>
              <w:rPr>
                <w:sz w:val="20"/>
                <w:szCs w:val="20"/>
                <w:color w:val="auto"/>
              </w:rPr>
            </w:pPr>
            <w:r>
              <w:rPr>
                <w:rFonts w:ascii="Arial" w:cs="Arial" w:eastAsia="Arial" w:hAnsi="Arial"/>
                <w:sz w:val="16"/>
                <w:szCs w:val="16"/>
                <w:color w:val="auto"/>
              </w:rPr>
              <w:t>$12, $(15) and $12, respectively)</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3"/>
        </w:trPr>
        <w:tc>
          <w:tcPr>
            <w:tcW w:w="4180" w:type="dxa"/>
            <w:vAlign w:val="bottom"/>
          </w:tcPr>
          <w:p>
            <w:pPr>
              <w:ind w:left="160"/>
              <w:spacing w:after="0"/>
              <w:rPr>
                <w:sz w:val="20"/>
                <w:szCs w:val="20"/>
                <w:color w:val="auto"/>
              </w:rPr>
            </w:pPr>
            <w:r>
              <w:rPr>
                <w:rFonts w:ascii="Arial" w:cs="Arial" w:eastAsia="Arial" w:hAnsi="Arial"/>
                <w:sz w:val="16"/>
                <w:szCs w:val="16"/>
                <w:color w:val="auto"/>
              </w:rPr>
              <w:t>Net unrealized gain (loss) on cash flow hedges (net of</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180" w:type="dxa"/>
            <w:vAlign w:val="bottom"/>
          </w:tcPr>
          <w:p>
            <w:pPr>
              <w:ind w:left="320"/>
              <w:spacing w:after="0"/>
              <w:rPr>
                <w:sz w:val="20"/>
                <w:szCs w:val="20"/>
                <w:color w:val="auto"/>
              </w:rPr>
            </w:pPr>
            <w:r>
              <w:rPr>
                <w:rFonts w:ascii="Arial" w:cs="Arial" w:eastAsia="Arial" w:hAnsi="Arial"/>
                <w:sz w:val="16"/>
                <w:szCs w:val="16"/>
                <w:color w:val="auto"/>
              </w:rPr>
              <w:t>tax of $(2), $3, $(9) and $12, respectively)</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3"/>
        </w:trPr>
        <w:tc>
          <w:tcPr>
            <w:tcW w:w="4180" w:type="dxa"/>
            <w:vAlign w:val="bottom"/>
          </w:tcPr>
          <w:p>
            <w:pPr>
              <w:ind w:left="160"/>
              <w:spacing w:after="0"/>
              <w:rPr>
                <w:sz w:val="20"/>
                <w:szCs w:val="20"/>
                <w:color w:val="auto"/>
              </w:rPr>
            </w:pPr>
            <w:r>
              <w:rPr>
                <w:rFonts w:ascii="Arial" w:cs="Arial" w:eastAsia="Arial" w:hAnsi="Arial"/>
                <w:sz w:val="16"/>
                <w:szCs w:val="16"/>
                <w:color w:val="auto"/>
              </w:rPr>
              <w:t>Minimum pension liability adjustment (net of tax of $(1),</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180" w:type="dxa"/>
            <w:vAlign w:val="bottom"/>
          </w:tcPr>
          <w:p>
            <w:pPr>
              <w:ind w:left="320"/>
              <w:spacing w:after="0"/>
              <w:rPr>
                <w:sz w:val="20"/>
                <w:szCs w:val="20"/>
                <w:color w:val="auto"/>
              </w:rPr>
            </w:pPr>
            <w:r>
              <w:rPr>
                <w:rFonts w:ascii="Arial" w:cs="Arial" w:eastAsia="Arial" w:hAnsi="Arial"/>
                <w:sz w:val="16"/>
                <w:szCs w:val="16"/>
                <w:color w:val="auto"/>
              </w:rPr>
              <w:t>$(1), $(1) and $(1), respectively)</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7"/>
        </w:trPr>
        <w:tc>
          <w:tcPr>
            <w:tcW w:w="4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63"/>
        </w:trPr>
        <w:tc>
          <w:tcPr>
            <w:tcW w:w="4180" w:type="dxa"/>
            <w:vAlign w:val="bottom"/>
          </w:tcPr>
          <w:p>
            <w:pPr>
              <w:spacing w:after="0" w:line="164" w:lineRule="exact"/>
              <w:rPr>
                <w:sz w:val="20"/>
                <w:szCs w:val="20"/>
                <w:color w:val="auto"/>
              </w:rPr>
            </w:pPr>
            <w:r>
              <w:rPr>
                <w:rFonts w:ascii="Arial" w:cs="Arial" w:eastAsia="Arial" w:hAnsi="Arial"/>
                <w:sz w:val="16"/>
                <w:szCs w:val="16"/>
                <w:color w:val="auto"/>
              </w:rPr>
              <w:t>Comprehensive income (loss) attributable to Avis Budget</w:t>
            </w: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14"/>
                <w:szCs w:val="14"/>
                <w:color w:val="auto"/>
              </w:rPr>
            </w:pPr>
          </w:p>
        </w:tc>
        <w:tc>
          <w:tcPr>
            <w:tcW w:w="520" w:type="dxa"/>
            <w:vAlign w:val="bottom"/>
            <w:vMerge w:val="restart"/>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4"/>
                <w:szCs w:val="14"/>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14"/>
                <w:szCs w:val="14"/>
                <w:color w:val="auto"/>
              </w:rPr>
            </w:pPr>
          </w:p>
        </w:tc>
        <w:tc>
          <w:tcPr>
            <w:tcW w:w="500" w:type="dxa"/>
            <w:vAlign w:val="bottom"/>
            <w:vMerge w:val="restart"/>
          </w:tcPr>
          <w:p>
            <w:pPr>
              <w:jc w:val="right"/>
              <w:ind w:right="3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179"/>
        </w:trPr>
        <w:tc>
          <w:tcPr>
            <w:tcW w:w="4180" w:type="dxa"/>
            <w:vAlign w:val="bottom"/>
          </w:tcPr>
          <w:p>
            <w:pPr>
              <w:ind w:left="160"/>
              <w:spacing w:after="0" w:line="174" w:lineRule="exact"/>
              <w:rPr>
                <w:sz w:val="20"/>
                <w:szCs w:val="20"/>
                <w:color w:val="auto"/>
              </w:rPr>
            </w:pPr>
            <w:r>
              <w:rPr>
                <w:rFonts w:ascii="Arial" w:cs="Arial" w:eastAsia="Arial" w:hAnsi="Arial"/>
                <w:sz w:val="16"/>
                <w:szCs w:val="16"/>
                <w:color w:val="auto"/>
              </w:rPr>
              <w:t>Group, Inc.</w:t>
            </w:r>
          </w:p>
        </w:tc>
        <w:tc>
          <w:tcPr>
            <w:tcW w:w="32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2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Currency</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Net Unrealized</w:t>
            </w:r>
          </w:p>
        </w:tc>
        <w:tc>
          <w:tcPr>
            <w:tcW w:w="26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Minimum</w:t>
            </w:r>
          </w:p>
        </w:tc>
        <w:tc>
          <w:tcPr>
            <w:tcW w:w="200" w:type="dxa"/>
            <w:vAlign w:val="bottom"/>
          </w:tcPr>
          <w:p>
            <w:pPr>
              <w:spacing w:after="0"/>
              <w:rPr>
                <w:sz w:val="14"/>
                <w:szCs w:val="14"/>
                <w:color w:val="auto"/>
              </w:rPr>
            </w:pPr>
          </w:p>
        </w:tc>
        <w:tc>
          <w:tcPr>
            <w:tcW w:w="1520" w:type="dxa"/>
            <w:vAlign w:val="bottom"/>
          </w:tcPr>
          <w:p>
            <w:pPr>
              <w:jc w:val="center"/>
              <w:ind w:right="148"/>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Gains (Losses)</w:t>
            </w:r>
          </w:p>
        </w:tc>
        <w:tc>
          <w:tcPr>
            <w:tcW w:w="260" w:type="dxa"/>
            <w:vAlign w:val="bottom"/>
          </w:tcPr>
          <w:p>
            <w:pPr>
              <w:spacing w:after="0"/>
              <w:rPr>
                <w:sz w:val="11"/>
                <w:szCs w:val="11"/>
                <w:color w:val="auto"/>
              </w:rPr>
            </w:pPr>
          </w:p>
        </w:tc>
        <w:tc>
          <w:tcPr>
            <w:tcW w:w="158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rPr>
              <w:t>Pension</w:t>
            </w:r>
          </w:p>
        </w:tc>
        <w:tc>
          <w:tcPr>
            <w:tcW w:w="200" w:type="dxa"/>
            <w:vAlign w:val="bottom"/>
          </w:tcPr>
          <w:p>
            <w:pPr>
              <w:spacing w:after="0"/>
              <w:rPr>
                <w:sz w:val="11"/>
                <w:szCs w:val="11"/>
                <w:color w:val="auto"/>
              </w:rPr>
            </w:pPr>
          </w:p>
        </w:tc>
        <w:tc>
          <w:tcPr>
            <w:tcW w:w="1520" w:type="dxa"/>
            <w:vAlign w:val="bottom"/>
          </w:tcPr>
          <w:p>
            <w:pPr>
              <w:jc w:val="center"/>
              <w:ind w:right="148"/>
              <w:spacing w:after="0" w:line="13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on Cash Flow</w:t>
            </w:r>
          </w:p>
        </w:tc>
        <w:tc>
          <w:tcPr>
            <w:tcW w:w="260" w:type="dxa"/>
            <w:vAlign w:val="bottom"/>
          </w:tcPr>
          <w:p>
            <w:pPr>
              <w:spacing w:after="0"/>
              <w:rPr>
                <w:sz w:val="11"/>
                <w:szCs w:val="11"/>
                <w:color w:val="auto"/>
              </w:rPr>
            </w:pPr>
          </w:p>
        </w:tc>
        <w:tc>
          <w:tcPr>
            <w:tcW w:w="15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Liability</w:t>
            </w:r>
          </w:p>
        </w:tc>
        <w:tc>
          <w:tcPr>
            <w:tcW w:w="200" w:type="dxa"/>
            <w:vAlign w:val="bottom"/>
          </w:tcPr>
          <w:p>
            <w:pPr>
              <w:spacing w:after="0"/>
              <w:rPr>
                <w:sz w:val="11"/>
                <w:szCs w:val="11"/>
                <w:color w:val="auto"/>
              </w:rPr>
            </w:pPr>
          </w:p>
        </w:tc>
        <w:tc>
          <w:tcPr>
            <w:tcW w:w="152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center"/>
              <w:ind w:right="320"/>
              <w:spacing w:after="0" w:line="176" w:lineRule="exact"/>
              <w:rPr>
                <w:sz w:val="20"/>
                <w:szCs w:val="20"/>
                <w:color w:val="auto"/>
              </w:rPr>
            </w:pPr>
            <w:r>
              <w:rPr>
                <w:rFonts w:ascii="Arial" w:cs="Arial" w:eastAsia="Arial" w:hAnsi="Arial"/>
                <w:sz w:val="14"/>
                <w:szCs w:val="14"/>
                <w:b w:val="1"/>
                <w:bCs w:val="1"/>
                <w:color w:val="auto"/>
                <w:w w:val="97"/>
              </w:rPr>
              <w:t>Hedges</w:t>
            </w:r>
            <w:r>
              <w:rPr>
                <w:rFonts w:ascii="Arial" w:cs="Arial" w:eastAsia="Arial" w:hAnsi="Arial"/>
                <w:sz w:val="18"/>
                <w:szCs w:val="18"/>
                <w:b w:val="1"/>
                <w:bCs w:val="1"/>
                <w:color w:val="auto"/>
                <w:w w:val="97"/>
                <w:vertAlign w:val="superscript"/>
              </w:rPr>
              <w:t>(b)</w:t>
            </w:r>
          </w:p>
        </w:tc>
        <w:tc>
          <w:tcPr>
            <w:tcW w:w="260" w:type="dxa"/>
            <w:vAlign w:val="bottom"/>
          </w:tcPr>
          <w:p>
            <w:pPr>
              <w:spacing w:after="0"/>
              <w:rPr>
                <w:sz w:val="15"/>
                <w:szCs w:val="15"/>
                <w:color w:val="auto"/>
              </w:rPr>
            </w:pPr>
          </w:p>
        </w:tc>
        <w:tc>
          <w:tcPr>
            <w:tcW w:w="1580" w:type="dxa"/>
            <w:vAlign w:val="bottom"/>
            <w:gridSpan w:val="2"/>
          </w:tcPr>
          <w:p>
            <w:pPr>
              <w:jc w:val="center"/>
              <w:ind w:right="360"/>
              <w:spacing w:after="0" w:line="176" w:lineRule="exact"/>
              <w:rPr>
                <w:sz w:val="20"/>
                <w:szCs w:val="20"/>
                <w:color w:val="auto"/>
              </w:rPr>
            </w:pPr>
            <w:r>
              <w:rPr>
                <w:rFonts w:ascii="Arial" w:cs="Arial" w:eastAsia="Arial" w:hAnsi="Arial"/>
                <w:sz w:val="14"/>
                <w:szCs w:val="14"/>
                <w:b w:val="1"/>
                <w:bCs w:val="1"/>
                <w:color w:val="auto"/>
                <w:w w:val="98"/>
              </w:rPr>
              <w:t>Adjustment</w:t>
            </w:r>
            <w:r>
              <w:rPr>
                <w:rFonts w:ascii="Arial" w:cs="Arial" w:eastAsia="Arial" w:hAnsi="Arial"/>
                <w:sz w:val="18"/>
                <w:szCs w:val="18"/>
                <w:b w:val="1"/>
                <w:bCs w:val="1"/>
                <w:color w:val="auto"/>
                <w:w w:val="98"/>
                <w:vertAlign w:val="superscript"/>
              </w:rPr>
              <w:t>(c)</w:t>
            </w:r>
          </w:p>
        </w:tc>
        <w:tc>
          <w:tcPr>
            <w:tcW w:w="200" w:type="dxa"/>
            <w:vAlign w:val="bottom"/>
          </w:tcPr>
          <w:p>
            <w:pPr>
              <w:spacing w:after="0"/>
              <w:rPr>
                <w:sz w:val="15"/>
                <w:szCs w:val="15"/>
                <w:color w:val="auto"/>
              </w:rPr>
            </w:pPr>
          </w:p>
        </w:tc>
        <w:tc>
          <w:tcPr>
            <w:tcW w:w="1520" w:type="dxa"/>
            <w:vAlign w:val="bottom"/>
          </w:tcPr>
          <w:p>
            <w:pPr>
              <w:jc w:val="center"/>
              <w:ind w:right="148"/>
              <w:spacing w:after="0"/>
              <w:rPr>
                <w:sz w:val="20"/>
                <w:szCs w:val="20"/>
                <w:color w:val="auto"/>
              </w:rPr>
            </w:pPr>
            <w:r>
              <w:rPr>
                <w:rFonts w:ascii="Arial" w:cs="Arial" w:eastAsia="Arial" w:hAnsi="Arial"/>
                <w:sz w:val="14"/>
                <w:szCs w:val="14"/>
                <w:b w:val="1"/>
                <w:bCs w:val="1"/>
                <w:color w:val="auto"/>
              </w:rPr>
              <w:t>Income (Loss)</w:t>
            </w:r>
          </w:p>
        </w:tc>
        <w:tc>
          <w:tcPr>
            <w:tcW w:w="0" w:type="dxa"/>
            <w:vAlign w:val="bottom"/>
          </w:tcPr>
          <w:p>
            <w:pPr>
              <w:spacing w:after="0"/>
              <w:rPr>
                <w:sz w:val="1"/>
                <w:szCs w:val="1"/>
                <w:color w:val="auto"/>
              </w:rPr>
            </w:pPr>
          </w:p>
        </w:tc>
      </w:tr>
      <w:tr>
        <w:trPr>
          <w:trHeight w:val="184"/>
        </w:trPr>
        <w:tc>
          <w:tcPr>
            <w:tcW w:w="2900" w:type="dxa"/>
            <w:vAlign w:val="bottom"/>
          </w:tcPr>
          <w:p>
            <w:pPr>
              <w:spacing w:after="0"/>
              <w:rPr>
                <w:sz w:val="20"/>
                <w:szCs w:val="20"/>
                <w:color w:val="auto"/>
              </w:rPr>
            </w:pPr>
            <w:r>
              <w:rPr>
                <w:rFonts w:ascii="Arial" w:cs="Arial" w:eastAsia="Arial" w:hAnsi="Arial"/>
                <w:sz w:val="14"/>
                <w:szCs w:val="14"/>
                <w:color w:val="auto"/>
              </w:rPr>
              <w:t>Balance, January 1, 2021</w:t>
            </w:r>
          </w:p>
        </w:tc>
        <w:tc>
          <w:tcPr>
            <w:tcW w:w="1240" w:type="dxa"/>
            <w:vAlign w:val="bottom"/>
            <w:tcBorders>
              <w:top w:val="single" w:sz="8" w:color="auto"/>
            </w:tcBorders>
          </w:tcPr>
          <w:p>
            <w:pPr>
              <w:jc w:val="right"/>
              <w:ind w:right="1068"/>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52"/>
        </w:trPr>
        <w:tc>
          <w:tcPr>
            <w:tcW w:w="2900" w:type="dxa"/>
            <w:vAlign w:val="bottom"/>
          </w:tcPr>
          <w:p>
            <w:pPr>
              <w:ind w:left="360"/>
              <w:spacing w:after="0" w:line="152" w:lineRule="exact"/>
              <w:rPr>
                <w:sz w:val="20"/>
                <w:szCs w:val="20"/>
                <w:color w:val="auto"/>
              </w:rPr>
            </w:pPr>
            <w:r>
              <w:rPr>
                <w:rFonts w:ascii="Arial" w:cs="Arial" w:eastAsia="Arial" w:hAnsi="Arial"/>
                <w:sz w:val="14"/>
                <w:szCs w:val="14"/>
                <w:color w:val="auto"/>
              </w:rPr>
              <w:t>Other comprehensive income (loss)</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2"/>
        </w:trPr>
        <w:tc>
          <w:tcPr>
            <w:tcW w:w="2900" w:type="dxa"/>
            <w:vAlign w:val="bottom"/>
          </w:tcPr>
          <w:p>
            <w:pPr>
              <w:ind w:left="360"/>
              <w:spacing w:after="0"/>
              <w:rPr>
                <w:sz w:val="20"/>
                <w:szCs w:val="20"/>
                <w:color w:val="auto"/>
              </w:rPr>
            </w:pPr>
            <w:r>
              <w:rPr>
                <w:rFonts w:ascii="Arial" w:cs="Arial" w:eastAsia="Arial" w:hAnsi="Arial"/>
                <w:sz w:val="14"/>
                <w:szCs w:val="14"/>
                <w:color w:val="auto"/>
              </w:rPr>
              <w:t>before reclassifications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00" w:type="dxa"/>
            <w:vAlign w:val="bottom"/>
          </w:tcPr>
          <w:p>
            <w:pPr>
              <w:ind w:left="360"/>
              <w:spacing w:after="0" w:line="152" w:lineRule="exact"/>
              <w:rPr>
                <w:sz w:val="20"/>
                <w:szCs w:val="20"/>
                <w:color w:val="auto"/>
              </w:rPr>
            </w:pPr>
            <w:r>
              <w:rPr>
                <w:rFonts w:ascii="Arial" w:cs="Arial" w:eastAsia="Arial" w:hAnsi="Arial"/>
                <w:sz w:val="14"/>
                <w:szCs w:val="14"/>
                <w:color w:val="auto"/>
              </w:rPr>
              <w:t>Amounts reclassified from accumulated</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71"/>
        </w:trPr>
        <w:tc>
          <w:tcPr>
            <w:tcW w:w="2900" w:type="dxa"/>
            <w:vAlign w:val="bottom"/>
          </w:tcPr>
          <w:p>
            <w:pPr>
              <w:ind w:left="360"/>
              <w:spacing w:after="0"/>
              <w:rPr>
                <w:sz w:val="20"/>
                <w:szCs w:val="20"/>
                <w:color w:val="auto"/>
              </w:rPr>
            </w:pPr>
            <w:r>
              <w:rPr>
                <w:rFonts w:ascii="Arial" w:cs="Arial" w:eastAsia="Arial" w:hAnsi="Arial"/>
                <w:sz w:val="14"/>
                <w:szCs w:val="14"/>
                <w:color w:val="auto"/>
              </w:rPr>
              <w:t>other comprehensive income (loss)</w:t>
            </w: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900" w:type="dxa"/>
            <w:vAlign w:val="bottom"/>
          </w:tcPr>
          <w:p>
            <w:pPr>
              <w:ind w:left="160"/>
              <w:spacing w:after="0" w:line="133" w:lineRule="exact"/>
              <w:rPr>
                <w:sz w:val="20"/>
                <w:szCs w:val="20"/>
                <w:color w:val="auto"/>
              </w:rPr>
            </w:pPr>
            <w:r>
              <w:rPr>
                <w:rFonts w:ascii="Arial" w:cs="Arial" w:eastAsia="Arial" w:hAnsi="Arial"/>
                <w:sz w:val="14"/>
                <w:szCs w:val="14"/>
                <w:color w:val="auto"/>
              </w:rPr>
              <w:t>Net current-period other comprehensive</w:t>
            </w: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1"/>
        </w:trPr>
        <w:tc>
          <w:tcPr>
            <w:tcW w:w="2900" w:type="dxa"/>
            <w:vAlign w:val="bottom"/>
          </w:tcPr>
          <w:p>
            <w:pPr>
              <w:ind w:left="160"/>
              <w:spacing w:after="0"/>
              <w:rPr>
                <w:sz w:val="20"/>
                <w:szCs w:val="20"/>
                <w:color w:val="auto"/>
              </w:rPr>
            </w:pPr>
            <w:r>
              <w:rPr>
                <w:rFonts w:ascii="Arial" w:cs="Arial" w:eastAsia="Arial" w:hAnsi="Arial"/>
                <w:sz w:val="14"/>
                <w:szCs w:val="14"/>
                <w:color w:val="auto"/>
              </w:rPr>
              <w:t>income (loss)</w:t>
            </w: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900" w:type="dxa"/>
            <w:vAlign w:val="bottom"/>
          </w:tcPr>
          <w:p>
            <w:pPr>
              <w:spacing w:after="0"/>
              <w:rPr>
                <w:sz w:val="20"/>
                <w:szCs w:val="20"/>
                <w:color w:val="auto"/>
              </w:rPr>
            </w:pPr>
            <w:r>
              <w:rPr>
                <w:rFonts w:ascii="Arial" w:cs="Arial" w:eastAsia="Arial" w:hAnsi="Arial"/>
                <w:sz w:val="14"/>
                <w:szCs w:val="14"/>
                <w:color w:val="auto"/>
              </w:rPr>
              <w:t>Balance, September 30, 2021</w:t>
            </w:r>
          </w:p>
        </w:tc>
        <w:tc>
          <w:tcPr>
            <w:tcW w:w="12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3"/>
        </w:trPr>
        <w:tc>
          <w:tcPr>
            <w:tcW w:w="2900" w:type="dxa"/>
            <w:vAlign w:val="bottom"/>
          </w:tcPr>
          <w:p>
            <w:pPr>
              <w:spacing w:after="0"/>
              <w:rPr>
                <w:sz w:val="20"/>
                <w:szCs w:val="20"/>
                <w:color w:val="auto"/>
              </w:rPr>
            </w:pPr>
            <w:r>
              <w:rPr>
                <w:rFonts w:ascii="Arial" w:cs="Arial" w:eastAsia="Arial" w:hAnsi="Arial"/>
                <w:sz w:val="14"/>
                <w:szCs w:val="14"/>
                <w:color w:val="auto"/>
              </w:rPr>
              <w:t>Balance, January 1, 2020</w:t>
            </w: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52"/>
        </w:trPr>
        <w:tc>
          <w:tcPr>
            <w:tcW w:w="2900" w:type="dxa"/>
            <w:vAlign w:val="bottom"/>
          </w:tcPr>
          <w:p>
            <w:pPr>
              <w:ind w:left="360"/>
              <w:spacing w:after="0" w:line="152" w:lineRule="exact"/>
              <w:rPr>
                <w:sz w:val="20"/>
                <w:szCs w:val="20"/>
                <w:color w:val="auto"/>
              </w:rPr>
            </w:pPr>
            <w:r>
              <w:rPr>
                <w:rFonts w:ascii="Arial" w:cs="Arial" w:eastAsia="Arial" w:hAnsi="Arial"/>
                <w:sz w:val="14"/>
                <w:szCs w:val="14"/>
                <w:color w:val="auto"/>
              </w:rPr>
              <w:t>Other comprehensive income (loss)</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72"/>
        </w:trPr>
        <w:tc>
          <w:tcPr>
            <w:tcW w:w="2900" w:type="dxa"/>
            <w:vAlign w:val="bottom"/>
          </w:tcPr>
          <w:p>
            <w:pPr>
              <w:ind w:left="360"/>
              <w:spacing w:after="0"/>
              <w:rPr>
                <w:sz w:val="20"/>
                <w:szCs w:val="20"/>
                <w:color w:val="auto"/>
              </w:rPr>
            </w:pPr>
            <w:r>
              <w:rPr>
                <w:rFonts w:ascii="Arial" w:cs="Arial" w:eastAsia="Arial" w:hAnsi="Arial"/>
                <w:sz w:val="14"/>
                <w:szCs w:val="14"/>
                <w:color w:val="auto"/>
              </w:rPr>
              <w:t>before reclassifications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00" w:type="dxa"/>
            <w:vAlign w:val="bottom"/>
          </w:tcPr>
          <w:p>
            <w:pPr>
              <w:ind w:left="360"/>
              <w:spacing w:after="0" w:line="152" w:lineRule="exact"/>
              <w:rPr>
                <w:sz w:val="20"/>
                <w:szCs w:val="20"/>
                <w:color w:val="auto"/>
              </w:rPr>
            </w:pPr>
            <w:r>
              <w:rPr>
                <w:rFonts w:ascii="Arial" w:cs="Arial" w:eastAsia="Arial" w:hAnsi="Arial"/>
                <w:sz w:val="14"/>
                <w:szCs w:val="14"/>
                <w:color w:val="auto"/>
              </w:rPr>
              <w:t>Amounts reclassified from accumulated</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1"/>
        </w:trPr>
        <w:tc>
          <w:tcPr>
            <w:tcW w:w="2900" w:type="dxa"/>
            <w:vAlign w:val="bottom"/>
          </w:tcPr>
          <w:p>
            <w:pPr>
              <w:ind w:left="360"/>
              <w:spacing w:after="0"/>
              <w:rPr>
                <w:sz w:val="20"/>
                <w:szCs w:val="20"/>
                <w:color w:val="auto"/>
              </w:rPr>
            </w:pPr>
            <w:r>
              <w:rPr>
                <w:rFonts w:ascii="Arial" w:cs="Arial" w:eastAsia="Arial" w:hAnsi="Arial"/>
                <w:sz w:val="14"/>
                <w:szCs w:val="14"/>
                <w:color w:val="auto"/>
              </w:rPr>
              <w:t>other comprehensive income (loss)</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900" w:type="dxa"/>
            <w:vAlign w:val="bottom"/>
          </w:tcPr>
          <w:p>
            <w:pPr>
              <w:ind w:left="160"/>
              <w:spacing w:after="0" w:line="133" w:lineRule="exact"/>
              <w:rPr>
                <w:sz w:val="20"/>
                <w:szCs w:val="20"/>
                <w:color w:val="auto"/>
              </w:rPr>
            </w:pPr>
            <w:r>
              <w:rPr>
                <w:rFonts w:ascii="Arial" w:cs="Arial" w:eastAsia="Arial" w:hAnsi="Arial"/>
                <w:sz w:val="14"/>
                <w:szCs w:val="14"/>
                <w:color w:val="auto"/>
              </w:rPr>
              <w:t>Net current-period other comprehensive</w:t>
            </w:r>
          </w:p>
        </w:tc>
        <w:tc>
          <w:tcPr>
            <w:tcW w:w="1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71"/>
        </w:trPr>
        <w:tc>
          <w:tcPr>
            <w:tcW w:w="2900" w:type="dxa"/>
            <w:vAlign w:val="bottom"/>
          </w:tcPr>
          <w:p>
            <w:pPr>
              <w:ind w:left="160"/>
              <w:spacing w:after="0"/>
              <w:rPr>
                <w:sz w:val="20"/>
                <w:szCs w:val="20"/>
                <w:color w:val="auto"/>
              </w:rPr>
            </w:pPr>
            <w:r>
              <w:rPr>
                <w:rFonts w:ascii="Arial" w:cs="Arial" w:eastAsia="Arial" w:hAnsi="Arial"/>
                <w:sz w:val="14"/>
                <w:szCs w:val="14"/>
                <w:color w:val="auto"/>
              </w:rPr>
              <w:t>income (loss)</w:t>
            </w: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900" w:type="dxa"/>
            <w:vAlign w:val="bottom"/>
          </w:tcPr>
          <w:p>
            <w:pPr>
              <w:spacing w:after="0"/>
              <w:rPr>
                <w:sz w:val="20"/>
                <w:szCs w:val="20"/>
                <w:color w:val="auto"/>
              </w:rPr>
            </w:pPr>
            <w:r>
              <w:rPr>
                <w:rFonts w:ascii="Arial" w:cs="Arial" w:eastAsia="Arial" w:hAnsi="Arial"/>
                <w:sz w:val="14"/>
                <w:szCs w:val="14"/>
                <w:color w:val="auto"/>
              </w:rPr>
              <w:t>Balance, September 30, 2020</w:t>
            </w: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116" w:lineRule="exact"/>
        <w:rPr>
          <w:sz w:val="20"/>
          <w:szCs w:val="20"/>
          <w:color w:val="auto"/>
        </w:rPr>
      </w:pPr>
    </w:p>
    <w:p>
      <w:pPr>
        <w:jc w:val="both"/>
        <w:ind w:left="500"/>
        <w:spacing w:after="0" w:line="237"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$56 million gain, net of tax, as of September 30, 2021 related to the Company’s hedge of its investment in euro-denominated foreign operations (see Note 17–Financial Instruments).</w:t>
      </w:r>
    </w:p>
    <w:p>
      <w:pPr>
        <w:spacing w:after="0" w:line="9" w:lineRule="exact"/>
        <w:rPr>
          <w:sz w:val="20"/>
          <w:szCs w:val="20"/>
          <w:color w:val="auto"/>
        </w:rPr>
      </w:pPr>
    </w:p>
    <w:p>
      <w:pPr>
        <w:ind w:left="820" w:hanging="326"/>
        <w:spacing w:after="0" w:line="204" w:lineRule="auto"/>
        <w:tabs>
          <w:tab w:leader="none" w:pos="813"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For the nine months ended September 30, 2021, the amount was reclassified from accumulated other comprehensive income (loss) into restructuring and other related charges.</w:t>
      </w:r>
    </w:p>
    <w:p>
      <w:pPr>
        <w:spacing w:after="0" w:line="1" w:lineRule="exact"/>
        <w:rPr>
          <w:rFonts w:ascii="Arial" w:cs="Arial" w:eastAsia="Arial" w:hAnsi="Arial"/>
          <w:sz w:val="19"/>
          <w:szCs w:val="19"/>
          <w:color w:val="auto"/>
          <w:vertAlign w:val="superscript"/>
        </w:rPr>
      </w:pPr>
    </w:p>
    <w:p>
      <w:pPr>
        <w:jc w:val="both"/>
        <w:ind w:left="820" w:hanging="326"/>
        <w:spacing w:after="0" w:line="228" w:lineRule="auto"/>
        <w:tabs>
          <w:tab w:leader="none" w:pos="813"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For the three and nine months ended September 30, 2021, the amount reclassified from accumulated other comprehensive income (loss) into corporate interest expense was $4 million ($3 million, net of tax) and $12 million ($9 million, net of tax), respectively. For the three and nine months ended September 30, 2021, the amount reclassified from accumulated other comprehensive income (loss) into vehicle interest expense was $1 million ($1 million net of tax) and $2 million ($1 million, net of tax), respectively. For the three and nine months ended September 30, 2020, the amount reclassified from accumulated other comprehensive income (loss) into corporate interest expense was $3 million ($3 million net of tax) and $5 million ($4 million, net of</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20" w:right="20"/>
        <w:spacing w:after="0" w:line="235" w:lineRule="auto"/>
        <w:rPr>
          <w:sz w:val="20"/>
          <w:szCs w:val="20"/>
          <w:color w:val="auto"/>
        </w:rPr>
      </w:pPr>
      <w:r>
        <w:rPr>
          <w:rFonts w:ascii="Arial" w:cs="Arial" w:eastAsia="Arial" w:hAnsi="Arial"/>
          <w:sz w:val="14"/>
          <w:szCs w:val="14"/>
          <w:color w:val="auto"/>
        </w:rPr>
        <w:t>tax), respectively. For the three and nine months ended September 30, 2020, the amount reclassified from accumulated other comprehensive income (loss) into vehicle interest expense was $1 million ($0 million, net of tax) and $2 million ($1 million, net of tax), respectively.</w:t>
      </w:r>
    </w:p>
    <w:p>
      <w:pPr>
        <w:spacing w:after="0" w:line="9" w:lineRule="exact"/>
        <w:rPr>
          <w:sz w:val="20"/>
          <w:szCs w:val="20"/>
          <w:color w:val="auto"/>
        </w:rPr>
      </w:pPr>
    </w:p>
    <w:p>
      <w:pPr>
        <w:jc w:val="both"/>
        <w:ind w:left="820" w:hanging="326"/>
        <w:spacing w:after="0" w:line="225" w:lineRule="auto"/>
        <w:tabs>
          <w:tab w:leader="none" w:pos="807" w:val="left"/>
        </w:tabs>
        <w:numPr>
          <w:ilvl w:val="1"/>
          <w:numId w:val="27"/>
        </w:numPr>
        <w:rPr>
          <w:rFonts w:ascii="Arial" w:cs="Arial" w:eastAsia="Arial" w:hAnsi="Arial"/>
          <w:sz w:val="19"/>
          <w:szCs w:val="19"/>
          <w:color w:val="auto"/>
          <w:vertAlign w:val="superscript"/>
        </w:rPr>
      </w:pPr>
      <w:r>
        <w:rPr>
          <w:rFonts w:ascii="Arial" w:cs="Arial" w:eastAsia="Arial" w:hAnsi="Arial"/>
          <w:sz w:val="14"/>
          <w:szCs w:val="14"/>
          <w:color w:val="auto"/>
        </w:rPr>
        <w:t>For the three and nine months ended September 30, 2021, amounts reclassified from accumulated other comprehensive income (loss) into selling, general and administrative expenses were $2 million ($2 million, net of tax) and $7 million ($5 million, net of tax), respectively. For the three and nine months ended September 30, 2020, the amount reclassified from accumulated other comprehensive income (loss) into selling, general and administrative expenses was $2 million ($1 million net of tax) and $6 million ($4 million, net of tax), respectively.</w:t>
      </w:r>
    </w:p>
    <w:p>
      <w:pPr>
        <w:spacing w:after="0" w:line="205" w:lineRule="exact"/>
        <w:rPr>
          <w:rFonts w:ascii="Arial" w:cs="Arial" w:eastAsia="Arial" w:hAnsi="Arial"/>
          <w:sz w:val="19"/>
          <w:szCs w:val="19"/>
          <w:color w:val="auto"/>
          <w:vertAlign w:val="superscript"/>
        </w:rPr>
      </w:pPr>
    </w:p>
    <w:p>
      <w:pPr>
        <w:ind w:left="300" w:hanging="292"/>
        <w:spacing w:after="0"/>
        <w:tabs>
          <w:tab w:leader="none" w:pos="3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74" w:lineRule="exact"/>
        <w:rPr>
          <w:sz w:val="20"/>
          <w:szCs w:val="20"/>
          <w:color w:val="auto"/>
        </w:rPr>
      </w:pPr>
    </w:p>
    <w:p>
      <w:pPr>
        <w:jc w:val="both"/>
        <w:ind w:left="500"/>
        <w:spacing w:after="0" w:line="250" w:lineRule="auto"/>
        <w:rPr>
          <w:sz w:val="20"/>
          <w:szCs w:val="20"/>
          <w:color w:val="auto"/>
        </w:rPr>
      </w:pPr>
      <w:r>
        <w:rPr>
          <w:rFonts w:ascii="Arial" w:cs="Arial" w:eastAsia="Arial" w:hAnsi="Arial"/>
          <w:sz w:val="18"/>
          <w:szCs w:val="18"/>
          <w:color w:val="auto"/>
        </w:rPr>
        <w:t>On August 9, 2021, SRS Mobility Ventures, LLC acquired a 33 1/3% Class A Membership Interest in one of the Company’s subsidiaries at fair value of $37.5 million. SRS Mobility Ventures, LLC is an affiliate of the Company’s largest shareholder, SRS Investment Management, LLC.</w:t>
      </w:r>
    </w:p>
    <w:p>
      <w:pPr>
        <w:spacing w:after="0" w:line="1"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2"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The Company recorded stock-based compensation expense of $11 million and $4 million ($8 million and $3 million, net of tax) during the three months ended September 30, 2021 and 2020, respectively, and $25 million and $6 million ($19 million and $4 million, net of tax) during the nine months ended September 30, 2021 and 2020, respectively.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June 2020, the Company granted market-based restricted stock units (“RSUs”) that vest based on absolute stock price attainment.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grant date fair value of this award is estimated using a Monte Carlo simulation model.</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weighted average assumptions used in the model are as follows:</w:t>
      </w:r>
    </w:p>
    <w:p>
      <w:pPr>
        <w:spacing w:after="0" w:line="295" w:lineRule="exact"/>
        <w:rPr>
          <w:sz w:val="20"/>
          <w:szCs w:val="20"/>
          <w:color w:val="auto"/>
        </w:rPr>
      </w:pPr>
    </w:p>
    <w:tbl>
      <w:tblPr>
        <w:tblLayout w:type="fixed"/>
        <w:tblInd w:w="520" w:type="dxa"/>
        <w:tblCellMar>
          <w:top w:w="0" w:type="dxa"/>
          <w:left w:w="0" w:type="dxa"/>
          <w:bottom w:w="0" w:type="dxa"/>
          <w:right w:w="0" w:type="dxa"/>
        </w:tblCellMar>
      </w:tblPr>
      <w:tr>
        <w:trPr>
          <w:trHeight w:val="195"/>
        </w:trPr>
        <w:tc>
          <w:tcPr>
            <w:tcW w:w="4920" w:type="dxa"/>
            <w:vAlign w:val="bottom"/>
          </w:tcPr>
          <w:p>
            <w:pPr>
              <w:spacing w:after="0"/>
              <w:rPr>
                <w:sz w:val="20"/>
                <w:szCs w:val="20"/>
                <w:color w:val="auto"/>
              </w:rPr>
            </w:pPr>
            <w:r>
              <w:rPr>
                <w:rFonts w:ascii="Arial" w:cs="Arial" w:eastAsia="Arial" w:hAnsi="Arial"/>
                <w:sz w:val="16"/>
                <w:szCs w:val="16"/>
                <w:color w:val="auto"/>
              </w:rPr>
              <w:t>Expected volatility of stock price</w:t>
            </w:r>
          </w:p>
        </w:tc>
        <w:tc>
          <w:tcPr>
            <w:tcW w:w="3140" w:type="dxa"/>
            <w:vAlign w:val="bottom"/>
          </w:tcPr>
          <w:p>
            <w:pPr>
              <w:jc w:val="center"/>
              <w:ind w:left="2539"/>
              <w:spacing w:after="0"/>
              <w:rPr>
                <w:sz w:val="20"/>
                <w:szCs w:val="20"/>
                <w:color w:val="auto"/>
              </w:rPr>
            </w:pPr>
            <w:r>
              <w:rPr>
                <w:rFonts w:ascii="Arial" w:cs="Arial" w:eastAsia="Arial" w:hAnsi="Arial"/>
                <w:sz w:val="16"/>
                <w:szCs w:val="16"/>
                <w:color w:val="auto"/>
                <w:w w:val="99"/>
              </w:rPr>
              <w:t>91%</w:t>
            </w:r>
          </w:p>
        </w:tc>
      </w:tr>
      <w:tr>
        <w:trPr>
          <w:trHeight w:val="216"/>
        </w:trPr>
        <w:tc>
          <w:tcPr>
            <w:tcW w:w="4920" w:type="dxa"/>
            <w:vAlign w:val="bottom"/>
          </w:tcPr>
          <w:p>
            <w:pPr>
              <w:spacing w:after="0"/>
              <w:rPr>
                <w:sz w:val="20"/>
                <w:szCs w:val="20"/>
                <w:color w:val="auto"/>
              </w:rPr>
            </w:pPr>
            <w:r>
              <w:rPr>
                <w:rFonts w:ascii="Arial" w:cs="Arial" w:eastAsia="Arial" w:hAnsi="Arial"/>
                <w:sz w:val="16"/>
                <w:szCs w:val="16"/>
                <w:color w:val="auto"/>
              </w:rPr>
              <w:t>Risk-free interest rate</w:t>
            </w:r>
          </w:p>
        </w:tc>
        <w:tc>
          <w:tcPr>
            <w:tcW w:w="3140" w:type="dxa"/>
            <w:vAlign w:val="bottom"/>
          </w:tcPr>
          <w:p>
            <w:pPr>
              <w:jc w:val="center"/>
              <w:ind w:left="2559"/>
              <w:spacing w:after="0"/>
              <w:rPr>
                <w:sz w:val="20"/>
                <w:szCs w:val="20"/>
                <w:color w:val="auto"/>
              </w:rPr>
            </w:pPr>
            <w:r>
              <w:rPr>
                <w:rFonts w:ascii="Arial" w:cs="Arial" w:eastAsia="Arial" w:hAnsi="Arial"/>
                <w:sz w:val="16"/>
                <w:szCs w:val="16"/>
                <w:color w:val="auto"/>
              </w:rPr>
              <w:t>0.18%</w:t>
            </w:r>
          </w:p>
        </w:tc>
      </w:tr>
      <w:tr>
        <w:trPr>
          <w:trHeight w:val="216"/>
        </w:trPr>
        <w:tc>
          <w:tcPr>
            <w:tcW w:w="4920" w:type="dxa"/>
            <w:vAlign w:val="bottom"/>
          </w:tcPr>
          <w:p>
            <w:pPr>
              <w:spacing w:after="0"/>
              <w:rPr>
                <w:sz w:val="20"/>
                <w:szCs w:val="20"/>
                <w:color w:val="auto"/>
              </w:rPr>
            </w:pPr>
            <w:r>
              <w:rPr>
                <w:rFonts w:ascii="Arial" w:cs="Arial" w:eastAsia="Arial" w:hAnsi="Arial"/>
                <w:sz w:val="16"/>
                <w:szCs w:val="16"/>
                <w:color w:val="auto"/>
              </w:rPr>
              <w:t>Valuation period</w:t>
            </w:r>
          </w:p>
        </w:tc>
        <w:tc>
          <w:tcPr>
            <w:tcW w:w="3140" w:type="dxa"/>
            <w:vAlign w:val="bottom"/>
          </w:tcPr>
          <w:p>
            <w:pPr>
              <w:ind w:left="2620"/>
              <w:spacing w:after="0"/>
              <w:rPr>
                <w:sz w:val="20"/>
                <w:szCs w:val="20"/>
                <w:color w:val="auto"/>
              </w:rPr>
            </w:pPr>
            <w:r>
              <w:rPr>
                <w:rFonts w:ascii="Arial" w:cs="Arial" w:eastAsia="Arial" w:hAnsi="Arial"/>
                <w:sz w:val="16"/>
                <w:szCs w:val="16"/>
                <w:color w:val="auto"/>
                <w:w w:val="95"/>
              </w:rPr>
              <w:t>3 years</w:t>
            </w:r>
          </w:p>
        </w:tc>
      </w:tr>
      <w:tr>
        <w:trPr>
          <w:trHeight w:val="216"/>
        </w:trPr>
        <w:tc>
          <w:tcPr>
            <w:tcW w:w="4920" w:type="dxa"/>
            <w:vAlign w:val="bottom"/>
          </w:tcPr>
          <w:p>
            <w:pPr>
              <w:spacing w:after="0"/>
              <w:rPr>
                <w:sz w:val="20"/>
                <w:szCs w:val="20"/>
                <w:color w:val="auto"/>
              </w:rPr>
            </w:pPr>
            <w:r>
              <w:rPr>
                <w:rFonts w:ascii="Arial" w:cs="Arial" w:eastAsia="Arial" w:hAnsi="Arial"/>
                <w:sz w:val="16"/>
                <w:szCs w:val="16"/>
                <w:color w:val="auto"/>
              </w:rPr>
              <w:t>Dividend yield</w:t>
            </w:r>
          </w:p>
        </w:tc>
        <w:tc>
          <w:tcPr>
            <w:tcW w:w="3140" w:type="dxa"/>
            <w:vAlign w:val="bottom"/>
          </w:tcPr>
          <w:p>
            <w:pPr>
              <w:jc w:val="center"/>
              <w:ind w:left="2559"/>
              <w:spacing w:after="0"/>
              <w:rPr>
                <w:sz w:val="20"/>
                <w:szCs w:val="20"/>
                <w:color w:val="auto"/>
              </w:rPr>
            </w:pPr>
            <w:r>
              <w:rPr>
                <w:rFonts w:ascii="Arial" w:cs="Arial" w:eastAsia="Arial" w:hAnsi="Arial"/>
                <w:sz w:val="16"/>
                <w:szCs w:val="16"/>
                <w:color w:val="auto"/>
                <w:w w:val="99"/>
              </w:rPr>
              <w:t>—%</w:t>
            </w:r>
          </w:p>
        </w:tc>
      </w:tr>
    </w:tbl>
    <w:p>
      <w:pPr>
        <w:spacing w:after="0" w:line="3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activity related to RSUs consisted of (in thousands of shares):</w:t>
      </w:r>
    </w:p>
    <w:p>
      <w:pPr>
        <w:spacing w:after="0" w:line="2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80" w:type="dxa"/>
            <w:vAlign w:val="bottom"/>
          </w:tcPr>
          <w:p>
            <w:pPr>
              <w:spacing w:after="0"/>
              <w:rPr>
                <w:sz w:val="14"/>
                <w:szCs w:val="14"/>
                <w:color w:val="auto"/>
              </w:rPr>
            </w:pPr>
          </w:p>
        </w:tc>
        <w:tc>
          <w:tcPr>
            <w:tcW w:w="11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1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Average</w:t>
            </w:r>
          </w:p>
        </w:tc>
        <w:tc>
          <w:tcPr>
            <w:tcW w:w="17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w:t>
            </w:r>
          </w:p>
        </w:tc>
        <w:tc>
          <w:tcPr>
            <w:tcW w:w="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Grant Date</w:t>
            </w:r>
          </w:p>
        </w:tc>
        <w:tc>
          <w:tcPr>
            <w:tcW w:w="17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Contractual Term</w:t>
            </w:r>
          </w:p>
        </w:tc>
        <w:tc>
          <w:tcPr>
            <w:tcW w:w="80" w:type="dxa"/>
            <w:vAlign w:val="bottom"/>
          </w:tcPr>
          <w:p>
            <w:pPr>
              <w:spacing w:after="0"/>
              <w:rPr>
                <w:sz w:val="11"/>
                <w:szCs w:val="11"/>
                <w:color w:val="auto"/>
              </w:rPr>
            </w:pPr>
          </w:p>
        </w:tc>
        <w:tc>
          <w:tcPr>
            <w:tcW w:w="112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5"/>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Time-based RSUs</w:t>
            </w: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 Value</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5"/>
                <w:szCs w:val="15"/>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70"/>
        </w:trPr>
        <w:tc>
          <w:tcPr>
            <w:tcW w:w="4680" w:type="dxa"/>
            <w:vAlign w:val="bottom"/>
            <w:vMerge w:val="continue"/>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160"/>
              <w:spacing w:after="0"/>
              <w:rPr>
                <w:sz w:val="20"/>
                <w:szCs w:val="20"/>
                <w:color w:val="auto"/>
              </w:rPr>
            </w:pPr>
            <w:r>
              <w:rPr>
                <w:rFonts w:ascii="Arial" w:cs="Arial" w:eastAsia="Arial" w:hAnsi="Arial"/>
                <w:sz w:val="14"/>
                <w:szCs w:val="14"/>
                <w:color w:val="auto"/>
              </w:rPr>
              <w:t>Outstanding at January 1, 2021</w:t>
            </w:r>
          </w:p>
        </w:tc>
        <w:tc>
          <w:tcPr>
            <w:tcW w:w="1140" w:type="dxa"/>
            <w:vAlign w:val="bottom"/>
          </w:tcPr>
          <w:p>
            <w:pPr>
              <w:jc w:val="right"/>
              <w:spacing w:after="0"/>
              <w:rPr>
                <w:sz w:val="20"/>
                <w:szCs w:val="20"/>
                <w:color w:val="auto"/>
              </w:rPr>
            </w:pPr>
            <w:r>
              <w:rPr>
                <w:rFonts w:ascii="Arial" w:cs="Arial" w:eastAsia="Arial" w:hAnsi="Arial"/>
                <w:sz w:val="14"/>
                <w:szCs w:val="14"/>
                <w:color w:val="auto"/>
              </w:rPr>
              <w:t>1,070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27.47</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680" w:type="dxa"/>
            <w:vAlign w:val="bottom"/>
          </w:tcPr>
          <w:p>
            <w:pPr>
              <w:ind w:left="360"/>
              <w:spacing w:after="0" w:line="197" w:lineRule="exact"/>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14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63.12</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80" w:type="dxa"/>
            <w:vAlign w:val="bottom"/>
          </w:tcPr>
          <w:p>
            <w:pPr>
              <w:ind w:left="360"/>
              <w:spacing w:after="0" w:line="197"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140" w:type="dxa"/>
            <w:vAlign w:val="bottom"/>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29.46</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68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31.37</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80" w:type="dxa"/>
            <w:vAlign w:val="bottom"/>
          </w:tcPr>
          <w:p>
            <w:pPr>
              <w:ind w:left="160"/>
              <w:spacing w:after="0" w:line="182" w:lineRule="exact"/>
              <w:rPr>
                <w:sz w:val="20"/>
                <w:szCs w:val="20"/>
                <w:color w:val="auto"/>
              </w:rPr>
            </w:pPr>
            <w:r>
              <w:rPr>
                <w:rFonts w:ascii="Arial" w:cs="Arial" w:eastAsia="Arial" w:hAnsi="Arial"/>
                <w:sz w:val="14"/>
                <w:szCs w:val="14"/>
                <w:color w:val="auto"/>
              </w:rPr>
              <w:t xml:space="preserve">Outstanding and expected to vest at September 30, 2021 </w:t>
            </w:r>
            <w:r>
              <w:rPr>
                <w:rFonts w:ascii="Arial" w:cs="Arial" w:eastAsia="Arial" w:hAnsi="Arial"/>
                <w:sz w:val="18"/>
                <w:szCs w:val="18"/>
                <w:color w:val="auto"/>
                <w:vertAlign w:val="superscript"/>
              </w:rPr>
              <w:t>(c)</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37.93</w:t>
            </w:r>
          </w:p>
        </w:tc>
        <w:tc>
          <w:tcPr>
            <w:tcW w:w="10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Performance-based and market-based RSUs</w:t>
            </w: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68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160"/>
              <w:spacing w:after="0"/>
              <w:rPr>
                <w:sz w:val="20"/>
                <w:szCs w:val="20"/>
                <w:color w:val="auto"/>
              </w:rPr>
            </w:pPr>
            <w:r>
              <w:rPr>
                <w:rFonts w:ascii="Arial" w:cs="Arial" w:eastAsia="Arial" w:hAnsi="Arial"/>
                <w:sz w:val="14"/>
                <w:szCs w:val="14"/>
                <w:color w:val="auto"/>
              </w:rPr>
              <w:t>Outstanding at January 1, 2021</w:t>
            </w:r>
          </w:p>
        </w:tc>
        <w:tc>
          <w:tcPr>
            <w:tcW w:w="1140" w:type="dxa"/>
            <w:vAlign w:val="bottom"/>
          </w:tcPr>
          <w:p>
            <w:pPr>
              <w:jc w:val="right"/>
              <w:spacing w:after="0"/>
              <w:rPr>
                <w:sz w:val="20"/>
                <w:szCs w:val="20"/>
                <w:color w:val="auto"/>
              </w:rPr>
            </w:pPr>
            <w:r>
              <w:rPr>
                <w:rFonts w:ascii="Arial" w:cs="Arial" w:eastAsia="Arial" w:hAnsi="Arial"/>
                <w:sz w:val="14"/>
                <w:szCs w:val="14"/>
                <w:color w:val="auto"/>
              </w:rPr>
              <w:t>988</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32.41</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680" w:type="dxa"/>
            <w:vAlign w:val="bottom"/>
          </w:tcPr>
          <w:p>
            <w:pPr>
              <w:ind w:left="360"/>
              <w:spacing w:after="0" w:line="197" w:lineRule="exact"/>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140" w:type="dxa"/>
            <w:vAlign w:val="bottom"/>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62.27</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80" w:type="dxa"/>
            <w:vAlign w:val="bottom"/>
          </w:tcPr>
          <w:p>
            <w:pPr>
              <w:ind w:left="360"/>
              <w:spacing w:after="0" w:line="197"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68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45.92</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80" w:type="dxa"/>
            <w:vAlign w:val="bottom"/>
          </w:tcPr>
          <w:p>
            <w:pPr>
              <w:ind w:left="160"/>
              <w:spacing w:after="0"/>
              <w:rPr>
                <w:sz w:val="20"/>
                <w:szCs w:val="20"/>
                <w:color w:val="auto"/>
              </w:rPr>
            </w:pPr>
            <w:r>
              <w:rPr>
                <w:rFonts w:ascii="Arial" w:cs="Arial" w:eastAsia="Arial" w:hAnsi="Arial"/>
                <w:sz w:val="14"/>
                <w:szCs w:val="14"/>
                <w:color w:val="auto"/>
              </w:rPr>
              <w:t>Outstanding at September 30, 2021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35.37</w:t>
            </w:r>
          </w:p>
        </w:tc>
        <w:tc>
          <w:tcPr>
            <w:tcW w:w="10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160"/>
              <w:spacing w:after="0"/>
              <w:rPr>
                <w:sz w:val="20"/>
                <w:szCs w:val="20"/>
                <w:color w:val="auto"/>
              </w:rPr>
            </w:pPr>
            <w:r>
              <w:rPr>
                <w:rFonts w:ascii="Arial" w:cs="Arial" w:eastAsia="Arial" w:hAnsi="Arial"/>
                <w:sz w:val="14"/>
                <w:szCs w:val="14"/>
                <w:color w:val="auto"/>
              </w:rPr>
              <w:t xml:space="preserve">Outstanding and expected to vest at September 30, 2021 </w:t>
            </w:r>
            <w:r>
              <w:rPr>
                <w:rFonts w:ascii="Arial" w:cs="Arial" w:eastAsia="Arial" w:hAnsi="Arial"/>
                <w:sz w:val="18"/>
                <w:szCs w:val="18"/>
                <w:color w:val="auto"/>
                <w:vertAlign w:val="superscript"/>
              </w:rPr>
              <w:t>(c)</w:t>
            </w: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680" w:type="dxa"/>
            <w:vAlign w:val="bottom"/>
            <w:vMerge w:val="continue"/>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900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35.37</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116" w:lineRule="exact"/>
        <w:rPr>
          <w:sz w:val="20"/>
          <w:szCs w:val="20"/>
          <w:color w:val="auto"/>
        </w:rPr>
      </w:pPr>
    </w:p>
    <w:p>
      <w:pPr>
        <w:jc w:val="both"/>
        <w:ind w:left="820" w:hanging="326"/>
        <w:spacing w:after="0" w:line="215" w:lineRule="auto"/>
        <w:tabs>
          <w:tab w:leader="none" w:pos="813"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Reflects the maximum number of stock units assuming achievement of all performance-, market- and time-vesting criteria and does not include those for non-employee directors. The weighted-average fair value of time-based RSUs and performance-based and market-based RSUs granted during the nine months ended September 30, 2020 was $23.14 and $21.06, respectively.</w:t>
      </w:r>
    </w:p>
    <w:p>
      <w:pPr>
        <w:spacing w:after="0" w:line="1" w:lineRule="exact"/>
        <w:rPr>
          <w:rFonts w:ascii="Arial" w:cs="Arial" w:eastAsia="Arial" w:hAnsi="Arial"/>
          <w:sz w:val="19"/>
          <w:szCs w:val="19"/>
          <w:color w:val="auto"/>
          <w:vertAlign w:val="superscript"/>
        </w:rPr>
      </w:pPr>
    </w:p>
    <w:p>
      <w:pPr>
        <w:ind w:left="820" w:hanging="326"/>
        <w:spacing w:after="0" w:line="189" w:lineRule="auto"/>
        <w:tabs>
          <w:tab w:leader="none" w:pos="820"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The total fair value of RSUs vested during the nine months ended September 30, 2021 and 2020 was $17 million and $19 million, respectively.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20" w:hanging="326"/>
        <w:spacing w:after="0" w:line="211" w:lineRule="auto"/>
        <w:tabs>
          <w:tab w:leader="none" w:pos="807" w:val="left"/>
        </w:tabs>
        <w:numPr>
          <w:ilvl w:val="1"/>
          <w:numId w:val="31"/>
        </w:numPr>
        <w:rPr>
          <w:rFonts w:ascii="Arial" w:cs="Arial" w:eastAsia="Arial" w:hAnsi="Arial"/>
          <w:sz w:val="19"/>
          <w:szCs w:val="19"/>
          <w:color w:val="auto"/>
          <w:vertAlign w:val="superscript"/>
        </w:rPr>
      </w:pPr>
      <w:r>
        <w:rPr>
          <w:rFonts w:ascii="Arial" w:cs="Arial" w:eastAsia="Arial" w:hAnsi="Arial"/>
          <w:sz w:val="14"/>
          <w:szCs w:val="14"/>
          <w:color w:val="auto"/>
        </w:rPr>
        <w:t>Aggregate unrecognized compensation expense related to time-based RSUs and performance-based and market-based RSUs amounted to $36 million and will be recognized over a weighted average vesting period of 1.3 years.</w:t>
      </w:r>
    </w:p>
    <w:p>
      <w:pPr>
        <w:spacing w:after="0" w:line="205" w:lineRule="exact"/>
        <w:rPr>
          <w:rFonts w:ascii="Arial" w:cs="Arial" w:eastAsia="Arial" w:hAnsi="Arial"/>
          <w:sz w:val="19"/>
          <w:szCs w:val="19"/>
          <w:color w:val="auto"/>
          <w:vertAlign w:val="superscript"/>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256"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The Company uses currency exchange contracts to manage its exposure to changes in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certain of its non-U.S.-dollar 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The Company has designated its euro-denominated notes as a hedge of its investment in euro-denominated foreign operations.</w:t>
      </w:r>
    </w:p>
    <w:p>
      <w:pPr>
        <w:spacing w:after="0" w:line="230"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The estimated net amount of existing gains or losses the Company expects to reclassify from accumulated other comprehensive income (loss) to earnings for cash flow and net investment hedges over the next 12 months is not material.</w:t>
      </w:r>
    </w:p>
    <w:p>
      <w:pPr>
        <w:spacing w:after="0" w:line="72"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Company uses various hedging strategies including interest rate swaps and interest rate caps to create what it</w:t>
      </w:r>
      <w:r>
        <w:rPr>
          <w:rFonts w:ascii="Arial" w:cs="Arial" w:eastAsia="Arial" w:hAnsi="Arial"/>
          <w:sz w:val="18"/>
          <w:szCs w:val="18"/>
          <w:i w:val="1"/>
          <w:iCs w:val="1"/>
          <w:color w:val="auto"/>
        </w:rPr>
        <w:t xml:space="preserve"> </w:t>
      </w:r>
      <w:r>
        <w:rPr>
          <w:rFonts w:ascii="Arial" w:cs="Arial" w:eastAsia="Arial" w:hAnsi="Arial"/>
          <w:sz w:val="18"/>
          <w:szCs w:val="18"/>
          <w:color w:val="auto"/>
        </w:rPr>
        <w:t>deems an appropriate mix of fixed and floating rate assets and liabilities. The Company uses interest rate swaps and interest rate caps to manage the risk related to its floating rate corporate debt and its floating rate vehicle-backed debt. The Company records the changes in the fair value of its cash flow hedges to other comprehensive income (loss), net of tax, and subsequently reclassifies these amounts into earnings in the period during which the hedged transaction affects earnings and is presented in the same income statement line item as the earnings effect of the hedged item. The Company records the gains or losses related to freestanding derivatives, which are not designated as a hedge for accounting purposes, currently in earnings and are presented in the same line of the income statement expected for the hedged item. The Company estimates that approximately $ 21 million of losses currently recorded in accumulated other comprehensive income (loss) will be recognized in earnings over the next 12 months.</w:t>
      </w:r>
    </w:p>
    <w:p>
      <w:pPr>
        <w:spacing w:after="0" w:line="215" w:lineRule="exact"/>
        <w:rPr>
          <w:sz w:val="20"/>
          <w:szCs w:val="20"/>
          <w:color w:val="auto"/>
        </w:rPr>
      </w:pPr>
    </w:p>
    <w:p>
      <w:pPr>
        <w:jc w:val="both"/>
        <w:ind w:left="500"/>
        <w:spacing w:after="0" w:line="266" w:lineRule="auto"/>
        <w:rPr>
          <w:sz w:val="20"/>
          <w:szCs w:val="20"/>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The Company periodically enters into derivative commodity contracts to manage its exposure to changes in the price</w:t>
      </w:r>
      <w:r>
        <w:rPr>
          <w:rFonts w:ascii="Arial" w:cs="Arial" w:eastAsia="Arial" w:hAnsi="Arial"/>
          <w:sz w:val="18"/>
          <w:szCs w:val="18"/>
          <w:i w:val="1"/>
          <w:iCs w:val="1"/>
          <w:color w:val="auto"/>
        </w:rPr>
        <w:t xml:space="preserve"> </w:t>
      </w:r>
      <w:r>
        <w:rPr>
          <w:rFonts w:ascii="Arial" w:cs="Arial" w:eastAsia="Arial" w:hAnsi="Arial"/>
          <w:sz w:val="18"/>
          <w:szCs w:val="18"/>
          <w:color w:val="auto"/>
        </w:rPr>
        <w:t>of gasoline. These instruments were designated as freestanding derivatives and the changes in fair value are recorded in earnings and are presented in the same line of the income statement expected for the hedged item.</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held derivative instruments with absolute notional values as follows:</w:t>
      </w:r>
    </w:p>
    <w:p>
      <w:pPr>
        <w:spacing w:after="0" w:line="32" w:lineRule="exact"/>
        <w:rPr>
          <w:sz w:val="20"/>
          <w:szCs w:val="20"/>
          <w:color w:val="auto"/>
        </w:rPr>
      </w:pPr>
    </w:p>
    <w:tbl>
      <w:tblPr>
        <w:tblLayout w:type="fixed"/>
        <w:tblInd w:w="520" w:type="dxa"/>
        <w:tblCellMar>
          <w:top w:w="0" w:type="dxa"/>
          <w:left w:w="0" w:type="dxa"/>
          <w:bottom w:w="0" w:type="dxa"/>
          <w:right w:w="0" w:type="dxa"/>
        </w:tblCellMar>
      </w:tblPr>
      <w:tr>
        <w:trPr>
          <w:trHeight w:val="218"/>
        </w:trPr>
        <w:tc>
          <w:tcPr>
            <w:tcW w:w="7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As of September 30, 2021</w:t>
            </w:r>
          </w:p>
        </w:tc>
      </w:tr>
      <w:tr>
        <w:trPr>
          <w:trHeight w:val="207"/>
        </w:trPr>
        <w:tc>
          <w:tcPr>
            <w:tcW w:w="7620" w:type="dxa"/>
            <w:vAlign w:val="bottom"/>
          </w:tcPr>
          <w:p>
            <w:pPr>
              <w:spacing w:after="0"/>
              <w:rPr>
                <w:sz w:val="20"/>
                <w:szCs w:val="20"/>
                <w:color w:val="auto"/>
              </w:rPr>
            </w:pPr>
            <w:r>
              <w:rPr>
                <w:rFonts w:ascii="Arial" w:cs="Arial" w:eastAsia="Arial" w:hAnsi="Arial"/>
                <w:sz w:val="16"/>
                <w:szCs w:val="16"/>
                <w:color w:val="auto"/>
              </w:rPr>
              <w:t>Foreign exchange contracts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220" w:type="dxa"/>
            <w:vAlign w:val="bottom"/>
          </w:tcPr>
          <w:p>
            <w:pPr>
              <w:jc w:val="right"/>
              <w:spacing w:after="0"/>
              <w:rPr>
                <w:sz w:val="20"/>
                <w:szCs w:val="20"/>
                <w:color w:val="auto"/>
              </w:rPr>
            </w:pPr>
            <w:r>
              <w:rPr>
                <w:rFonts w:ascii="Arial" w:cs="Arial" w:eastAsia="Arial" w:hAnsi="Arial"/>
                <w:sz w:val="16"/>
                <w:szCs w:val="16"/>
                <w:color w:val="auto"/>
              </w:rPr>
              <w:t>1,709</w:t>
            </w:r>
          </w:p>
        </w:tc>
      </w:tr>
      <w:tr>
        <w:trPr>
          <w:trHeight w:val="237"/>
        </w:trPr>
        <w:tc>
          <w:tcPr>
            <w:tcW w:w="7620" w:type="dxa"/>
            <w:vAlign w:val="bottom"/>
          </w:tcPr>
          <w:p>
            <w:pPr>
              <w:spacing w:after="0" w:line="23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16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8,742</w:t>
            </w:r>
          </w:p>
        </w:tc>
      </w:tr>
      <w:tr>
        <w:trPr>
          <w:trHeight w:val="195"/>
        </w:trPr>
        <w:tc>
          <w:tcPr>
            <w:tcW w:w="7620" w:type="dxa"/>
            <w:vAlign w:val="bottom"/>
          </w:tcPr>
          <w:p>
            <w:pPr>
              <w:spacing w:after="0"/>
              <w:rPr>
                <w:sz w:val="20"/>
                <w:szCs w:val="20"/>
                <w:color w:val="auto"/>
              </w:rPr>
            </w:pPr>
            <w:r>
              <w:rPr>
                <w:rFonts w:ascii="Arial" w:cs="Arial" w:eastAsia="Arial" w:hAnsi="Arial"/>
                <w:sz w:val="16"/>
                <w:szCs w:val="16"/>
                <w:color w:val="auto"/>
              </w:rPr>
              <w:t>Interest rate swaps</w:t>
            </w:r>
          </w:p>
        </w:tc>
        <w:tc>
          <w:tcPr>
            <w:tcW w:w="160" w:type="dxa"/>
            <w:vAlign w:val="bottom"/>
          </w:tcPr>
          <w:p>
            <w:pPr>
              <w:spacing w:after="0"/>
              <w:rPr>
                <w:sz w:val="16"/>
                <w:szCs w:val="16"/>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1,550</w:t>
            </w:r>
          </w:p>
        </w:tc>
      </w:tr>
    </w:tbl>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21" w:lineRule="exact"/>
        <w:rPr>
          <w:sz w:val="20"/>
          <w:szCs w:val="20"/>
          <w:color w:val="auto"/>
        </w:rPr>
      </w:pPr>
    </w:p>
    <w:p>
      <w:pPr>
        <w:ind w:left="820" w:hanging="326"/>
        <w:spacing w:after="0" w:line="258" w:lineRule="auto"/>
        <w:tabs>
          <w:tab w:leader="none" w:pos="813" w:val="left"/>
        </w:tabs>
        <w:numPr>
          <w:ilvl w:val="0"/>
          <w:numId w:val="33"/>
        </w:numPr>
        <w:rPr>
          <w:rFonts w:ascii="Arial" w:cs="Arial" w:eastAsia="Arial" w:hAnsi="Arial"/>
          <w:sz w:val="9"/>
          <w:szCs w:val="9"/>
          <w:color w:val="auto"/>
        </w:rPr>
      </w:pPr>
      <w:r>
        <w:rPr>
          <w:rFonts w:ascii="Arial" w:cs="Arial" w:eastAsia="Arial" w:hAnsi="Arial"/>
          <w:sz w:val="14"/>
          <w:szCs w:val="14"/>
          <w:color w:val="auto"/>
        </w:rPr>
        <w:t>Represents $5.9 billion of interest rate caps sold, partially offset by approximately $2.9 billion of interest rate caps purchased. These amounts exclude $3.0 billion of interest rate caps purchased by the Company’s Avis Budget Rental Car Funding subsidiary as it is not consolidated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fair values (Level 2) of derivative instruments were as follows:</w:t>
      </w:r>
    </w:p>
    <w:p>
      <w:pPr>
        <w:spacing w:after="0" w:line="32" w:lineRule="exact"/>
        <w:rPr>
          <w:sz w:val="20"/>
          <w:szCs w:val="20"/>
          <w:color w:val="auto"/>
        </w:rPr>
      </w:pPr>
    </w:p>
    <w:tbl>
      <w:tblPr>
        <w:tblLayout w:type="fixed"/>
        <w:tblInd w:w="520" w:type="dxa"/>
        <w:tblCellMar>
          <w:top w:w="0" w:type="dxa"/>
          <w:left w:w="0" w:type="dxa"/>
          <w:bottom w:w="0" w:type="dxa"/>
          <w:right w:w="0" w:type="dxa"/>
        </w:tblCellMar>
      </w:tblPr>
      <w:tr>
        <w:trPr>
          <w:trHeight w:val="218"/>
        </w:trPr>
        <w:tc>
          <w:tcPr>
            <w:tcW w:w="420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As of September 30, 2021</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2020</w:t>
            </w:r>
          </w:p>
        </w:tc>
      </w:tr>
      <w:tr>
        <w:trPr>
          <w:trHeight w:val="158"/>
        </w:trPr>
        <w:tc>
          <w:tcPr>
            <w:tcW w:w="4200" w:type="dxa"/>
            <w:vAlign w:val="bottom"/>
          </w:tcPr>
          <w:p>
            <w:pPr>
              <w:spacing w:after="0"/>
              <w:rPr>
                <w:sz w:val="13"/>
                <w:szCs w:val="13"/>
                <w:color w:val="auto"/>
              </w:rPr>
            </w:pPr>
          </w:p>
        </w:tc>
        <w:tc>
          <w:tcPr>
            <w:tcW w:w="1120" w:type="dxa"/>
            <w:vAlign w:val="bottom"/>
          </w:tcPr>
          <w:p>
            <w:pPr>
              <w:jc w:val="center"/>
              <w:ind w:left="199"/>
              <w:spacing w:after="0" w:line="158" w:lineRule="exact"/>
              <w:rPr>
                <w:sz w:val="20"/>
                <w:szCs w:val="20"/>
                <w:color w:val="auto"/>
              </w:rPr>
            </w:pPr>
            <w:r>
              <w:rPr>
                <w:rFonts w:ascii="Arial" w:cs="Arial" w:eastAsia="Arial" w:hAnsi="Arial"/>
                <w:sz w:val="16"/>
                <w:szCs w:val="16"/>
                <w:b w:val="1"/>
                <w:bCs w:val="1"/>
                <w:color w:val="auto"/>
                <w:w w:val="98"/>
              </w:rPr>
              <w:t>Fair Value,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left="179"/>
              <w:spacing w:after="0" w:line="158" w:lineRule="exact"/>
              <w:rPr>
                <w:sz w:val="20"/>
                <w:szCs w:val="20"/>
                <w:color w:val="auto"/>
              </w:rPr>
            </w:pPr>
            <w:r>
              <w:rPr>
                <w:rFonts w:ascii="Arial" w:cs="Arial" w:eastAsia="Arial" w:hAnsi="Arial"/>
                <w:sz w:val="16"/>
                <w:szCs w:val="16"/>
                <w:b w:val="1"/>
                <w:bCs w:val="1"/>
                <w:color w:val="auto"/>
              </w:rPr>
              <w:t>Fair Value,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3"/>
                <w:szCs w:val="13"/>
                <w:color w:val="auto"/>
              </w:rPr>
            </w:pPr>
          </w:p>
        </w:tc>
        <w:tc>
          <w:tcPr>
            <w:tcW w:w="1200" w:type="dxa"/>
            <w:vAlign w:val="bottom"/>
          </w:tcPr>
          <w:p>
            <w:pPr>
              <w:jc w:val="center"/>
              <w:ind w:right="119"/>
              <w:spacing w:after="0" w:line="158" w:lineRule="exact"/>
              <w:rPr>
                <w:sz w:val="20"/>
                <w:szCs w:val="20"/>
                <w:color w:val="auto"/>
              </w:rPr>
            </w:pPr>
            <w:r>
              <w:rPr>
                <w:rFonts w:ascii="Arial" w:cs="Arial" w:eastAsia="Arial" w:hAnsi="Arial"/>
                <w:sz w:val="16"/>
                <w:szCs w:val="16"/>
                <w:b w:val="1"/>
                <w:bCs w:val="1"/>
                <w:color w:val="auto"/>
                <w:w w:val="98"/>
              </w:rPr>
              <w:t>Fair Value,</w:t>
            </w:r>
          </w:p>
        </w:tc>
      </w:tr>
      <w:tr>
        <w:trPr>
          <w:trHeight w:val="162"/>
        </w:trPr>
        <w:tc>
          <w:tcPr>
            <w:tcW w:w="4200" w:type="dxa"/>
            <w:vAlign w:val="bottom"/>
          </w:tcPr>
          <w:p>
            <w:pPr>
              <w:spacing w:after="0"/>
              <w:rPr>
                <w:sz w:val="14"/>
                <w:szCs w:val="14"/>
                <w:color w:val="auto"/>
              </w:rPr>
            </w:pPr>
          </w:p>
        </w:tc>
        <w:tc>
          <w:tcPr>
            <w:tcW w:w="1120" w:type="dxa"/>
            <w:vAlign w:val="bottom"/>
          </w:tcPr>
          <w:p>
            <w:pPr>
              <w:jc w:val="center"/>
              <w:ind w:left="199"/>
              <w:spacing w:after="0" w:line="162" w:lineRule="exact"/>
              <w:rPr>
                <w:sz w:val="20"/>
                <w:szCs w:val="20"/>
                <w:color w:val="auto"/>
              </w:rPr>
            </w:pPr>
            <w:r>
              <w:rPr>
                <w:rFonts w:ascii="Arial" w:cs="Arial" w:eastAsia="Arial" w:hAnsi="Arial"/>
                <w:sz w:val="16"/>
                <w:szCs w:val="16"/>
                <w:b w:val="1"/>
                <w:bCs w:val="1"/>
                <w:color w:val="auto"/>
                <w:w w:val="99"/>
              </w:rPr>
              <w:t>Derivative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rPr>
              <w:t>Derivative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Derivative</w:t>
            </w:r>
          </w:p>
        </w:tc>
        <w:tc>
          <w:tcPr>
            <w:tcW w:w="200" w:type="dxa"/>
            <w:vAlign w:val="bottom"/>
          </w:tcPr>
          <w:p>
            <w:pPr>
              <w:spacing w:after="0"/>
              <w:rPr>
                <w:sz w:val="14"/>
                <w:szCs w:val="14"/>
                <w:color w:val="auto"/>
              </w:rPr>
            </w:pPr>
          </w:p>
        </w:tc>
        <w:tc>
          <w:tcPr>
            <w:tcW w:w="120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9"/>
              </w:rPr>
              <w:t>Derivative</w:t>
            </w:r>
          </w:p>
        </w:tc>
      </w:tr>
      <w:tr>
        <w:trPr>
          <w:trHeight w:val="215"/>
        </w:trPr>
        <w:tc>
          <w:tcPr>
            <w:tcW w:w="4200" w:type="dxa"/>
            <w:vAlign w:val="bottom"/>
          </w:tcPr>
          <w:p>
            <w:pPr>
              <w:spacing w:after="0"/>
              <w:rPr>
                <w:sz w:val="18"/>
                <w:szCs w:val="18"/>
                <w:color w:val="auto"/>
              </w:rPr>
            </w:pPr>
          </w:p>
        </w:tc>
        <w:tc>
          <w:tcPr>
            <w:tcW w:w="1120" w:type="dxa"/>
            <w:vAlign w:val="bottom"/>
          </w:tcPr>
          <w:p>
            <w:pPr>
              <w:jc w:val="center"/>
              <w:ind w:left="199"/>
              <w:spacing w:after="0"/>
              <w:rPr>
                <w:sz w:val="20"/>
                <w:szCs w:val="20"/>
                <w:color w:val="auto"/>
              </w:rPr>
            </w:pPr>
            <w:r>
              <w:rPr>
                <w:rFonts w:ascii="Arial" w:cs="Arial" w:eastAsia="Arial" w:hAnsi="Arial"/>
                <w:sz w:val="16"/>
                <w:szCs w:val="16"/>
                <w:b w:val="1"/>
                <w:bCs w:val="1"/>
                <w:color w:val="auto"/>
                <w:w w:val="99"/>
              </w:rPr>
              <w:t>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left="179"/>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200" w:type="dxa"/>
            <w:vAlign w:val="bottom"/>
          </w:tcPr>
          <w:p>
            <w:pPr>
              <w:jc w:val="center"/>
              <w:ind w:right="119"/>
              <w:spacing w:after="0"/>
              <w:rPr>
                <w:sz w:val="20"/>
                <w:szCs w:val="20"/>
                <w:color w:val="auto"/>
              </w:rPr>
            </w:pPr>
            <w:r>
              <w:rPr>
                <w:rFonts w:ascii="Arial" w:cs="Arial" w:eastAsia="Arial" w:hAnsi="Arial"/>
                <w:sz w:val="16"/>
                <w:szCs w:val="16"/>
                <w:b w:val="1"/>
                <w:bCs w:val="1"/>
                <w:color w:val="auto"/>
              </w:rPr>
              <w:t>Liabilities</w:t>
            </w:r>
          </w:p>
        </w:tc>
      </w:tr>
      <w:tr>
        <w:trPr>
          <w:trHeight w:val="195"/>
        </w:trPr>
        <w:tc>
          <w:tcPr>
            <w:tcW w:w="4200" w:type="dxa"/>
            <w:vAlign w:val="bottom"/>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r>
      <w:tr>
        <w:trPr>
          <w:trHeight w:val="268"/>
        </w:trPr>
        <w:tc>
          <w:tcPr>
            <w:tcW w:w="4200" w:type="dxa"/>
            <w:vAlign w:val="bottom"/>
          </w:tcPr>
          <w:p>
            <w:pPr>
              <w:ind w:left="20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5"/>
        </w:trPr>
        <w:tc>
          <w:tcPr>
            <w:tcW w:w="420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5"/>
        </w:trPr>
        <w:tc>
          <w:tcPr>
            <w:tcW w:w="4200" w:type="dxa"/>
            <w:vAlign w:val="bottom"/>
          </w:tcPr>
          <w:p>
            <w:pPr>
              <w:ind w:left="200"/>
              <w:spacing w:after="0" w:line="235"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(b)</w:t>
            </w:r>
          </w:p>
        </w:tc>
        <w:tc>
          <w:tcPr>
            <w:tcW w:w="11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03"/>
        </w:trPr>
        <w:tc>
          <w:tcPr>
            <w:tcW w:w="4200" w:type="dxa"/>
            <w:vAlign w:val="bottom"/>
          </w:tcPr>
          <w:p>
            <w:pPr>
              <w:ind w:left="200"/>
              <w:spacing w:after="0" w:line="204"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1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200" w:type="dxa"/>
            <w:vAlign w:val="bottom"/>
          </w:tcPr>
          <w:p>
            <w:pPr>
              <w:ind w:left="200"/>
              <w:spacing w:after="0"/>
              <w:rPr>
                <w:sz w:val="20"/>
                <w:szCs w:val="20"/>
                <w:color w:val="auto"/>
              </w:rPr>
            </w:pPr>
            <w:r>
              <w:rPr>
                <w:rFonts w:ascii="Arial" w:cs="Arial" w:eastAsia="Arial" w:hAnsi="Arial"/>
                <w:sz w:val="16"/>
                <w:szCs w:val="16"/>
                <w:color w:val="auto"/>
              </w:rPr>
              <w:t>Total</w:t>
            </w: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0"/>
        </w:trPr>
        <w:tc>
          <w:tcPr>
            <w:tcW w:w="4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500" w:right="20"/>
        <w:spacing w:after="0" w:line="235"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the Company; however, certain amounts related to the derivatives held by Avis Budget Rental Car Funding are included within accumulated other comprehensive income (loss), as discussed in Note 14–Stockholders’ Equity.</w:t>
      </w:r>
    </w:p>
    <w:p>
      <w:pPr>
        <w:ind w:left="820" w:hanging="326"/>
        <w:spacing w:after="0" w:line="187" w:lineRule="auto"/>
        <w:tabs>
          <w:tab w:leader="none" w:pos="820"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ind w:left="800" w:hanging="306"/>
        <w:spacing w:after="0" w:line="189" w:lineRule="auto"/>
        <w:tabs>
          <w:tab w:leader="none" w:pos="800"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Included in assets under vehicle programs or liabilities under vehicle programs.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Condensed Financial Statements were as follows:</w:t>
      </w:r>
    </w:p>
    <w:p>
      <w:pPr>
        <w:spacing w:after="0" w:line="15"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48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4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w w:val="98"/>
              </w:rPr>
              <w:t>September 30,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209"/>
        </w:trPr>
        <w:tc>
          <w:tcPr>
            <w:tcW w:w="42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0"/>
        </w:trPr>
        <w:tc>
          <w:tcPr>
            <w:tcW w:w="4260" w:type="dxa"/>
            <w:vAlign w:val="bottom"/>
          </w:tcPr>
          <w:p>
            <w:pPr>
              <w:spacing w:after="0" w:line="210" w:lineRule="exact"/>
              <w:rPr>
                <w:sz w:val="20"/>
                <w:szCs w:val="20"/>
                <w:color w:val="auto"/>
              </w:rPr>
            </w:pPr>
            <w:r>
              <w:rPr>
                <w:rFonts w:ascii="Arial" w:cs="Arial" w:eastAsia="Arial" w:hAnsi="Arial"/>
                <w:sz w:val="16"/>
                <w:szCs w:val="16"/>
                <w:b w:val="1"/>
                <w:bCs w:val="1"/>
                <w:color w:val="auto"/>
              </w:rPr>
              <w:t xml:space="preserve">Derivatives designated as hedging instruments </w:t>
            </w:r>
            <w:r>
              <w:rPr>
                <w:rFonts w:ascii="Arial" w:cs="Arial" w:eastAsia="Arial" w:hAnsi="Arial"/>
                <w:sz w:val="21"/>
                <w:szCs w:val="21"/>
                <w:b w:val="1"/>
                <w:bCs w:val="1"/>
                <w:color w:val="auto"/>
                <w:vertAlign w:val="superscript"/>
              </w:rPr>
              <w:t>(a)</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26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(b)</w:t>
            </w:r>
          </w:p>
        </w:tc>
        <w:tc>
          <w:tcPr>
            <w:tcW w:w="90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99"/>
        </w:trPr>
        <w:tc>
          <w:tcPr>
            <w:tcW w:w="4260" w:type="dxa"/>
            <w:vAlign w:val="bottom"/>
          </w:tcPr>
          <w:p>
            <w:pPr>
              <w:ind w:left="160"/>
              <w:spacing w:after="0" w:line="199" w:lineRule="exact"/>
              <w:rPr>
                <w:sz w:val="20"/>
                <w:szCs w:val="20"/>
                <w:color w:val="auto"/>
              </w:rPr>
            </w:pPr>
            <w:r>
              <w:rPr>
                <w:rFonts w:ascii="Arial" w:cs="Arial" w:eastAsia="Arial" w:hAnsi="Arial"/>
                <w:sz w:val="16"/>
                <w:szCs w:val="16"/>
                <w:color w:val="auto"/>
              </w:rPr>
              <w:t xml:space="preserve">Euro-denominated notes </w:t>
            </w:r>
            <w:r>
              <w:rPr>
                <w:rFonts w:ascii="Arial" w:cs="Arial" w:eastAsia="Arial" w:hAnsi="Arial"/>
                <w:sz w:val="21"/>
                <w:szCs w:val="21"/>
                <w:color w:val="auto"/>
                <w:vertAlign w:val="superscript"/>
              </w:rPr>
              <w:t>(c)</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33"/>
        </w:trPr>
        <w:tc>
          <w:tcPr>
            <w:tcW w:w="4260" w:type="dxa"/>
            <w:vAlign w:val="bottom"/>
          </w:tcPr>
          <w:p>
            <w:pPr>
              <w:spacing w:after="0" w:line="233" w:lineRule="exact"/>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(d)</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426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(e)</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426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(f)</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3"/>
        </w:trPr>
        <w:tc>
          <w:tcPr>
            <w:tcW w:w="4260" w:type="dxa"/>
            <w:vAlign w:val="bottom"/>
          </w:tcPr>
          <w:p>
            <w:pPr>
              <w:ind w:left="160"/>
              <w:spacing w:after="0" w:line="204"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(g)</w:t>
            </w:r>
          </w:p>
        </w:tc>
        <w:tc>
          <w:tcPr>
            <w:tcW w:w="90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09"/>
        </w:trPr>
        <w:tc>
          <w:tcPr>
            <w:tcW w:w="4260" w:type="dxa"/>
            <w:vAlign w:val="bottom"/>
          </w:tcPr>
          <w:p>
            <w:pPr>
              <w:ind w:left="160"/>
              <w:spacing w:after="0"/>
              <w:rPr>
                <w:sz w:val="20"/>
                <w:szCs w:val="20"/>
                <w:color w:val="auto"/>
              </w:rPr>
            </w:pPr>
            <w:r>
              <w:rPr>
                <w:rFonts w:ascii="Arial" w:cs="Arial" w:eastAsia="Arial" w:hAnsi="Arial"/>
                <w:sz w:val="16"/>
                <w:szCs w:val="16"/>
                <w:color w:val="auto"/>
              </w:rPr>
              <w:t>Total</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20"/>
        </w:trPr>
        <w:tc>
          <w:tcPr>
            <w:tcW w:w="4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59" w:lineRule="exact"/>
        <w:rPr>
          <w:sz w:val="20"/>
          <w:szCs w:val="20"/>
          <w:color w:val="auto"/>
        </w:rPr>
      </w:pPr>
    </w:p>
    <w:p>
      <w:pPr>
        <w:ind w:left="820" w:hanging="326"/>
        <w:spacing w:after="0"/>
        <w:tabs>
          <w:tab w:leader="none" w:pos="820"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Recognized, net of tax, as a component of other comprehensive income (loss) within stockholders’ equity.</w:t>
      </w:r>
    </w:p>
    <w:p>
      <w:pPr>
        <w:ind w:left="820" w:hanging="326"/>
        <w:spacing w:after="0" w:line="204" w:lineRule="auto"/>
        <w:tabs>
          <w:tab w:leader="none" w:pos="813"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Classified as a net unrealized gain (loss) on cash flow hedges in accumulated other comprehensive income (loss). Refer to Note 14–Stockholders’ Equity for amounts reclassified from accumulated other comprehensive income into earnings.</w:t>
      </w:r>
    </w:p>
    <w:p>
      <w:pPr>
        <w:spacing w:after="0" w:line="1" w:lineRule="exact"/>
        <w:rPr>
          <w:rFonts w:ascii="Arial" w:cs="Arial" w:eastAsia="Arial" w:hAnsi="Arial"/>
          <w:sz w:val="19"/>
          <w:szCs w:val="19"/>
          <w:color w:val="auto"/>
          <w:vertAlign w:val="superscript"/>
        </w:rPr>
      </w:pPr>
    </w:p>
    <w:p>
      <w:pPr>
        <w:ind w:left="800" w:hanging="306"/>
        <w:spacing w:after="0" w:line="187" w:lineRule="auto"/>
        <w:tabs>
          <w:tab w:leader="none" w:pos="80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Classified as a net investment hedge within currency translation adjustment in accumulated other comprehensive income (loss).</w:t>
      </w:r>
    </w:p>
    <w:p>
      <w:pPr>
        <w:ind w:left="820" w:hanging="326"/>
        <w:spacing w:after="0" w:line="187" w:lineRule="auto"/>
        <w:tabs>
          <w:tab w:leader="none" w:pos="8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jc w:val="both"/>
        <w:ind w:left="820" w:hanging="326"/>
        <w:spacing w:after="0" w:line="221" w:lineRule="auto"/>
        <w:tabs>
          <w:tab w:leader="none" w:pos="813"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September 30, 2021, included a $7 million gain in interest expense and a $1 million loss in operating expense, and for the nine months ended September 30, 2021, included a $2 million gain in interest expense and a $1 million loss in operating expense. For the three months ended September 30, 2020, included an $10 million loss in interest expense and a $2 million loss in operating expense, and for the nine months ended September 30, 2020, included a $18 million gain in interest expense and a $4 million loss in operating expense.</w:t>
      </w:r>
    </w:p>
    <w:p>
      <w:pPr>
        <w:spacing w:after="0" w:line="2" w:lineRule="exact"/>
        <w:rPr>
          <w:rFonts w:ascii="Arial" w:cs="Arial" w:eastAsia="Arial" w:hAnsi="Arial"/>
          <w:sz w:val="19"/>
          <w:szCs w:val="19"/>
          <w:color w:val="auto"/>
          <w:vertAlign w:val="superscript"/>
        </w:rPr>
      </w:pPr>
    </w:p>
    <w:p>
      <w:pPr>
        <w:ind w:left="820" w:hanging="326"/>
        <w:spacing w:after="0" w:line="187" w:lineRule="auto"/>
        <w:tabs>
          <w:tab w:leader="none" w:pos="8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Included primarily in vehicle interest, net.</w:t>
      </w:r>
    </w:p>
    <w:p>
      <w:pPr>
        <w:ind w:left="820" w:hanging="326"/>
        <w:spacing w:after="0" w:line="189" w:lineRule="auto"/>
        <w:tabs>
          <w:tab w:leader="none" w:pos="820"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Included in operating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were as follows:</w:t>
      </w:r>
    </w:p>
    <w:p>
      <w:pPr>
        <w:spacing w:after="0" w:line="275" w:lineRule="exact"/>
        <w:rPr>
          <w:sz w:val="20"/>
          <w:szCs w:val="20"/>
          <w:color w:val="auto"/>
        </w:rPr>
      </w:pPr>
    </w:p>
    <w:tbl>
      <w:tblPr>
        <w:tblLayout w:type="fixed"/>
        <w:tblInd w:w="520" w:type="dxa"/>
        <w:tblCellMar>
          <w:top w:w="0" w:type="dxa"/>
          <w:left w:w="0" w:type="dxa"/>
          <w:bottom w:w="0" w:type="dxa"/>
          <w:right w:w="0" w:type="dxa"/>
        </w:tblCellMar>
      </w:tblPr>
      <w:tr>
        <w:trPr>
          <w:trHeight w:val="218"/>
        </w:trPr>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5"/>
          </w:tcPr>
          <w:p>
            <w:pPr>
              <w:ind w:left="240"/>
              <w:spacing w:after="0"/>
              <w:rPr>
                <w:sz w:val="20"/>
                <w:szCs w:val="20"/>
                <w:color w:val="auto"/>
              </w:rPr>
            </w:pPr>
            <w:r>
              <w:rPr>
                <w:rFonts w:ascii="Arial" w:cs="Arial" w:eastAsia="Arial" w:hAnsi="Arial"/>
                <w:sz w:val="16"/>
                <w:szCs w:val="16"/>
                <w:b w:val="1"/>
                <w:bCs w:val="1"/>
                <w:color w:val="auto"/>
              </w:rPr>
              <w:t>As of September 30, 2021</w:t>
            </w:r>
          </w:p>
        </w:tc>
        <w:tc>
          <w:tcPr>
            <w:tcW w:w="24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2020</w:t>
            </w:r>
          </w:p>
        </w:tc>
        <w:tc>
          <w:tcPr>
            <w:tcW w:w="0" w:type="dxa"/>
            <w:vAlign w:val="bottom"/>
          </w:tcPr>
          <w:p>
            <w:pPr>
              <w:spacing w:after="0"/>
              <w:rPr>
                <w:sz w:val="1"/>
                <w:szCs w:val="1"/>
                <w:color w:val="auto"/>
              </w:rPr>
            </w:pPr>
          </w:p>
        </w:tc>
      </w:tr>
      <w:tr>
        <w:trPr>
          <w:trHeight w:val="158"/>
        </w:trPr>
        <w:tc>
          <w:tcPr>
            <w:tcW w:w="4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39"/>
              <w:spacing w:after="0" w:line="158" w:lineRule="exact"/>
              <w:rPr>
                <w:sz w:val="20"/>
                <w:szCs w:val="20"/>
                <w:color w:val="auto"/>
              </w:rPr>
            </w:pPr>
            <w:r>
              <w:rPr>
                <w:rFonts w:ascii="Arial" w:cs="Arial" w:eastAsia="Arial" w:hAnsi="Arial"/>
                <w:sz w:val="16"/>
                <w:szCs w:val="16"/>
                <w:b w:val="1"/>
                <w:bCs w:val="1"/>
                <w:color w:val="auto"/>
              </w:rPr>
              <w:t>Estimated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39"/>
              <w:spacing w:after="0" w:line="158" w:lineRule="exact"/>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Fair</w:t>
            </w:r>
          </w:p>
        </w:tc>
        <w:tc>
          <w:tcPr>
            <w:tcW w:w="2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5"/>
        </w:trPr>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Value</w:t>
            </w:r>
          </w:p>
        </w:tc>
        <w:tc>
          <w:tcPr>
            <w:tcW w:w="2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20"/>
                <w:szCs w:val="20"/>
                <w:color w:val="auto"/>
              </w:rPr>
            </w:pPr>
            <w:r>
              <w:rPr>
                <w:rFonts w:ascii="Arial" w:cs="Arial" w:eastAsia="Arial" w:hAnsi="Arial"/>
                <w:sz w:val="16"/>
                <w:szCs w:val="16"/>
                <w:b w:val="1"/>
                <w:bCs w:val="1"/>
                <w:color w:val="auto"/>
              </w:rPr>
              <w:t>Corporate debt</w:t>
            </w: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00"/>
              <w:spacing w:after="0"/>
              <w:rPr>
                <w:sz w:val="20"/>
                <w:szCs w:val="20"/>
                <w:color w:val="auto"/>
              </w:rPr>
            </w:pPr>
            <w:r>
              <w:rPr>
                <w:rFonts w:ascii="Arial" w:cs="Arial" w:eastAsia="Arial" w:hAnsi="Arial"/>
                <w:sz w:val="16"/>
                <w:szCs w:val="16"/>
                <w:color w:val="auto"/>
              </w:rPr>
              <w:t>Short-term debt and current portion of long-term debt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4140" w:type="dxa"/>
            <w:vAlign w:val="bottom"/>
          </w:tcPr>
          <w:p>
            <w:pPr>
              <w:ind w:left="200"/>
              <w:spacing w:after="0"/>
              <w:rPr>
                <w:sz w:val="20"/>
                <w:szCs w:val="20"/>
                <w:color w:val="auto"/>
              </w:rPr>
            </w:pPr>
            <w:r>
              <w:rPr>
                <w:rFonts w:ascii="Arial" w:cs="Arial" w:eastAsia="Arial" w:hAnsi="Arial"/>
                <w:sz w:val="16"/>
                <w:szCs w:val="16"/>
                <w:color w:val="auto"/>
              </w:rPr>
              <w:t>Long-term debt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4,009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4,170</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4,191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4,337</w:t>
            </w:r>
          </w:p>
        </w:tc>
        <w:tc>
          <w:tcPr>
            <w:tcW w:w="0" w:type="dxa"/>
            <w:vAlign w:val="bottom"/>
          </w:tcPr>
          <w:p>
            <w:pPr>
              <w:spacing w:after="0"/>
              <w:rPr>
                <w:sz w:val="1"/>
                <w:szCs w:val="1"/>
                <w:color w:val="auto"/>
              </w:rPr>
            </w:pPr>
          </w:p>
        </w:tc>
      </w:tr>
      <w:tr>
        <w:trPr>
          <w:trHeight w:val="432"/>
        </w:trPr>
        <w:tc>
          <w:tcPr>
            <w:tcW w:w="414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140" w:type="dxa"/>
            <w:vAlign w:val="bottom"/>
          </w:tcPr>
          <w:p>
            <w:pPr>
              <w:ind w:left="200"/>
              <w:spacing w:after="0"/>
              <w:rPr>
                <w:sz w:val="20"/>
                <w:szCs w:val="20"/>
                <w:color w:val="auto"/>
              </w:rPr>
            </w:pPr>
            <w:r>
              <w:rPr>
                <w:rFonts w:ascii="Arial" w:cs="Arial" w:eastAsia="Arial" w:hAnsi="Arial"/>
                <w:sz w:val="16"/>
                <w:szCs w:val="16"/>
                <w:color w:val="auto"/>
              </w:rPr>
              <w:t>Vehicle-backed debt due to Avis Budget Rental Car</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140" w:type="dxa"/>
            <w:vAlign w:val="bottom"/>
          </w:tcPr>
          <w:p>
            <w:pPr>
              <w:ind w:left="380"/>
              <w:spacing w:after="0"/>
              <w:rPr>
                <w:sz w:val="20"/>
                <w:szCs w:val="20"/>
                <w:color w:val="auto"/>
              </w:rPr>
            </w:pPr>
            <w:r>
              <w:rPr>
                <w:rFonts w:ascii="Arial" w:cs="Arial" w:eastAsia="Arial" w:hAnsi="Arial"/>
                <w:sz w:val="16"/>
                <w:szCs w:val="16"/>
                <w:color w:val="auto"/>
              </w:rPr>
              <w:t>Funding</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8,117</w:t>
            </w:r>
          </w:p>
        </w:tc>
        <w:tc>
          <w:tcPr>
            <w:tcW w:w="12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8,350</w:t>
            </w:r>
          </w:p>
        </w:tc>
        <w:tc>
          <w:tcPr>
            <w:tcW w:w="100" w:type="dxa"/>
            <w:vAlign w:val="bottom"/>
          </w:tcPr>
          <w:p>
            <w:pPr>
              <w:spacing w:after="0"/>
              <w:rPr>
                <w:sz w:val="16"/>
                <w:szCs w:val="16"/>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5,080</w:t>
            </w:r>
          </w:p>
        </w:tc>
        <w:tc>
          <w:tcPr>
            <w:tcW w:w="12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5,317</w:t>
            </w:r>
          </w:p>
        </w:tc>
        <w:tc>
          <w:tcPr>
            <w:tcW w:w="0" w:type="dxa"/>
            <w:vAlign w:val="bottom"/>
          </w:tcPr>
          <w:p>
            <w:pPr>
              <w:spacing w:after="0"/>
              <w:rPr>
                <w:sz w:val="1"/>
                <w:szCs w:val="1"/>
                <w:color w:val="auto"/>
              </w:rPr>
            </w:pPr>
          </w:p>
        </w:tc>
      </w:tr>
      <w:tr>
        <w:trPr>
          <w:trHeight w:val="216"/>
        </w:trPr>
        <w:tc>
          <w:tcPr>
            <w:tcW w:w="4140" w:type="dxa"/>
            <w:vAlign w:val="bottom"/>
          </w:tcPr>
          <w:p>
            <w:pPr>
              <w:ind w:left="200"/>
              <w:spacing w:after="0"/>
              <w:rPr>
                <w:sz w:val="20"/>
                <w:szCs w:val="20"/>
                <w:color w:val="auto"/>
              </w:rPr>
            </w:pPr>
            <w:r>
              <w:rPr>
                <w:rFonts w:ascii="Arial" w:cs="Arial" w:eastAsia="Arial" w:hAnsi="Arial"/>
                <w:sz w:val="16"/>
                <w:szCs w:val="16"/>
                <w:color w:val="auto"/>
              </w:rPr>
              <w:t>Vehicle-backed debt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2,629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2,650</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1,775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1,796</w:t>
            </w:r>
          </w:p>
        </w:tc>
        <w:tc>
          <w:tcPr>
            <w:tcW w:w="0" w:type="dxa"/>
            <w:vAlign w:val="bottom"/>
          </w:tcPr>
          <w:p>
            <w:pPr>
              <w:spacing w:after="0"/>
              <w:rPr>
                <w:sz w:val="1"/>
                <w:szCs w:val="1"/>
                <w:color w:val="auto"/>
              </w:rPr>
            </w:pPr>
          </w:p>
        </w:tc>
      </w:tr>
      <w:tr>
        <w:trPr>
          <w:trHeight w:val="287"/>
        </w:trPr>
        <w:tc>
          <w:tcPr>
            <w:tcW w:w="4140" w:type="dxa"/>
            <w:vAlign w:val="bottom"/>
          </w:tcPr>
          <w:p>
            <w:pPr>
              <w:ind w:left="20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70" w:lineRule="exact"/>
        <w:rPr>
          <w:sz w:val="20"/>
          <w:szCs w:val="20"/>
          <w:color w:val="auto"/>
        </w:rPr>
      </w:pPr>
    </w:p>
    <w:p>
      <w:pPr>
        <w:ind w:left="720" w:hanging="226"/>
        <w:spacing w:after="0"/>
        <w:tabs>
          <w:tab w:leader="none" w:pos="720" w:val="left"/>
        </w:tabs>
        <w:numPr>
          <w:ilvl w:val="1"/>
          <w:numId w:val="36"/>
        </w:numPr>
        <w:rPr>
          <w:rFonts w:ascii="Arial" w:cs="Arial" w:eastAsia="Arial" w:hAnsi="Arial"/>
          <w:sz w:val="19"/>
          <w:szCs w:val="19"/>
          <w:color w:val="auto"/>
          <w:vertAlign w:val="superscript"/>
        </w:rPr>
      </w:pPr>
      <w:r>
        <w:rPr>
          <w:rFonts w:ascii="Arial" w:cs="Arial" w:eastAsia="Arial" w:hAnsi="Arial"/>
          <w:sz w:val="14"/>
          <w:szCs w:val="14"/>
          <w:color w:val="auto"/>
        </w:rPr>
        <w:t>Derivatives in a liability position.</w:t>
      </w:r>
    </w:p>
    <w:p>
      <w:pPr>
        <w:spacing w:after="0" w:line="205" w:lineRule="exact"/>
        <w:rPr>
          <w:rFonts w:ascii="Arial" w:cs="Arial" w:eastAsia="Arial" w:hAnsi="Arial"/>
          <w:sz w:val="19"/>
          <w:szCs w:val="19"/>
          <w:color w:val="auto"/>
          <w:vertAlign w:val="superscript"/>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74"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The Company’s chief operating decision-maker assesses performance and allocates resources based upon the separate financial information from each of the Company’s operating segments. In identifying its reportable segments, the Company considered the nature of services provided, the geographical areas in which the segments operated and other relevant factors. The Company aggregates certain of its operating segments into its reportable segments.</w:t>
      </w:r>
    </w:p>
    <w:p>
      <w:pPr>
        <w:spacing w:after="0" w:line="231" w:lineRule="exact"/>
        <w:rPr>
          <w:sz w:val="20"/>
          <w:szCs w:val="20"/>
          <w:color w:val="auto"/>
        </w:rPr>
      </w:pPr>
    </w:p>
    <w:p>
      <w:pPr>
        <w:jc w:val="both"/>
        <w:ind w:left="500"/>
        <w:spacing w:after="0" w:line="251" w:lineRule="auto"/>
        <w:rPr>
          <w:sz w:val="20"/>
          <w:szCs w:val="20"/>
          <w:color w:val="auto"/>
        </w:rPr>
      </w:pPr>
      <w:r>
        <w:rPr>
          <w:rFonts w:ascii="Arial" w:cs="Arial" w:eastAsia="Arial" w:hAnsi="Arial"/>
          <w:sz w:val="18"/>
          <w:szCs w:val="18"/>
          <w:color w:val="auto"/>
        </w:rPr>
        <w:t>Management evaluates the operating results of each of its reportable segments based upon revenues and “Adjusted EBITDA,” which the Company defines as income (loss)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and other legal matters, net, which includes amounts recorded in excess of $5 million related to class action lawsuits, non-operational charges related to shareholder activist activity, which include third party advisory, legal and other professional service fees, gain on sale of equity method investment in China, COVID-19 charges and income taxes. COVID-19 charges include unusual, direct and incremental costs due to the COVID-19 pandemic such as minimum annual guaranteed rent in excess of concession fees for the period, overflow parking for idle vehicles and related shuttling costs, incremental cleaning supplies to sanitize vehicles and facilities, and losses associated with vehicles damaged in overflow parking lots, net of insurance proceeds. The Company has revised the definition of Adjusted EBITDA to exclude amounts recorded in excess of $5 million related to class action lawsuits. The Company did not revise prior years’ Adjusted EBITDA because there were no costs similar in nature to these costs. The Company’s presentation of Adjusted EBITDA may not be comparable to similarly-titled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48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1"/>
        </w:trPr>
        <w:tc>
          <w:tcPr>
            <w:tcW w:w="1400" w:type="dxa"/>
            <w:vAlign w:val="bottom"/>
            <w:tcBorders>
              <w:top w:val="single" w:sz="8" w:color="0000FF"/>
            </w:tcBorders>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w w:val="99"/>
              </w:rPr>
              <w:t>Three Months Ended September 30,</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210"/>
              <w:spacing w:after="0" w:line="169" w:lineRule="exact"/>
              <w:rPr>
                <w:sz w:val="20"/>
                <w:szCs w:val="20"/>
                <w:color w:val="auto"/>
              </w:rPr>
            </w:pPr>
            <w:r>
              <w:rPr>
                <w:rFonts w:ascii="Arial" w:cs="Arial" w:eastAsia="Arial" w:hAnsi="Arial"/>
                <w:sz w:val="18"/>
                <w:szCs w:val="18"/>
                <w:b w:val="1"/>
                <w:bCs w:val="1"/>
                <w:color w:val="auto"/>
              </w:rPr>
              <w:t>Adjusted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EBITDA</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23"/>
        </w:trPr>
        <w:tc>
          <w:tcPr>
            <w:tcW w:w="4820" w:type="dxa"/>
            <w:vAlign w:val="bottom"/>
            <w:gridSpan w:val="2"/>
          </w:tcPr>
          <w:p>
            <w:pPr>
              <w:ind w:left="520"/>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2,403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4820" w:type="dxa"/>
            <w:vAlign w:val="bottom"/>
            <w:gridSpan w:val="2"/>
          </w:tcPr>
          <w:p>
            <w:pPr>
              <w:ind w:left="5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820" w:type="dxa"/>
            <w:vAlign w:val="bottom"/>
            <w:gridSpan w:val="2"/>
          </w:tcPr>
          <w:p>
            <w:pPr>
              <w:ind w:left="520"/>
              <w:spacing w:after="0" w:line="230"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820" w:type="dxa"/>
            <w:vAlign w:val="bottom"/>
            <w:gridSpan w:val="2"/>
          </w:tcPr>
          <w:p>
            <w:pPr>
              <w:ind w:left="760"/>
              <w:spacing w:after="0"/>
              <w:rPr>
                <w:sz w:val="20"/>
                <w:szCs w:val="20"/>
                <w:color w:val="auto"/>
              </w:rPr>
            </w:pPr>
            <w:r>
              <w:rPr>
                <w:rFonts w:ascii="Arial" w:cs="Arial" w:eastAsia="Arial" w:hAnsi="Arial"/>
                <w:sz w:val="18"/>
                <w:szCs w:val="18"/>
                <w:color w:val="auto"/>
              </w:rPr>
              <w:t>Total Company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3,001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ectPr>
          <w:pgSz w:w="11900" w:h="16838" w:orient="portrait"/>
          <w:cols w:equalWidth="0" w:num="1">
            <w:col w:w="10760"/>
          </w:cols>
          <w:pgMar w:left="320" w:top="108" w:right="819" w:bottom="1440" w:gutter="0" w:footer="0" w:header="0"/>
        </w:sectPr>
      </w:pPr>
    </w:p>
    <w:p>
      <w:pPr>
        <w:ind w:left="520"/>
        <w:spacing w:after="0"/>
        <w:rPr>
          <w:sz w:val="20"/>
          <w:szCs w:val="20"/>
          <w:color w:val="auto"/>
        </w:rPr>
      </w:pPr>
      <w:r>
        <w:rPr>
          <w:rFonts w:ascii="Arial" w:cs="Arial" w:eastAsia="Arial" w:hAnsi="Arial"/>
          <w:sz w:val="17"/>
          <w:szCs w:val="17"/>
          <w:color w:val="auto"/>
        </w:rPr>
        <w:t>Reconciliation of Adjusted EBITDA to income before income taxes: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Adjusted EBITDA</w:t>
      </w:r>
    </w:p>
    <w:p>
      <w:pPr>
        <w:spacing w:after="0" w:line="23" w:lineRule="exact"/>
        <w:rPr>
          <w:sz w:val="20"/>
          <w:szCs w:val="20"/>
          <w:color w:val="auto"/>
        </w:rPr>
      </w:pPr>
    </w:p>
    <w:p>
      <w:pPr>
        <w:ind w:left="520"/>
        <w:spacing w:after="0"/>
        <w:tabs>
          <w:tab w:leader="none" w:pos="1180" w:val="left"/>
        </w:tabs>
        <w:rPr>
          <w:sz w:val="20"/>
          <w:szCs w:val="20"/>
          <w:color w:val="auto"/>
        </w:rPr>
      </w:pPr>
      <w:r>
        <w:rPr>
          <w:rFonts w:ascii="Arial" w:cs="Arial" w:eastAsia="Arial" w:hAnsi="Arial"/>
          <w:sz w:val="18"/>
          <w:szCs w:val="18"/>
          <w:color w:val="auto"/>
        </w:rPr>
        <w:t>Less:</w:t>
        <w:tab/>
        <w:t>Non-vehicle related depreciation and amortization</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Interest expense related to corporate debt, net:</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Early extinguishment of debt</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Restructuring and other related charges</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Transaction-related costs, net</w:t>
      </w:r>
    </w:p>
    <w:p>
      <w:pPr>
        <w:ind w:left="1200"/>
        <w:spacing w:after="0" w:line="228" w:lineRule="auto"/>
        <w:rPr>
          <w:sz w:val="20"/>
          <w:szCs w:val="20"/>
          <w:color w:val="auto"/>
        </w:rPr>
      </w:pPr>
      <w:r>
        <w:rPr>
          <w:rFonts w:ascii="Arial" w:cs="Arial" w:eastAsia="Arial" w:hAnsi="Arial"/>
          <w:sz w:val="18"/>
          <w:szCs w:val="18"/>
          <w:color w:val="auto"/>
        </w:rPr>
        <w:t xml:space="preserve">COVID-19 charges </w:t>
      </w:r>
      <w:r>
        <w:rPr>
          <w:rFonts w:ascii="Arial" w:cs="Arial" w:eastAsia="Arial" w:hAnsi="Arial"/>
          <w:sz w:val="23"/>
          <w:szCs w:val="23"/>
          <w:color w:val="auto"/>
          <w:vertAlign w:val="superscript"/>
        </w:rPr>
        <w:t>(b)</w:t>
      </w:r>
    </w:p>
    <w:p>
      <w:pPr>
        <w:spacing w:after="0" w:line="1" w:lineRule="exact"/>
        <w:rPr>
          <w:sz w:val="20"/>
          <w:szCs w:val="20"/>
          <w:color w:val="auto"/>
        </w:rPr>
      </w:pPr>
    </w:p>
    <w:p>
      <w:pPr>
        <w:ind w:left="1360" w:right="940" w:hanging="149"/>
        <w:spacing w:after="0" w:line="226" w:lineRule="auto"/>
        <w:rPr>
          <w:sz w:val="20"/>
          <w:szCs w:val="20"/>
          <w:color w:val="auto"/>
        </w:rPr>
      </w:pPr>
      <w:r>
        <w:rPr>
          <w:rFonts w:ascii="Arial" w:cs="Arial" w:eastAsia="Arial" w:hAnsi="Arial"/>
          <w:sz w:val="18"/>
          <w:szCs w:val="18"/>
          <w:color w:val="auto"/>
        </w:rPr>
        <w:t xml:space="preserve">Unprecedented personal-injury and other legal matters, net </w:t>
      </w:r>
      <w:r>
        <w:rPr>
          <w:rFonts w:ascii="Arial" w:cs="Arial" w:eastAsia="Arial" w:hAnsi="Arial"/>
          <w:sz w:val="23"/>
          <w:szCs w:val="23"/>
          <w:color w:val="auto"/>
          <w:vertAlign w:val="superscript"/>
        </w:rPr>
        <w:t>(c)</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6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1,057</w:t>
            </w:r>
          </w:p>
        </w:tc>
        <w:tc>
          <w:tcPr>
            <w:tcW w:w="16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29"/>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59"/>
        </w:trPr>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05"/>
        </w:trPr>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6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sectPr>
          <w:pgSz w:w="11900" w:h="16838" w:orient="portrait"/>
          <w:cols w:equalWidth="0" w:num="2">
            <w:col w:w="5840" w:space="500"/>
            <w:col w:w="4420"/>
          </w:cols>
          <w:pgMar w:left="320" w:top="108" w:right="81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187" w:lineRule="auto"/>
        <w:tabs>
          <w:tab w:leader="none" w:pos="820"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820" w:hanging="326"/>
        <w:spacing w:after="0" w:line="189" w:lineRule="auto"/>
        <w:tabs>
          <w:tab w:leader="none" w:pos="820"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The following table presents the unusual, direct and incremental costs due to the COVID-19 pandemic:</w:t>
      </w:r>
    </w:p>
    <w:p>
      <w:pPr>
        <w:spacing w:after="0" w:line="30"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5300" w:type="dxa"/>
            <w:vAlign w:val="bottom"/>
          </w:tcPr>
          <w:p>
            <w:pPr>
              <w:ind w:left="220"/>
              <w:spacing w:after="0"/>
              <w:rPr>
                <w:sz w:val="20"/>
                <w:szCs w:val="20"/>
                <w:color w:val="auto"/>
              </w:rPr>
            </w:pPr>
            <w:r>
              <w:rPr>
                <w:rFonts w:ascii="Arial" w:cs="Arial" w:eastAsia="Arial" w:hAnsi="Arial"/>
                <w:sz w:val="14"/>
                <w:szCs w:val="14"/>
                <w:color w:val="auto"/>
              </w:rPr>
              <w:t>Minimum annual guaranteed rent in excess of concession fees, net</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(4)</w:t>
            </w:r>
          </w:p>
        </w:tc>
        <w:tc>
          <w:tcPr>
            <w:tcW w:w="144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5300" w:type="dxa"/>
            <w:vAlign w:val="bottom"/>
          </w:tcPr>
          <w:p>
            <w:pPr>
              <w:ind w:left="220"/>
              <w:spacing w:after="0"/>
              <w:rPr>
                <w:sz w:val="20"/>
                <w:szCs w:val="20"/>
                <w:color w:val="auto"/>
              </w:rPr>
            </w:pPr>
            <w:r>
              <w:rPr>
                <w:rFonts w:ascii="Arial" w:cs="Arial" w:eastAsia="Arial" w:hAnsi="Arial"/>
                <w:sz w:val="14"/>
                <w:szCs w:val="14"/>
                <w:color w:val="auto"/>
              </w:rPr>
              <w:t>Vehicles damaged in overflow parking lots, net of insurance proceeds</w:t>
            </w:r>
          </w:p>
        </w:tc>
        <w:tc>
          <w:tcPr>
            <w:tcW w:w="10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52"/>
        </w:trPr>
        <w:tc>
          <w:tcPr>
            <w:tcW w:w="5300" w:type="dxa"/>
            <w:vAlign w:val="bottom"/>
          </w:tcPr>
          <w:p>
            <w:pPr>
              <w:ind w:left="220"/>
              <w:spacing w:after="0" w:line="152" w:lineRule="exact"/>
              <w:rPr>
                <w:sz w:val="20"/>
                <w:szCs w:val="20"/>
                <w:color w:val="auto"/>
              </w:rPr>
            </w:pPr>
            <w:r>
              <w:rPr>
                <w:rFonts w:ascii="Arial" w:cs="Arial" w:eastAsia="Arial" w:hAnsi="Arial"/>
                <w:sz w:val="14"/>
                <w:szCs w:val="14"/>
                <w:color w:val="auto"/>
              </w:rPr>
              <w:t>Incremental cleaning supplies to sanitize vehicles and facilities, and over flow</w:t>
            </w:r>
          </w:p>
        </w:tc>
        <w:tc>
          <w:tcPr>
            <w:tcW w:w="1000" w:type="dxa"/>
            <w:vAlign w:val="bottom"/>
          </w:tcPr>
          <w:p>
            <w:pPr>
              <w:spacing w:after="0"/>
              <w:rPr>
                <w:sz w:val="13"/>
                <w:szCs w:val="13"/>
                <w:color w:val="auto"/>
              </w:rPr>
            </w:pPr>
          </w:p>
        </w:tc>
        <w:tc>
          <w:tcPr>
            <w:tcW w:w="1820" w:type="dxa"/>
            <w:vAlign w:val="bottom"/>
            <w:gridSpan w:val="2"/>
            <w:vMerge w:val="restart"/>
          </w:tcPr>
          <w:p>
            <w:pPr>
              <w:jc w:val="right"/>
              <w:ind w:right="15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2"/>
        </w:trPr>
        <w:tc>
          <w:tcPr>
            <w:tcW w:w="5300" w:type="dxa"/>
            <w:vAlign w:val="bottom"/>
          </w:tcPr>
          <w:p>
            <w:pPr>
              <w:ind w:left="220"/>
              <w:spacing w:after="0"/>
              <w:rPr>
                <w:sz w:val="20"/>
                <w:szCs w:val="20"/>
                <w:color w:val="auto"/>
              </w:rPr>
            </w:pPr>
            <w:r>
              <w:rPr>
                <w:rFonts w:ascii="Arial" w:cs="Arial" w:eastAsia="Arial" w:hAnsi="Arial"/>
                <w:sz w:val="14"/>
                <w:szCs w:val="14"/>
                <w:color w:val="auto"/>
              </w:rPr>
              <w:t>parking for idle vehicles</w:t>
            </w:r>
          </w:p>
        </w:tc>
        <w:tc>
          <w:tcPr>
            <w:tcW w:w="10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300" w:type="dxa"/>
            <w:vAlign w:val="bottom"/>
          </w:tcPr>
          <w:p>
            <w:pPr>
              <w:ind w:left="220"/>
              <w:spacing w:after="0"/>
              <w:rPr>
                <w:sz w:val="20"/>
                <w:szCs w:val="20"/>
                <w:color w:val="auto"/>
              </w:rPr>
            </w:pPr>
            <w:r>
              <w:rPr>
                <w:rFonts w:ascii="Arial" w:cs="Arial" w:eastAsia="Arial" w:hAnsi="Arial"/>
                <w:sz w:val="14"/>
                <w:szCs w:val="14"/>
                <w:color w:val="auto"/>
              </w:rPr>
              <w:t>Other charges</w:t>
            </w:r>
          </w:p>
        </w:tc>
        <w:tc>
          <w:tcPr>
            <w:tcW w:w="10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5300" w:type="dxa"/>
            <w:vAlign w:val="bottom"/>
          </w:tcPr>
          <w:p>
            <w:pPr>
              <w:spacing w:after="0"/>
              <w:rPr>
                <w:sz w:val="20"/>
                <w:szCs w:val="20"/>
                <w:color w:val="auto"/>
              </w:rPr>
            </w:pPr>
            <w:r>
              <w:rPr>
                <w:rFonts w:ascii="Arial" w:cs="Arial" w:eastAsia="Arial" w:hAnsi="Arial"/>
                <w:sz w:val="14"/>
                <w:szCs w:val="14"/>
                <w:color w:val="auto"/>
              </w:rPr>
              <w:t>Operating expenses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w:t>
            </w:r>
          </w:p>
        </w:tc>
        <w:tc>
          <w:tcPr>
            <w:tcW w:w="144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Vehicle depreciation and lease charges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15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8"/>
        </w:trPr>
        <w:tc>
          <w:tcPr>
            <w:tcW w:w="530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91" w:lineRule="exact"/>
        <w:rPr>
          <w:sz w:val="20"/>
          <w:szCs w:val="20"/>
          <w:color w:val="auto"/>
        </w:rPr>
      </w:pPr>
    </w:p>
    <w:tbl>
      <w:tblPr>
        <w:tblLayout w:type="fixed"/>
        <w:tblInd w:w="500" w:type="dxa"/>
        <w:tblCellMar>
          <w:top w:w="0" w:type="dxa"/>
          <w:left w:w="0" w:type="dxa"/>
          <w:bottom w:w="0" w:type="dxa"/>
          <w:right w:w="0" w:type="dxa"/>
        </w:tblCellMar>
      </w:tblPr>
      <w:tr>
        <w:trPr>
          <w:trHeight w:val="113"/>
        </w:trPr>
        <w:tc>
          <w:tcPr>
            <w:tcW w:w="200" w:type="dxa"/>
            <w:vAlign w:val="bottom"/>
          </w:tcPr>
          <w:p>
            <w:pPr>
              <w:spacing w:after="0"/>
              <w:rPr>
                <w:sz w:val="20"/>
                <w:szCs w:val="20"/>
                <w:color w:val="auto"/>
              </w:rPr>
            </w:pPr>
            <w:r>
              <w:rPr>
                <w:rFonts w:ascii="Arial" w:cs="Arial" w:eastAsia="Arial" w:hAnsi="Arial"/>
                <w:sz w:val="9"/>
                <w:szCs w:val="9"/>
                <w:color w:val="auto"/>
              </w:rPr>
              <w:t>(c)</w:t>
            </w:r>
          </w:p>
        </w:tc>
        <w:tc>
          <w:tcPr>
            <w:tcW w:w="2440" w:type="dxa"/>
            <w:vAlign w:val="bottom"/>
            <w:vMerge w:val="restart"/>
          </w:tcPr>
          <w:p>
            <w:pPr>
              <w:ind w:left="100"/>
              <w:spacing w:after="0"/>
              <w:rPr>
                <w:sz w:val="20"/>
                <w:szCs w:val="20"/>
                <w:color w:val="auto"/>
              </w:rPr>
            </w:pPr>
            <w:r>
              <w:rPr>
                <w:rFonts w:ascii="Arial" w:cs="Arial" w:eastAsia="Arial" w:hAnsi="Arial"/>
                <w:sz w:val="14"/>
                <w:szCs w:val="14"/>
                <w:color w:val="auto"/>
              </w:rPr>
              <w:t>Reported within operating expenses.</w:t>
            </w:r>
          </w:p>
        </w:tc>
        <w:tc>
          <w:tcPr>
            <w:tcW w:w="0" w:type="dxa"/>
            <w:vAlign w:val="bottom"/>
          </w:tcPr>
          <w:p>
            <w:pPr>
              <w:spacing w:after="0"/>
              <w:rPr>
                <w:sz w:val="1"/>
                <w:szCs w:val="1"/>
                <w:color w:val="auto"/>
              </w:rPr>
            </w:pPr>
          </w:p>
        </w:tc>
      </w:tr>
      <w:tr>
        <w:trPr>
          <w:trHeight w:val="68"/>
        </w:trPr>
        <w:tc>
          <w:tcPr>
            <w:tcW w:w="200" w:type="dxa"/>
            <w:vAlign w:val="bottom"/>
          </w:tcPr>
          <w:p>
            <w:pPr>
              <w:spacing w:after="0"/>
              <w:rPr>
                <w:sz w:val="5"/>
                <w:szCs w:val="5"/>
                <w:color w:val="auto"/>
              </w:rPr>
            </w:pPr>
          </w:p>
        </w:tc>
        <w:tc>
          <w:tcPr>
            <w:tcW w:w="2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08" w:right="81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48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1"/>
        </w:trPr>
        <w:tc>
          <w:tcPr>
            <w:tcW w:w="1400" w:type="dxa"/>
            <w:vAlign w:val="bottom"/>
            <w:tcBorders>
              <w:top w:val="single" w:sz="8" w:color="0000FF"/>
            </w:tcBorders>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Nine Months Ended September 30,</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210"/>
              <w:spacing w:after="0" w:line="169" w:lineRule="exact"/>
              <w:rPr>
                <w:sz w:val="20"/>
                <w:szCs w:val="20"/>
                <w:color w:val="auto"/>
              </w:rPr>
            </w:pPr>
            <w:r>
              <w:rPr>
                <w:rFonts w:ascii="Arial" w:cs="Arial" w:eastAsia="Arial" w:hAnsi="Arial"/>
                <w:sz w:val="18"/>
                <w:szCs w:val="18"/>
                <w:b w:val="1"/>
                <w:bCs w:val="1"/>
                <w:color w:val="auto"/>
              </w:rPr>
              <w:t>Adjusted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EBITDA</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23"/>
        </w:trPr>
        <w:tc>
          <w:tcPr>
            <w:tcW w:w="4820" w:type="dxa"/>
            <w:vAlign w:val="bottom"/>
            <w:gridSpan w:val="2"/>
          </w:tcPr>
          <w:p>
            <w:pPr>
              <w:ind w:left="520"/>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5,457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1,694</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2,936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4820" w:type="dxa"/>
            <w:vAlign w:val="bottom"/>
            <w:gridSpan w:val="2"/>
          </w:tcPr>
          <w:p>
            <w:pPr>
              <w:ind w:left="5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9"/>
        </w:trPr>
        <w:tc>
          <w:tcPr>
            <w:tcW w:w="4820" w:type="dxa"/>
            <w:vAlign w:val="bottom"/>
            <w:gridSpan w:val="2"/>
          </w:tcPr>
          <w:p>
            <w:pPr>
              <w:ind w:left="520"/>
              <w:spacing w:after="0" w:line="230"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4820" w:type="dxa"/>
            <w:vAlign w:val="bottom"/>
            <w:gridSpan w:val="2"/>
          </w:tcPr>
          <w:p>
            <w:pPr>
              <w:ind w:left="760"/>
              <w:spacing w:after="0"/>
              <w:rPr>
                <w:sz w:val="20"/>
                <w:szCs w:val="20"/>
                <w:color w:val="auto"/>
              </w:rPr>
            </w:pPr>
            <w:r>
              <w:rPr>
                <w:rFonts w:ascii="Arial" w:cs="Arial" w:eastAsia="Arial" w:hAnsi="Arial"/>
                <w:sz w:val="18"/>
                <w:szCs w:val="18"/>
                <w:color w:val="auto"/>
              </w:rPr>
              <w:t>Total Company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6,744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1,728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4,047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Reconciliation of Adjusted EBITDA to income (loss) before income taxes:</w:t>
      </w:r>
    </w:p>
    <w:p>
      <w:pPr>
        <w:spacing w:after="0" w:line="10" w:lineRule="exact"/>
        <w:rPr>
          <w:sz w:val="20"/>
          <w:szCs w:val="20"/>
          <w:color w:val="auto"/>
        </w:rPr>
      </w:pPr>
    </w:p>
    <w:tbl>
      <w:tblPr>
        <w:tblLayout w:type="fixed"/>
        <w:tblInd w:w="52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Adjusted EBITDA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1,728</w:t>
            </w:r>
          </w:p>
        </w:tc>
      </w:tr>
      <w:tr>
        <w:trPr>
          <w:trHeight w:val="242"/>
        </w:trPr>
        <w:tc>
          <w:tcPr>
            <w:tcW w:w="5820" w:type="dxa"/>
            <w:vAlign w:val="bottom"/>
          </w:tcPr>
          <w:p>
            <w:pPr>
              <w:spacing w:after="0" w:line="242" w:lineRule="exact"/>
              <w:rPr>
                <w:sz w:val="20"/>
                <w:szCs w:val="20"/>
                <w:color w:val="auto"/>
              </w:rPr>
            </w:pPr>
            <w:r>
              <w:rPr>
                <w:rFonts w:ascii="Arial" w:cs="Arial" w:eastAsia="Arial" w:hAnsi="Arial"/>
                <w:sz w:val="18"/>
                <w:szCs w:val="18"/>
                <w:color w:val="auto"/>
              </w:rPr>
              <w:t xml:space="preserve">Less:   Non-vehicle related depreciation and amortization </w:t>
            </w:r>
            <w:r>
              <w:rPr>
                <w:rFonts w:ascii="Arial" w:cs="Arial" w:eastAsia="Arial" w:hAnsi="Arial"/>
                <w:sz w:val="23"/>
                <w:szCs w:val="23"/>
                <w:color w:val="auto"/>
                <w:vertAlign w:val="superscript"/>
              </w:rPr>
              <w:t>(b)</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17"/>
        </w:trPr>
        <w:tc>
          <w:tcPr>
            <w:tcW w:w="5820" w:type="dxa"/>
            <w:vAlign w:val="bottom"/>
          </w:tcPr>
          <w:p>
            <w:pPr>
              <w:ind w:left="680"/>
              <w:spacing w:after="0"/>
              <w:rPr>
                <w:sz w:val="20"/>
                <w:szCs w:val="20"/>
                <w:color w:val="auto"/>
              </w:rPr>
            </w:pPr>
            <w:r>
              <w:rPr>
                <w:rFonts w:ascii="Arial" w:cs="Arial" w:eastAsia="Arial" w:hAnsi="Arial"/>
                <w:sz w:val="18"/>
                <w:szCs w:val="18"/>
                <w:color w:val="auto"/>
              </w:rPr>
              <w:t>Interest expense related to corporate debt, net:</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5820" w:type="dxa"/>
            <w:vAlign w:val="bottom"/>
          </w:tcPr>
          <w:p>
            <w:pPr>
              <w:ind w:left="80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9"/>
        </w:trPr>
        <w:tc>
          <w:tcPr>
            <w:tcW w:w="5820" w:type="dxa"/>
            <w:vAlign w:val="bottom"/>
          </w:tcPr>
          <w:p>
            <w:pPr>
              <w:ind w:left="800"/>
              <w:spacing w:after="0"/>
              <w:rPr>
                <w:sz w:val="20"/>
                <w:szCs w:val="20"/>
                <w:color w:val="auto"/>
              </w:rPr>
            </w:pPr>
            <w:r>
              <w:rPr>
                <w:rFonts w:ascii="Arial" w:cs="Arial" w:eastAsia="Arial" w:hAnsi="Arial"/>
                <w:sz w:val="18"/>
                <w:szCs w:val="18"/>
                <w:color w:val="auto"/>
              </w:rPr>
              <w:t>Early extinguishment of debt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5820" w:type="dxa"/>
            <w:vAlign w:val="bottom"/>
          </w:tcPr>
          <w:p>
            <w:pPr>
              <w:ind w:left="680"/>
              <w:spacing w:after="0"/>
              <w:rPr>
                <w:sz w:val="20"/>
                <w:szCs w:val="20"/>
                <w:color w:val="auto"/>
              </w:rPr>
            </w:pPr>
            <w:r>
              <w:rPr>
                <w:rFonts w:ascii="Arial" w:cs="Arial" w:eastAsia="Arial" w:hAnsi="Arial"/>
                <w:sz w:val="18"/>
                <w:szCs w:val="18"/>
                <w:color w:val="auto"/>
              </w:rPr>
              <w:t>Restructuring and other related charges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42"/>
        </w:trPr>
        <w:tc>
          <w:tcPr>
            <w:tcW w:w="5820" w:type="dxa"/>
            <w:vAlign w:val="bottom"/>
          </w:tcPr>
          <w:p>
            <w:pPr>
              <w:ind w:left="680"/>
              <w:spacing w:after="0" w:line="242" w:lineRule="exact"/>
              <w:rPr>
                <w:sz w:val="20"/>
                <w:szCs w:val="20"/>
                <w:color w:val="auto"/>
              </w:rPr>
            </w:pPr>
            <w:r>
              <w:rPr>
                <w:rFonts w:ascii="Arial" w:cs="Arial" w:eastAsia="Arial" w:hAnsi="Arial"/>
                <w:sz w:val="18"/>
                <w:szCs w:val="18"/>
                <w:color w:val="auto"/>
              </w:rPr>
              <w:t xml:space="preserve">COVID-19 charges </w:t>
            </w:r>
            <w:r>
              <w:rPr>
                <w:rFonts w:ascii="Arial" w:cs="Arial" w:eastAsia="Arial" w:hAnsi="Arial"/>
                <w:sz w:val="23"/>
                <w:szCs w:val="23"/>
                <w:color w:val="auto"/>
                <w:vertAlign w:val="superscript"/>
              </w:rPr>
              <w:t>(c)</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7"/>
        </w:trPr>
        <w:tc>
          <w:tcPr>
            <w:tcW w:w="5820" w:type="dxa"/>
            <w:vAlign w:val="bottom"/>
          </w:tcPr>
          <w:p>
            <w:pPr>
              <w:ind w:left="680"/>
              <w:spacing w:after="0"/>
              <w:rPr>
                <w:sz w:val="20"/>
                <w:szCs w:val="20"/>
                <w:color w:val="auto"/>
              </w:rPr>
            </w:pPr>
            <w:r>
              <w:rPr>
                <w:rFonts w:ascii="Arial" w:cs="Arial" w:eastAsia="Arial" w:hAnsi="Arial"/>
                <w:sz w:val="18"/>
                <w:szCs w:val="18"/>
                <w:color w:val="auto"/>
              </w:rPr>
              <w:t>Transaction-related costs, net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78"/>
        </w:trPr>
        <w:tc>
          <w:tcPr>
            <w:tcW w:w="5820" w:type="dxa"/>
            <w:vAlign w:val="bottom"/>
          </w:tcPr>
          <w:p>
            <w:pPr>
              <w:ind w:left="680"/>
              <w:spacing w:after="0" w:line="178" w:lineRule="exact"/>
              <w:rPr>
                <w:sz w:val="20"/>
                <w:szCs w:val="20"/>
                <w:color w:val="auto"/>
              </w:rPr>
            </w:pPr>
            <w:r>
              <w:rPr>
                <w:rFonts w:ascii="Arial" w:cs="Arial" w:eastAsia="Arial" w:hAnsi="Arial"/>
                <w:sz w:val="18"/>
                <w:szCs w:val="18"/>
                <w:color w:val="auto"/>
              </w:rPr>
              <w:t>Non-operational charges related to shareholder</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0"/>
        </w:trPr>
        <w:tc>
          <w:tcPr>
            <w:tcW w:w="5820" w:type="dxa"/>
            <w:vAlign w:val="bottom"/>
          </w:tcPr>
          <w:p>
            <w:pPr>
              <w:ind w:left="840"/>
              <w:spacing w:after="0" w:line="240" w:lineRule="exact"/>
              <w:rPr>
                <w:sz w:val="20"/>
                <w:szCs w:val="20"/>
                <w:color w:val="auto"/>
              </w:rPr>
            </w:pPr>
            <w:r>
              <w:rPr>
                <w:rFonts w:ascii="Arial" w:cs="Arial" w:eastAsia="Arial" w:hAnsi="Arial"/>
                <w:sz w:val="18"/>
                <w:szCs w:val="18"/>
                <w:color w:val="auto"/>
              </w:rPr>
              <w:t xml:space="preserve">activist activity </w:t>
            </w:r>
            <w:r>
              <w:rPr>
                <w:rFonts w:ascii="Arial" w:cs="Arial" w:eastAsia="Arial" w:hAnsi="Arial"/>
                <w:sz w:val="23"/>
                <w:szCs w:val="23"/>
                <w:color w:val="auto"/>
                <w:vertAlign w:val="superscript"/>
              </w:rPr>
              <w:t>(d)</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63"/>
        </w:trPr>
        <w:tc>
          <w:tcPr>
            <w:tcW w:w="5820" w:type="dxa"/>
            <w:vAlign w:val="bottom"/>
          </w:tcPr>
          <w:p>
            <w:pPr>
              <w:ind w:left="680"/>
              <w:spacing w:after="0" w:line="163" w:lineRule="exact"/>
              <w:rPr>
                <w:sz w:val="20"/>
                <w:szCs w:val="20"/>
                <w:color w:val="auto"/>
              </w:rPr>
            </w:pPr>
            <w:r>
              <w:rPr>
                <w:rFonts w:ascii="Arial" w:cs="Arial" w:eastAsia="Arial" w:hAnsi="Arial"/>
                <w:sz w:val="18"/>
                <w:szCs w:val="18"/>
                <w:color w:val="auto"/>
              </w:rPr>
              <w:t>Unprecedented personal-injury and other legal</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29"/>
        </w:trPr>
        <w:tc>
          <w:tcPr>
            <w:tcW w:w="5820" w:type="dxa"/>
            <w:vAlign w:val="bottom"/>
          </w:tcPr>
          <w:p>
            <w:pPr>
              <w:ind w:left="840"/>
              <w:spacing w:after="0" w:line="230" w:lineRule="exact"/>
              <w:rPr>
                <w:sz w:val="20"/>
                <w:szCs w:val="20"/>
                <w:color w:val="auto"/>
              </w:rPr>
            </w:pPr>
            <w:r>
              <w:rPr>
                <w:rFonts w:ascii="Arial" w:cs="Arial" w:eastAsia="Arial" w:hAnsi="Arial"/>
                <w:sz w:val="18"/>
                <w:szCs w:val="18"/>
                <w:color w:val="auto"/>
              </w:rPr>
              <w:t xml:space="preserve">matters, net </w:t>
            </w:r>
            <w:r>
              <w:rPr>
                <w:rFonts w:ascii="Arial" w:cs="Arial" w:eastAsia="Arial" w:hAnsi="Arial"/>
                <w:sz w:val="23"/>
                <w:szCs w:val="23"/>
                <w:b w:val="1"/>
                <w:bCs w:val="1"/>
                <w:color w:val="auto"/>
                <w:vertAlign w:val="superscript"/>
              </w:rPr>
              <w:t>(e)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187" w:lineRule="auto"/>
        <w:tabs>
          <w:tab w:leader="none" w:pos="820"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820" w:hanging="326"/>
        <w:spacing w:after="0" w:line="187" w:lineRule="auto"/>
        <w:tabs>
          <w:tab w:leader="none" w:pos="82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For the nine months ended September 30, 2021 consists of $5 million within operating expenses related to cloud computing costs.</w:t>
      </w:r>
    </w:p>
    <w:p>
      <w:pPr>
        <w:ind w:left="800" w:hanging="306"/>
        <w:spacing w:after="0" w:line="189" w:lineRule="auto"/>
        <w:tabs>
          <w:tab w:leader="none" w:pos="800"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The following table presents the unusual, direct and incremental costs due to the COVID-19 pandemic:</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-133350</wp:posOffset>
            </wp:positionV>
            <wp:extent cx="8915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9154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20320</wp:posOffset>
            </wp:positionV>
            <wp:extent cx="8915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38" w:lineRule="exact"/>
        <w:rPr>
          <w:sz w:val="20"/>
          <w:szCs w:val="20"/>
          <w:color w:val="auto"/>
        </w:rPr>
      </w:pPr>
    </w:p>
    <w:p>
      <w:pPr>
        <w:ind w:left="940" w:hanging="932"/>
        <w:spacing w:after="0"/>
        <w:tabs>
          <w:tab w:leader="none" w:pos="9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(249)</w:t>
      </w:r>
    </w:p>
    <w:p>
      <w:pPr>
        <w:spacing w:after="0" w:line="34" w:lineRule="exact"/>
        <w:rPr>
          <w:rFonts w:ascii="Arial" w:cs="Arial" w:eastAsia="Arial" w:hAnsi="Arial"/>
          <w:sz w:val="17"/>
          <w:szCs w:val="17"/>
          <w:color w:val="auto"/>
        </w:rPr>
      </w:pPr>
    </w:p>
    <w:p>
      <w:pPr>
        <w:ind w:left="1020"/>
        <w:spacing w:after="0"/>
        <w:rPr>
          <w:rFonts w:ascii="Arial" w:cs="Arial" w:eastAsia="Arial" w:hAnsi="Arial"/>
          <w:sz w:val="17"/>
          <w:szCs w:val="17"/>
          <w:color w:val="auto"/>
        </w:rPr>
      </w:pPr>
      <w:r>
        <w:rPr>
          <w:rFonts w:ascii="Arial" w:cs="Arial" w:eastAsia="Arial" w:hAnsi="Arial"/>
          <w:sz w:val="18"/>
          <w:szCs w:val="18"/>
          <w:color w:val="auto"/>
        </w:rPr>
        <w:t>214</w:t>
      </w:r>
    </w:p>
    <w:p>
      <w:pPr>
        <w:spacing w:after="0" w:line="252"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163</w:t>
      </w:r>
    </w:p>
    <w:p>
      <w:pPr>
        <w:spacing w:after="0" w:line="23"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89</w:t>
      </w:r>
    </w:p>
    <w:p>
      <w:pPr>
        <w:spacing w:after="0" w:line="23"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90</w:t>
      </w:r>
    </w:p>
    <w:p>
      <w:pPr>
        <w:spacing w:after="0" w:line="23"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3</w:t>
      </w:r>
    </w:p>
    <w:p>
      <w:pPr>
        <w:spacing w:after="0" w:line="198"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4</w:t>
      </w:r>
    </w:p>
    <w:p>
      <w:pPr>
        <w:spacing w:after="0" w:line="198"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8915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6" w:lineRule="exact"/>
        <w:rPr>
          <w:sz w:val="20"/>
          <w:szCs w:val="20"/>
          <w:color w:val="auto"/>
        </w:rPr>
      </w:pPr>
    </w:p>
    <w:p>
      <w:pPr>
        <w:ind w:left="940" w:hanging="932"/>
        <w:spacing w:after="0"/>
        <w:tabs>
          <w:tab w:leader="none" w:pos="9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8915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39370</wp:posOffset>
            </wp:positionV>
            <wp:extent cx="8915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862" w:lineRule="exact"/>
        <w:rPr>
          <w:sz w:val="20"/>
          <w:szCs w:val="20"/>
          <w:color w:val="auto"/>
        </w:rPr>
      </w:pPr>
    </w:p>
    <w:p>
      <w:pPr>
        <w:sectPr>
          <w:pgSz w:w="11900" w:h="16838" w:orient="portrait"/>
          <w:cols w:equalWidth="0" w:num="2">
            <w:col w:w="9080" w:space="280"/>
            <w:col w:w="1880"/>
          </w:cols>
          <w:pgMar w:left="320" w:top="108" w:right="339" w:bottom="1440" w:gutter="0" w:footer="0" w:header="0"/>
          <w:type w:val="continuous"/>
        </w:sectPr>
      </w:pPr>
    </w:p>
    <w:tbl>
      <w:tblPr>
        <w:tblLayout w:type="fixed"/>
        <w:tblInd w:w="50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200" w:type="dxa"/>
            <w:vAlign w:val="bottom"/>
          </w:tcPr>
          <w:p>
            <w:pPr>
              <w:spacing w:after="0"/>
              <w:rPr>
                <w:sz w:val="16"/>
                <w:szCs w:val="16"/>
                <w:color w:val="auto"/>
              </w:rPr>
            </w:pPr>
          </w:p>
        </w:tc>
        <w:tc>
          <w:tcPr>
            <w:tcW w:w="5460" w:type="dxa"/>
            <w:vAlign w:val="bottom"/>
          </w:tcPr>
          <w:p>
            <w:pPr>
              <w:ind w:left="300"/>
              <w:spacing w:after="0"/>
              <w:rPr>
                <w:sz w:val="20"/>
                <w:szCs w:val="20"/>
                <w:color w:val="auto"/>
              </w:rPr>
            </w:pPr>
            <w:r>
              <w:rPr>
                <w:rFonts w:ascii="Arial" w:cs="Arial" w:eastAsia="Arial" w:hAnsi="Arial"/>
                <w:sz w:val="14"/>
                <w:szCs w:val="14"/>
                <w:color w:val="auto"/>
              </w:rPr>
              <w:t>Minimum annual guaranteed rent in excess of concession fees, net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w:t>
            </w:r>
          </w:p>
        </w:tc>
        <w:tc>
          <w:tcPr>
            <w:tcW w:w="154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5460" w:type="dxa"/>
            <w:vAlign w:val="bottom"/>
          </w:tcPr>
          <w:p>
            <w:pPr>
              <w:ind w:left="300"/>
              <w:spacing w:after="0"/>
              <w:rPr>
                <w:sz w:val="20"/>
                <w:szCs w:val="20"/>
                <w:color w:val="auto"/>
              </w:rPr>
            </w:pPr>
            <w:r>
              <w:rPr>
                <w:rFonts w:ascii="Arial" w:cs="Arial" w:eastAsia="Arial" w:hAnsi="Arial"/>
                <w:sz w:val="14"/>
                <w:szCs w:val="14"/>
                <w:color w:val="auto"/>
              </w:rPr>
              <w:t>Vehicles damaged in overflow parking lots, net of insurance proceeds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w:t>
            </w: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2"/>
        </w:trPr>
        <w:tc>
          <w:tcPr>
            <w:tcW w:w="200" w:type="dxa"/>
            <w:vAlign w:val="bottom"/>
          </w:tcPr>
          <w:p>
            <w:pPr>
              <w:spacing w:after="0"/>
              <w:rPr>
                <w:sz w:val="13"/>
                <w:szCs w:val="13"/>
                <w:color w:val="auto"/>
              </w:rPr>
            </w:pPr>
          </w:p>
        </w:tc>
        <w:tc>
          <w:tcPr>
            <w:tcW w:w="5460" w:type="dxa"/>
            <w:vAlign w:val="bottom"/>
          </w:tcPr>
          <w:p>
            <w:pPr>
              <w:ind w:left="300"/>
              <w:spacing w:after="0" w:line="152" w:lineRule="exact"/>
              <w:rPr>
                <w:sz w:val="20"/>
                <w:szCs w:val="20"/>
                <w:color w:val="auto"/>
              </w:rPr>
            </w:pPr>
            <w:r>
              <w:rPr>
                <w:rFonts w:ascii="Arial" w:cs="Arial" w:eastAsia="Arial" w:hAnsi="Arial"/>
                <w:sz w:val="14"/>
                <w:szCs w:val="14"/>
                <w:color w:val="auto"/>
              </w:rPr>
              <w:t>Incremental cleaning supplies to sanitize vehicles and facilities, and</w:t>
            </w:r>
          </w:p>
        </w:tc>
        <w:tc>
          <w:tcPr>
            <w:tcW w:w="300" w:type="dxa"/>
            <w:vAlign w:val="bottom"/>
          </w:tcPr>
          <w:p>
            <w:pPr>
              <w:spacing w:after="0"/>
              <w:rPr>
                <w:sz w:val="13"/>
                <w:szCs w:val="13"/>
                <w:color w:val="auto"/>
              </w:rPr>
            </w:pPr>
          </w:p>
        </w:tc>
        <w:tc>
          <w:tcPr>
            <w:tcW w:w="2600" w:type="dxa"/>
            <w:vAlign w:val="bottom"/>
            <w:gridSpan w:val="2"/>
            <w:vMerge w:val="restart"/>
          </w:tcPr>
          <w:p>
            <w:pPr>
              <w:jc w:val="right"/>
              <w:ind w:right="16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5460" w:type="dxa"/>
            <w:vAlign w:val="bottom"/>
          </w:tcPr>
          <w:p>
            <w:pPr>
              <w:ind w:left="420"/>
              <w:spacing w:after="0"/>
              <w:rPr>
                <w:sz w:val="20"/>
                <w:szCs w:val="20"/>
                <w:color w:val="auto"/>
              </w:rPr>
            </w:pPr>
            <w:r>
              <w:rPr>
                <w:rFonts w:ascii="Arial" w:cs="Arial" w:eastAsia="Arial" w:hAnsi="Arial"/>
                <w:sz w:val="14"/>
                <w:szCs w:val="14"/>
                <w:color w:val="auto"/>
              </w:rPr>
              <w:t>over flow parking for idle vehicles</w:t>
            </w:r>
          </w:p>
        </w:tc>
        <w:tc>
          <w:tcPr>
            <w:tcW w:w="300" w:type="dxa"/>
            <w:vAlign w:val="bottom"/>
          </w:tcPr>
          <w:p>
            <w:pPr>
              <w:spacing w:after="0"/>
              <w:rPr>
                <w:sz w:val="14"/>
                <w:szCs w:val="14"/>
                <w:color w:val="auto"/>
              </w:rPr>
            </w:pPr>
          </w:p>
        </w:tc>
        <w:tc>
          <w:tcPr>
            <w:tcW w:w="26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5460" w:type="dxa"/>
            <w:vAlign w:val="bottom"/>
          </w:tcPr>
          <w:p>
            <w:pPr>
              <w:ind w:left="300"/>
              <w:spacing w:after="0"/>
              <w:rPr>
                <w:sz w:val="20"/>
                <w:szCs w:val="20"/>
                <w:color w:val="auto"/>
              </w:rPr>
            </w:pPr>
            <w:r>
              <w:rPr>
                <w:rFonts w:ascii="Arial" w:cs="Arial" w:eastAsia="Arial" w:hAnsi="Arial"/>
                <w:sz w:val="14"/>
                <w:szCs w:val="14"/>
                <w:color w:val="auto"/>
              </w:rPr>
              <w:t>Other charges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00" w:type="dxa"/>
            <w:vAlign w:val="bottom"/>
          </w:tcPr>
          <w:p>
            <w:pPr>
              <w:spacing w:after="0"/>
              <w:rPr>
                <w:sz w:val="16"/>
                <w:szCs w:val="16"/>
                <w:color w:val="auto"/>
              </w:rPr>
            </w:pPr>
          </w:p>
        </w:tc>
        <w:tc>
          <w:tcPr>
            <w:tcW w:w="5460" w:type="dxa"/>
            <w:vAlign w:val="bottom"/>
          </w:tcPr>
          <w:p>
            <w:pPr>
              <w:ind w:left="140"/>
              <w:spacing w:after="0"/>
              <w:rPr>
                <w:sz w:val="20"/>
                <w:szCs w:val="20"/>
                <w:color w:val="auto"/>
              </w:rPr>
            </w:pPr>
            <w:r>
              <w:rPr>
                <w:rFonts w:ascii="Arial" w:cs="Arial" w:eastAsia="Arial" w:hAnsi="Arial"/>
                <w:sz w:val="14"/>
                <w:szCs w:val="14"/>
                <w:color w:val="auto"/>
              </w:rPr>
              <w:t>Operating expenses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w:t>
            </w:r>
          </w:p>
        </w:tc>
        <w:tc>
          <w:tcPr>
            <w:tcW w:w="154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5460" w:type="dxa"/>
            <w:vAlign w:val="bottom"/>
          </w:tcPr>
          <w:p>
            <w:pPr>
              <w:ind w:left="140"/>
              <w:spacing w:after="0"/>
              <w:rPr>
                <w:sz w:val="20"/>
                <w:szCs w:val="20"/>
                <w:color w:val="auto"/>
              </w:rPr>
            </w:pPr>
            <w:r>
              <w:rPr>
                <w:rFonts w:ascii="Arial" w:cs="Arial" w:eastAsia="Arial" w:hAnsi="Arial"/>
                <w:sz w:val="14"/>
                <w:szCs w:val="14"/>
                <w:color w:val="auto"/>
              </w:rPr>
              <w:t>Vehicle depreciation and lease charges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2600" w:type="dxa"/>
            <w:vAlign w:val="bottom"/>
            <w:gridSpan w:val="2"/>
          </w:tcPr>
          <w:p>
            <w:pPr>
              <w:jc w:val="right"/>
              <w:ind w:right="160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5460" w:type="dxa"/>
            <w:vAlign w:val="bottom"/>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54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41"/>
        </w:trPr>
        <w:tc>
          <w:tcPr>
            <w:tcW w:w="200" w:type="dxa"/>
            <w:vAlign w:val="bottom"/>
          </w:tcPr>
          <w:p>
            <w:pPr>
              <w:spacing w:after="0"/>
              <w:rPr>
                <w:sz w:val="20"/>
                <w:szCs w:val="20"/>
                <w:color w:val="auto"/>
              </w:rPr>
            </w:pPr>
            <w:r>
              <w:rPr>
                <w:rFonts w:ascii="Arial" w:cs="Arial" w:eastAsia="Arial" w:hAnsi="Arial"/>
                <w:sz w:val="9"/>
                <w:szCs w:val="9"/>
                <w:color w:val="auto"/>
              </w:rPr>
              <w:t>(d)</w:t>
            </w:r>
          </w:p>
        </w:tc>
        <w:tc>
          <w:tcPr>
            <w:tcW w:w="5460" w:type="dxa"/>
            <w:vAlign w:val="bottom"/>
          </w:tcPr>
          <w:p>
            <w:pPr>
              <w:ind w:left="120"/>
              <w:spacing w:after="0"/>
              <w:rPr>
                <w:sz w:val="20"/>
                <w:szCs w:val="20"/>
                <w:color w:val="auto"/>
              </w:rPr>
            </w:pPr>
            <w:r>
              <w:rPr>
                <w:rFonts w:ascii="Arial" w:cs="Arial" w:eastAsia="Arial" w:hAnsi="Arial"/>
                <w:sz w:val="14"/>
                <w:szCs w:val="14"/>
                <w:color w:val="auto"/>
              </w:rPr>
              <w:t>Reported within selling, general and administrative expenses.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0" w:type="dxa"/>
            <w:vAlign w:val="bottom"/>
          </w:tcPr>
          <w:p>
            <w:pPr>
              <w:spacing w:after="0"/>
              <w:rPr>
                <w:sz w:val="20"/>
                <w:szCs w:val="20"/>
                <w:color w:val="auto"/>
              </w:rPr>
            </w:pPr>
            <w:r>
              <w:rPr>
                <w:rFonts w:ascii="Arial" w:cs="Arial" w:eastAsia="Arial" w:hAnsi="Arial"/>
                <w:sz w:val="9"/>
                <w:szCs w:val="9"/>
                <w:color w:val="auto"/>
              </w:rPr>
              <w:t>(e)</w:t>
            </w:r>
          </w:p>
        </w:tc>
        <w:tc>
          <w:tcPr>
            <w:tcW w:w="5460" w:type="dxa"/>
            <w:vAlign w:val="bottom"/>
          </w:tcPr>
          <w:p>
            <w:pPr>
              <w:ind w:left="120"/>
              <w:spacing w:after="0"/>
              <w:rPr>
                <w:sz w:val="20"/>
                <w:szCs w:val="20"/>
                <w:color w:val="auto"/>
              </w:rPr>
            </w:pPr>
            <w:r>
              <w:rPr>
                <w:rFonts w:ascii="Arial" w:cs="Arial" w:eastAsia="Arial" w:hAnsi="Arial"/>
                <w:sz w:val="14"/>
                <w:szCs w:val="14"/>
                <w:color w:val="auto"/>
              </w:rPr>
              <w:t>Reported within operating expenses.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Since December 31, 2020, there have been no significant changes in segment assets exclusive of assets under vehicle programs. As of September 30, 2021 and December 31, 2020, Americas’ segment assets under vehicle programs were approximately $10.4 billion and $7.2 billion, respectively, and International segment assets under vehicle programs were approximately $2.6 billion and $2.0 billion, respectively. The changes in assets under vehicle programs is primarily due to the increase in the size of our vehicle rental fleet to meet increases in rental demand.</w:t>
      </w:r>
    </w:p>
    <w:p>
      <w:pPr>
        <w:spacing w:after="0" w:line="21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74"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During October 2021, the Company repurchased approximately 2.2 million shares of its common stock at a cost of approximately $327 million under the Company’s Stock Repurchase Program.</w:t>
      </w:r>
    </w:p>
    <w:p>
      <w:pPr>
        <w:spacing w:after="0" w:line="225"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On November 1, 2021, the Company’s Board of Directors approved a $1 billion increase in repurchase authorization to the Company’s Stock Repurchase Program.</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 *</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included in this Quarterly Report on Form 10-Q, and with our 2020 Form 10-K. Our actual results of operations may differ materially from those discussed in forward-looking statements as a result of various factors, including those discussed in “Forward-Looking Statements”. See “Forward-Looking Statements” for additional information. Unless otherwise noted, all dollar amounts in tables are in millions.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three of the most globally recognized brands in mobility solutions, Avis, Budget and Zipcar, together with several other brands well recognized in their respective markets. We are a leading vehicle rental operator in North America, Europe, Australasia and certain other regions we serve, with an average rental fleet during 2020 of nearly 533,000 vehicles. We also license the use of our trademarks to licensees in the areas in which we do not operate directly. We and our licensees operate our brands in approximately 180 countries throughout the world.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our vehicle rental operations in North America, South America, Central America and the Caribbean, car sharing operations in certain of these markets, and licensees in the areas in which we do not operate directly;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our vehicle rental operations in Europe, the Middle East, Africa, Asia and Australasia, car sharing operations in certain of these markets, and licensees in the areas in which we do not operate directly.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positive momentum from the fourth quarter of 2020 carried into 2021. For the three and nine month periods ended September 30, 2021, the Company generated revenues of $3.0 billion and $6.7 billion, respectively, net income of $ 674 million and $902 million, respectively, and Adjusted EBITDA of $1,057 million and $1,728 million, respectively. These results continue to be driven by increased demand for rental vehicles, improved pricing across the industry, disciplined cost removal achieved in 2020 and continued fleet management. Our utilization rate for the third quarter ended September 30, 2021 was 71.6%, an 11 point improvement over the third quarter of 2020, showing our continued ability to align our fleet with demand. In addition, per-unit fleet costs per month were $ 154, a 39% improvement compared to the third quarter of 2019 and a 7% improvement, compared to the third quarter of 2020. Revenue per day was $75.86, a 36% improvement over the third quarter of 2019 and a 43% improvement over the third quarter of 2020.</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global economy and our business were significantly impacted by the COVID-19 pandemic in 2020. However, due to the continued distribution of effective vaccines, along with other protective measures, over the past nine months travel advisories and restrictions have eased. There continues to be a number of encouraging developments, such as a significant increase in global travel demand, which generated an increase in demand for rental vehicles and improved pricing across the industry, suggesting a steady return to historic travel trends. We have positioned ourselves to capitalize on the continued surge in travel demand. As our revenues reach pre-pandemic levels, we continue to take actions to keep us on a path of profitability to exceed such levels. We continue to look for ways to capitalize on the changes prompted by the pandemic and to expand our business in a post-COVID-19 environment. However, the full extent of the ongoing impact of this virus on our long-term operational and financial performance will depend on future developments, including those outside of our control, such as the spread of new variants of the virus and the implementation of new or continued travel restrictions and the overall economic environment. Significant events affecting travel have historically had an impact on vehicle rental volumes, with the full extent of the impact generally determined by the length of time the event influences travel decisions. As a consequence, we cannot estimate the impact on our business, financial condition or forecast financial or operational results with reasonable certainty.</w:t>
      </w:r>
    </w:p>
    <w:p>
      <w:pPr>
        <w:spacing w:after="0" w:line="2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global semiconductor shortage is impacting fleet supply, resulting in tighter fleets throughout the industry and causing us to hold cars longer compared to periods prior to the COVID-19 pandemic. We have historically navigated through significant vehicle recalls, and believe we have the logistics in place to effectively manage our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fleet during this disruption in supply. We continue to purchase new vehicles and believe we can increase our fleet utilization efficiency to capture increased demand.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with available rental days defined as average rental fleet times the number of days in the period, and (iv) 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us with the most relevant metrics in order to manage the business. Our calculation may not be comparable to the calculation of similarly-titled metrics by other companies. We present currency exchange rate effects to provide a method of assessing how our business performed excluding the effects of foreign currency rate fluctuations. Currency exchange rate effects are calculated by translating the current-year results at the prior-period average exchange rate plus any related gains and losses on currency hedges.</w:t>
      </w:r>
    </w:p>
    <w:p>
      <w:pPr>
        <w:spacing w:after="0" w:line="23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revenues and “Adjusted EBITDA,” which we define as income (loss)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and other legal matters, net, which includes amounts recorded in excess of $5 million related to class action lawsuits, non-operational charges related to shareholder activist activity, which include third party advisory, legal and other professional service fees, gain on sale of equity method investment in China, COVID-19 charges and income taxes. COVID-19 charges include unusual, direct and incremental costs due to the COVID-19 pandemic such as minimum annual guaranteed rent in excess of concession fees for the period, overflow parking for idle vehicles and related shuttling costs, incremental cleaning supplies to sanitize vehicles and facilities, and losses associated with vehicles damaged in overflow parking lots, net of insurance proceeds. We have revised our definition of Adjusted EBITDA to exclude amounts recorded in excess of $5 million related to class action lawsuits. We did not revised prior years’ Adjusted EBITDA because there were no costs similar in nature to these costs. 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2021:</w:t>
      </w:r>
    </w:p>
    <w:p>
      <w:pPr>
        <w:spacing w:after="0" w:line="252" w:lineRule="exact"/>
        <w:rPr>
          <w:sz w:val="20"/>
          <w:szCs w:val="20"/>
          <w:color w:val="auto"/>
        </w:rPr>
      </w:pPr>
    </w:p>
    <w:p>
      <w:pPr>
        <w:jc w:val="both"/>
        <w:ind w:left="660" w:hanging="328"/>
        <w:spacing w:after="0" w:line="254"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revenues totaled $6.7 billion, an increase of 67% compared to the similar period in 2020, primarily due to a significant increase in pricing and increased demand for rental vehicles. The significant increase in revenues was a direct result of the global effort to combat the incidence and spread of the COVID-19 virus, which led to a significant increase in global travel demand, suggesting a steady return to historic travel levels.</w:t>
      </w:r>
    </w:p>
    <w:p>
      <w:pPr>
        <w:spacing w:after="0" w:line="95"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net income was $902 million, representing an increase of $1,496 million year-over-year, primarily due to significantly higher revenues, as described above, in addition to disciplined cost management in 2021, building upon the cost removal achieved in 2020.</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Adjusted EBITDA was $1,728 million, representing a significant increase of $2.0 billion year-over-year, primarily due to significantly higher revenues and disciplined cost management.</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repurchased approximately $1 billion of our common stock, reducing our shares outstanding by approximately 11.7 million shares.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660" w:hanging="328"/>
        <w:spacing w:after="0" w:line="254"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issued $600 million and $500 million of 5.375% Senior Notes due 2029 and 4.750% Senior Notes due 2028, respectively, with proceeds used to redeem all of our 10.500% Senior Secured Notes due 2025, all of our 6.375% Senior Notes due 2024 and a portion of our 5.250% Senior Notes due 2025, after which we redeemed the remainder of the 5.250% Senior Notes due 2025 with cash on hand.</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i w:val="1"/>
          <w:iCs w:val="1"/>
          <w:color w:val="auto"/>
        </w:rPr>
      </w:pPr>
      <w:r>
        <w:rPr>
          <w:rFonts w:ascii="Arial" w:cs="Arial" w:eastAsia="Arial" w:hAnsi="Arial"/>
          <w:sz w:val="18"/>
          <w:szCs w:val="18"/>
          <w:color w:val="auto"/>
        </w:rPr>
        <w:t>We issued $1.1 billion in asset-backed notes incurring interest at a blended weighted average rate of 2.1%.</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completed the acquisitions of various licensees in Europe and North America.</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vs. Three Months Ended September 30,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condensed results of operations comprised the following:</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5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8"/>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1200" w:type="dxa"/>
            <w:vAlign w:val="bottom"/>
            <w:tcBorders>
              <w:bottom w:val="single" w:sz="8" w:color="auto"/>
            </w:tcBorders>
          </w:tcPr>
          <w:p>
            <w:pPr>
              <w:spacing w:after="0"/>
              <w:rPr>
                <w:sz w:val="18"/>
                <w:szCs w:val="18"/>
                <w:color w:val="auto"/>
              </w:rPr>
            </w:pPr>
          </w:p>
        </w:tc>
      </w:tr>
      <w:tr>
        <w:trPr>
          <w:trHeight w:val="211"/>
        </w:trPr>
        <w:tc>
          <w:tcPr>
            <w:tcW w:w="5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05"/>
        </w:trPr>
        <w:tc>
          <w:tcPr>
            <w:tcW w:w="582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3,001</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1,534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96 %</w:t>
            </w:r>
          </w:p>
        </w:tc>
      </w:tr>
      <w:tr>
        <w:trPr>
          <w:trHeight w:val="358"/>
        </w:trPr>
        <w:tc>
          <w:tcPr>
            <w:tcW w:w="582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Operating</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Vehicle depreciation and lease charges,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Vehicle interest,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Interest expense related to corporate debt, net: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82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(27 %)</w:t>
            </w:r>
          </w:p>
        </w:tc>
      </w:tr>
      <w:tr>
        <w:trPr>
          <w:trHeight w:val="216"/>
        </w:trPr>
        <w:tc>
          <w:tcPr>
            <w:tcW w:w="5820" w:type="dxa"/>
            <w:vAlign w:val="bottom"/>
          </w:tcPr>
          <w:p>
            <w:pPr>
              <w:ind w:left="340"/>
              <w:spacing w:after="0"/>
              <w:rPr>
                <w:sz w:val="20"/>
                <w:szCs w:val="20"/>
                <w:color w:val="auto"/>
              </w:rPr>
            </w:pPr>
            <w:r>
              <w:rPr>
                <w:rFonts w:ascii="Arial" w:cs="Arial" w:eastAsia="Arial" w:hAnsi="Arial"/>
                <w:sz w:val="16"/>
                <w:szCs w:val="16"/>
                <w:color w:val="auto"/>
              </w:rPr>
              <w:t>Early extinguishment of debt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Restructuring and other related charges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(71 %)</w:t>
            </w:r>
          </w:p>
        </w:tc>
      </w:tr>
      <w:tr>
        <w:trPr>
          <w:trHeight w:val="219"/>
        </w:trPr>
        <w:tc>
          <w:tcPr>
            <w:tcW w:w="5820" w:type="dxa"/>
            <w:vAlign w:val="bottom"/>
          </w:tcPr>
          <w:p>
            <w:pPr>
              <w:ind w:left="220"/>
              <w:spacing w:after="0"/>
              <w:rPr>
                <w:sz w:val="20"/>
                <w:szCs w:val="20"/>
                <w:color w:val="auto"/>
              </w:rPr>
            </w:pPr>
            <w:r>
              <w:rPr>
                <w:rFonts w:ascii="Arial" w:cs="Arial" w:eastAsia="Arial" w:hAnsi="Arial"/>
                <w:sz w:val="16"/>
                <w:szCs w:val="16"/>
                <w:color w:val="auto"/>
              </w:rPr>
              <w:t>Transaction-related costs,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07"/>
        </w:trPr>
        <w:tc>
          <w:tcPr>
            <w:tcW w:w="5820" w:type="dxa"/>
            <w:vAlign w:val="bottom"/>
          </w:tcPr>
          <w:p>
            <w:pPr>
              <w:spacing w:after="0"/>
              <w:rPr>
                <w:sz w:val="20"/>
                <w:szCs w:val="20"/>
                <w:color w:val="auto"/>
              </w:rPr>
            </w:pPr>
            <w:r>
              <w:rPr>
                <w:rFonts w:ascii="Arial" w:cs="Arial" w:eastAsia="Arial" w:hAnsi="Arial"/>
                <w:sz w:val="16"/>
                <w:szCs w:val="16"/>
                <w:color w:val="auto"/>
              </w:rPr>
              <w:t>Total expenses</w:t>
            </w: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2,072</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40 %</w:t>
            </w:r>
          </w:p>
        </w:tc>
      </w:tr>
      <w:tr>
        <w:trPr>
          <w:trHeight w:val="358"/>
        </w:trPr>
        <w:tc>
          <w:tcPr>
            <w:tcW w:w="582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582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9"/>
        </w:trPr>
        <w:tc>
          <w:tcPr>
            <w:tcW w:w="5820" w:type="dxa"/>
            <w:vAlign w:val="bottom"/>
          </w:tcPr>
          <w:p>
            <w:pPr>
              <w:ind w:left="120"/>
              <w:spacing w:after="0"/>
              <w:rPr>
                <w:sz w:val="20"/>
                <w:szCs w:val="20"/>
                <w:color w:val="auto"/>
              </w:rPr>
            </w:pPr>
            <w:r>
              <w:rPr>
                <w:rFonts w:ascii="Arial" w:cs="Arial" w:eastAsia="Arial" w:hAnsi="Arial"/>
                <w:sz w:val="16"/>
                <w:szCs w:val="16"/>
                <w:color w:val="auto"/>
              </w:rPr>
              <w:t>Less: net loss attributable to non-controlling interests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5820" w:type="dxa"/>
            <w:vAlign w:val="bottom"/>
          </w:tcPr>
          <w:p>
            <w:pPr>
              <w:spacing w:after="0"/>
              <w:rPr>
                <w:sz w:val="20"/>
                <w:szCs w:val="20"/>
                <w:color w:val="auto"/>
              </w:rPr>
            </w:pPr>
            <w:r>
              <w:rPr>
                <w:rFonts w:ascii="Arial" w:cs="Arial" w:eastAsia="Arial" w:hAnsi="Arial"/>
                <w:sz w:val="16"/>
                <w:szCs w:val="16"/>
                <w:b w:val="1"/>
                <w:bCs w:val="1"/>
                <w:color w:val="auto"/>
              </w:rPr>
              <w:t>Net income attributable to Avis Budget Group, Inc.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675</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Revenues increased $1.5 billion, or 96%, during the three months ended September 30, 2021 compared to the similar period in 2020, primarily due to a 42% increase in revenue per day, excluding exchange rate effects, a 37% increase in volume as the mobility industry recovers from the pandemic and a $15 million benefit from currency exchange rate movements. Total expenses increased 40% during the three months ended September 30, 2021, compared to the similar period in 2020, primarily due to increased demand, partially offset by cost discipline as volume returned. Our effective tax rates were a provision of 27.4% and 15.1% for the three months ended September 30, 2021 and 2020, respectively. As a result of these items, our net income increased by $629 million compared to the similar period in 2020. For the three months ended September 30, 2021 and 2020, the Company reported earnings per diluted share of $10.45 and $0.63, respectively.</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expenses decreased to 40.9% of revenue during the three months ended September 30, 2021 compared to 53.8% during the similar period in 2020, primarily due to the increased revenues and cost discipline as volume returned. Vehicle depreciation and lease charges decreased to 9.2% of revenue during the three months ended September 30, 2021 compared to 16.7% during the similar period in 2020, primarily due to increased revenues and a 7% lower per unit fleet cost, excluding exchange rate effects, driven by the continued favorable trend in the used-vehicle market. Selling, general and administrative costs increased to 12.0% of revenue during the three months ended September 30, 2021 compared to 10.8% during the similar period in 2020, primarily due to increased commissions from increased leisure customer revenues, partially offset by cost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discipline as volume returned. Vehicle interest costs decreased to 2.7% of revenue during the three months ended September 30, 2021 compared to 5.1% during the similar period in 2020, primarily due to increased revenues.</w:t>
      </w:r>
    </w:p>
    <w:p>
      <w:pPr>
        <w:spacing w:after="0" w:line="225"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Three Months Ended September 30,</w:t>
            </w: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12"/>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840" w:type="dxa"/>
            <w:vAlign w:val="bottom"/>
            <w:tcBorders>
              <w:bottom w:val="single" w:sz="8" w:color="auto"/>
            </w:tcBorders>
          </w:tcPr>
          <w:p>
            <w:pPr>
              <w:spacing w:after="0"/>
              <w:rPr>
                <w:sz w:val="18"/>
                <w:szCs w:val="18"/>
                <w:color w:val="auto"/>
              </w:rPr>
            </w:pPr>
          </w:p>
        </w:tc>
      </w:tr>
      <w:tr>
        <w:trPr>
          <w:trHeight w:val="210"/>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r>
      <w:tr>
        <w:trPr>
          <w:trHeight w:val="204"/>
        </w:trPr>
        <w:tc>
          <w:tcPr>
            <w:tcW w:w="5040" w:type="dxa"/>
            <w:vAlign w:val="bottom"/>
          </w:tcPr>
          <w:p>
            <w:pPr>
              <w:spacing w:after="0"/>
              <w:rPr>
                <w:sz w:val="20"/>
                <w:szCs w:val="20"/>
                <w:color w:val="auto"/>
              </w:rPr>
            </w:pPr>
            <w:r>
              <w:rPr>
                <w:rFonts w:ascii="Arial" w:cs="Arial" w:eastAsia="Arial" w:hAnsi="Arial"/>
                <w:sz w:val="16"/>
                <w:szCs w:val="16"/>
                <w:color w:val="auto"/>
              </w:rPr>
              <w:t>Americas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2,403</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952</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1,114</w:t>
            </w:r>
          </w:p>
        </w:tc>
        <w:tc>
          <w:tcPr>
            <w:tcW w:w="120" w:type="dxa"/>
            <w:vAlign w:val="bottom"/>
          </w:tcPr>
          <w:p>
            <w:pPr>
              <w:spacing w:after="0"/>
              <w:rPr>
                <w:sz w:val="17"/>
                <w:szCs w:val="17"/>
                <w:color w:val="auto"/>
              </w:rPr>
            </w:pPr>
          </w:p>
        </w:tc>
        <w:tc>
          <w:tcPr>
            <w:tcW w:w="62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w:t>
            </w:r>
          </w:p>
        </w:tc>
      </w:tr>
      <w:tr>
        <w:trPr>
          <w:trHeight w:val="216"/>
        </w:trPr>
        <w:tc>
          <w:tcPr>
            <w:tcW w:w="5040" w:type="dxa"/>
            <w:vAlign w:val="bottom"/>
          </w:tcPr>
          <w:p>
            <w:pPr>
              <w:spacing w:after="0"/>
              <w:rPr>
                <w:sz w:val="20"/>
                <w:szCs w:val="20"/>
                <w:color w:val="auto"/>
              </w:rPr>
            </w:pPr>
            <w:r>
              <w:rPr>
                <w:rFonts w:ascii="Arial" w:cs="Arial" w:eastAsia="Arial" w:hAnsi="Arial"/>
                <w:sz w:val="16"/>
                <w:szCs w:val="16"/>
                <w:color w:val="auto"/>
              </w:rPr>
              <w:t>International</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2"/>
        </w:trPr>
        <w:tc>
          <w:tcPr>
            <w:tcW w:w="5040" w:type="dxa"/>
            <w:vAlign w:val="bottom"/>
          </w:tcPr>
          <w:p>
            <w:pPr>
              <w:spacing w:after="0" w:line="222"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5040" w:type="dxa"/>
            <w:vAlign w:val="bottom"/>
          </w:tcPr>
          <w:p>
            <w:pPr>
              <w:ind w:left="28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3,001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1,534</w:t>
            </w: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w:t>
            </w: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Reconciliation to Adjusted EBITDA</w:t>
            </w:r>
          </w:p>
        </w:tc>
      </w:tr>
      <w:tr>
        <w:trPr>
          <w:trHeight w:val="212"/>
        </w:trPr>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04"/>
        </w:trPr>
        <w:tc>
          <w:tcPr>
            <w:tcW w:w="8160" w:type="dxa"/>
            <w:vAlign w:val="bottom"/>
            <w:gridSpan w:val="3"/>
          </w:tcPr>
          <w:p>
            <w:pPr>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674</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9"/>
        </w:trPr>
        <w:tc>
          <w:tcPr>
            <w:tcW w:w="8160" w:type="dxa"/>
            <w:vAlign w:val="bottom"/>
            <w:gridSpan w:val="3"/>
          </w:tcPr>
          <w:p>
            <w:pPr>
              <w:spacing w:after="0"/>
              <w:rPr>
                <w:sz w:val="20"/>
                <w:szCs w:val="20"/>
                <w:color w:val="auto"/>
              </w:rPr>
            </w:pPr>
            <w:r>
              <w:rPr>
                <w:rFonts w:ascii="Arial" w:cs="Arial" w:eastAsia="Arial" w:hAnsi="Arial"/>
                <w:sz w:val="16"/>
                <w:szCs w:val="16"/>
                <w:color w:val="auto"/>
              </w:rPr>
              <w:t>Provision for income taxes</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07"/>
        </w:trPr>
        <w:tc>
          <w:tcPr>
            <w:tcW w:w="8160" w:type="dxa"/>
            <w:vAlign w:val="bottom"/>
            <w:gridSpan w:val="3"/>
          </w:tcPr>
          <w:p>
            <w:pPr>
              <w:spacing w:after="0"/>
              <w:rPr>
                <w:sz w:val="20"/>
                <w:szCs w:val="20"/>
                <w:color w:val="auto"/>
              </w:rPr>
            </w:pPr>
            <w:r>
              <w:rPr>
                <w:rFonts w:ascii="Arial" w:cs="Arial" w:eastAsia="Arial" w:hAnsi="Arial"/>
                <w:sz w:val="16"/>
                <w:szCs w:val="16"/>
                <w:color w:val="auto"/>
              </w:rPr>
              <w:t>Income before income taxes</w:t>
            </w: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929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311"/>
        </w:trPr>
        <w:tc>
          <w:tcPr>
            <w:tcW w:w="540" w:type="dxa"/>
            <w:vAlign w:val="bottom"/>
          </w:tcPr>
          <w:p>
            <w:pPr>
              <w:spacing w:after="0"/>
              <w:rPr>
                <w:sz w:val="20"/>
                <w:szCs w:val="20"/>
                <w:color w:val="auto"/>
              </w:rPr>
            </w:pPr>
            <w:r>
              <w:rPr>
                <w:rFonts w:ascii="Arial" w:cs="Arial" w:eastAsia="Arial" w:hAnsi="Arial"/>
                <w:sz w:val="16"/>
                <w:szCs w:val="16"/>
                <w:color w:val="auto"/>
              </w:rPr>
              <w:t>Add:</w:t>
            </w: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Non-vehicle related depreciation and amortization</w:t>
            </w:r>
          </w:p>
        </w:tc>
        <w:tc>
          <w:tcPr>
            <w:tcW w:w="9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6"/>
        </w:trPr>
        <w:tc>
          <w:tcPr>
            <w:tcW w:w="54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Interest expense related to corporate debt, net:</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6"/>
                <w:szCs w:val="16"/>
                <w:color w:val="auto"/>
              </w:rPr>
              <w:t>Interest expense</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6"/>
        </w:trPr>
        <w:tc>
          <w:tcPr>
            <w:tcW w:w="54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6"/>
                <w:szCs w:val="16"/>
                <w:color w:val="auto"/>
              </w:rPr>
              <w:t>Early extinguishment of debt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54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Restructuring and other related charges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54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Transaction-related costs, net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40" w:type="dxa"/>
            <w:vAlign w:val="bottom"/>
          </w:tcPr>
          <w:p>
            <w:pPr>
              <w:spacing w:after="0"/>
              <w:rPr>
                <w:sz w:val="20"/>
                <w:szCs w:val="20"/>
                <w:color w:val="auto"/>
              </w:rPr>
            </w:pPr>
          </w:p>
        </w:tc>
        <w:tc>
          <w:tcPr>
            <w:tcW w:w="7620" w:type="dxa"/>
            <w:vAlign w:val="bottom"/>
            <w:gridSpan w:val="2"/>
          </w:tcPr>
          <w:p>
            <w:pPr>
              <w:ind w:left="200"/>
              <w:spacing w:after="0" w:line="235" w:lineRule="exact"/>
              <w:rPr>
                <w:sz w:val="20"/>
                <w:szCs w:val="20"/>
                <w:color w:val="auto"/>
              </w:rPr>
            </w:pPr>
            <w:r>
              <w:rPr>
                <w:rFonts w:ascii="Arial" w:cs="Arial" w:eastAsia="Arial" w:hAnsi="Arial"/>
                <w:sz w:val="16"/>
                <w:szCs w:val="16"/>
                <w:color w:val="auto"/>
              </w:rPr>
              <w:t xml:space="preserve">COVID-19 charges </w:t>
            </w:r>
            <w:r>
              <w:rPr>
                <w:rFonts w:ascii="Arial" w:cs="Arial" w:eastAsia="Arial" w:hAnsi="Arial"/>
                <w:sz w:val="21"/>
                <w:szCs w:val="21"/>
                <w:color w:val="auto"/>
                <w:vertAlign w:val="superscript"/>
              </w:rPr>
              <w:t>(b)</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3"/>
        </w:trPr>
        <w:tc>
          <w:tcPr>
            <w:tcW w:w="540" w:type="dxa"/>
            <w:vAlign w:val="bottom"/>
          </w:tcPr>
          <w:p>
            <w:pPr>
              <w:spacing w:after="0"/>
              <w:rPr>
                <w:sz w:val="17"/>
                <w:szCs w:val="17"/>
                <w:color w:val="auto"/>
              </w:rPr>
            </w:pPr>
          </w:p>
        </w:tc>
        <w:tc>
          <w:tcPr>
            <w:tcW w:w="7620" w:type="dxa"/>
            <w:vAlign w:val="bottom"/>
            <w:gridSpan w:val="2"/>
          </w:tcPr>
          <w:p>
            <w:pPr>
              <w:ind w:left="200"/>
              <w:spacing w:after="0" w:line="204" w:lineRule="exact"/>
              <w:rPr>
                <w:sz w:val="20"/>
                <w:szCs w:val="20"/>
                <w:color w:val="auto"/>
              </w:rPr>
            </w:pPr>
            <w:r>
              <w:rPr>
                <w:rFonts w:ascii="Arial" w:cs="Arial" w:eastAsia="Arial" w:hAnsi="Arial"/>
                <w:sz w:val="16"/>
                <w:szCs w:val="16"/>
                <w:color w:val="auto"/>
              </w:rPr>
              <w:t xml:space="preserve">Unprecedented personal-injury and other legal matters, net </w:t>
            </w:r>
            <w:r>
              <w:rPr>
                <w:rFonts w:ascii="Arial" w:cs="Arial" w:eastAsia="Arial" w:hAnsi="Arial"/>
                <w:sz w:val="21"/>
                <w:szCs w:val="21"/>
                <w:color w:val="auto"/>
                <w:vertAlign w:val="superscript"/>
              </w:rPr>
              <w:t>(c)</w:t>
            </w: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160" w:type="dxa"/>
            <w:vAlign w:val="bottom"/>
            <w:gridSpan w:val="3"/>
          </w:tcPr>
          <w:p>
            <w:pPr>
              <w:spacing w:after="0"/>
              <w:rPr>
                <w:sz w:val="20"/>
                <w:szCs w:val="20"/>
                <w:color w:val="auto"/>
              </w:rPr>
            </w:pPr>
            <w:r>
              <w:rPr>
                <w:rFonts w:ascii="Arial" w:cs="Arial" w:eastAsia="Arial" w:hAnsi="Arial"/>
                <w:sz w:val="16"/>
                <w:szCs w:val="16"/>
                <w:color w:val="auto"/>
              </w:rPr>
              <w:t>Adjusted EBITDA</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1,057</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r>
      <w:tr>
        <w:trPr>
          <w:trHeight w:val="20"/>
        </w:trPr>
        <w:tc>
          <w:tcPr>
            <w:tcW w:w="5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70"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3"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45"/>
        </w:numPr>
        <w:rPr>
          <w:rFonts w:ascii="Arial" w:cs="Arial" w:eastAsia="Arial" w:hAnsi="Arial"/>
          <w:sz w:val="9"/>
          <w:szCs w:val="9"/>
          <w:color w:val="auto"/>
        </w:rPr>
      </w:pPr>
      <w:r>
        <w:rPr>
          <w:rFonts w:ascii="Arial" w:cs="Arial" w:eastAsia="Arial" w:hAnsi="Arial"/>
          <w:sz w:val="14"/>
          <w:szCs w:val="14"/>
          <w:color w:val="auto"/>
        </w:rPr>
        <w:t>The following table presents the unusual, direct and incremental costs due to the COVID-19 pandemic:</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7860" w:type="dxa"/>
            <w:vAlign w:val="bottom"/>
          </w:tcPr>
          <w:p>
            <w:pPr>
              <w:ind w:left="560"/>
              <w:spacing w:after="0"/>
              <w:rPr>
                <w:sz w:val="20"/>
                <w:szCs w:val="20"/>
                <w:color w:val="auto"/>
              </w:rPr>
            </w:pPr>
            <w:r>
              <w:rPr>
                <w:rFonts w:ascii="Arial" w:cs="Arial" w:eastAsia="Arial" w:hAnsi="Arial"/>
                <w:sz w:val="14"/>
                <w:szCs w:val="14"/>
                <w:color w:val="auto"/>
              </w:rPr>
              <w:t>Minimum annual guaranteed rent in excess of concession fees, net</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7860" w:type="dxa"/>
            <w:vAlign w:val="bottom"/>
          </w:tcPr>
          <w:p>
            <w:pPr>
              <w:ind w:left="560"/>
              <w:spacing w:after="0"/>
              <w:rPr>
                <w:sz w:val="20"/>
                <w:szCs w:val="20"/>
                <w:color w:val="auto"/>
              </w:rPr>
            </w:pPr>
            <w:r>
              <w:rPr>
                <w:rFonts w:ascii="Arial" w:cs="Arial" w:eastAsia="Arial" w:hAnsi="Arial"/>
                <w:sz w:val="14"/>
                <w:szCs w:val="14"/>
                <w:color w:val="auto"/>
              </w:rPr>
              <w:t>Vehicles damaged in overflow parking lots, net of insurance proceeds</w:t>
            </w:r>
          </w:p>
        </w:tc>
        <w:tc>
          <w:tcPr>
            <w:tcW w:w="10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52"/>
        </w:trPr>
        <w:tc>
          <w:tcPr>
            <w:tcW w:w="7860" w:type="dxa"/>
            <w:vAlign w:val="bottom"/>
          </w:tcPr>
          <w:p>
            <w:pPr>
              <w:ind w:left="560"/>
              <w:spacing w:after="0" w:line="152" w:lineRule="exact"/>
              <w:rPr>
                <w:sz w:val="20"/>
                <w:szCs w:val="20"/>
                <w:color w:val="auto"/>
              </w:rPr>
            </w:pPr>
            <w:r>
              <w:rPr>
                <w:rFonts w:ascii="Arial" w:cs="Arial" w:eastAsia="Arial" w:hAnsi="Arial"/>
                <w:sz w:val="14"/>
                <w:szCs w:val="14"/>
                <w:color w:val="auto"/>
              </w:rPr>
              <w:t>Incremental cleaning supplies to sanitize vehicles and facilities, and over flow parking for</w:t>
            </w:r>
          </w:p>
        </w:tc>
        <w:tc>
          <w:tcPr>
            <w:tcW w:w="1040" w:type="dxa"/>
            <w:vAlign w:val="bottom"/>
          </w:tcPr>
          <w:p>
            <w:pPr>
              <w:spacing w:after="0"/>
              <w:rPr>
                <w:sz w:val="13"/>
                <w:szCs w:val="13"/>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2"/>
        </w:trPr>
        <w:tc>
          <w:tcPr>
            <w:tcW w:w="7860" w:type="dxa"/>
            <w:vAlign w:val="bottom"/>
          </w:tcPr>
          <w:p>
            <w:pPr>
              <w:ind w:left="680"/>
              <w:spacing w:after="0"/>
              <w:rPr>
                <w:sz w:val="20"/>
                <w:szCs w:val="20"/>
                <w:color w:val="auto"/>
              </w:rPr>
            </w:pPr>
            <w:r>
              <w:rPr>
                <w:rFonts w:ascii="Arial" w:cs="Arial" w:eastAsia="Arial" w:hAnsi="Arial"/>
                <w:sz w:val="14"/>
                <w:szCs w:val="14"/>
                <w:color w:val="auto"/>
              </w:rPr>
              <w:t>idle vehicles</w:t>
            </w:r>
          </w:p>
        </w:tc>
        <w:tc>
          <w:tcPr>
            <w:tcW w:w="104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860" w:type="dxa"/>
            <w:vAlign w:val="bottom"/>
          </w:tcPr>
          <w:p>
            <w:pPr>
              <w:ind w:left="560"/>
              <w:spacing w:after="0"/>
              <w:rPr>
                <w:sz w:val="20"/>
                <w:szCs w:val="20"/>
                <w:color w:val="auto"/>
              </w:rPr>
            </w:pPr>
            <w:r>
              <w:rPr>
                <w:rFonts w:ascii="Arial" w:cs="Arial" w:eastAsia="Arial" w:hAnsi="Arial"/>
                <w:sz w:val="14"/>
                <w:szCs w:val="14"/>
                <w:color w:val="auto"/>
              </w:rPr>
              <w:t>Other charges</w:t>
            </w:r>
          </w:p>
        </w:tc>
        <w:tc>
          <w:tcPr>
            <w:tcW w:w="1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7860" w:type="dxa"/>
            <w:vAlign w:val="bottom"/>
          </w:tcPr>
          <w:p>
            <w:pPr>
              <w:ind w:left="360"/>
              <w:spacing w:after="0"/>
              <w:rPr>
                <w:sz w:val="20"/>
                <w:szCs w:val="20"/>
                <w:color w:val="auto"/>
              </w:rPr>
            </w:pPr>
            <w:r>
              <w:rPr>
                <w:rFonts w:ascii="Arial" w:cs="Arial" w:eastAsia="Arial" w:hAnsi="Arial"/>
                <w:sz w:val="14"/>
                <w:szCs w:val="14"/>
                <w:color w:val="auto"/>
              </w:rPr>
              <w:t>Operating expenses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7860" w:type="dxa"/>
            <w:vAlign w:val="bottom"/>
          </w:tcPr>
          <w:p>
            <w:pPr>
              <w:ind w:left="360"/>
              <w:spacing w:after="0"/>
              <w:rPr>
                <w:sz w:val="20"/>
                <w:szCs w:val="20"/>
                <w:color w:val="auto"/>
              </w:rPr>
            </w:pPr>
            <w:r>
              <w:rPr>
                <w:rFonts w:ascii="Arial" w:cs="Arial" w:eastAsia="Arial" w:hAnsi="Arial"/>
                <w:sz w:val="14"/>
                <w:szCs w:val="14"/>
                <w:color w:val="auto"/>
              </w:rPr>
              <w:t>Vehicle depreciation and lease charges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8"/>
        </w:trPr>
        <w:tc>
          <w:tcPr>
            <w:tcW w:w="7860" w:type="dxa"/>
            <w:vAlign w:val="bottom"/>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2"/>
        </w:trPr>
        <w:tc>
          <w:tcPr>
            <w:tcW w:w="7860" w:type="dxa"/>
            <w:vAlign w:val="bottom"/>
          </w:tcPr>
          <w:p>
            <w:pPr>
              <w:spacing w:after="0"/>
              <w:rPr>
                <w:sz w:val="20"/>
                <w:szCs w:val="20"/>
                <w:color w:val="auto"/>
              </w:rPr>
            </w:pPr>
            <w:r>
              <w:rPr>
                <w:rFonts w:ascii="Arial" w:cs="Arial" w:eastAsia="Arial" w:hAnsi="Arial"/>
                <w:sz w:val="9"/>
                <w:szCs w:val="9"/>
                <w:color w:val="auto"/>
              </w:rPr>
              <w:t>(c)</w:t>
            </w:r>
            <w:r>
              <w:rPr>
                <w:rFonts w:ascii="Arial" w:cs="Arial" w:eastAsia="Arial" w:hAnsi="Arial"/>
                <w:sz w:val="14"/>
                <w:szCs w:val="14"/>
                <w:color w:val="auto"/>
              </w:rPr>
              <w:t>Reported within operating expenses in our consolidated condensed results of operations.</w:t>
            </w: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6"/>
          </w:tcPr>
          <w:p>
            <w:pPr>
              <w:jc w:val="right"/>
              <w:ind w:right="539"/>
              <w:spacing w:after="0"/>
              <w:rPr>
                <w:sz w:val="20"/>
                <w:szCs w:val="20"/>
                <w:color w:val="auto"/>
              </w:rPr>
            </w:pPr>
            <w:r>
              <w:rPr>
                <w:rFonts w:ascii="Arial" w:cs="Arial" w:eastAsia="Arial" w:hAnsi="Arial"/>
                <w:sz w:val="16"/>
                <w:szCs w:val="16"/>
                <w:b w:val="1"/>
                <w:bCs w:val="1"/>
                <w:color w:val="auto"/>
              </w:rPr>
              <w:t>Three Months Ended September 30,</w:t>
            </w:r>
          </w:p>
        </w:tc>
      </w:tr>
      <w:tr>
        <w:trPr>
          <w:trHeight w:val="212"/>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4"/>
        </w:trPr>
        <w:tc>
          <w:tcPr>
            <w:tcW w:w="710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2,403</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1,114</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116 %</w:t>
            </w:r>
          </w:p>
        </w:tc>
      </w:tr>
      <w:tr>
        <w:trPr>
          <w:trHeight w:val="216"/>
        </w:trPr>
        <w:tc>
          <w:tcPr>
            <w:tcW w:w="710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952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329 %</w:t>
            </w:r>
          </w:p>
        </w:tc>
      </w:tr>
    </w:tbl>
    <w:p>
      <w:pPr>
        <w:spacing w:after="0" w:line="35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Revenues increased 116% during the three months ended September 30, 2021 compared to the similar period in 2020, primarily due to a 44% increase in revenue per day, a 49% increase in volume and a $5 million benefit from currency exchange rate movements.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expenses decreased to 39.7% of revenue during the three months ended September 30, 2021 compared to 51.0% during the similar period in 2020, primarily due to increased revenues and cost discipline as volume returned. Vehicle depreciation and lease charges decreased to 7.8% of revenue during the three months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ended September 30, 2021 compared to 14.8% during the similar period in 2020, primarily due to increased revenues and a 6% decrease in per-unit fleet costs, driven by the continued favorable trend in the used-vehicle market. Selling, general and administrative costs increased to 10.3% of revenue during the three months ended September 30, 2021 compared to 8.3% during the similar period in 2020, primarily due to increased commissions from increased leisure customer revenues, partially offset by cost discipline as volume returned. Vehicle interest costs decreased to 2.7% of revenue during the three months ended September 30, 2021 compared to 5.8% during the similar period in 2020, primarily due to increased revenues.</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Adjusted EBITDA was $730 million higher during the three months ended September 30, 2021 compared to the similar period in 2020, primarily due to increased revenues and cost discipline as volume returned.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6"/>
          </w:tcPr>
          <w:p>
            <w:pPr>
              <w:jc w:val="right"/>
              <w:ind w:right="539"/>
              <w:spacing w:after="0"/>
              <w:rPr>
                <w:sz w:val="20"/>
                <w:szCs w:val="20"/>
                <w:color w:val="auto"/>
              </w:rPr>
            </w:pPr>
            <w:r>
              <w:rPr>
                <w:rFonts w:ascii="Arial" w:cs="Arial" w:eastAsia="Arial" w:hAnsi="Arial"/>
                <w:sz w:val="16"/>
                <w:szCs w:val="16"/>
                <w:b w:val="1"/>
                <w:bCs w:val="1"/>
                <w:color w:val="auto"/>
              </w:rPr>
              <w:t>Three Months Ended September 30,</w:t>
            </w:r>
          </w:p>
        </w:tc>
      </w:tr>
      <w:tr>
        <w:trPr>
          <w:trHeight w:val="212"/>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4"/>
        </w:trPr>
        <w:tc>
          <w:tcPr>
            <w:tcW w:w="710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42 %</w:t>
            </w:r>
          </w:p>
        </w:tc>
      </w:tr>
      <w:tr>
        <w:trPr>
          <w:trHeight w:val="216"/>
        </w:trPr>
        <w:tc>
          <w:tcPr>
            <w:tcW w:w="710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n/m</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Revenues increased 42% during the three months ended September 30, 2021, compared to the similar period in 2020, primarily due to a 25% increase in revenue per day excluding exchange rate effects, a 12% increase in volume and a $10 million benefit from currency exchange rate movements.</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Operating expenses decreased to 44.7% of revenue during the three months ended September 30, 2021 compared to 61.5% during the similar period in 2020, primarily due to increased revenues and cost discipline as volume returned. Vehicle depreciation and lease charges decreased to 15.1% of revenue during the three months ended September 30, 2021 compared to 21.6% during the similar period in 2020, primarily due to increased revenues and an 8% decrease in per-unit fleet costs, excluding exchange rate effects, driven by the continued favorable trend in the used-vehicle market. Selling, general and administrative costs increased to 15.9% of revenue during the three months ended September 30, 2021 compared to 15.1% during the similar period in 2020, primarily due to prior year furloughed employees and higher current year performance accruals, partially offset by cost discipline as volume returned. Vehicle interest costs decreased to 2.4% of revenue during the three months ended September 30, 2021 compared to 3.0% during the similar period in 2020, primarily due to increased revenues.</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Adjusted EBITDA was $ 122 million higher in third quarter 2021 compared to the similar period in 2020, primarily due to increased revenues, decreased per-unit fleet costs and cost discipline as volume returned.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vs. Nine Months Ended September 30,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condensed results of operations comprised the following:</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5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b w:val="1"/>
                <w:bCs w:val="1"/>
                <w:color w:val="auto"/>
              </w:rPr>
              <w:t>Nine Months Ended September 30,</w:t>
            </w:r>
          </w:p>
        </w:tc>
        <w:tc>
          <w:tcPr>
            <w:tcW w:w="1200" w:type="dxa"/>
            <w:vAlign w:val="bottom"/>
            <w:tcBorders>
              <w:bottom w:val="single" w:sz="8" w:color="auto"/>
            </w:tcBorders>
          </w:tcPr>
          <w:p>
            <w:pPr>
              <w:spacing w:after="0"/>
              <w:rPr>
                <w:sz w:val="18"/>
                <w:szCs w:val="18"/>
                <w:color w:val="auto"/>
              </w:rPr>
            </w:pPr>
          </w:p>
        </w:tc>
      </w:tr>
      <w:tr>
        <w:trPr>
          <w:trHeight w:val="211"/>
        </w:trPr>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Arial" w:cs="Arial" w:eastAsia="Arial" w:hAnsi="Arial"/>
                <w:sz w:val="16"/>
                <w:szCs w:val="16"/>
                <w:b w:val="1"/>
                <w:bCs w:val="1"/>
                <w:color w:val="auto"/>
              </w:rPr>
              <w:t>$ Change</w:t>
            </w:r>
          </w:p>
        </w:tc>
        <w:tc>
          <w:tcPr>
            <w:tcW w:w="120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05"/>
        </w:trPr>
        <w:tc>
          <w:tcPr>
            <w:tcW w:w="580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6,744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4,047</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2,697</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67 %</w:t>
            </w:r>
          </w:p>
        </w:tc>
      </w:tr>
      <w:tr>
        <w:trPr>
          <w:trHeight w:val="358"/>
        </w:trPr>
        <w:tc>
          <w:tcPr>
            <w:tcW w:w="580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6"/>
                <w:szCs w:val="16"/>
                <w:color w:val="auto"/>
              </w:rPr>
              <w:t>Operating</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16"/>
        </w:trPr>
        <w:tc>
          <w:tcPr>
            <w:tcW w:w="5800" w:type="dxa"/>
            <w:vAlign w:val="bottom"/>
          </w:tcPr>
          <w:p>
            <w:pPr>
              <w:ind w:left="220"/>
              <w:spacing w:after="0"/>
              <w:rPr>
                <w:sz w:val="20"/>
                <w:szCs w:val="20"/>
                <w:color w:val="auto"/>
              </w:rPr>
            </w:pPr>
            <w:r>
              <w:rPr>
                <w:rFonts w:ascii="Arial" w:cs="Arial" w:eastAsia="Arial" w:hAnsi="Arial"/>
                <w:sz w:val="16"/>
                <w:szCs w:val="16"/>
                <w:color w:val="auto"/>
              </w:rPr>
              <w:t>Vehicle depreciation and lease charges,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216"/>
        </w:trPr>
        <w:tc>
          <w:tcPr>
            <w:tcW w:w="580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52 %</w:t>
            </w:r>
          </w:p>
        </w:tc>
      </w:tr>
      <w:tr>
        <w:trPr>
          <w:trHeight w:val="216"/>
        </w:trPr>
        <w:tc>
          <w:tcPr>
            <w:tcW w:w="5800" w:type="dxa"/>
            <w:vAlign w:val="bottom"/>
          </w:tcPr>
          <w:p>
            <w:pPr>
              <w:ind w:left="220"/>
              <w:spacing w:after="0"/>
              <w:rPr>
                <w:sz w:val="20"/>
                <w:szCs w:val="20"/>
                <w:color w:val="auto"/>
              </w:rPr>
            </w:pPr>
            <w:r>
              <w:rPr>
                <w:rFonts w:ascii="Arial" w:cs="Arial" w:eastAsia="Arial" w:hAnsi="Arial"/>
                <w:sz w:val="16"/>
                <w:szCs w:val="16"/>
                <w:color w:val="auto"/>
              </w:rPr>
              <w:t>Vehicle interest,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216"/>
        </w:trPr>
        <w:tc>
          <w:tcPr>
            <w:tcW w:w="5800" w:type="dxa"/>
            <w:vAlign w:val="bottom"/>
          </w:tcPr>
          <w:p>
            <w:pPr>
              <w:ind w:left="22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(7 %)</w:t>
            </w:r>
          </w:p>
        </w:tc>
      </w:tr>
      <w:tr>
        <w:trPr>
          <w:trHeight w:val="216"/>
        </w:trPr>
        <w:tc>
          <w:tcPr>
            <w:tcW w:w="5800" w:type="dxa"/>
            <w:vAlign w:val="bottom"/>
          </w:tcPr>
          <w:p>
            <w:pPr>
              <w:ind w:left="220"/>
              <w:spacing w:after="0"/>
              <w:rPr>
                <w:sz w:val="20"/>
                <w:szCs w:val="20"/>
                <w:color w:val="auto"/>
              </w:rPr>
            </w:pPr>
            <w:r>
              <w:rPr>
                <w:rFonts w:ascii="Arial" w:cs="Arial" w:eastAsia="Arial" w:hAnsi="Arial"/>
                <w:sz w:val="16"/>
                <w:szCs w:val="16"/>
                <w:color w:val="auto"/>
              </w:rPr>
              <w:t>Interest expense related to corporate debt, net: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80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216"/>
        </w:trPr>
        <w:tc>
          <w:tcPr>
            <w:tcW w:w="5800" w:type="dxa"/>
            <w:vAlign w:val="bottom"/>
          </w:tcPr>
          <w:p>
            <w:pPr>
              <w:ind w:left="340"/>
              <w:spacing w:after="0"/>
              <w:rPr>
                <w:sz w:val="20"/>
                <w:szCs w:val="20"/>
                <w:color w:val="auto"/>
              </w:rPr>
            </w:pPr>
            <w:r>
              <w:rPr>
                <w:rFonts w:ascii="Arial" w:cs="Arial" w:eastAsia="Arial" w:hAnsi="Arial"/>
                <w:sz w:val="16"/>
                <w:szCs w:val="16"/>
                <w:color w:val="auto"/>
              </w:rPr>
              <w:t>Early extinguishment of debt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00" w:type="dxa"/>
            <w:vAlign w:val="bottom"/>
          </w:tcPr>
          <w:p>
            <w:pPr>
              <w:ind w:left="220"/>
              <w:spacing w:after="0"/>
              <w:rPr>
                <w:sz w:val="20"/>
                <w:szCs w:val="20"/>
                <w:color w:val="auto"/>
              </w:rPr>
            </w:pPr>
            <w:r>
              <w:rPr>
                <w:rFonts w:ascii="Arial" w:cs="Arial" w:eastAsia="Arial" w:hAnsi="Arial"/>
                <w:sz w:val="16"/>
                <w:szCs w:val="16"/>
                <w:color w:val="auto"/>
              </w:rPr>
              <w:t>Restructuring and other related charges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(47 %)</w:t>
            </w:r>
          </w:p>
        </w:tc>
      </w:tr>
      <w:tr>
        <w:trPr>
          <w:trHeight w:val="219"/>
        </w:trPr>
        <w:tc>
          <w:tcPr>
            <w:tcW w:w="5800" w:type="dxa"/>
            <w:vAlign w:val="bottom"/>
          </w:tcPr>
          <w:p>
            <w:pPr>
              <w:ind w:left="220"/>
              <w:spacing w:after="0"/>
              <w:rPr>
                <w:sz w:val="20"/>
                <w:szCs w:val="20"/>
                <w:color w:val="auto"/>
              </w:rPr>
            </w:pPr>
            <w:r>
              <w:rPr>
                <w:rFonts w:ascii="Arial" w:cs="Arial" w:eastAsia="Arial" w:hAnsi="Arial"/>
                <w:sz w:val="16"/>
                <w:szCs w:val="16"/>
                <w:color w:val="auto"/>
              </w:rPr>
              <w:t>Transaction-related costs,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0 %</w:t>
            </w:r>
          </w:p>
        </w:tc>
      </w:tr>
      <w:tr>
        <w:trPr>
          <w:trHeight w:val="207"/>
        </w:trPr>
        <w:tc>
          <w:tcPr>
            <w:tcW w:w="5800" w:type="dxa"/>
            <w:vAlign w:val="bottom"/>
          </w:tcPr>
          <w:p>
            <w:pPr>
              <w:spacing w:after="0"/>
              <w:rPr>
                <w:sz w:val="20"/>
                <w:szCs w:val="20"/>
                <w:color w:val="auto"/>
              </w:rPr>
            </w:pPr>
            <w:r>
              <w:rPr>
                <w:rFonts w:ascii="Arial" w:cs="Arial" w:eastAsia="Arial" w:hAnsi="Arial"/>
                <w:sz w:val="16"/>
                <w:szCs w:val="16"/>
                <w:color w:val="auto"/>
              </w:rPr>
              <w:t>Total expenses</w:t>
            </w: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5,579</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4,868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358"/>
        </w:trPr>
        <w:tc>
          <w:tcPr>
            <w:tcW w:w="5800" w:type="dxa"/>
            <w:vAlign w:val="bottom"/>
          </w:tcPr>
          <w:p>
            <w:pPr>
              <w:spacing w:after="0"/>
              <w:rPr>
                <w:sz w:val="20"/>
                <w:szCs w:val="20"/>
                <w:color w:val="auto"/>
              </w:rPr>
            </w:pPr>
            <w:r>
              <w:rPr>
                <w:rFonts w:ascii="Arial" w:cs="Arial" w:eastAsia="Arial" w:hAnsi="Arial"/>
                <w:sz w:val="16"/>
                <w:szCs w:val="16"/>
                <w:b w:val="1"/>
                <w:bCs w:val="1"/>
                <w:color w:val="auto"/>
              </w:rPr>
              <w:t>Income (loss) before income taxes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1,986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00" w:type="dxa"/>
            <w:vAlign w:val="bottom"/>
          </w:tcPr>
          <w:p>
            <w:pPr>
              <w:spacing w:after="0"/>
              <w:rPr>
                <w:sz w:val="20"/>
                <w:szCs w:val="20"/>
                <w:color w:val="auto"/>
              </w:rPr>
            </w:pPr>
            <w:r>
              <w:rPr>
                <w:rFonts w:ascii="Arial" w:cs="Arial" w:eastAsia="Arial" w:hAnsi="Arial"/>
                <w:sz w:val="16"/>
                <w:szCs w:val="16"/>
                <w:color w:val="auto"/>
              </w:rPr>
              <w:t>Provision for (benefit from) income taxes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09"/>
        </w:trPr>
        <w:tc>
          <w:tcPr>
            <w:tcW w:w="580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9"/>
        </w:trPr>
        <w:tc>
          <w:tcPr>
            <w:tcW w:w="5800" w:type="dxa"/>
            <w:vAlign w:val="bottom"/>
          </w:tcPr>
          <w:p>
            <w:pPr>
              <w:ind w:left="120"/>
              <w:spacing w:after="0"/>
              <w:rPr>
                <w:sz w:val="20"/>
                <w:szCs w:val="20"/>
                <w:color w:val="auto"/>
              </w:rPr>
            </w:pPr>
            <w:r>
              <w:rPr>
                <w:rFonts w:ascii="Arial" w:cs="Arial" w:eastAsia="Arial" w:hAnsi="Arial"/>
                <w:sz w:val="16"/>
                <w:szCs w:val="16"/>
                <w:color w:val="auto"/>
              </w:rPr>
              <w:t>Less: net loss attributable to non-controlling interests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5800" w:type="dxa"/>
            <w:vAlign w:val="bottom"/>
          </w:tcPr>
          <w:p>
            <w:pPr>
              <w:spacing w:after="0"/>
              <w:rPr>
                <w:sz w:val="20"/>
                <w:szCs w:val="20"/>
                <w:color w:val="auto"/>
              </w:rPr>
            </w:pPr>
            <w:r>
              <w:rPr>
                <w:rFonts w:ascii="Arial" w:cs="Arial" w:eastAsia="Arial" w:hAnsi="Arial"/>
                <w:sz w:val="16"/>
                <w:szCs w:val="16"/>
                <w:b w:val="1"/>
                <w:bCs w:val="1"/>
                <w:color w:val="auto"/>
              </w:rPr>
              <w:t>Net income (loss) attributable to Avis Budget Group, Inc.</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
        </w:trPr>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Revenues increased $2.7 billion, or 67% during the nine months ended September 30, 2021 compared to the similar period in 2020, primarily due to a 37% increase in revenue per day, excluding exchange rate effects, a 20% increase in volume and a $90 million benefit from currency exchange rate movements. Total expenses increased 15% during the nine months ended September 30, 2021, compared to the similar period in 2020, primarily due to increased demand, partially offset by cost discipline as volume returned. Our effective tax rates were a provision for (benefit from) of 22.6% and (27.6)% for the nine months ended September 30, 2021 and 2020, respectively. As a result of these items, our net income increased by $1,496 million compared to the similar period in 2020. For the nine months ended September 30, 2021 and 2020, the Company reported earnings (loss) per diluted share of $13.16 and $(8.40), respectively.</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expenses decreased to 45.8% of revenue during the nine months ended September 30, 2021 compared to 61.9% during the similar period in 2020, due to increased revenues and cost discipline as volume returned. Vehicle depreciation and lease charges decreased to 12.9% of revenue during the nine months ended September 30, 2021 compared to 26.9% during the similar period in 2020, primarily due to increased revenues and a 13% decrease in per-unit fleet costs per month, excluding exchange rate effects, driven by the continued favorable trend in the used-vehicle market. Selling, general and administrative costs decreased to 12.4% of revenue during the nine months ended September 30, 2021 compared to 13.6% during the similar period in 2020, primarily due to increased revenues and cost discipline as volume returned. Vehicle interest costs decreased to 3.4% of revenue during the nine months ended September 30, 2021 compared to 6.1% during the similar period in 2020, primarily due to increased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Nine Months Ended September 30,</w:t>
            </w: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2"/>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880" w:type="dxa"/>
            <w:vAlign w:val="bottom"/>
            <w:tcBorders>
              <w:bottom w:val="single" w:sz="8" w:color="auto"/>
            </w:tcBorders>
          </w:tcPr>
          <w:p>
            <w:pPr>
              <w:spacing w:after="0"/>
              <w:rPr>
                <w:sz w:val="18"/>
                <w:szCs w:val="18"/>
                <w:color w:val="auto"/>
              </w:rPr>
            </w:pPr>
          </w:p>
        </w:tc>
      </w:tr>
      <w:tr>
        <w:trPr>
          <w:trHeight w:val="210"/>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r>
      <w:tr>
        <w:trPr>
          <w:trHeight w:val="204"/>
        </w:trPr>
        <w:tc>
          <w:tcPr>
            <w:tcW w:w="5040" w:type="dxa"/>
            <w:vAlign w:val="bottom"/>
          </w:tcPr>
          <w:p>
            <w:pPr>
              <w:spacing w:after="0"/>
              <w:rPr>
                <w:sz w:val="20"/>
                <w:szCs w:val="20"/>
                <w:color w:val="auto"/>
              </w:rPr>
            </w:pPr>
            <w:r>
              <w:rPr>
                <w:rFonts w:ascii="Arial" w:cs="Arial" w:eastAsia="Arial" w:hAnsi="Arial"/>
                <w:sz w:val="16"/>
                <w:szCs w:val="16"/>
                <w:color w:val="auto"/>
              </w:rPr>
              <w:t>Americas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5,457</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1,694</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2,936</w:t>
            </w:r>
          </w:p>
        </w:tc>
        <w:tc>
          <w:tcPr>
            <w:tcW w:w="120" w:type="dxa"/>
            <w:vAlign w:val="bottom"/>
          </w:tcPr>
          <w:p>
            <w:pPr>
              <w:spacing w:after="0"/>
              <w:rPr>
                <w:sz w:val="17"/>
                <w:szCs w:val="17"/>
                <w:color w:val="auto"/>
              </w:rPr>
            </w:pPr>
          </w:p>
        </w:tc>
        <w:tc>
          <w:tcPr>
            <w:tcW w:w="58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16"/>
        </w:trPr>
        <w:tc>
          <w:tcPr>
            <w:tcW w:w="5040" w:type="dxa"/>
            <w:vAlign w:val="bottom"/>
          </w:tcPr>
          <w:p>
            <w:pPr>
              <w:spacing w:after="0"/>
              <w:rPr>
                <w:sz w:val="20"/>
                <w:szCs w:val="20"/>
                <w:color w:val="auto"/>
              </w:rPr>
            </w:pPr>
            <w:r>
              <w:rPr>
                <w:rFonts w:ascii="Arial" w:cs="Arial" w:eastAsia="Arial" w:hAnsi="Arial"/>
                <w:sz w:val="16"/>
                <w:szCs w:val="16"/>
                <w:color w:val="auto"/>
              </w:rPr>
              <w:t>International</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222"/>
        </w:trPr>
        <w:tc>
          <w:tcPr>
            <w:tcW w:w="5040" w:type="dxa"/>
            <w:vAlign w:val="bottom"/>
          </w:tcPr>
          <w:p>
            <w:pPr>
              <w:spacing w:after="0" w:line="222"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9"/>
        </w:trPr>
        <w:tc>
          <w:tcPr>
            <w:tcW w:w="5040" w:type="dxa"/>
            <w:vAlign w:val="bottom"/>
          </w:tcPr>
          <w:p>
            <w:pPr>
              <w:ind w:left="28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6,744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4,047</w:t>
            </w:r>
          </w:p>
        </w:tc>
        <w:tc>
          <w:tcPr>
            <w:tcW w:w="12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(249)</w:t>
            </w:r>
          </w:p>
        </w:tc>
      </w:tr>
      <w:tr>
        <w:trPr>
          <w:trHeight w:val="21"/>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Reconciliation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23495</wp:posOffset>
            </wp:positionV>
            <wp:extent cx="39090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(loss)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Provision for (benefit from) income taxes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(loss) before income taxes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40" w:type="dxa"/>
            <w:vAlign w:val="bottom"/>
          </w:tcPr>
          <w:p>
            <w:pPr>
              <w:spacing w:after="0"/>
              <w:rPr>
                <w:sz w:val="20"/>
                <w:szCs w:val="20"/>
                <w:color w:val="auto"/>
              </w:rPr>
            </w:pPr>
            <w:r>
              <w:rPr>
                <w:rFonts w:ascii="Arial" w:cs="Arial" w:eastAsia="Arial" w:hAnsi="Arial"/>
                <w:sz w:val="16"/>
                <w:szCs w:val="16"/>
                <w:color w:val="auto"/>
              </w:rPr>
              <w:t>Add:</w:t>
            </w:r>
          </w:p>
        </w:tc>
        <w:tc>
          <w:tcPr>
            <w:tcW w:w="4860" w:type="dxa"/>
            <w:vAlign w:val="bottom"/>
          </w:tcPr>
          <w:p>
            <w:pPr>
              <w:ind w:left="200"/>
              <w:spacing w:after="0"/>
              <w:rPr>
                <w:sz w:val="20"/>
                <w:szCs w:val="20"/>
                <w:color w:val="auto"/>
              </w:rPr>
            </w:pPr>
            <w:r>
              <w:rPr>
                <w:rFonts w:ascii="Arial" w:cs="Arial" w:eastAsia="Arial" w:hAnsi="Arial"/>
                <w:sz w:val="16"/>
                <w:szCs w:val="16"/>
                <w:color w:val="auto"/>
              </w:rPr>
              <w:t xml:space="preserve">Non-vehicle related depreciation and amortization </w:t>
            </w:r>
            <w:r>
              <w:rPr>
                <w:rFonts w:ascii="Arial" w:cs="Arial" w:eastAsia="Arial" w:hAnsi="Arial"/>
                <w:sz w:val="21"/>
                <w:szCs w:val="21"/>
                <w:color w:val="auto"/>
                <w:vertAlign w:val="superscript"/>
              </w:rPr>
              <w:t>(b)</w:t>
            </w:r>
          </w:p>
        </w:tc>
      </w:tr>
      <w:tr>
        <w:trPr>
          <w:trHeight w:val="195"/>
        </w:trPr>
        <w:tc>
          <w:tcPr>
            <w:tcW w:w="540" w:type="dxa"/>
            <w:vAlign w:val="bottom"/>
          </w:tcPr>
          <w:p>
            <w:pPr>
              <w:spacing w:after="0"/>
              <w:rPr>
                <w:sz w:val="16"/>
                <w:szCs w:val="16"/>
                <w:color w:val="auto"/>
              </w:rPr>
            </w:pPr>
          </w:p>
        </w:tc>
        <w:tc>
          <w:tcPr>
            <w:tcW w:w="4860" w:type="dxa"/>
            <w:vAlign w:val="bottom"/>
          </w:tcPr>
          <w:p>
            <w:pPr>
              <w:ind w:left="200"/>
              <w:spacing w:after="0"/>
              <w:rPr>
                <w:sz w:val="20"/>
                <w:szCs w:val="20"/>
                <w:color w:val="auto"/>
              </w:rPr>
            </w:pPr>
            <w:r>
              <w:rPr>
                <w:rFonts w:ascii="Arial" w:cs="Arial" w:eastAsia="Arial" w:hAnsi="Arial"/>
                <w:sz w:val="16"/>
                <w:szCs w:val="16"/>
                <w:color w:val="auto"/>
              </w:rPr>
              <w:t>Interest expense related to corporate debt, net:</w:t>
            </w:r>
          </w:p>
        </w:tc>
      </w:tr>
      <w:tr>
        <w:trPr>
          <w:trHeight w:val="216"/>
        </w:trPr>
        <w:tc>
          <w:tcPr>
            <w:tcW w:w="54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6"/>
                <w:szCs w:val="16"/>
                <w:color w:val="auto"/>
              </w:rPr>
              <w:t>Interest expense</w:t>
            </w:r>
          </w:p>
        </w:tc>
      </w:tr>
      <w:tr>
        <w:trPr>
          <w:trHeight w:val="216"/>
        </w:trPr>
        <w:tc>
          <w:tcPr>
            <w:tcW w:w="54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6"/>
                <w:szCs w:val="16"/>
                <w:color w:val="auto"/>
              </w:rPr>
              <w:t>Early extinguishment of debt</w:t>
            </w:r>
          </w:p>
        </w:tc>
      </w:tr>
      <w:tr>
        <w:trPr>
          <w:trHeight w:val="216"/>
        </w:trPr>
        <w:tc>
          <w:tcPr>
            <w:tcW w:w="54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6"/>
                <w:szCs w:val="16"/>
                <w:color w:val="auto"/>
              </w:rPr>
              <w:t>Restructuring and other related charges</w:t>
            </w:r>
          </w:p>
        </w:tc>
      </w:tr>
      <w:tr>
        <w:trPr>
          <w:trHeight w:val="237"/>
        </w:trPr>
        <w:tc>
          <w:tcPr>
            <w:tcW w:w="540" w:type="dxa"/>
            <w:vAlign w:val="bottom"/>
          </w:tcPr>
          <w:p>
            <w:pPr>
              <w:spacing w:after="0"/>
              <w:rPr>
                <w:sz w:val="20"/>
                <w:szCs w:val="20"/>
                <w:color w:val="auto"/>
              </w:rPr>
            </w:pPr>
          </w:p>
        </w:tc>
        <w:tc>
          <w:tcPr>
            <w:tcW w:w="4860" w:type="dxa"/>
            <w:vAlign w:val="bottom"/>
          </w:tcPr>
          <w:p>
            <w:pPr>
              <w:ind w:left="200"/>
              <w:spacing w:after="0" w:line="237" w:lineRule="exact"/>
              <w:rPr>
                <w:sz w:val="20"/>
                <w:szCs w:val="20"/>
                <w:color w:val="auto"/>
              </w:rPr>
            </w:pPr>
            <w:r>
              <w:rPr>
                <w:rFonts w:ascii="Arial" w:cs="Arial" w:eastAsia="Arial" w:hAnsi="Arial"/>
                <w:sz w:val="16"/>
                <w:szCs w:val="16"/>
                <w:color w:val="auto"/>
              </w:rPr>
              <w:t xml:space="preserve">COVID-19 charges </w:t>
            </w:r>
            <w:r>
              <w:rPr>
                <w:rFonts w:ascii="Arial" w:cs="Arial" w:eastAsia="Arial" w:hAnsi="Arial"/>
                <w:sz w:val="21"/>
                <w:szCs w:val="21"/>
                <w:color w:val="auto"/>
                <w:vertAlign w:val="superscript"/>
              </w:rPr>
              <w:t>(c)</w:t>
            </w:r>
          </w:p>
        </w:tc>
      </w:tr>
      <w:tr>
        <w:trPr>
          <w:trHeight w:val="195"/>
        </w:trPr>
        <w:tc>
          <w:tcPr>
            <w:tcW w:w="540" w:type="dxa"/>
            <w:vAlign w:val="bottom"/>
          </w:tcPr>
          <w:p>
            <w:pPr>
              <w:spacing w:after="0"/>
              <w:rPr>
                <w:sz w:val="16"/>
                <w:szCs w:val="16"/>
                <w:color w:val="auto"/>
              </w:rPr>
            </w:pPr>
          </w:p>
        </w:tc>
        <w:tc>
          <w:tcPr>
            <w:tcW w:w="4860" w:type="dxa"/>
            <w:vAlign w:val="bottom"/>
          </w:tcPr>
          <w:p>
            <w:pPr>
              <w:ind w:left="200"/>
              <w:spacing w:after="0"/>
              <w:rPr>
                <w:sz w:val="20"/>
                <w:szCs w:val="20"/>
                <w:color w:val="auto"/>
              </w:rPr>
            </w:pPr>
            <w:r>
              <w:rPr>
                <w:rFonts w:ascii="Arial" w:cs="Arial" w:eastAsia="Arial" w:hAnsi="Arial"/>
                <w:sz w:val="16"/>
                <w:szCs w:val="16"/>
                <w:color w:val="auto"/>
              </w:rPr>
              <w:t>Transaction-related costs, net</w:t>
            </w:r>
          </w:p>
        </w:tc>
      </w:tr>
      <w:tr>
        <w:trPr>
          <w:trHeight w:val="235"/>
        </w:trPr>
        <w:tc>
          <w:tcPr>
            <w:tcW w:w="540" w:type="dxa"/>
            <w:vAlign w:val="bottom"/>
          </w:tcPr>
          <w:p>
            <w:pPr>
              <w:spacing w:after="0"/>
              <w:rPr>
                <w:sz w:val="20"/>
                <w:szCs w:val="20"/>
                <w:color w:val="auto"/>
              </w:rPr>
            </w:pPr>
          </w:p>
        </w:tc>
        <w:tc>
          <w:tcPr>
            <w:tcW w:w="4860" w:type="dxa"/>
            <w:vAlign w:val="bottom"/>
          </w:tcPr>
          <w:p>
            <w:pPr>
              <w:ind w:left="200"/>
              <w:spacing w:after="0" w:line="235" w:lineRule="exact"/>
              <w:rPr>
                <w:sz w:val="20"/>
                <w:szCs w:val="20"/>
                <w:color w:val="auto"/>
              </w:rPr>
            </w:pPr>
            <w:r>
              <w:rPr>
                <w:rFonts w:ascii="Arial" w:cs="Arial" w:eastAsia="Arial" w:hAnsi="Arial"/>
                <w:sz w:val="16"/>
                <w:szCs w:val="16"/>
                <w:color w:val="auto"/>
              </w:rPr>
              <w:t xml:space="preserve">Non-operational charges related to shareholder activist activity </w:t>
            </w:r>
            <w:r>
              <w:rPr>
                <w:rFonts w:ascii="Arial" w:cs="Arial" w:eastAsia="Arial" w:hAnsi="Arial"/>
                <w:sz w:val="21"/>
                <w:szCs w:val="21"/>
                <w:color w:val="auto"/>
                <w:vertAlign w:val="superscript"/>
              </w:rPr>
              <w:t>(d)</w:t>
            </w:r>
          </w:p>
        </w:tc>
      </w:tr>
      <w:tr>
        <w:trPr>
          <w:trHeight w:val="259"/>
        </w:trPr>
        <w:tc>
          <w:tcPr>
            <w:tcW w:w="540" w:type="dxa"/>
            <w:vAlign w:val="bottom"/>
          </w:tcPr>
          <w:p>
            <w:pPr>
              <w:spacing w:after="0"/>
              <w:rPr>
                <w:sz w:val="22"/>
                <w:szCs w:val="22"/>
                <w:color w:val="auto"/>
              </w:rPr>
            </w:pPr>
          </w:p>
        </w:tc>
        <w:tc>
          <w:tcPr>
            <w:tcW w:w="4860" w:type="dxa"/>
            <w:vAlign w:val="bottom"/>
          </w:tcPr>
          <w:p>
            <w:pPr>
              <w:ind w:left="200"/>
              <w:spacing w:after="0"/>
              <w:rPr>
                <w:sz w:val="20"/>
                <w:szCs w:val="20"/>
                <w:color w:val="auto"/>
              </w:rPr>
            </w:pPr>
            <w:r>
              <w:rPr>
                <w:rFonts w:ascii="Arial" w:cs="Arial" w:eastAsia="Arial" w:hAnsi="Arial"/>
                <w:sz w:val="16"/>
                <w:szCs w:val="16"/>
                <w:color w:val="auto"/>
              </w:rPr>
              <w:t xml:space="preserve">Unprecedented personal-injury and other legal matters, net </w:t>
            </w:r>
            <w:r>
              <w:rPr>
                <w:rFonts w:ascii="Arial" w:cs="Arial" w:eastAsia="Arial" w:hAnsi="Arial"/>
                <w:sz w:val="21"/>
                <w:szCs w:val="21"/>
                <w:color w:val="auto"/>
                <w:vertAlign w:val="superscript"/>
              </w:rPr>
              <w:t>(e)</w:t>
            </w:r>
          </w:p>
        </w:tc>
      </w:tr>
    </w:tbl>
    <w:p>
      <w:pPr>
        <w:ind w:left="20"/>
        <w:spacing w:after="0"/>
        <w:rPr>
          <w:sz w:val="20"/>
          <w:szCs w:val="20"/>
          <w:color w:val="auto"/>
        </w:rPr>
      </w:pPr>
      <w:r>
        <w:rPr>
          <w:rFonts w:ascii="Arial" w:cs="Arial" w:eastAsia="Arial" w:hAnsi="Arial"/>
          <w:sz w:val="16"/>
          <w:szCs w:val="16"/>
          <w:color w:val="auto"/>
        </w:rPr>
        <w:t>Adjusted EBITDA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59"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20" w:hanging="312"/>
        <w:spacing w:after="0" w:line="187" w:lineRule="auto"/>
        <w:tabs>
          <w:tab w:leader="none" w:pos="32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Includes cloud computing costs of $5 million within operating expenses.</w:t>
      </w:r>
    </w:p>
    <w:p>
      <w:pPr>
        <w:ind w:left="320" w:hanging="312"/>
        <w:spacing w:after="0" w:line="189" w:lineRule="auto"/>
        <w:tabs>
          <w:tab w:leader="none" w:pos="32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The following table presents the unusual, direct and incremental costs due to the COVID-19 pandemic:</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07"/>
        </w:trPr>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902</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(594)</w:t>
            </w:r>
          </w:p>
        </w:tc>
      </w:tr>
      <w:tr>
        <w:trPr>
          <w:trHeight w:val="219"/>
        </w:trPr>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r>
      <w:tr>
        <w:trPr>
          <w:trHeight w:val="206"/>
        </w:trPr>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(821)</w:t>
            </w:r>
          </w:p>
        </w:tc>
      </w:tr>
      <w:tr>
        <w:trPr>
          <w:trHeight w:val="270"/>
        </w:trPr>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432"/>
        </w:trPr>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16"/>
        </w:trPr>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6"/>
        </w:trPr>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6"/>
        </w:trPr>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r>
      <w:tr>
        <w:trPr>
          <w:trHeight w:val="2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922" w:lineRule="exact"/>
        <w:rPr>
          <w:sz w:val="20"/>
          <w:szCs w:val="20"/>
          <w:color w:val="auto"/>
        </w:rPr>
      </w:pPr>
    </w:p>
    <w:p>
      <w:pPr>
        <w:sectPr>
          <w:pgSz w:w="11900" w:h="16838" w:orient="portrait"/>
          <w:cols w:equalWidth="0" w:num="2">
            <w:col w:w="7460" w:space="720"/>
            <w:col w:w="3060"/>
          </w:cols>
          <w:pgMar w:left="320" w:top="140" w:right="339" w:bottom="1440" w:gutter="0" w:footer="0" w:header="0"/>
          <w:type w:val="continuous"/>
        </w:sectPr>
      </w:pPr>
    </w:p>
    <w:tbl>
      <w:tblPr>
        <w:tblLayout w:type="fixed"/>
        <w:tblInd w:w="360" w:type="dxa"/>
        <w:tblCellMar>
          <w:top w:w="0" w:type="dxa"/>
          <w:left w:w="0" w:type="dxa"/>
          <w:bottom w:w="0" w:type="dxa"/>
          <w:right w:w="0" w:type="dxa"/>
        </w:tblCellMar>
      </w:tblPr>
      <w:tr>
        <w:trPr>
          <w:trHeight w:val="171"/>
        </w:trPr>
        <w:tc>
          <w:tcPr>
            <w:tcW w:w="7500" w:type="dxa"/>
            <w:vAlign w:val="bottom"/>
          </w:tcPr>
          <w:p>
            <w:pPr>
              <w:spacing w:after="0"/>
              <w:rPr>
                <w:sz w:val="14"/>
                <w:szCs w:val="14"/>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7500" w:type="dxa"/>
            <w:vAlign w:val="bottom"/>
          </w:tcPr>
          <w:p>
            <w:pPr>
              <w:ind w:left="200"/>
              <w:spacing w:after="0"/>
              <w:rPr>
                <w:sz w:val="20"/>
                <w:szCs w:val="20"/>
                <w:color w:val="auto"/>
              </w:rPr>
            </w:pPr>
            <w:r>
              <w:rPr>
                <w:rFonts w:ascii="Arial" w:cs="Arial" w:eastAsia="Arial" w:hAnsi="Arial"/>
                <w:sz w:val="14"/>
                <w:szCs w:val="14"/>
                <w:color w:val="auto"/>
              </w:rPr>
              <w:t>Minimum annual guaranteed rent in excess of concession fees, net</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9"/>
        </w:trPr>
        <w:tc>
          <w:tcPr>
            <w:tcW w:w="7500" w:type="dxa"/>
            <w:vAlign w:val="bottom"/>
          </w:tcPr>
          <w:p>
            <w:pPr>
              <w:ind w:left="200"/>
              <w:spacing w:after="0"/>
              <w:rPr>
                <w:sz w:val="20"/>
                <w:szCs w:val="20"/>
                <w:color w:val="auto"/>
              </w:rPr>
            </w:pPr>
            <w:r>
              <w:rPr>
                <w:rFonts w:ascii="Arial" w:cs="Arial" w:eastAsia="Arial" w:hAnsi="Arial"/>
                <w:sz w:val="14"/>
                <w:szCs w:val="14"/>
                <w:color w:val="auto"/>
              </w:rPr>
              <w:t>Vehicles damaged in overflow parking lots, net of insurance proceeds</w:t>
            </w:r>
          </w:p>
        </w:tc>
        <w:tc>
          <w:tcPr>
            <w:tcW w:w="10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2"/>
        </w:trPr>
        <w:tc>
          <w:tcPr>
            <w:tcW w:w="7500" w:type="dxa"/>
            <w:vAlign w:val="bottom"/>
          </w:tcPr>
          <w:p>
            <w:pPr>
              <w:ind w:left="200"/>
              <w:spacing w:after="0" w:line="152" w:lineRule="exact"/>
              <w:rPr>
                <w:sz w:val="20"/>
                <w:szCs w:val="20"/>
                <w:color w:val="auto"/>
              </w:rPr>
            </w:pPr>
            <w:r>
              <w:rPr>
                <w:rFonts w:ascii="Arial" w:cs="Arial" w:eastAsia="Arial" w:hAnsi="Arial"/>
                <w:sz w:val="14"/>
                <w:szCs w:val="14"/>
                <w:color w:val="auto"/>
              </w:rPr>
              <w:t>Incremental cleaning supplies to sanitize vehicles and facilities, and over flow parking for</w:t>
            </w:r>
          </w:p>
        </w:tc>
        <w:tc>
          <w:tcPr>
            <w:tcW w:w="1040" w:type="dxa"/>
            <w:vAlign w:val="bottom"/>
          </w:tcPr>
          <w:p>
            <w:pPr>
              <w:spacing w:after="0"/>
              <w:rPr>
                <w:sz w:val="13"/>
                <w:szCs w:val="13"/>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2"/>
        </w:trPr>
        <w:tc>
          <w:tcPr>
            <w:tcW w:w="7500" w:type="dxa"/>
            <w:vAlign w:val="bottom"/>
          </w:tcPr>
          <w:p>
            <w:pPr>
              <w:ind w:left="320"/>
              <w:spacing w:after="0"/>
              <w:rPr>
                <w:sz w:val="20"/>
                <w:szCs w:val="20"/>
                <w:color w:val="auto"/>
              </w:rPr>
            </w:pPr>
            <w:r>
              <w:rPr>
                <w:rFonts w:ascii="Arial" w:cs="Arial" w:eastAsia="Arial" w:hAnsi="Arial"/>
                <w:sz w:val="14"/>
                <w:szCs w:val="14"/>
                <w:color w:val="auto"/>
              </w:rPr>
              <w:t>idle vehicles</w:t>
            </w:r>
          </w:p>
        </w:tc>
        <w:tc>
          <w:tcPr>
            <w:tcW w:w="104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500" w:type="dxa"/>
            <w:vAlign w:val="bottom"/>
          </w:tcPr>
          <w:p>
            <w:pPr>
              <w:ind w:left="200"/>
              <w:spacing w:after="0"/>
              <w:rPr>
                <w:sz w:val="20"/>
                <w:szCs w:val="20"/>
                <w:color w:val="auto"/>
              </w:rPr>
            </w:pPr>
            <w:r>
              <w:rPr>
                <w:rFonts w:ascii="Arial" w:cs="Arial" w:eastAsia="Arial" w:hAnsi="Arial"/>
                <w:sz w:val="14"/>
                <w:szCs w:val="14"/>
                <w:color w:val="auto"/>
              </w:rPr>
              <w:t>Other charges</w:t>
            </w:r>
          </w:p>
        </w:tc>
        <w:tc>
          <w:tcPr>
            <w:tcW w:w="1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7500" w:type="dxa"/>
            <w:vAlign w:val="bottom"/>
          </w:tcPr>
          <w:p>
            <w:pPr>
              <w:spacing w:after="0"/>
              <w:rPr>
                <w:sz w:val="20"/>
                <w:szCs w:val="20"/>
                <w:color w:val="auto"/>
              </w:rPr>
            </w:pPr>
            <w:r>
              <w:rPr>
                <w:rFonts w:ascii="Arial" w:cs="Arial" w:eastAsia="Arial" w:hAnsi="Arial"/>
                <w:sz w:val="14"/>
                <w:szCs w:val="14"/>
                <w:color w:val="auto"/>
              </w:rPr>
              <w:t>Operating expenses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9"/>
        </w:trPr>
        <w:tc>
          <w:tcPr>
            <w:tcW w:w="7500" w:type="dxa"/>
            <w:vAlign w:val="bottom"/>
          </w:tcPr>
          <w:p>
            <w:pPr>
              <w:spacing w:after="0"/>
              <w:rPr>
                <w:sz w:val="20"/>
                <w:szCs w:val="20"/>
                <w:color w:val="auto"/>
              </w:rPr>
            </w:pPr>
            <w:r>
              <w:rPr>
                <w:rFonts w:ascii="Arial" w:cs="Arial" w:eastAsia="Arial" w:hAnsi="Arial"/>
                <w:sz w:val="14"/>
                <w:szCs w:val="14"/>
                <w:color w:val="auto"/>
              </w:rPr>
              <w:t>Vehicle depreciation and lease charges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8"/>
        </w:trPr>
        <w:tc>
          <w:tcPr>
            <w:tcW w:w="750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9"/>
          <w:szCs w:val="9"/>
          <w:color w:val="auto"/>
        </w:rPr>
      </w:pPr>
      <w:r>
        <w:rPr>
          <w:rFonts w:ascii="Arial" w:cs="Arial" w:eastAsia="Arial" w:hAnsi="Arial"/>
          <w:sz w:val="14"/>
          <w:szCs w:val="14"/>
          <w:color w:val="auto"/>
        </w:rPr>
        <w:t>Reported within selling, general and administrative expenses in our consolidated condensed results of operations.</w:t>
      </w:r>
    </w:p>
    <w:p>
      <w:pPr>
        <w:spacing w:after="0" w:line="1" w:lineRule="exact"/>
        <w:rPr>
          <w:rFonts w:ascii="Arial" w:cs="Arial" w:eastAsia="Arial" w:hAnsi="Arial"/>
          <w:sz w:val="9"/>
          <w:szCs w:val="9"/>
          <w:color w:val="auto"/>
        </w:rPr>
      </w:pPr>
    </w:p>
    <w:p>
      <w:pPr>
        <w:ind w:left="320" w:hanging="312"/>
        <w:spacing w:after="0"/>
        <w:tabs>
          <w:tab w:leader="none" w:pos="320" w:val="left"/>
        </w:tabs>
        <w:numPr>
          <w:ilvl w:val="0"/>
          <w:numId w:val="47"/>
        </w:numPr>
        <w:rPr>
          <w:rFonts w:ascii="Arial" w:cs="Arial" w:eastAsia="Arial" w:hAnsi="Arial"/>
          <w:sz w:val="9"/>
          <w:szCs w:val="9"/>
          <w:color w:val="auto"/>
        </w:rPr>
      </w:pPr>
      <w:r>
        <w:rPr>
          <w:rFonts w:ascii="Arial" w:cs="Arial" w:eastAsia="Arial" w:hAnsi="Arial"/>
          <w:sz w:val="14"/>
          <w:szCs w:val="14"/>
          <w:color w:val="auto"/>
        </w:rPr>
        <w:t>Reported within operating expenses in our consolidated condensed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6"/>
          </w:tcPr>
          <w:p>
            <w:pPr>
              <w:jc w:val="right"/>
              <w:ind w:right="599"/>
              <w:spacing w:after="0"/>
              <w:rPr>
                <w:sz w:val="20"/>
                <w:szCs w:val="20"/>
                <w:color w:val="auto"/>
              </w:rPr>
            </w:pPr>
            <w:r>
              <w:rPr>
                <w:rFonts w:ascii="Arial" w:cs="Arial" w:eastAsia="Arial" w:hAnsi="Arial"/>
                <w:sz w:val="16"/>
                <w:szCs w:val="16"/>
                <w:b w:val="1"/>
                <w:bCs w:val="1"/>
                <w:color w:val="auto"/>
              </w:rPr>
              <w:t>Nine Months Ended September 30,</w:t>
            </w:r>
          </w:p>
        </w:tc>
      </w:tr>
      <w:tr>
        <w:trPr>
          <w:trHeight w:val="212"/>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4"/>
        </w:trPr>
        <w:tc>
          <w:tcPr>
            <w:tcW w:w="710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5,457</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2,936</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86 %</w:t>
            </w:r>
          </w:p>
        </w:tc>
      </w:tr>
      <w:tr>
        <w:trPr>
          <w:trHeight w:val="216"/>
        </w:trPr>
        <w:tc>
          <w:tcPr>
            <w:tcW w:w="710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1,694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n/m</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Revenues increased 86% during the nine months ended September 30, 2021 compared to the similar period in 2020, primarily due to a 41% increase in revenue per day, excluding exchange rate effects, a 31% increase in volume and an $11 million benefit from currency exchange rate movements.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expenses decreased to 43.7% of revenue during the nine months ended September 30, 2021 compared to 59.5% during the similar period in 2020, primarily due to increased revenues and cost discipline as volume returned. Vehicle depreciation and lease charges decreased to 11.5% of revenue during the nine months</w:t>
      </w:r>
    </w:p>
    <w:p>
      <w:pPr>
        <w:sectPr>
          <w:pgSz w:w="11900" w:h="16838" w:orient="portrait"/>
          <w:cols w:equalWidth="0" w:num="1">
            <w:col w:w="11240"/>
          </w:cols>
          <w:pgMar w:left="320" w:top="140" w:right="3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ended September 30, 2021 compared to 26.1% during the similar period in 2020, primarily due to increased revenues and a 13% decrease in per-unit fleet costs, driven by the continued favorable trend in the used-vehicle market. Selling, general and administrative costs decreased to 10.3% of revenue during the nine months ended September 30, 2021 compared to 11.1% during the similar period in 2020, primarily due to increased revenues and cost discipline as volume returned. Vehicle interest costs decreased to 3.5% of revenue during the nine months ended September 30, 2021 compared to 7.1% during the similar period in 2020, primarily due to increased revenues.</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Adjusted EBITDA was $1.7 billion higher during the nine months ended September 30, 2021 compared to the similar period in 2020, primarily due to increased revenues, decreased per-unit fleet costs and cost discipline as volume returned.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6"/>
          </w:tcPr>
          <w:p>
            <w:pPr>
              <w:jc w:val="right"/>
              <w:ind w:right="599"/>
              <w:spacing w:after="0"/>
              <w:rPr>
                <w:sz w:val="20"/>
                <w:szCs w:val="20"/>
                <w:color w:val="auto"/>
              </w:rPr>
            </w:pPr>
            <w:r>
              <w:rPr>
                <w:rFonts w:ascii="Arial" w:cs="Arial" w:eastAsia="Arial" w:hAnsi="Arial"/>
                <w:sz w:val="16"/>
                <w:szCs w:val="16"/>
                <w:b w:val="1"/>
                <w:bCs w:val="1"/>
                <w:color w:val="auto"/>
              </w:rPr>
              <w:t>Nine Months Ended September 30,</w:t>
            </w:r>
          </w:p>
        </w:tc>
      </w:tr>
      <w:tr>
        <w:trPr>
          <w:trHeight w:val="212"/>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4"/>
        </w:trPr>
        <w:tc>
          <w:tcPr>
            <w:tcW w:w="710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1,287</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1,111</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216"/>
        </w:trPr>
        <w:tc>
          <w:tcPr>
            <w:tcW w:w="710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149 %</w:t>
            </w:r>
          </w:p>
        </w:tc>
      </w:tr>
    </w:tbl>
    <w:p>
      <w:pPr>
        <w:spacing w:after="0" w:line="3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Revenues increased 16% during the nine months ended September 30, 2021, compared to the similar period in 2020, primarily due to a 13% increase in revenue per day, excluding exchange rate effects and a $79 million benefit from currency exchange rate movements, partially offset by a 4% decrease in volume as a result of the impacts of COVID-19 from first quarter 2021.</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expenses decreased to 54.3% of revenue during the nine months ended September 30, 2021 compared to 68.2% during the similar period in 2020, primarily due to cost discipline as volume recovers. Vehicle depreciation and lease charges decreased to 18.6% of revenue during the nine months ended September 30, 2021 compared to 29.0% during the similar period in 2020, primarily due to a 14% decrease in per-unit fleet costs, excluding exchange rate effects, driven by the continued favorable trend in the used-vehicle market. Selling, general and administrative costs increased to 17.6% of revenue during the nine months ended September 30, 2021 compared to 16.6% during the similar period in 2020, primarily due to prior year furloughed employees and higher current year performance accruals, partially offset by cost discipline as volume returned. Vehicle interest costs were at 3.1% of revenue during the nine months ended September 30, 2021 compared to 3.5% during the similar period in 2020.</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Adjusted EBITDA increased 149% during the nine months ended September 30, 2021 compared to the similar period in 2020, primarily due to a cost discipline as volume recovers and decreased per-unit fleet costs.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6"/>
                <w:szCs w:val="16"/>
                <w:color w:val="auto"/>
              </w:rPr>
            </w:pPr>
          </w:p>
        </w:tc>
        <w:tc>
          <w:tcPr>
            <w:tcW w:w="16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December 31, 2020</w:t>
            </w:r>
          </w:p>
        </w:tc>
        <w:tc>
          <w:tcPr>
            <w:tcW w:w="300" w:type="dxa"/>
            <w:vAlign w:val="bottom"/>
          </w:tcPr>
          <w:p>
            <w:pPr>
              <w:spacing w:after="0"/>
              <w:rPr>
                <w:sz w:val="16"/>
                <w:szCs w:val="16"/>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5"/>
        </w:trPr>
        <w:tc>
          <w:tcPr>
            <w:tcW w:w="6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040" w:type="dxa"/>
            <w:vAlign w:val="bottom"/>
          </w:tcPr>
          <w:p>
            <w:pPr>
              <w:spacing w:after="0"/>
              <w:rPr>
                <w:sz w:val="20"/>
                <w:szCs w:val="20"/>
                <w:color w:val="auto"/>
              </w:rPr>
            </w:pPr>
            <w:r>
              <w:rPr>
                <w:rFonts w:ascii="Arial" w:cs="Arial" w:eastAsia="Arial" w:hAnsi="Arial"/>
                <w:sz w:val="16"/>
                <w:szCs w:val="16"/>
                <w:color w:val="auto"/>
              </w:rPr>
              <w:t>Total assets exclusive of assets under vehicle programs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8,588</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8,365</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Total liabilities exclusive of liabilities under vehicle programs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9,027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9,053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9,173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3,849</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Liabilities under vehicle programs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12,781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8,640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4,141</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bl>
    <w:p>
      <w:pPr>
        <w:spacing w:after="0" w:line="3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increases in assets under vehicle programs and liabilities under vehicle programs are principally related to the increase in the size of our vehicle rental fleet to meet increased rental demand.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2021, we issued $600 million of 5.375% Senior Notes due 2029, at par. We used the proceeds, together with cash on hand, to redeem all of our outstanding 10.500% Senior Secured Notes due 2025. In March 2021, we issued $500 million of 4.750% Senior Notes due 2028. We used the proceeds, together with cash on hand, to redeem all of our outstanding 6.375% Senior Notes due 2024 and $140 million in aggregate principal amount of our 5.250% Senior Notes due in 2025. In July, we amended our senior credit facilities to remove the restrictions imposed in April 2020, to increase the revolving credit facility to $1.95 billion and to extend the maturity of the facility to 2026. As a result, we have no meaningful corporate debt maturities until 2024. In September 2021, the Company redeemed $235 million remaining principal amount of its 5.250% Senior Notes due March 2025.</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May 2021, our Avis Budget Rental Car Funding (AESOP) LLC subsidiary issued $800 million of asset-backed note with an expected final payment date of August 2026, with a weighted average interest rate of 1.73%.</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June 2021, our Avis Budget Rental Car Funding (AESOP) LLC subsidiary issued $96 million, $105 million and $103 million of asset-backed notes with expected final payment dates of March 2024, September 2024 and August 2025, respectively, with a weighted average interest rate of 3.14%.</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62626"/>
        </w:rPr>
        <w:t>The Company</w:t>
      </w:r>
      <w:r>
        <w:rPr>
          <w:rFonts w:ascii="Arial" w:cs="Arial" w:eastAsia="Arial" w:hAnsi="Arial"/>
          <w:sz w:val="18"/>
          <w:szCs w:val="18"/>
          <w:color w:val="000000"/>
        </w:rPr>
        <w:t>’</w:t>
      </w:r>
      <w:r>
        <w:rPr>
          <w:rFonts w:ascii="Arial" w:cs="Arial" w:eastAsia="Arial" w:hAnsi="Arial"/>
          <w:sz w:val="18"/>
          <w:szCs w:val="18"/>
          <w:color w:val="262626"/>
        </w:rPr>
        <w:t>s Board of Directors has authorized the repurchase of up to $3.1 billion of its common stock under a plan originally approved in 2013 and subsequently expanded, most recently in August 2021</w:t>
      </w:r>
      <w:r>
        <w:rPr>
          <w:rFonts w:ascii="Arial" w:cs="Arial" w:eastAsia="Arial" w:hAnsi="Arial"/>
          <w:sz w:val="18"/>
          <w:szCs w:val="18"/>
          <w:color w:val="000000"/>
        </w:rPr>
        <w:t>.</w:t>
      </w:r>
      <w:r>
        <w:rPr>
          <w:rFonts w:ascii="Arial" w:cs="Arial" w:eastAsia="Arial" w:hAnsi="Arial"/>
          <w:sz w:val="18"/>
          <w:szCs w:val="18"/>
          <w:color w:val="262626"/>
        </w:rPr>
        <w:t xml:space="preserve"> 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privately negotiated transactions or trading plans pursuant to Rule 10b5-1 of the Securities Exchange Act of 1934, as amended. The amount and timing of specific repurchases are subject to market conditions, applicable legal requirements, restricted payment capacity under our debt instruments and other factors. The repurchase program may be suspended, modified or discontinued at any time without prior notice. The repurchase program has no set expiration or termination date. D</w:t>
      </w:r>
      <w:r>
        <w:rPr>
          <w:rFonts w:ascii="Arial" w:cs="Arial" w:eastAsia="Arial" w:hAnsi="Arial"/>
          <w:sz w:val="18"/>
          <w:szCs w:val="18"/>
          <w:color w:val="000000"/>
        </w:rPr>
        <w:t>uring the nine months ended September 30, 2021, the Company</w:t>
      </w:r>
      <w:r>
        <w:rPr>
          <w:rFonts w:ascii="Arial" w:cs="Arial" w:eastAsia="Arial" w:hAnsi="Arial"/>
          <w:sz w:val="18"/>
          <w:szCs w:val="18"/>
          <w:color w:val="262626"/>
        </w:rPr>
        <w:t xml:space="preserve"> </w:t>
      </w:r>
      <w:r>
        <w:rPr>
          <w:rFonts w:ascii="Arial" w:cs="Arial" w:eastAsia="Arial" w:hAnsi="Arial"/>
          <w:sz w:val="18"/>
          <w:szCs w:val="18"/>
          <w:color w:val="000000"/>
        </w:rPr>
        <w:t>repurchased approximately 11.7 million shares of common stock at a cost of approximately $1.0 billion under the program. As of September 30, 2021, approximately $397 million of authorization remained available to repurchase common stock under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6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7"/>
          </w:tcPr>
          <w:p>
            <w:pPr>
              <w:jc w:val="right"/>
              <w:ind w:right="719"/>
              <w:spacing w:after="0"/>
              <w:rPr>
                <w:sz w:val="20"/>
                <w:szCs w:val="20"/>
                <w:color w:val="auto"/>
              </w:rPr>
            </w:pPr>
            <w:r>
              <w:rPr>
                <w:rFonts w:ascii="Arial" w:cs="Arial" w:eastAsia="Arial" w:hAnsi="Arial"/>
                <w:sz w:val="16"/>
                <w:szCs w:val="16"/>
                <w:b w:val="1"/>
                <w:bCs w:val="1"/>
                <w:color w:val="auto"/>
              </w:rPr>
              <w:t>Nine Months Ended September 30,</w:t>
            </w:r>
          </w:p>
        </w:tc>
      </w:tr>
      <w:tr>
        <w:trPr>
          <w:trHeight w:val="211"/>
        </w:trPr>
        <w:tc>
          <w:tcPr>
            <w:tcW w:w="6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191"/>
        </w:trPr>
        <w:tc>
          <w:tcPr>
            <w:tcW w:w="6960" w:type="dxa"/>
            <w:vAlign w:val="bottom"/>
          </w:tcPr>
          <w:p>
            <w:pPr>
              <w:spacing w:after="0"/>
              <w:rPr>
                <w:sz w:val="20"/>
                <w:szCs w:val="20"/>
                <w:color w:val="auto"/>
              </w:rPr>
            </w:pPr>
            <w:r>
              <w:rPr>
                <w:rFonts w:ascii="Arial" w:cs="Arial" w:eastAsia="Arial" w:hAnsi="Arial"/>
                <w:sz w:val="16"/>
                <w:szCs w:val="16"/>
                <w:color w:val="auto"/>
              </w:rPr>
              <w:t>Cash provided by (used in):</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6960" w:type="dxa"/>
            <w:vAlign w:val="bottom"/>
          </w:tcPr>
          <w:p>
            <w:pPr>
              <w:ind w:left="420"/>
              <w:spacing w:after="0"/>
              <w:rPr>
                <w:sz w:val="20"/>
                <w:szCs w:val="20"/>
                <w:color w:val="auto"/>
              </w:rPr>
            </w:pPr>
            <w:r>
              <w:rPr>
                <w:rFonts w:ascii="Arial" w:cs="Arial" w:eastAsia="Arial" w:hAnsi="Arial"/>
                <w:sz w:val="16"/>
                <w:szCs w:val="16"/>
                <w:color w:val="auto"/>
              </w:rPr>
              <w:t>Operating activities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2,548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1,916</w:t>
            </w:r>
          </w:p>
        </w:tc>
      </w:tr>
      <w:tr>
        <w:trPr>
          <w:trHeight w:val="216"/>
        </w:trPr>
        <w:tc>
          <w:tcPr>
            <w:tcW w:w="6960" w:type="dxa"/>
            <w:vAlign w:val="bottom"/>
          </w:tcPr>
          <w:p>
            <w:pPr>
              <w:ind w:left="420"/>
              <w:spacing w:after="0"/>
              <w:rPr>
                <w:sz w:val="20"/>
                <w:szCs w:val="20"/>
                <w:color w:val="auto"/>
              </w:rPr>
            </w:pPr>
            <w:r>
              <w:rPr>
                <w:rFonts w:ascii="Arial" w:cs="Arial" w:eastAsia="Arial" w:hAnsi="Arial"/>
                <w:sz w:val="16"/>
                <w:szCs w:val="16"/>
                <w:color w:val="auto"/>
              </w:rPr>
              <w:t>Investing activities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(7,414)</w:t>
            </w:r>
          </w:p>
        </w:tc>
      </w:tr>
      <w:tr>
        <w:trPr>
          <w:trHeight w:val="216"/>
        </w:trPr>
        <w:tc>
          <w:tcPr>
            <w:tcW w:w="6960" w:type="dxa"/>
            <w:vAlign w:val="bottom"/>
          </w:tcPr>
          <w:p>
            <w:pPr>
              <w:ind w:left="420"/>
              <w:spacing w:after="0"/>
              <w:rPr>
                <w:sz w:val="20"/>
                <w:szCs w:val="20"/>
                <w:color w:val="auto"/>
              </w:rPr>
            </w:pPr>
            <w:r>
              <w:rPr>
                <w:rFonts w:ascii="Arial" w:cs="Arial" w:eastAsia="Arial" w:hAnsi="Arial"/>
                <w:sz w:val="16"/>
                <w:szCs w:val="16"/>
                <w:color w:val="auto"/>
              </w:rPr>
              <w:t>Financing activities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4,961</w:t>
            </w:r>
          </w:p>
        </w:tc>
      </w:tr>
      <w:tr>
        <w:trPr>
          <w:trHeight w:val="216"/>
        </w:trPr>
        <w:tc>
          <w:tcPr>
            <w:tcW w:w="6960" w:type="dxa"/>
            <w:vAlign w:val="bottom"/>
          </w:tcPr>
          <w:p>
            <w:pPr>
              <w:spacing w:after="0"/>
              <w:rPr>
                <w:sz w:val="20"/>
                <w:szCs w:val="20"/>
                <w:color w:val="auto"/>
              </w:rPr>
            </w:pPr>
            <w:r>
              <w:rPr>
                <w:rFonts w:ascii="Arial" w:cs="Arial" w:eastAsia="Arial" w:hAnsi="Arial"/>
                <w:sz w:val="16"/>
                <w:szCs w:val="16"/>
                <w:color w:val="auto"/>
              </w:rPr>
              <w:t>Effect of changes in exchange rates on cash and cash equivalents, program and restricted cash</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210"/>
        </w:trPr>
        <w:tc>
          <w:tcPr>
            <w:tcW w:w="6960" w:type="dxa"/>
            <w:vAlign w:val="bottom"/>
          </w:tcPr>
          <w:p>
            <w:pPr>
              <w:spacing w:after="0"/>
              <w:rPr>
                <w:sz w:val="20"/>
                <w:szCs w:val="20"/>
                <w:color w:val="auto"/>
              </w:rPr>
            </w:pPr>
            <w:r>
              <w:rPr>
                <w:rFonts w:ascii="Arial" w:cs="Arial" w:eastAsia="Arial" w:hAnsi="Arial"/>
                <w:sz w:val="16"/>
                <w:szCs w:val="16"/>
                <w:color w:val="auto"/>
              </w:rPr>
              <w:t>Net decrease in cash and cash equivalents, program and restricted cash</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(580)</w:t>
            </w:r>
          </w:p>
        </w:tc>
      </w:tr>
      <w:tr>
        <w:trPr>
          <w:trHeight w:val="216"/>
        </w:trPr>
        <w:tc>
          <w:tcPr>
            <w:tcW w:w="696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beginning of period</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r>
      <w:tr>
        <w:trPr>
          <w:trHeight w:val="213"/>
        </w:trPr>
        <w:tc>
          <w:tcPr>
            <w:tcW w:w="696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w:t>
            </w:r>
          </w:p>
        </w:tc>
      </w:tr>
      <w:tr>
        <w:trPr>
          <w:trHeight w:val="23"/>
        </w:trPr>
        <w:tc>
          <w:tcPr>
            <w:tcW w:w="6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increase in cash provided by operating activities during the nine months ended September 30, 2021 compared with the same period in 2020 is primarily due to the increase in our net income.</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increase in cash used in investing activities during the nine months ended September 30, 2021 compared with the same period in 2020 is primarily due to an increase in investment in vehicles and a reduction in the disposition of vehicles.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increase in cash provided by financing activities during the nine months ended September 30, 2021 compared with the same period in 2020 is primarily due to a decrease in net payments under vehicle programs.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September 30, 2021, we had approximately $15 billion of indebtedness, including corporate indebtedness of approximately $ 4 billion and debt under vehicle programs of approximately $11 billion. For information regarding our debt and borrowing arrangements, see Notes 1, 11 and 12 to our Consolidated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2020, our liquidity position was impacted by COVID-19 as a result of significant volume declines. However, during the first nine months of 2021, travel advisories and restrictions were eased, which led to a significant increase in global travel demand, resulting in increased demand for rental vehicles and improved pricing across the industry. However, the full extent of the ongoing impact of this virus on the Company’s long-term operational performance and liquidity will depend on future developments, including those outside of our control, such as the spread of new variants of the virus, which may be resistant to currently approved vaccines and the implementation of new or continued travel restrictions.</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liquidity could be negatively affected by any financial market disruptions or the absence of a recovery or worsening of the U.S. and worldwide economies, which may result in unfavorable conditions in the mobility industry, in the asset-backed financing market and in the credit markets generally. We believe these factors have affected and could further affect the debt ratings assigned to us by credit rating agencies and the cost of our borrowings. Additionally, a worsening or prolonged downturn in the worldwide economy or a disruption in the credit markets could further impact our liquidity due to (i) decreased demand and pricing for vehicles in the used-vehicle market,</w:t>
      </w:r>
    </w:p>
    <w:p>
      <w:pPr>
        <w:spacing w:after="0" w:line="2" w:lineRule="exact"/>
        <w:rPr>
          <w:sz w:val="20"/>
          <w:szCs w:val="20"/>
          <w:color w:val="auto"/>
        </w:rPr>
      </w:pPr>
    </w:p>
    <w:p>
      <w:pPr>
        <w:ind w:firstLine="8"/>
        <w:spacing w:after="0" w:line="261" w:lineRule="auto"/>
        <w:tabs>
          <w:tab w:leader="none" w:pos="263"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costs associated with, and/or reduced capacity or increased collateral needs under, our financings, (iii) the adverse impact of vehicle manufacturers being unable or unwilling to honor their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obligations to repurchase or guarantee the depreciation on the related program vehicles and (iv) disruption in our ability to obtain financing due to negative credit events specific to us or affecting the overall debt market.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2021, we had access to $0.9 billion of available cash and cash equivalents and available borrowings under our revolving credit facility of approximately $0.4 billion, providing us with access to an approximate $1.3 billion of total liquidity. See Note 1 to our Consolidated Condensed Financial Statements for detailed information on liquidity and management’s plans.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consolidated first lien leverage ratio requirement and other covenants associated with our senior credit facilities and other borrowings. As of September 30, 2021, we were in compliance with the financial covenants governing our indebtedness. For additional information regarding our liquidity risks, see Part I, Item 1A, “Risk Factors” of our 2020 Form 10-K as well as the “Risk Factors” section in this quarterly report.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2020 Form 10-K with the exception of our commitment to purchase vehicles, which decreased by approximately $4.6 billion from December 31, 2020, to approximately $4.1 billion as of September 30, 2021 due to seasonality. Changes to our obligations related to corporate indebtedness and debt under vehicle programs are presented above within the section titled “Liquidity and Capital Resources—Debt and Financing Arrangements” and also within Notes 11 and 12 to our Consolidated Condensed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 that affect the amounts reported therein. Several of the estimates and assumptions that we are required to make pertain to matters that are inherently uncertain as they relate to future events. Presented within the section titled “Critical Accounting Policies” of our 2020 Form 10-K are the accounting policies (related to goodwill and other indefinite-lived intangible assets, vehicles, income taxes and public liability, property damage and other insurance liabilities) that we believe require subjective and/or complex judgments that could potentially affect 2021 reported results. There have been no significant changes to those accounting policies or our assessment of which accounting policies we would consider to be critical accounting policies.</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Goodwill and Other Indefinite-lived Intangible Assets</w:t>
      </w:r>
      <w:r>
        <w:rPr>
          <w:rFonts w:ascii="Arial" w:cs="Arial" w:eastAsia="Arial" w:hAnsi="Arial"/>
          <w:sz w:val="18"/>
          <w:szCs w:val="18"/>
          <w:color w:val="auto"/>
        </w:rPr>
        <w:t>. We perform our annual goodwill and other indefinite-lived intangible assets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in the fourth quarter of each year at the reporting unit level, or more frequently if events or circumstances indicate that the carrying amount of goodwill and other indefinite-lived intangible assets may be impaired. For our Europe, Middle East and Africa (“EMEA”) reporting unit, the percentage by which the estimated fair value exceeded the carrying value as of October 1, 2020 was 17% and the amount of goodwill allocated to our reporting unit was $488 million.</w:t>
      </w:r>
    </w:p>
    <w:p>
      <w:pPr>
        <w:spacing w:after="0" w:line="22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the nine months ended September 30, 2021, we began to see a recovery from the impacts COVID-19 had on our business. However, we continued to observe impacts of COVID-19 in certain areas. We evaluated qualitative factors and determined that an interim impairment test was not required this quarter as we believe it is more likely than not that the fair value of our goodwill and other indefinite-lived intangible assets exceeds the carrying value.</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 deterioration in the general economic conditions in the travel industry may result in an impairment charge to earnings in future quarters. We will continue to closely monitor actual results versus our expectations as well as any significant changes in events or conditions, including the impact of COVID-19 on our business and the travel industry, and the resulting impact to our assumptions about future estimated cash flows, the weighted average cost of capital and market multiples. If our expectations of the operating results, both in magnitude or timing, do not materialize, or if our weighed average cost of capital increases or if market multiples decline, we may be required to record goodwill and indefinite-lived intangible asset impairment charges, which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20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September 30, 2021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September 30, 2021. For additional information regarding our long-term borrowings and financial instruments, see Notes 11, 12 and 17 to our Consolidated Condensed Financial Statements.</w:t>
      </w:r>
    </w:p>
    <w:p>
      <w:pPr>
        <w:spacing w:after="0" w:line="21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jc w:val="both"/>
        <w:ind w:left="340" w:hanging="332"/>
        <w:spacing w:after="0" w:line="258" w:lineRule="auto"/>
        <w:tabs>
          <w:tab w:leader="none" w:pos="33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Based on such evaluation, our Chief Executive Officer and Chief Financial Officer have concluded that our disclosure controls and procedures were effective as of September 30, 2021.</w:t>
      </w:r>
    </w:p>
    <w:p>
      <w:pPr>
        <w:spacing w:after="0" w:line="210" w:lineRule="exact"/>
        <w:rPr>
          <w:rFonts w:ascii="Arial" w:cs="Arial" w:eastAsia="Arial" w:hAnsi="Arial"/>
          <w:sz w:val="18"/>
          <w:szCs w:val="18"/>
          <w:color w:val="auto"/>
        </w:rPr>
      </w:pPr>
    </w:p>
    <w:p>
      <w:pPr>
        <w:jc w:val="both"/>
        <w:ind w:left="340" w:hanging="332"/>
        <w:spacing w:after="0" w:line="266" w:lineRule="auto"/>
        <w:tabs>
          <w:tab w:leader="none" w:pos="33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fiscal quarter to which this report relates, there has been no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information regarding the Company’s legal proceedings, see Note 13 to our Consolidated Condensed Financial Statements and refer to the Company’s 2020 Form 10-K.</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risk factor is provided to update the risk factors of the Company previously disclosed in periodic reports filed with the SEC, including its 2020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associated with our suppliers of vehicles, including as a result of a global semiconductor supply shortage.</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faced and may face additional delays in receiving delivery of new vehicles from vehicle manufacturers for a variety of reasons, including due to closures at manufacturing facilities or otherwise. In particular, a global semiconductor supply shortage is having wide-ranging effects across multiple industries, particularly the automotive industry, and it has impacted multiple vehicle manufacturers that supply vehicles to us. For example, some automobile plants in North America and elsewhere have halted or reduced vehicle production due to the shortage of semiconductors used in the production of their vehicles. As a result, the semiconductor supply shortage has had, and is expected to continue to have, an impact on new car deliveries and the mileage of the vehicles in our fleet, which may make it challenging to meet consumer demand.</w:t>
      </w:r>
    </w:p>
    <w:p>
      <w:pPr>
        <w:spacing w:after="0" w:line="21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80"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12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Average Price</w:t>
            </w:r>
          </w:p>
        </w:tc>
        <w:tc>
          <w:tcPr>
            <w:tcW w:w="304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 Purchased as</w:t>
            </w:r>
          </w:p>
        </w:tc>
        <w:tc>
          <w:tcPr>
            <w:tcW w:w="140" w:type="dxa"/>
            <w:vAlign w:val="bottom"/>
          </w:tcPr>
          <w:p>
            <w:pPr>
              <w:spacing w:after="0"/>
              <w:rPr>
                <w:sz w:val="16"/>
                <w:szCs w:val="16"/>
                <w:color w:val="auto"/>
              </w:rPr>
            </w:pPr>
          </w:p>
        </w:tc>
        <w:tc>
          <w:tcPr>
            <w:tcW w:w="31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Approximate Dollar Value of Shares</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Purchased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Part of Publicly Announced Plans or</w:t>
            </w:r>
          </w:p>
        </w:tc>
        <w:tc>
          <w:tcPr>
            <w:tcW w:w="140" w:type="dxa"/>
            <w:vAlign w:val="bottom"/>
          </w:tcPr>
          <w:p>
            <w:pPr>
              <w:spacing w:after="0"/>
              <w:rPr>
                <w:sz w:val="14"/>
                <w:szCs w:val="14"/>
                <w:color w:val="auto"/>
              </w:rPr>
            </w:pPr>
          </w:p>
        </w:tc>
        <w:tc>
          <w:tcPr>
            <w:tcW w:w="3120" w:type="dxa"/>
            <w:vAlign w:val="bottom"/>
            <w:gridSpan w:val="2"/>
          </w:tcPr>
          <w:p>
            <w:pPr>
              <w:jc w:val="right"/>
              <w:ind w:right="19"/>
              <w:spacing w:after="0" w:line="162" w:lineRule="exact"/>
              <w:rPr>
                <w:sz w:val="20"/>
                <w:szCs w:val="20"/>
                <w:color w:val="auto"/>
              </w:rPr>
            </w:pPr>
            <w:r>
              <w:rPr>
                <w:rFonts w:ascii="Arial" w:cs="Arial" w:eastAsia="Arial" w:hAnsi="Arial"/>
                <w:sz w:val="16"/>
                <w:szCs w:val="16"/>
                <w:b w:val="1"/>
                <w:bCs w:val="1"/>
                <w:color w:val="auto"/>
              </w:rPr>
              <w:t>That May Yet Be Purchased Under the</w:t>
            </w:r>
          </w:p>
        </w:tc>
        <w:tc>
          <w:tcPr>
            <w:tcW w:w="0" w:type="dxa"/>
            <w:vAlign w:val="bottom"/>
          </w:tcPr>
          <w:p>
            <w:pPr>
              <w:spacing w:after="0"/>
              <w:rPr>
                <w:sz w:val="1"/>
                <w:szCs w:val="1"/>
                <w:color w:val="auto"/>
              </w:rPr>
            </w:pPr>
          </w:p>
        </w:tc>
      </w:tr>
      <w:tr>
        <w:trPr>
          <w:trHeight w:val="215"/>
        </w:trPr>
        <w:tc>
          <w:tcPr>
            <w:tcW w:w="120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8"/>
                <w:szCs w:val="18"/>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Paid per Share</w:t>
            </w:r>
          </w:p>
        </w:tc>
        <w:tc>
          <w:tcPr>
            <w:tcW w:w="120" w:type="dxa"/>
            <w:vAlign w:val="bottom"/>
          </w:tcPr>
          <w:p>
            <w:pPr>
              <w:spacing w:after="0"/>
              <w:rPr>
                <w:sz w:val="18"/>
                <w:szCs w:val="18"/>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 (in millions)</w:t>
            </w:r>
          </w:p>
        </w:tc>
        <w:tc>
          <w:tcPr>
            <w:tcW w:w="140" w:type="dxa"/>
            <w:vAlign w:val="bottom"/>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Plans or Programs ($</w:t>
            </w: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04"/>
        </w:trPr>
        <w:tc>
          <w:tcPr>
            <w:tcW w:w="1200" w:type="dxa"/>
            <w:vAlign w:val="bottom"/>
          </w:tcPr>
          <w:p>
            <w:pPr>
              <w:jc w:val="right"/>
              <w:spacing w:after="0"/>
              <w:rPr>
                <w:sz w:val="20"/>
                <w:szCs w:val="20"/>
                <w:color w:val="auto"/>
              </w:rPr>
            </w:pPr>
            <w:r>
              <w:rPr>
                <w:rFonts w:ascii="Arial" w:cs="Arial" w:eastAsia="Arial" w:hAnsi="Arial"/>
                <w:sz w:val="16"/>
                <w:szCs w:val="16"/>
                <w:color w:val="auto"/>
              </w:rPr>
              <w:t>July 2021</w:t>
            </w:r>
          </w:p>
        </w:tc>
        <w:tc>
          <w:tcPr>
            <w:tcW w:w="1660" w:type="dxa"/>
            <w:vAlign w:val="bottom"/>
          </w:tcPr>
          <w:p>
            <w:pPr>
              <w:jc w:val="right"/>
              <w:spacing w:after="0"/>
              <w:rPr>
                <w:sz w:val="20"/>
                <w:szCs w:val="20"/>
                <w:color w:val="auto"/>
              </w:rPr>
            </w:pPr>
            <w:r>
              <w:rPr>
                <w:rFonts w:ascii="Arial" w:cs="Arial" w:eastAsia="Arial" w:hAnsi="Arial"/>
                <w:sz w:val="16"/>
                <w:szCs w:val="16"/>
                <w:color w:val="auto"/>
              </w:rPr>
              <w:t>3.8</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76.09</w:t>
            </w:r>
          </w:p>
        </w:tc>
        <w:tc>
          <w:tcPr>
            <w:tcW w:w="120" w:type="dxa"/>
            <w:vAlign w:val="bottom"/>
          </w:tcPr>
          <w:p>
            <w:pPr>
              <w:spacing w:after="0"/>
              <w:rPr>
                <w:sz w:val="17"/>
                <w:szCs w:val="17"/>
                <w:color w:val="auto"/>
              </w:rPr>
            </w:pPr>
          </w:p>
        </w:tc>
        <w:tc>
          <w:tcPr>
            <w:tcW w:w="3040" w:type="dxa"/>
            <w:vAlign w:val="bottom"/>
          </w:tcPr>
          <w:p>
            <w:pPr>
              <w:jc w:val="right"/>
              <w:spacing w:after="0"/>
              <w:rPr>
                <w:sz w:val="20"/>
                <w:szCs w:val="20"/>
                <w:color w:val="auto"/>
              </w:rPr>
            </w:pPr>
            <w:r>
              <w:rPr>
                <w:rFonts w:ascii="Arial" w:cs="Arial" w:eastAsia="Arial" w:hAnsi="Arial"/>
                <w:sz w:val="16"/>
                <w:szCs w:val="16"/>
                <w:color w:val="auto"/>
              </w:rPr>
              <w:t>3.8</w:t>
            </w:r>
          </w:p>
        </w:tc>
        <w:tc>
          <w:tcPr>
            <w:tcW w:w="2080" w:type="dxa"/>
            <w:vAlign w:val="bottom"/>
            <w:gridSpan w:val="2"/>
          </w:tcPr>
          <w:p>
            <w:pPr>
              <w:jc w:val="right"/>
              <w:ind w:right="17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1,105</w:t>
            </w:r>
          </w:p>
        </w:tc>
        <w:tc>
          <w:tcPr>
            <w:tcW w:w="0" w:type="dxa"/>
            <w:vAlign w:val="bottom"/>
          </w:tcPr>
          <w:p>
            <w:pPr>
              <w:spacing w:after="0"/>
              <w:rPr>
                <w:sz w:val="1"/>
                <w:szCs w:val="1"/>
                <w:color w:val="auto"/>
              </w:rPr>
            </w:pPr>
          </w:p>
        </w:tc>
      </w:tr>
      <w:tr>
        <w:trPr>
          <w:trHeight w:val="216"/>
        </w:trPr>
        <w:tc>
          <w:tcPr>
            <w:tcW w:w="1200" w:type="dxa"/>
            <w:vAlign w:val="bottom"/>
          </w:tcPr>
          <w:p>
            <w:pPr>
              <w:jc w:val="right"/>
              <w:spacing w:after="0"/>
              <w:rPr>
                <w:sz w:val="20"/>
                <w:szCs w:val="20"/>
                <w:color w:val="auto"/>
              </w:rPr>
            </w:pPr>
            <w:r>
              <w:rPr>
                <w:rFonts w:ascii="Arial" w:cs="Arial" w:eastAsia="Arial" w:hAnsi="Arial"/>
                <w:sz w:val="16"/>
                <w:szCs w:val="16"/>
                <w:color w:val="auto"/>
              </w:rPr>
              <w:t>August 2021</w:t>
            </w:r>
          </w:p>
        </w:tc>
        <w:tc>
          <w:tcPr>
            <w:tcW w:w="1660" w:type="dxa"/>
            <w:vAlign w:val="bottom"/>
          </w:tcPr>
          <w:p>
            <w:pPr>
              <w:jc w:val="right"/>
              <w:spacing w:after="0"/>
              <w:rPr>
                <w:sz w:val="20"/>
                <w:szCs w:val="20"/>
                <w:color w:val="auto"/>
              </w:rPr>
            </w:pPr>
            <w:r>
              <w:rPr>
                <w:rFonts w:ascii="Arial" w:cs="Arial" w:eastAsia="Arial" w:hAnsi="Arial"/>
                <w:sz w:val="16"/>
                <w:szCs w:val="16"/>
                <w:color w:val="auto"/>
              </w:rPr>
              <w:t>5.1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87.43</w:t>
            </w:r>
          </w:p>
        </w:tc>
        <w:tc>
          <w:tcPr>
            <w:tcW w:w="120" w:type="dxa"/>
            <w:vAlign w:val="bottom"/>
          </w:tcPr>
          <w:p>
            <w:pPr>
              <w:spacing w:after="0"/>
              <w:rPr>
                <w:sz w:val="18"/>
                <w:szCs w:val="18"/>
                <w:color w:val="auto"/>
              </w:rPr>
            </w:pPr>
          </w:p>
        </w:tc>
        <w:tc>
          <w:tcPr>
            <w:tcW w:w="3040" w:type="dxa"/>
            <w:vAlign w:val="bottom"/>
          </w:tcPr>
          <w:p>
            <w:pPr>
              <w:jc w:val="right"/>
              <w:spacing w:after="0"/>
              <w:rPr>
                <w:sz w:val="20"/>
                <w:szCs w:val="20"/>
                <w:color w:val="auto"/>
              </w:rPr>
            </w:pPr>
            <w:r>
              <w:rPr>
                <w:rFonts w:ascii="Arial" w:cs="Arial" w:eastAsia="Arial" w:hAnsi="Arial"/>
                <w:sz w:val="16"/>
                <w:szCs w:val="16"/>
                <w:color w:val="auto"/>
              </w:rPr>
              <w:t>5.1</w:t>
            </w:r>
          </w:p>
        </w:tc>
        <w:tc>
          <w:tcPr>
            <w:tcW w:w="2080" w:type="dxa"/>
            <w:vAlign w:val="bottom"/>
            <w:gridSpan w:val="2"/>
          </w:tcPr>
          <w:p>
            <w:pPr>
              <w:jc w:val="right"/>
              <w:ind w:right="17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9"/>
        </w:trPr>
        <w:tc>
          <w:tcPr>
            <w:tcW w:w="1200" w:type="dxa"/>
            <w:vAlign w:val="bottom"/>
          </w:tcPr>
          <w:p>
            <w:pPr>
              <w:jc w:val="right"/>
              <w:spacing w:after="0"/>
              <w:rPr>
                <w:sz w:val="20"/>
                <w:szCs w:val="20"/>
                <w:color w:val="auto"/>
              </w:rPr>
            </w:pPr>
            <w:r>
              <w:rPr>
                <w:rFonts w:ascii="Arial" w:cs="Arial" w:eastAsia="Arial" w:hAnsi="Arial"/>
                <w:sz w:val="16"/>
                <w:szCs w:val="16"/>
                <w:color w:val="auto"/>
                <w:w w:val="99"/>
              </w:rPr>
              <w:t>September 2021</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96.68</w:t>
            </w:r>
          </w:p>
        </w:tc>
        <w:tc>
          <w:tcPr>
            <w:tcW w:w="120" w:type="dxa"/>
            <w:vAlign w:val="bottom"/>
          </w:tcPr>
          <w:p>
            <w:pPr>
              <w:spacing w:after="0"/>
              <w:rPr>
                <w:sz w:val="19"/>
                <w:szCs w:val="19"/>
                <w:color w:val="auto"/>
              </w:rPr>
            </w:pP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2080" w:type="dxa"/>
            <w:vAlign w:val="bottom"/>
            <w:gridSpan w:val="2"/>
          </w:tcPr>
          <w:p>
            <w:pPr>
              <w:jc w:val="right"/>
              <w:ind w:right="17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13"/>
        </w:trPr>
        <w:tc>
          <w:tcPr>
            <w:tcW w:w="120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85.90</w:t>
            </w:r>
          </w:p>
        </w:tc>
        <w:tc>
          <w:tcPr>
            <w:tcW w:w="120" w:type="dxa"/>
            <w:vAlign w:val="bottom"/>
          </w:tcPr>
          <w:p>
            <w:pPr>
              <w:spacing w:after="0"/>
              <w:rPr>
                <w:sz w:val="18"/>
                <w:szCs w:val="18"/>
                <w:color w:val="auto"/>
              </w:rPr>
            </w:pP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2080" w:type="dxa"/>
            <w:vAlign w:val="bottom"/>
            <w:gridSpan w:val="2"/>
          </w:tcPr>
          <w:p>
            <w:pPr>
              <w:jc w:val="right"/>
              <w:ind w:right="17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262626"/>
        </w:rPr>
        <w:t>The Company</w:t>
      </w:r>
      <w:r>
        <w:rPr>
          <w:rFonts w:ascii="Arial" w:cs="Arial" w:eastAsia="Arial" w:hAnsi="Arial"/>
          <w:sz w:val="18"/>
          <w:szCs w:val="18"/>
          <w:color w:val="000000"/>
        </w:rPr>
        <w:t>’</w:t>
      </w:r>
      <w:r>
        <w:rPr>
          <w:rFonts w:ascii="Arial" w:cs="Arial" w:eastAsia="Arial" w:hAnsi="Arial"/>
          <w:sz w:val="18"/>
          <w:szCs w:val="18"/>
          <w:color w:val="262626"/>
        </w:rPr>
        <w:t>s Board of Directors has authorized the repurchase of up to $3.1 billion of its common stock under a plan originally approved in 2013 and subsequently expanded, most recently in August 2021. Under the Company’s stock repurchase program, the Company repurchases shares from time to time in open market transactions, and may also repurchase shares in accelerated share repurchases, tender offers, privately negotiated transactions or by other means. Repurchases may also be made under a plan pursuant to Rule 10b5-1 under the Securities Exchange Act of 1934, as amended. The timing and amount of repurchase transactions will be determined by the Company’s management based on its evaluation of market conditions, the Company’s share price, legal requirements, restricted payment capacity under its debt instruments and other factors. The stock repurchase program may be suspended, modified or discontinued at any time without prior notice.</w:t>
      </w:r>
    </w:p>
    <w:p>
      <w:pPr>
        <w:spacing w:after="0" w:line="20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3680"/>
        <w:spacing w:after="0"/>
        <w:rPr>
          <w:sz w:val="20"/>
          <w:szCs w:val="20"/>
          <w:color w:val="auto"/>
        </w:rPr>
      </w:pPr>
      <w:r>
        <w:rPr>
          <w:rFonts w:ascii="Arial" w:cs="Arial" w:eastAsia="Arial" w:hAnsi="Arial"/>
          <w:sz w:val="18"/>
          <w:szCs w:val="18"/>
          <w:b w:val="1"/>
          <w:bCs w:val="1"/>
          <w:color w:val="auto"/>
        </w:rPr>
        <w:t>AVIS BUDGET GROUP, INC.</w:t>
      </w:r>
    </w:p>
    <w:p>
      <w:pPr>
        <w:spacing w:after="0" w:line="315" w:lineRule="exact"/>
        <w:rPr>
          <w:sz w:val="20"/>
          <w:szCs w:val="20"/>
          <w:color w:val="auto"/>
        </w:rPr>
      </w:pPr>
    </w:p>
    <w:p>
      <w:pPr>
        <w:ind w:left="20"/>
        <w:spacing w:after="0"/>
        <w:tabs>
          <w:tab w:leader="none" w:pos="660" w:val="left"/>
          <w:tab w:leader="none" w:pos="3660" w:val="left"/>
        </w:tabs>
        <w:rPr>
          <w:sz w:val="20"/>
          <w:szCs w:val="20"/>
          <w:color w:val="auto"/>
        </w:rPr>
      </w:pPr>
      <w:r>
        <w:rPr>
          <w:rFonts w:ascii="Arial" w:cs="Arial" w:eastAsia="Arial" w:hAnsi="Arial"/>
          <w:sz w:val="18"/>
          <w:szCs w:val="18"/>
          <w:color w:val="auto"/>
        </w:rPr>
        <w:t>Date:</w:t>
        <w:tab/>
        <w:t>November 2, 2021</w:t>
      </w:r>
      <w:r>
        <w:rPr>
          <w:sz w:val="20"/>
          <w:szCs w:val="20"/>
          <w:color w:val="auto"/>
        </w:rPr>
        <w:tab/>
      </w:r>
      <w:r>
        <w:rPr>
          <w:rFonts w:ascii="Arial" w:cs="Arial" w:eastAsia="Arial" w:hAnsi="Arial"/>
          <w:sz w:val="17"/>
          <w:szCs w:val="17"/>
          <w:color w:val="auto"/>
        </w:rPr>
        <w:t>/s/ Cathleen DeGenova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6350</wp:posOffset>
            </wp:positionV>
            <wp:extent cx="48177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17745" cy="8255"/>
                    </a:xfrm>
                    <a:prstGeom prst="rect">
                      <a:avLst/>
                    </a:prstGeom>
                    <a:noFill/>
                  </pic:spPr>
                </pic:pic>
              </a:graphicData>
            </a:graphic>
          </wp:anchor>
        </w:drawing>
      </w:r>
    </w:p>
    <w:p>
      <w:pPr>
        <w:spacing w:after="0" w:line="16"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Cathleen DeGenova</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Vice President and</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 w:right="4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900" w:type="dxa"/>
            <w:vAlign w:val="bottom"/>
            <w:gridSpan w:val="16"/>
          </w:tcPr>
          <w:p>
            <w:pPr>
              <w:ind w:left="860"/>
              <w:spacing w:after="0"/>
              <w:rPr>
                <w:sz w:val="20"/>
                <w:szCs w:val="20"/>
                <w:color w:val="auto"/>
              </w:rPr>
            </w:pPr>
            <w:r>
              <w:rPr>
                <w:rFonts w:ascii="Arial" w:cs="Arial" w:eastAsia="Arial" w:hAnsi="Arial"/>
                <w:sz w:val="18"/>
                <w:szCs w:val="18"/>
                <w:b w:val="1"/>
                <w:bCs w:val="1"/>
                <w:color w:val="auto"/>
              </w:rPr>
              <w:t>Exhibit Index</w:t>
            </w:r>
          </w:p>
        </w:tc>
      </w:tr>
      <w:tr>
        <w:trPr>
          <w:trHeight w:val="203"/>
        </w:trPr>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4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Description</w:t>
            </w:r>
          </w:p>
        </w:tc>
        <w:tc>
          <w:tcPr>
            <w:tcW w:w="4380" w:type="dxa"/>
            <w:vAlign w:val="bottom"/>
            <w:gridSpan w:val="14"/>
          </w:tcPr>
          <w:p>
            <w:pPr>
              <w:spacing w:after="0"/>
              <w:rPr>
                <w:sz w:val="17"/>
                <w:szCs w:val="17"/>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8"/>
                <w:szCs w:val="18"/>
                <w:color w:val="auto"/>
              </w:rPr>
            </w:pPr>
          </w:p>
        </w:tc>
        <w:tc>
          <w:tcPr>
            <w:tcW w:w="9800" w:type="dxa"/>
            <w:vAlign w:val="bottom"/>
            <w:gridSpan w:val="17"/>
          </w:tcPr>
          <w:p>
            <w:pPr>
              <w:spacing w:after="0"/>
              <w:rPr>
                <w:rFonts w:ascii="Arial" w:cs="Arial" w:eastAsia="Arial" w:hAnsi="Arial"/>
                <w:sz w:val="18"/>
                <w:szCs w:val="18"/>
                <w:color w:val="0000FF"/>
              </w:rPr>
            </w:pPr>
            <w:hyperlink r:id="rId68">
              <w:r>
                <w:rPr>
                  <w:rFonts w:ascii="Arial" w:cs="Arial" w:eastAsia="Arial" w:hAnsi="Arial"/>
                  <w:sz w:val="18"/>
                  <w:szCs w:val="18"/>
                  <w:color w:val="0000FF"/>
                </w:rPr>
                <w:t>Amended and Restated Certificate of Incorporation of Avis Budget Group, Inc. (Incorporated by reference to Exhibit 3.1 to</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68">
              <w:r>
                <w:rPr>
                  <w:rFonts w:ascii="Arial" w:cs="Arial" w:eastAsia="Arial" w:hAnsi="Arial"/>
                  <w:sz w:val="18"/>
                  <w:szCs w:val="18"/>
                  <w:color w:val="0000FF"/>
                  <w:w w:val="99"/>
                </w:rPr>
                <w:t>the Company’s Current Report on Form 8-K dated September 5, 2006).</w:t>
              </w:r>
            </w:hyperlink>
          </w:p>
        </w:tc>
        <w:tc>
          <w:tcPr>
            <w:tcW w:w="39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18"/>
                <w:szCs w:val="18"/>
                <w:color w:val="auto"/>
              </w:rPr>
            </w:pPr>
          </w:p>
        </w:tc>
        <w:tc>
          <w:tcPr>
            <w:tcW w:w="9800" w:type="dxa"/>
            <w:vAlign w:val="bottom"/>
            <w:gridSpan w:val="17"/>
          </w:tcPr>
          <w:p>
            <w:pPr>
              <w:spacing w:after="0"/>
              <w:rPr>
                <w:rFonts w:ascii="Arial" w:cs="Arial" w:eastAsia="Arial" w:hAnsi="Arial"/>
                <w:sz w:val="18"/>
                <w:szCs w:val="18"/>
                <w:color w:val="0000FF"/>
              </w:rPr>
            </w:pPr>
            <w:hyperlink r:id="rId69">
              <w:r>
                <w:rPr>
                  <w:rFonts w:ascii="Arial" w:cs="Arial" w:eastAsia="Arial" w:hAnsi="Arial"/>
                  <w:sz w:val="18"/>
                  <w:szCs w:val="18"/>
                  <w:color w:val="0000FF"/>
                </w:rPr>
                <w:t>Amended and Restated Bylaws of Avis Budget Group, Inc., dated as of August 10, 2020 (incorporated by reference to</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3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Exhibit 3.2 to the Company’s Current Report on Form 8-K dated August 13, 2020).</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350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8"/>
                <w:szCs w:val="18"/>
                <w:color w:val="auto"/>
              </w:rPr>
            </w:pPr>
          </w:p>
        </w:tc>
        <w:tc>
          <w:tcPr>
            <w:tcW w:w="9800" w:type="dxa"/>
            <w:vAlign w:val="bottom"/>
            <w:gridSpan w:val="17"/>
          </w:tcPr>
          <w:p>
            <w:pPr>
              <w:spacing w:after="0"/>
              <w:rPr>
                <w:rFonts w:ascii="Arial" w:cs="Arial" w:eastAsia="Arial" w:hAnsi="Arial"/>
                <w:sz w:val="18"/>
                <w:szCs w:val="18"/>
                <w:color w:val="0000FF"/>
              </w:rPr>
            </w:pPr>
            <w:hyperlink r:id="rId70">
              <w:r>
                <w:rPr>
                  <w:rFonts w:ascii="Arial" w:cs="Arial" w:eastAsia="Arial" w:hAnsi="Arial"/>
                  <w:sz w:val="18"/>
                  <w:szCs w:val="18"/>
                  <w:color w:val="0000FF"/>
                </w:rPr>
                <w:t>Sixth Amended and Restated Credit Agreement, dated as of July 9, 2021, among Avis Budget Holdings, LLC, Avis Budget</w:t>
              </w:r>
            </w:hyperlink>
          </w:p>
        </w:tc>
      </w:tr>
      <w:tr>
        <w:trPr>
          <w:trHeight w:val="155"/>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9"/>
              </w:rPr>
            </w:pPr>
            <w:hyperlink r:id="rId70">
              <w:r>
                <w:rPr>
                  <w:rFonts w:ascii="Arial" w:cs="Arial" w:eastAsia="Arial" w:hAnsi="Arial"/>
                  <w:sz w:val="18"/>
                  <w:szCs w:val="18"/>
                  <w:color w:val="0000FF"/>
                  <w:w w:val="99"/>
                </w:rPr>
                <w:t>Car Rental, LLC, Avis Budget Group, Inc., the subsidiary borrowers from time to time party thereto, the financial institutions</w:t>
              </w:r>
            </w:hyperlink>
          </w:p>
        </w:tc>
        <w:tc>
          <w:tcPr>
            <w:tcW w:w="6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760" w:type="dxa"/>
            <w:vAlign w:val="bottom"/>
            <w:gridSpan w:val="15"/>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from time to time party thereto and JPMorgan Chase Bank, N.A., as Administrative Agent (incorporated by reference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6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Exhibit 10.1 to the Company’s Current Report on Form 8-K dated July 13, 2021).</w:t>
              </w:r>
            </w:hyperlink>
          </w:p>
        </w:tc>
        <w:tc>
          <w:tcPr>
            <w:tcW w:w="22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3500" w:type="dxa"/>
            <w:vAlign w:val="bottom"/>
            <w:gridSpan w:val="4"/>
            <w:shd w:val="clear" w:color="auto" w:fill="0000FF"/>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8"/>
                <w:szCs w:val="18"/>
                <w:color w:val="auto"/>
              </w:rPr>
            </w:pPr>
          </w:p>
        </w:tc>
        <w:tc>
          <w:tcPr>
            <w:tcW w:w="9800" w:type="dxa"/>
            <w:vAlign w:val="bottom"/>
            <w:gridSpan w:val="17"/>
          </w:tcPr>
          <w:p>
            <w:pPr>
              <w:spacing w:after="0"/>
              <w:rPr>
                <w:rFonts w:ascii="Arial" w:cs="Arial" w:eastAsia="Arial" w:hAnsi="Arial"/>
                <w:sz w:val="18"/>
                <w:szCs w:val="18"/>
                <w:color w:val="0000FF"/>
              </w:rPr>
            </w:pPr>
            <w:hyperlink r:id="rId71">
              <w:r>
                <w:rPr>
                  <w:rFonts w:ascii="Arial" w:cs="Arial" w:eastAsia="Arial" w:hAnsi="Arial"/>
                  <w:sz w:val="18"/>
                  <w:szCs w:val="18"/>
                  <w:color w:val="0000FF"/>
                </w:rPr>
                <w:t>Second Amendment, dated September 15, 2021, to the Third Amended and Restated Cooperation Agreement, dated as of</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7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71">
              <w:r>
                <w:rPr>
                  <w:rFonts w:ascii="Arial" w:cs="Arial" w:eastAsia="Arial" w:hAnsi="Arial"/>
                  <w:sz w:val="18"/>
                  <w:szCs w:val="18"/>
                  <w:color w:val="0000FF"/>
                </w:rPr>
                <w:t>February 23, 2020, by and among Avis Budget Group, Inc., SRS Investment Management, LLC and certain of its affiliates</w:t>
              </w:r>
            </w:hyperlink>
          </w:p>
        </w:tc>
        <w:tc>
          <w:tcPr>
            <w:tcW w:w="20" w:type="dxa"/>
            <w:vAlign w:val="bottom"/>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71">
              <w:r>
                <w:rPr>
                  <w:rFonts w:ascii="Arial" w:cs="Arial" w:eastAsia="Arial" w:hAnsi="Arial"/>
                  <w:sz w:val="18"/>
                  <w:szCs w:val="18"/>
                  <w:color w:val="0000FF"/>
                </w:rPr>
                <w:t>(incorporated by reference to Exhibit 10.1 to the Company’s Current Report on Form 8-K dated September 15, 2021).</w:t>
              </w:r>
            </w:hyperlink>
          </w:p>
        </w:tc>
        <w:tc>
          <w:tcPr>
            <w:tcW w:w="120" w:type="dxa"/>
            <w:vAlign w:val="bottom"/>
            <w:gridSpan w:val="4"/>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6420" w:type="dxa"/>
            <w:vAlign w:val="bottom"/>
            <w:gridSpan w:val="6"/>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18"/>
                <w:szCs w:val="18"/>
                <w:color w:val="auto"/>
              </w:rPr>
            </w:pPr>
          </w:p>
        </w:tc>
        <w:tc>
          <w:tcPr>
            <w:tcW w:w="9440" w:type="dxa"/>
            <w:vAlign w:val="bottom"/>
            <w:tcBorders>
              <w:bottom w:val="single" w:sz="8" w:color="0000FF"/>
            </w:tcBorders>
            <w:gridSpan w:val="10"/>
          </w:tcPr>
          <w:p>
            <w:pPr>
              <w:spacing w:after="0"/>
              <w:rPr>
                <w:rFonts w:ascii="Arial" w:cs="Arial" w:eastAsia="Arial" w:hAnsi="Arial"/>
                <w:sz w:val="18"/>
                <w:szCs w:val="18"/>
                <w:color w:val="0000FF"/>
                <w:w w:val="99"/>
              </w:rPr>
            </w:pPr>
            <w:hyperlink w:anchor="page46">
              <w:r>
                <w:rPr>
                  <w:rFonts w:ascii="Arial" w:cs="Arial" w:eastAsia="Arial" w:hAnsi="Arial"/>
                  <w:sz w:val="18"/>
                  <w:szCs w:val="18"/>
                  <w:color w:val="0000FF"/>
                  <w:w w:val="99"/>
                </w:rPr>
                <w:t>Amendment to the Avis Budget Group, Inc. Amended and Restated Equity and Incentive Plan dated October 26, 2021.</w:t>
              </w:r>
            </w:hyperlink>
          </w:p>
        </w:tc>
        <w:tc>
          <w:tcPr>
            <w:tcW w:w="360" w:type="dxa"/>
            <w:vAlign w:val="bottom"/>
            <w:gridSpan w:val="7"/>
          </w:tcPr>
          <w:p>
            <w:pPr>
              <w:spacing w:after="0"/>
              <w:rPr>
                <w:sz w:val="18"/>
                <w:szCs w:val="18"/>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18"/>
                <w:szCs w:val="18"/>
                <w:color w:val="auto"/>
              </w:rPr>
            </w:pPr>
          </w:p>
        </w:tc>
        <w:tc>
          <w:tcPr>
            <w:tcW w:w="9800" w:type="dxa"/>
            <w:vAlign w:val="bottom"/>
            <w:gridSpan w:val="17"/>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Certification of Chief Executive Officer pursuant to Rules 13(a)-14(a) and 15(d)-14(a) promulgated under the Securities</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47">
              <w:r>
                <w:rPr>
                  <w:rFonts w:ascii="Arial" w:cs="Arial" w:eastAsia="Arial" w:hAnsi="Arial"/>
                  <w:sz w:val="18"/>
                  <w:szCs w:val="18"/>
                  <w:color w:val="0000FF"/>
                </w:rPr>
                <w:t>Exchange Act of 1934, as amended.</w:t>
              </w:r>
            </w:hyperlink>
          </w:p>
        </w:tc>
        <w:tc>
          <w:tcPr>
            <w:tcW w:w="360" w:type="dxa"/>
            <w:vAlign w:val="bottom"/>
            <w:gridSpan w:val="7"/>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6500" w:type="dxa"/>
            <w:vAlign w:val="bottom"/>
            <w:gridSpan w:val="8"/>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18"/>
                <w:szCs w:val="18"/>
                <w:color w:val="auto"/>
              </w:rPr>
            </w:pPr>
          </w:p>
        </w:tc>
        <w:tc>
          <w:tcPr>
            <w:tcW w:w="9800" w:type="dxa"/>
            <w:vAlign w:val="bottom"/>
            <w:gridSpan w:val="17"/>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Certification of Chief Financial Officer pursuant to Rules 13(a)-14(a) and 15(d)-14(a) promulgated under the Securities</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48">
              <w:r>
                <w:rPr>
                  <w:rFonts w:ascii="Arial" w:cs="Arial" w:eastAsia="Arial" w:hAnsi="Arial"/>
                  <w:sz w:val="18"/>
                  <w:szCs w:val="18"/>
                  <w:color w:val="0000FF"/>
                </w:rPr>
                <w:t>Exchange Act of 1934, as amended.</w:t>
              </w:r>
            </w:hyperlink>
          </w:p>
        </w:tc>
        <w:tc>
          <w:tcPr>
            <w:tcW w:w="400" w:type="dxa"/>
            <w:vAlign w:val="bottom"/>
            <w:gridSpan w:val="8"/>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0" w:lineRule="exact"/>
        <w:rPr>
          <w:sz w:val="20"/>
          <w:szCs w:val="20"/>
          <w:color w:val="auto"/>
        </w:rPr>
      </w:pPr>
    </w:p>
    <w:p>
      <w:pPr>
        <w:ind w:left="1280" w:hanging="1254"/>
        <w:spacing w:after="0"/>
        <w:tabs>
          <w:tab w:leader="none" w:pos="1280" w:val="left"/>
        </w:tabs>
        <w:numPr>
          <w:ilvl w:val="0"/>
          <w:numId w:val="50"/>
        </w:numPr>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Certification pursuant to 18 U.S.C. Section 1350, as adopted pursuant to Section 906 of the Sarbanes-Oxley Act of 2002.</w:t>
        </w:r>
      </w:hyperlink>
    </w:p>
    <w:tbl>
      <w:tblPr>
        <w:tblLayout w:type="fixed"/>
        <w:tblInd w:w="20" w:type="dxa"/>
        <w:tblCellMar>
          <w:top w:w="0" w:type="dxa"/>
          <w:left w:w="0" w:type="dxa"/>
          <w:bottom w:w="0" w:type="dxa"/>
          <w:right w:w="0" w:type="dxa"/>
        </w:tblCellMar>
      </w:tblPr>
      <w:tr>
        <w:trPr>
          <w:trHeight w:val="198"/>
        </w:trPr>
        <w:tc>
          <w:tcPr>
            <w:tcW w:w="1000" w:type="dxa"/>
            <w:vAlign w:val="bottom"/>
          </w:tcPr>
          <w:p>
            <w:pPr>
              <w:spacing w:after="0" w:line="198" w:lineRule="exact"/>
              <w:rPr>
                <w:sz w:val="20"/>
                <w:szCs w:val="20"/>
                <w:color w:val="auto"/>
              </w:rPr>
            </w:pPr>
            <w:r>
              <w:rPr>
                <w:rFonts w:ascii="Arial" w:cs="Arial" w:eastAsia="Arial" w:hAnsi="Arial"/>
                <w:sz w:val="18"/>
                <w:szCs w:val="18"/>
                <w:color w:val="auto"/>
              </w:rPr>
              <w:t>101.INS</w:t>
            </w:r>
          </w:p>
        </w:tc>
        <w:tc>
          <w:tcPr>
            <w:tcW w:w="9980" w:type="dxa"/>
            <w:vAlign w:val="bottom"/>
          </w:tcPr>
          <w:p>
            <w:pPr>
              <w:ind w:left="260"/>
              <w:spacing w:after="0" w:line="198" w:lineRule="exact"/>
              <w:rPr>
                <w:sz w:val="20"/>
                <w:szCs w:val="20"/>
                <w:color w:val="auto"/>
              </w:rPr>
            </w:pPr>
            <w:r>
              <w:rPr>
                <w:rFonts w:ascii="Arial" w:cs="Arial" w:eastAsia="Arial" w:hAnsi="Arial"/>
                <w:sz w:val="18"/>
                <w:szCs w:val="18"/>
                <w:color w:val="auto"/>
                <w:w w:val="99"/>
              </w:rPr>
              <w:t>XBRL Instance Document - the instance document does not appear in the Interactive Data File because its XBRL tags are</w:t>
            </w:r>
          </w:p>
        </w:tc>
      </w:tr>
      <w:tr>
        <w:trPr>
          <w:trHeight w:val="217"/>
        </w:trPr>
        <w:tc>
          <w:tcPr>
            <w:tcW w:w="1000" w:type="dxa"/>
            <w:vAlign w:val="bottom"/>
          </w:tcPr>
          <w:p>
            <w:pPr>
              <w:spacing w:after="0"/>
              <w:rPr>
                <w:sz w:val="18"/>
                <w:szCs w:val="18"/>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embedded within the Inline XBRL document.</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Schema.</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3" w:lineRule="exact"/>
        <w:rPr>
          <w:sz w:val="20"/>
          <w:szCs w:val="20"/>
          <w:color w:val="auto"/>
        </w:rPr>
      </w:pPr>
    </w:p>
    <w:p>
      <w:pPr>
        <w:ind w:left="1280" w:hanging="1254"/>
        <w:spacing w:after="0"/>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Cover Page Interactive Data File -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43</w:t>
      </w:r>
    </w:p>
    <w:p>
      <w:pPr>
        <w:sectPr>
          <w:pgSz w:w="11900" w:h="16838" w:orient="portrait"/>
          <w:cols w:equalWidth="0" w:num="1">
            <w:col w:w="11040"/>
          </w:cols>
          <w:pgMar w:left="320" w:top="140" w:right="53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TO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AVIS BUDGET GROUP, INC.</w:t>
      </w:r>
    </w:p>
    <w:p>
      <w:pPr>
        <w:jc w:val="center"/>
        <w:spacing w:after="0"/>
        <w:rPr>
          <w:sz w:val="20"/>
          <w:szCs w:val="20"/>
          <w:color w:val="auto"/>
        </w:rPr>
      </w:pPr>
      <w:r>
        <w:rPr>
          <w:rFonts w:ascii="Arial" w:cs="Arial" w:eastAsia="Arial" w:hAnsi="Arial"/>
          <w:sz w:val="20"/>
          <w:szCs w:val="20"/>
          <w:b w:val="1"/>
          <w:bCs w:val="1"/>
          <w:color w:val="auto"/>
        </w:rPr>
        <w:t>AMENDED AND RESTATED EQUITY AND INCENTIVE PLAN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October 26, 2021</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Amendment (this “</w:t>
      </w:r>
      <w:r>
        <w:rPr>
          <w:rFonts w:ascii="Arial" w:cs="Arial" w:eastAsia="Arial" w:hAnsi="Arial"/>
          <w:sz w:val="20"/>
          <w:szCs w:val="20"/>
          <w:u w:val="single" w:color="auto"/>
          <w:color w:val="auto"/>
        </w:rPr>
        <w:t>Amendment</w:t>
      </w:r>
      <w:r>
        <w:rPr>
          <w:rFonts w:ascii="Arial" w:cs="Arial" w:eastAsia="Arial" w:hAnsi="Arial"/>
          <w:sz w:val="20"/>
          <w:szCs w:val="20"/>
          <w:color w:val="auto"/>
        </w:rPr>
        <w:t>”) to the Avis Budget Group, Inc. Amended and Restated Equity and Incentive Plan (the “</w:t>
      </w:r>
      <w:r>
        <w:rPr>
          <w:rFonts w:ascii="Arial" w:cs="Arial" w:eastAsia="Arial" w:hAnsi="Arial"/>
          <w:sz w:val="20"/>
          <w:szCs w:val="20"/>
          <w:u w:val="single" w:color="auto"/>
          <w:color w:val="auto"/>
        </w:rPr>
        <w:t>Plan</w:t>
      </w:r>
      <w:r>
        <w:rPr>
          <w:rFonts w:ascii="Arial" w:cs="Arial" w:eastAsia="Arial" w:hAnsi="Arial"/>
          <w:sz w:val="20"/>
          <w:szCs w:val="20"/>
          <w:color w:val="auto"/>
        </w:rPr>
        <w:t>”), dated as of October 26, 2021, has been approved by the board of directors Avis Budget Group,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Defined Terms</w:t>
      </w:r>
      <w:r>
        <w:rPr>
          <w:rFonts w:ascii="Arial" w:cs="Arial" w:eastAsia="Arial" w:hAnsi="Arial"/>
          <w:sz w:val="20"/>
          <w:szCs w:val="20"/>
          <w:color w:val="auto"/>
        </w:rPr>
        <w:t>. Unless otherwise defined herein, all capitalized terms used herein shall have the meanings given them in the Plan.</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Authority to Amend the Plan</w:t>
      </w:r>
      <w:r>
        <w:rPr>
          <w:rFonts w:ascii="Arial" w:cs="Arial" w:eastAsia="Arial" w:hAnsi="Arial"/>
          <w:sz w:val="20"/>
          <w:szCs w:val="20"/>
          <w:color w:val="auto"/>
        </w:rPr>
        <w:t>. Pursuant to Section 8(d)(ii) of the Plan, the Board may at any time amend the Plan, in whole or in part, provided that such amendment does not adversely affect the rights of any Grantee (as defined in the Plan) without such Grantee’s consent. The Board has determined that this Amendment does not adversely affect any Grantee’s rights under the Plan, and as such, Grantee approval is not required to effectuate this Amendment.</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Amendment to the Plan</w:t>
      </w:r>
      <w:r>
        <w:rPr>
          <w:rFonts w:ascii="Arial" w:cs="Arial" w:eastAsia="Arial" w:hAnsi="Arial"/>
          <w:sz w:val="20"/>
          <w:szCs w:val="20"/>
          <w:color w:val="auto"/>
        </w:rPr>
        <w:t>. The final sentence of Section 3 of the Plan is hereby amended by deleting such sentence in its entirety and replacing such sentence with the following:</w:t>
      </w:r>
    </w:p>
    <w:p>
      <w:pPr>
        <w:spacing w:after="0" w:line="177"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“Notwithstanding the foregoing, neither the Board, the Committee nor their respective delegates shall have the authority to reprice, or cancel in exchange for a new Award or cash payment, any Option or Stock Appreciation Right with an exercise price or grant price, as applicable, above the then-current Fair Market Value of one share of Stock without first obtaining the approval of the Company’s stockholders. ”</w:t>
      </w:r>
    </w:p>
    <w:p>
      <w:pPr>
        <w:spacing w:after="0" w:line="19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Effect on the Amendment</w:t>
      </w:r>
      <w:r>
        <w:rPr>
          <w:rFonts w:ascii="Arial" w:cs="Arial" w:eastAsia="Arial" w:hAnsi="Arial"/>
          <w:sz w:val="19"/>
          <w:szCs w:val="19"/>
          <w:color w:val="auto"/>
        </w:rPr>
        <w:t>. Except as expressly amended hereby, the Plan shall remain in full force and effect. Any reference to the Plan contained in any notice, request or other document executed concurrently with or after the execution and delivery of this Amendment shall be deemed to include this Amendment unless the context shall otherwise require.</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construed and interpreted in accordance with the laws of the State of Delaware, without giving effect to the conflict of law principles thereof.</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Amendment are included herein for convenience of reference only and shall not constitute a part of this Amendment for any other purposes.</w:t>
      </w:r>
    </w:p>
    <w:p>
      <w:pPr>
        <w:spacing w:after="0" w:line="200" w:lineRule="exact"/>
        <w:rPr>
          <w:sz w:val="20"/>
          <w:szCs w:val="20"/>
          <w:color w:val="auto"/>
        </w:rPr>
      </w:pPr>
    </w:p>
    <w:p>
      <w:pPr>
        <w:spacing w:after="0" w:line="220" w:lineRule="exact"/>
        <w:rPr>
          <w:sz w:val="20"/>
          <w:szCs w:val="20"/>
          <w:color w:val="auto"/>
        </w:rPr>
      </w:pPr>
    </w:p>
    <w:p>
      <w:pPr>
        <w:jc w:val="center"/>
        <w:spacing w:after="0"/>
        <w:tabs>
          <w:tab w:leader="none" w:pos="180" w:val="left"/>
        </w:tabs>
        <w:rPr>
          <w:sz w:val="20"/>
          <w:szCs w:val="20"/>
          <w:color w:val="auto"/>
        </w:rPr>
      </w:pPr>
      <w:r>
        <w:rPr>
          <w:rFonts w:ascii="Arial" w:cs="Arial" w:eastAsia="Arial" w:hAnsi="Arial"/>
          <w:sz w:val="20"/>
          <w:szCs w:val="20"/>
          <w:color w:val="auto"/>
        </w:rPr>
        <w:t>* * *</w:t>
        <w:tab/>
        <w:t>* *</w:t>
      </w:r>
    </w:p>
    <w:p>
      <w:pPr>
        <w:sectPr>
          <w:pgSz w:w="11900" w:h="16838" w:orient="portrait"/>
          <w:cols w:equalWidth="0" w:num="1">
            <w:col w:w="11240"/>
          </w:cols>
          <w:pgMar w:left="320" w:top="122"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I, Joseph A. Ferraro, certify that:</w:t>
      </w:r>
    </w:p>
    <w:p>
      <w:pPr>
        <w:spacing w:after="0" w:line="90"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03"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rFonts w:ascii="Arial" w:cs="Arial" w:eastAsia="Arial" w:hAnsi="Arial"/>
          <w:sz w:val="18"/>
          <w:szCs w:val="18"/>
          <w:color w:val="auto"/>
        </w:rPr>
      </w:pPr>
    </w:p>
    <w:p>
      <w:pPr>
        <w:ind w:left="1300" w:hanging="320"/>
        <w:spacing w:after="0" w:line="256" w:lineRule="auto"/>
        <w:tabs>
          <w:tab w:leader="none" w:pos="129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300" w:right="540" w:hanging="320"/>
        <w:spacing w:after="0" w:line="278" w:lineRule="auto"/>
        <w:tabs>
          <w:tab w:leader="none" w:pos="1298"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7"/>
          <w:szCs w:val="17"/>
          <w:color w:val="auto"/>
        </w:rPr>
      </w:pPr>
    </w:p>
    <w:p>
      <w:pPr>
        <w:ind w:left="1300" w:right="300" w:hanging="320"/>
        <w:spacing w:after="0" w:line="256" w:lineRule="auto"/>
        <w:tabs>
          <w:tab w:leader="none" w:pos="1288"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Arial" w:cs="Arial" w:eastAsia="Arial" w:hAnsi="Arial"/>
          <w:sz w:val="18"/>
          <w:szCs w:val="18"/>
          <w:color w:val="auto"/>
        </w:rPr>
      </w:pPr>
    </w:p>
    <w:p>
      <w:pPr>
        <w:ind w:left="1300" w:right="60" w:hanging="320"/>
        <w:spacing w:after="0" w:line="256" w:lineRule="auto"/>
        <w:tabs>
          <w:tab w:leader="none" w:pos="129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jc w:val="both"/>
        <w:ind w:left="1300" w:right="440" w:hanging="320"/>
        <w:spacing w:after="0" w:line="256" w:lineRule="auto"/>
        <w:tabs>
          <w:tab w:leader="none" w:pos="129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Arial" w:cs="Arial" w:eastAsia="Arial" w:hAnsi="Arial"/>
          <w:sz w:val="18"/>
          <w:szCs w:val="18"/>
          <w:color w:val="auto"/>
        </w:rPr>
      </w:pPr>
    </w:p>
    <w:p>
      <w:pPr>
        <w:ind w:left="1300" w:right="780" w:hanging="320"/>
        <w:spacing w:after="0" w:line="261" w:lineRule="auto"/>
        <w:tabs>
          <w:tab w:leader="none" w:pos="129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6350</wp:posOffset>
            </wp:positionV>
            <wp:extent cx="28632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6"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Brian Choi, certify that:</w:t>
      </w:r>
    </w:p>
    <w:p>
      <w:pPr>
        <w:spacing w:after="0" w:line="171" w:lineRule="exact"/>
        <w:rPr>
          <w:sz w:val="20"/>
          <w:szCs w:val="20"/>
          <w:color w:val="auto"/>
        </w:rPr>
      </w:pPr>
    </w:p>
    <w:p>
      <w:pPr>
        <w:ind w:left="640" w:hanging="308"/>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hanging="320"/>
        <w:spacing w:after="0" w:line="256" w:lineRule="auto"/>
        <w:tabs>
          <w:tab w:leader="none" w:pos="129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540" w:hanging="320"/>
        <w:spacing w:after="0" w:line="278" w:lineRule="auto"/>
        <w:tabs>
          <w:tab w:leader="none" w:pos="1298"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300" w:right="300" w:hanging="320"/>
        <w:spacing w:after="0" w:line="256" w:lineRule="auto"/>
        <w:tabs>
          <w:tab w:leader="none" w:pos="1288"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60" w:hanging="320"/>
        <w:spacing w:after="0" w:line="256" w:lineRule="auto"/>
        <w:tabs>
          <w:tab w:leader="none" w:pos="129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300" w:right="440" w:hanging="320"/>
        <w:spacing w:after="0" w:line="256" w:lineRule="auto"/>
        <w:tabs>
          <w:tab w:leader="none" w:pos="129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780" w:hanging="320"/>
        <w:spacing w:after="0" w:line="261" w:lineRule="auto"/>
        <w:tabs>
          <w:tab w:leader="none" w:pos="129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2021</w:t>
      </w:r>
    </w:p>
    <w:p>
      <w:pPr>
        <w:spacing w:after="0" w:line="266"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Brian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6350</wp:posOffset>
            </wp:positionV>
            <wp:extent cx="41662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6"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September 30, 2021, as filed with the Securities and Exchange Commission on the date hereof (the “Report”), Joseph A. Ferraro, as Chief Executive Officer of the Company, and Brian Choi, as Chief Financial Officer of the Company, each hereby certifies, pursuant to 18 U.S.C. Section 1350, as adopted pursuant to Section 906 of the Sarbanes-Oxley Act of 2002, that, to the best of his knowledge:</w:t>
      </w:r>
    </w:p>
    <w:p>
      <w:pPr>
        <w:spacing w:after="0" w:line="150" w:lineRule="exact"/>
        <w:rPr>
          <w:sz w:val="20"/>
          <w:szCs w:val="20"/>
          <w:color w:val="auto"/>
        </w:rPr>
      </w:pPr>
    </w:p>
    <w:p>
      <w:pPr>
        <w:ind w:left="640" w:hanging="30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JOSEPH A. FERRARO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A. Ferraro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2,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BRIAN CHOI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Choi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2, 2021</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1)"/>
      <w:numFmt w:val="lowerLetter"/>
      <w:start w:val="1"/>
    </w:lvl>
  </w:abstractNum>
  <w:abstractNum w:abstractNumId="5">
    <w:nsid w:val="8138641"/>
    <w:multiLevelType w:val="hybridMultilevel"/>
    <w:lvl w:ilvl="0">
      <w:lvlJc w:val="left"/>
      <w:lvlText w:val="%1."/>
      <w:numFmt w:val="decimal"/>
      <w:start w:val="2"/>
    </w:lvl>
  </w:abstractNum>
  <w:abstractNum w:abstractNumId="6">
    <w:nsid w:val="1E7FF521"/>
    <w:multiLevelType w:val="hybridMultilevel"/>
    <w:lvl w:ilvl="0">
      <w:lvlJc w:val="left"/>
      <w:lvlText w:val="(%1)"/>
      <w:numFmt w:val="lowerLetter"/>
      <w:start w:val="1"/>
    </w:lvl>
  </w:abstractNum>
  <w:abstractNum w:abstractNumId="7">
    <w:nsid w:val="7C3DBD3D"/>
    <w:multiLevelType w:val="hybridMultilevel"/>
    <w:lvl w:ilvl="0">
      <w:lvlJc w:val="left"/>
      <w:lvlText w:val="(%1)"/>
      <w:numFmt w:val="lowerLetter"/>
      <w:start w:val="1"/>
    </w:lvl>
  </w:abstractNum>
  <w:abstractNum w:abstractNumId="8">
    <w:nsid w:val="737B8DDC"/>
    <w:multiLevelType w:val="hybridMultilevel"/>
    <w:lvl w:ilvl="0">
      <w:lvlJc w:val="left"/>
      <w:lvlText w:val="(%1)"/>
      <w:numFmt w:val="lowerLetter"/>
      <w:start w:val="1"/>
    </w:lvl>
  </w:abstractNum>
  <w:abstractNum w:abstractNumId="9">
    <w:nsid w:val="6CEAF087"/>
    <w:multiLevelType w:val="hybridMultilevel"/>
    <w:lvl w:ilvl="0">
      <w:lvlJc w:val="left"/>
      <w:lvlText w:val="%1."/>
      <w:numFmt w:val="decimal"/>
      <w:start w:val="4"/>
    </w:lvl>
  </w:abstractNum>
  <w:abstractNum w:abstractNumId="10">
    <w:nsid w:val="22221A70"/>
    <w:multiLevelType w:val="hybridMultilevel"/>
    <w:lvl w:ilvl="0">
      <w:lvlJc w:val="left"/>
      <w:lvlText w:val="%1"/>
      <w:numFmt w:val="decimal"/>
      <w:start w:val="1"/>
    </w:lvl>
    <w:lvl w:ilvl="1">
      <w:lvlJc w:val="left"/>
      <w:lvlText w:val="(%2)"/>
      <w:numFmt w:val="lowerLetter"/>
      <w:start w:val="1"/>
    </w:lvl>
  </w:abstractNum>
  <w:abstractNum w:abstractNumId="11">
    <w:nsid w:val="4516DDE9"/>
    <w:multiLevelType w:val="hybridMultilevel"/>
    <w:lvl w:ilvl="0">
      <w:lvlJc w:val="left"/>
      <w:lvlText w:val="%1."/>
      <w:numFmt w:val="decimal"/>
      <w:start w:val="5"/>
    </w:lvl>
    <w:lvl w:ilvl="1">
      <w:lvlJc w:val="left"/>
      <w:lvlText w:val="%2"/>
      <w:numFmt w:val="lowerLetter"/>
      <w:start w:val="1"/>
    </w:lvl>
  </w:abstractNum>
  <w:abstractNum w:abstractNumId="12">
    <w:nsid w:val="3006C83E"/>
    <w:multiLevelType w:val="hybridMultilevel"/>
    <w:lvl w:ilvl="0">
      <w:lvlJc w:val="left"/>
      <w:lvlText w:val="%1."/>
      <w:numFmt w:val="decimal"/>
      <w:start w:val="8"/>
    </w:lvl>
  </w:abstractNum>
  <w:abstractNum w:abstractNumId="13">
    <w:nsid w:val="614FD4A1"/>
    <w:multiLevelType w:val="hybridMultilevel"/>
    <w:lvl w:ilvl="0">
      <w:lvlJc w:val="left"/>
      <w:lvlText w:val="%1."/>
      <w:numFmt w:val="decimal"/>
      <w:start w:val="9"/>
    </w:lvl>
  </w:abstractNum>
  <w:abstractNum w:abstractNumId="14">
    <w:nsid w:val="419AC241"/>
    <w:multiLevelType w:val="hybridMultilevel"/>
    <w:lvl w:ilvl="0">
      <w:lvlJc w:val="left"/>
      <w:lvlText w:val="%1."/>
      <w:numFmt w:val="decimal"/>
      <w:start w:val="11"/>
    </w:lvl>
  </w:abstractNum>
  <w:abstractNum w:abstractNumId="15">
    <w:nsid w:val="5577F8E1"/>
    <w:multiLevelType w:val="hybridMultilevel"/>
    <w:lvl w:ilvl="0">
      <w:lvlJc w:val="left"/>
      <w:lvlText w:val="(%1)"/>
      <w:numFmt w:val="lowerLetter"/>
      <w:start w:val="1"/>
    </w:lvl>
  </w:abstractNum>
  <w:abstractNum w:abstractNumId="16">
    <w:nsid w:val="440BADFC"/>
    <w:multiLevelType w:val="hybridMultilevel"/>
    <w:lvl w:ilvl="0">
      <w:lvlJc w:val="left"/>
      <w:lvlText w:val="(%1)"/>
      <w:numFmt w:val="lowerLetter"/>
      <w:start w:val="1"/>
    </w:lvl>
  </w:abstractNum>
  <w:abstractNum w:abstractNumId="17">
    <w:nsid w:val="5072367"/>
    <w:multiLevelType w:val="hybridMultilevel"/>
    <w:lvl w:ilvl="0">
      <w:lvlJc w:val="left"/>
      <w:lvlText w:val="%1."/>
      <w:numFmt w:val="decimal"/>
      <w:start w:val="12"/>
    </w:lvl>
  </w:abstractNum>
  <w:abstractNum w:abstractNumId="18">
    <w:nsid w:val="3804823E"/>
    <w:multiLevelType w:val="hybridMultilevel"/>
    <w:lvl w:ilvl="0">
      <w:lvlJc w:val="left"/>
      <w:lvlText w:val="(%1)"/>
      <w:numFmt w:val="lowerLetter"/>
      <w:start w:val="1"/>
    </w:lvl>
  </w:abstractNum>
  <w:abstractNum w:abstractNumId="19">
    <w:nsid w:val="77465F01"/>
    <w:multiLevelType w:val="hybridMultilevel"/>
    <w:lvl w:ilvl="0">
      <w:lvlJc w:val="left"/>
      <w:lvlText w:val="(%1)"/>
      <w:numFmt w:val="lowerLetter"/>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lowerLetter"/>
      <w:start w:val="1"/>
    </w:lvl>
  </w:abstractNum>
  <w:abstractNum w:abstractNumId="23">
    <w:nsid w:val="5E884ADC"/>
    <w:multiLevelType w:val="hybridMultilevel"/>
    <w:lvl w:ilvl="0">
      <w:lvlJc w:val="left"/>
      <w:lvlText w:val="%1."/>
      <w:numFmt w:val="decimal"/>
      <w:start w:val="13"/>
    </w:lvl>
  </w:abstractNum>
  <w:abstractNum w:abstractNumId="24">
    <w:nsid w:val="51EAD36B"/>
    <w:multiLevelType w:val="hybridMultilevel"/>
    <w:lvl w:ilvl="0">
      <w:lvlJc w:val="left"/>
      <w:lvlText w:val="%1."/>
      <w:numFmt w:val="decimal"/>
      <w:start w:val="14"/>
    </w:lvl>
  </w:abstractNum>
  <w:abstractNum w:abstractNumId="25">
    <w:nsid w:val="2D517796"/>
    <w:multiLevelType w:val="hybridMultilevel"/>
    <w:lvl w:ilvl="0">
      <w:lvlJc w:val="left"/>
      <w:lvlText w:val="(%1)"/>
      <w:numFmt w:val="lowerLetter"/>
      <w:start w:val="1"/>
    </w:lvl>
  </w:abstractNum>
  <w:abstractNum w:abstractNumId="26">
    <w:nsid w:val="580BD78F"/>
    <w:multiLevelType w:val="hybridMultilevel"/>
    <w:lvl w:ilvl="0">
      <w:lvlJc w:val="left"/>
      <w:lvlText w:val="%1"/>
      <w:numFmt w:val="decimal"/>
      <w:start w:val="1"/>
    </w:lvl>
    <w:lvl w:ilvl="1">
      <w:lvlJc w:val="left"/>
      <w:lvlText w:val="(%2)"/>
      <w:numFmt w:val="lowerLetter"/>
      <w:start w:val="3"/>
    </w:lvl>
  </w:abstractNum>
  <w:abstractNum w:abstractNumId="27">
    <w:nsid w:val="153EA438"/>
    <w:multiLevelType w:val="hybridMultilevel"/>
    <w:lvl w:ilvl="0">
      <w:lvlJc w:val="left"/>
      <w:lvlText w:val="%1."/>
      <w:numFmt w:val="decimal"/>
      <w:start w:val="15"/>
    </w:lvl>
    <w:lvl w:ilvl="1">
      <w:lvlJc w:val="left"/>
      <w:lvlText w:val="%2"/>
      <w:numFmt w:val="lowerLetter"/>
      <w:start w:val="1"/>
    </w:lvl>
  </w:abstractNum>
  <w:abstractNum w:abstractNumId="28">
    <w:nsid w:val="3855585C"/>
    <w:multiLevelType w:val="hybridMultilevel"/>
    <w:lvl w:ilvl="0">
      <w:lvlJc w:val="left"/>
      <w:lvlText w:val="%1."/>
      <w:numFmt w:val="decimal"/>
      <w:start w:val="16"/>
    </w:lvl>
  </w:abstractNum>
  <w:abstractNum w:abstractNumId="29">
    <w:nsid w:val="70A64E2A"/>
    <w:multiLevelType w:val="hybridMultilevel"/>
    <w:lvl w:ilvl="0">
      <w:lvlJc w:val="left"/>
      <w:lvlText w:val="(%1)"/>
      <w:numFmt w:val="lowerLetter"/>
      <w:start w:val="1"/>
    </w:lvl>
  </w:abstractNum>
  <w:abstractNum w:abstractNumId="30">
    <w:nsid w:val="6A2342EC"/>
    <w:multiLevelType w:val="hybridMultilevel"/>
    <w:lvl w:ilvl="0">
      <w:lvlJc w:val="left"/>
      <w:lvlText w:val="%1"/>
      <w:numFmt w:val="decimal"/>
      <w:start w:val="1"/>
    </w:lvl>
    <w:lvl w:ilvl="1">
      <w:lvlJc w:val="left"/>
      <w:lvlText w:val="(%2)"/>
      <w:numFmt w:val="lowerLetter"/>
      <w:start w:val="3"/>
    </w:lvl>
  </w:abstractNum>
  <w:abstractNum w:abstractNumId="31">
    <w:nsid w:val="2A487CB0"/>
    <w:multiLevelType w:val="hybridMultilevel"/>
    <w:lvl w:ilvl="0">
      <w:lvlJc w:val="left"/>
      <w:lvlText w:val="%1."/>
      <w:numFmt w:val="decimal"/>
      <w:start w:val="17"/>
    </w:lvl>
    <w:lvl w:ilvl="1">
      <w:lvlJc w:val="left"/>
      <w:lvlText w:val="%2"/>
      <w:numFmt w:val="lowerLetter"/>
      <w:start w:val="1"/>
    </w:lvl>
  </w:abstractNum>
  <w:abstractNum w:abstractNumId="32">
    <w:nsid w:val="1D4ED43B"/>
    <w:multiLevelType w:val="hybridMultilevel"/>
    <w:lvl w:ilvl="0">
      <w:lvlJc w:val="left"/>
      <w:lvlText w:val="(%1)"/>
      <w:numFmt w:val="lowerLetter"/>
      <w:start w:val="1"/>
    </w:lvl>
  </w:abstractNum>
  <w:abstractNum w:abstractNumId="33">
    <w:nsid w:val="725A06FB"/>
    <w:multiLevelType w:val="hybridMultilevel"/>
    <w:lvl w:ilvl="0">
      <w:lvlJc w:val="left"/>
      <w:lvlText w:val="(%1)"/>
      <w:numFmt w:val="lowerLetter"/>
      <w:start w:val="1"/>
    </w:lvl>
  </w:abstractNum>
  <w:abstractNum w:abstractNumId="34">
    <w:nsid w:val="2CD89A32"/>
    <w:multiLevelType w:val="hybridMultilevel"/>
    <w:lvl w:ilvl="0">
      <w:lvlJc w:val="left"/>
      <w:lvlText w:val="(%1)"/>
      <w:numFmt w:val="lowerLetter"/>
      <w:start w:val="1"/>
    </w:lvl>
  </w:abstractNum>
  <w:abstractNum w:abstractNumId="35">
    <w:nsid w:val="57E4CCAF"/>
    <w:multiLevelType w:val="hybridMultilevel"/>
    <w:lvl w:ilvl="0">
      <w:lvlJc w:val="left"/>
      <w:lvlText w:val="%1"/>
      <w:numFmt w:val="decimal"/>
      <w:start w:val="1"/>
    </w:lvl>
    <w:lvl w:ilvl="1">
      <w:lvlJc w:val="left"/>
      <w:lvlText w:val="(%2)"/>
      <w:numFmt w:val="lowerLetter"/>
      <w:start w:val="1"/>
    </w:lvl>
  </w:abstractNum>
  <w:abstractNum w:abstractNumId="36">
    <w:nsid w:val="7A6D8D3C"/>
    <w:multiLevelType w:val="hybridMultilevel"/>
    <w:lvl w:ilvl="0">
      <w:lvlJc w:val="left"/>
      <w:lvlText w:val="%1."/>
      <w:numFmt w:val="decimal"/>
      <w:start w:val="18"/>
    </w:lvl>
    <w:lvl w:ilvl="1">
      <w:lvlJc w:val="left"/>
      <w:lvlText w:val="%2"/>
      <w:numFmt w:val="lowerLetter"/>
      <w:start w:val="1"/>
    </w:lvl>
  </w:abstractNum>
  <w:abstractNum w:abstractNumId="37">
    <w:nsid w:val="4B588F54"/>
    <w:multiLevelType w:val="hybridMultilevel"/>
    <w:lvl w:ilvl="0">
      <w:lvlJc w:val="left"/>
      <w:lvlText w:val="(%1)"/>
      <w:numFmt w:val="lowerLetter"/>
      <w:start w:val="1"/>
    </w:lvl>
  </w:abstractNum>
  <w:abstractNum w:abstractNumId="38">
    <w:nsid w:val="542289EC"/>
    <w:multiLevelType w:val="hybridMultilevel"/>
    <w:lvl w:ilvl="0">
      <w:lvlJc w:val="left"/>
      <w:lvlText w:val="(%1)"/>
      <w:numFmt w:val="lowerLetter"/>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1."/>
      <w:numFmt w:val="decimal"/>
      <w:start w:val="19"/>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1)"/>
      <w:numFmt w:val="lowerLetter"/>
      <w:start w:val="1"/>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1)"/>
      <w:numFmt w:val="lowerLetter"/>
      <w:start w:val="4"/>
    </w:lvl>
  </w:abstractNum>
  <w:abstractNum w:abstractNumId="47">
    <w:nsid w:val="1BA026FA"/>
    <w:multiLevelType w:val="hybridMultilevel"/>
    <w:lvl w:ilvl="0">
      <w:lvlJc w:val="left"/>
      <w:lvlText w:val="(%1)"/>
      <w:numFmt w:val="lowerRoman"/>
      <w:start w:val="2"/>
    </w:lvl>
  </w:abstractNum>
  <w:abstractNum w:abstractNumId="48">
    <w:nsid w:val="79A1DEAA"/>
    <w:multiLevelType w:val="hybridMultilevel"/>
    <w:lvl w:ilvl="0">
      <w:lvlJc w:val="left"/>
      <w:lvlText w:val="(%1)"/>
      <w:numFmt w:val="lowerLetter"/>
      <w:start w:val="1"/>
    </w:lvl>
  </w:abstractNum>
  <w:abstractNum w:abstractNumId="49">
    <w:nsid w:val="75C6C33A"/>
    <w:multiLevelType w:val="hybridMultilevel"/>
    <w:lvl w:ilvl="0">
      <w:lvlJc w:val="left"/>
      <w:lvlText w:val="%1"/>
      <w:numFmt w:val="decimal"/>
      <w:start w:val="32"/>
    </w:lvl>
  </w:abstractNum>
  <w:abstractNum w:abstractNumId="50">
    <w:nsid w:val="12E685FB"/>
    <w:multiLevelType w:val="hybridMultilevel"/>
    <w:lvl w:ilvl="0">
      <w:lvlJc w:val="left"/>
      <w:lvlText w:val="%1"/>
      <w:numFmt w:val="decimal"/>
      <w:start w:val="104"/>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68" Type="http://schemas.openxmlformats.org/officeDocument/2006/relationships/hyperlink" Target="http://www.sec.gov/Archives/edgar/data/723612/000072361206000058/articles.htm" TargetMode="External"/><Relationship Id="rId69" Type="http://schemas.openxmlformats.org/officeDocument/2006/relationships/hyperlink" Target="http://www.sec.gov/Archives/edgar/data/723612/000119312520218349/d84038dex32.htm" TargetMode="External"/><Relationship Id="rId70" Type="http://schemas.openxmlformats.org/officeDocument/2006/relationships/hyperlink" Target="http://www.sec.gov/Archives/edgar/data/723612/000119312521214124/d353521dex101.htm" TargetMode="External"/><Relationship Id="rId71" Type="http://schemas.openxmlformats.org/officeDocument/2006/relationships/hyperlink" Target="http://www.sec.gov/Archives/edgar/data/723612/000095014221002910/eh210184005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2021-11-02T08:28:58Z</dcterms:created>
  <dcterms:modified xsi:type="dcterms:W3CDTF">2021-11-02T08:28:58Z</dcterms:modified>
</cp:coreProperties>
</file>