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Avis Budget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053774105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053774105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053774105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 Brokerage,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053774105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Fundamental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45,210.00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45,210.00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053774105</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Investment Group</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231,000.00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2,268,454.00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2,268,454.00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053774105</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Portfolio Strategies,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18,201.00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18,201.00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053774105</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1,932,543.00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2,268,454.00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1,932,543.00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2,268,454.00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2,268,454.00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Avis Budget Group,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379 Interpace Parkway, Parsippany, NJ 07054</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Common Stock, $0.01 par value per share (the "Shares"), of Avis Budget Group, Inc. (the "Company"). (i) G1 Execution Services, LLC (ii) SIG Brokerage, LP (iii) Susquehanna Fundamental Investments, LLC (iv) Susquehanna Investment Group (v) Susquehanna Portfolio Strategies, LLC (vi)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each of SIG Brokerage, LP, Susquehanna Fundamental Investments, LLC, Susquehanna Investment Group, Susquehanna Portfolio Strategies, LLC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jc w:val="left"/>
              <w:rPr/>
            </w:pPr>
            <w:r>
              <w:rPr/>
              <w:t xml:space="preserve">CUSIP No.: </w:t>
            </w:r>
          </w:p>
          <w:p>
            <w:pPr>
              <w:pStyle w:val="TableContents"/>
              <w:bidi w:val="0"/>
              <w:spacing w:before="0" w:after="0"/>
              <w:jc w:val="left"/>
              <w:rPr/>
            </w:pPr>
            <w:r>
              <w:rPr/>
              <w:t>053774105</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SIG Brokerage, LP consists of options to buy Shares. The number of Shares reported as beneficially owned by Susquehanna Investment Group consists of options to buy Shares. The number of Shares reported as beneficially owned by Susquehanna Securities, LLC includes options to buy 1,930,900 Shares. The Company's Quarterly Report on Form 10-Q, filed on July 30, 2025, indicates that there were 35,193,504 Shares outstanding as of July 25, 2025.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SIG Brokerage, 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Susquehanna Fundamental Investments,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Susquehanna Investment Group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Brian Sopinsky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Brian Sopinsky,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Susquehanna Portfolio Strategies, LLC</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DESCRIPTION ________ ________ 99 Joint Filing Agreement* *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2478</Words>
  <Characters>13471</Characters>
  <CharactersWithSpaces>15833</CharactersWithSpaces>
  <Paragraphs>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