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tbl>
      <w:tblPr>
        <w:tblLayout w:type="fixed"/>
        <w:tblInd w:w="2420" w:type="dxa"/>
        <w:tblCellMar>
          <w:top w:w="0" w:type="dxa"/>
          <w:left w:w="0" w:type="dxa"/>
          <w:bottom w:w="0" w:type="dxa"/>
          <w:right w:w="0" w:type="dxa"/>
        </w:tblCellMar>
      </w:tblPr>
      <w:tr>
        <w:trPr>
          <w:trHeight w:val="299"/>
        </w:trPr>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tcBorders>
              <w:top w:val="single" w:sz="8" w:color="auto"/>
            </w:tcBorders>
            <w:gridSpan w:val="2"/>
          </w:tcPr>
          <w:p>
            <w:pPr>
              <w:ind w:left="620"/>
              <w:spacing w:after="0"/>
              <w:rPr>
                <w:sz w:val="20"/>
                <w:szCs w:val="20"/>
                <w:color w:val="auto"/>
              </w:rPr>
            </w:pPr>
            <w:r>
              <w:rPr>
                <w:rFonts w:ascii="Arial" w:cs="Arial" w:eastAsia="Arial" w:hAnsi="Arial"/>
                <w:sz w:val="22"/>
                <w:szCs w:val="22"/>
                <w:b w:val="1"/>
                <w:bCs w:val="1"/>
                <w:color w:val="auto"/>
              </w:rPr>
              <w:t>FORM 10-K</w:t>
            </w: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gridSpan w:val="7"/>
          </w:tcPr>
          <w:p>
            <w:pPr>
              <w:jc w:val="center"/>
              <w:ind w:left="637"/>
              <w:spacing w:after="0"/>
              <w:rPr>
                <w:sz w:val="20"/>
                <w:szCs w:val="20"/>
                <w:color w:val="auto"/>
              </w:rPr>
            </w:pPr>
            <w:r>
              <w:rPr>
                <w:rFonts w:ascii="Arial" w:cs="Arial" w:eastAsia="Arial" w:hAnsi="Arial"/>
                <w:sz w:val="13"/>
                <w:szCs w:val="13"/>
                <w:b w:val="1"/>
                <w:bCs w:val="1"/>
                <w:color w:val="auto"/>
                <w:w w:val="96"/>
              </w:rPr>
              <w:t>ANNUAL REPORT PURSUANT TO SECTION 13 OR 15(d) OF THE</w:t>
            </w:r>
          </w:p>
        </w:tc>
        <w:tc>
          <w:tcPr>
            <w:tcW w:w="0" w:type="dxa"/>
            <w:vAlign w:val="bottom"/>
          </w:tcPr>
          <w:p>
            <w:pPr>
              <w:spacing w:after="0"/>
              <w:rPr>
                <w:sz w:val="1"/>
                <w:szCs w:val="1"/>
                <w:color w:val="auto"/>
              </w:rPr>
            </w:pPr>
          </w:p>
        </w:tc>
      </w:tr>
      <w:tr>
        <w:trPr>
          <w:trHeight w:val="162"/>
        </w:trPr>
        <w:tc>
          <w:tcPr>
            <w:tcW w:w="88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3560" w:type="dxa"/>
            <w:vAlign w:val="bottom"/>
            <w:gridSpan w:val="6"/>
          </w:tcPr>
          <w:p>
            <w:pPr>
              <w:jc w:val="center"/>
              <w:ind w:right="540"/>
              <w:spacing w:after="0"/>
              <w:rPr>
                <w:sz w:val="20"/>
                <w:szCs w:val="20"/>
                <w:color w:val="auto"/>
              </w:rPr>
            </w:pPr>
            <w:r>
              <w:rPr>
                <w:rFonts w:ascii="Arial" w:cs="Arial" w:eastAsia="Arial" w:hAnsi="Arial"/>
                <w:sz w:val="13"/>
                <w:szCs w:val="13"/>
                <w:b w:val="1"/>
                <w:bCs w:val="1"/>
                <w:color w:val="auto"/>
                <w:w w:val="97"/>
              </w:rPr>
              <w:t>SECURITIES EXCHANGE ACT OF 1934</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800" w:type="dxa"/>
            <w:vAlign w:val="bottom"/>
            <w:gridSpan w:val="7"/>
          </w:tcPr>
          <w:p>
            <w:pPr>
              <w:jc w:val="center"/>
              <w:spacing w:after="0"/>
              <w:rPr>
                <w:sz w:val="20"/>
                <w:szCs w:val="20"/>
                <w:color w:val="auto"/>
              </w:rPr>
            </w:pPr>
            <w:r>
              <w:rPr>
                <w:rFonts w:ascii="Arial" w:cs="Arial" w:eastAsia="Arial" w:hAnsi="Arial"/>
                <w:sz w:val="13"/>
                <w:szCs w:val="13"/>
                <w:b w:val="1"/>
                <w:bCs w:val="1"/>
                <w:color w:val="auto"/>
                <w:w w:val="97"/>
              </w:rPr>
              <w:t>For the fiscal year ended December 31, 2019</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80" w:type="dxa"/>
            <w:vAlign w:val="bottom"/>
            <w:gridSpan w:val="2"/>
          </w:tcPr>
          <w:p>
            <w:pPr>
              <w:jc w:val="center"/>
              <w:ind w:left="288"/>
              <w:spacing w:after="0"/>
              <w:rPr>
                <w:sz w:val="20"/>
                <w:szCs w:val="20"/>
                <w:color w:val="auto"/>
              </w:rPr>
            </w:pPr>
            <w:r>
              <w:rPr>
                <w:rFonts w:ascii="Arial" w:cs="Arial" w:eastAsia="Arial" w:hAnsi="Arial"/>
                <w:sz w:val="13"/>
                <w:szCs w:val="13"/>
                <w:b w:val="1"/>
                <w:bCs w:val="1"/>
                <w:color w:val="auto"/>
                <w:w w:val="92"/>
              </w:rPr>
              <w:t>OR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8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gridSpan w:val="7"/>
          </w:tcPr>
          <w:p>
            <w:pPr>
              <w:jc w:val="center"/>
              <w:ind w:left="637"/>
              <w:spacing w:after="0"/>
              <w:rPr>
                <w:sz w:val="20"/>
                <w:szCs w:val="20"/>
                <w:color w:val="auto"/>
              </w:rPr>
            </w:pPr>
            <w:r>
              <w:rPr>
                <w:rFonts w:ascii="Arial" w:cs="Arial" w:eastAsia="Arial" w:hAnsi="Arial"/>
                <w:sz w:val="13"/>
                <w:szCs w:val="13"/>
                <w:b w:val="1"/>
                <w:bCs w:val="1"/>
                <w:color w:val="auto"/>
                <w:w w:val="96"/>
              </w:rPr>
              <w:t>TRANSITION REPORT PURSUANT TO SECTION 13 OR 15(d) OF THE</w:t>
            </w:r>
          </w:p>
        </w:tc>
        <w:tc>
          <w:tcPr>
            <w:tcW w:w="0" w:type="dxa"/>
            <w:vAlign w:val="bottom"/>
          </w:tcPr>
          <w:p>
            <w:pPr>
              <w:spacing w:after="0"/>
              <w:rPr>
                <w:sz w:val="1"/>
                <w:szCs w:val="1"/>
                <w:color w:val="auto"/>
              </w:rPr>
            </w:pPr>
          </w:p>
        </w:tc>
      </w:tr>
      <w:tr>
        <w:trPr>
          <w:trHeight w:val="177"/>
        </w:trPr>
        <w:tc>
          <w:tcPr>
            <w:tcW w:w="8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3560" w:type="dxa"/>
            <w:vAlign w:val="bottom"/>
            <w:gridSpan w:val="6"/>
          </w:tcPr>
          <w:p>
            <w:pPr>
              <w:jc w:val="center"/>
              <w:ind w:right="540"/>
              <w:spacing w:after="0"/>
              <w:rPr>
                <w:sz w:val="20"/>
                <w:szCs w:val="20"/>
                <w:color w:val="auto"/>
              </w:rPr>
            </w:pPr>
            <w:r>
              <w:rPr>
                <w:rFonts w:ascii="Arial" w:cs="Arial" w:eastAsia="Arial" w:hAnsi="Arial"/>
                <w:sz w:val="13"/>
                <w:szCs w:val="13"/>
                <w:b w:val="1"/>
                <w:bCs w:val="1"/>
                <w:color w:val="auto"/>
                <w:w w:val="97"/>
              </w:rPr>
              <w:t>SECURITIES EXCHANGE ACT OF 1934</w:t>
            </w:r>
          </w:p>
        </w:tc>
        <w:tc>
          <w:tcPr>
            <w:tcW w:w="0" w:type="dxa"/>
            <w:vAlign w:val="bottom"/>
          </w:tcPr>
          <w:p>
            <w:pPr>
              <w:spacing w:after="0"/>
              <w:rPr>
                <w:sz w:val="1"/>
                <w:szCs w:val="1"/>
                <w:color w:val="auto"/>
              </w:rPr>
            </w:pPr>
          </w:p>
        </w:tc>
      </w:tr>
      <w:tr>
        <w:trPr>
          <w:trHeight w:val="291"/>
        </w:trPr>
        <w:tc>
          <w:tcPr>
            <w:tcW w:w="880" w:type="dxa"/>
            <w:vAlign w:val="bottom"/>
          </w:tcPr>
          <w:p>
            <w:pPr>
              <w:spacing w:after="0"/>
              <w:rPr>
                <w:sz w:val="24"/>
                <w:szCs w:val="24"/>
                <w:color w:val="auto"/>
              </w:rPr>
            </w:pPr>
          </w:p>
        </w:tc>
        <w:tc>
          <w:tcPr>
            <w:tcW w:w="2800" w:type="dxa"/>
            <w:vAlign w:val="bottom"/>
            <w:gridSpan w:val="2"/>
          </w:tcPr>
          <w:p>
            <w:pPr>
              <w:ind w:left="1000"/>
              <w:spacing w:after="0"/>
              <w:rPr>
                <w:sz w:val="20"/>
                <w:szCs w:val="20"/>
                <w:color w:val="auto"/>
              </w:rPr>
            </w:pPr>
            <w:r>
              <w:rPr>
                <w:rFonts w:ascii="Arial" w:cs="Arial" w:eastAsia="Arial" w:hAnsi="Arial"/>
                <w:sz w:val="13"/>
                <w:szCs w:val="13"/>
                <w:b w:val="1"/>
                <w:bCs w:val="1"/>
                <w:color w:val="auto"/>
                <w:w w:val="97"/>
              </w:rPr>
              <w:t>For the transition period from</w:t>
            </w:r>
          </w:p>
        </w:tc>
        <w:tc>
          <w:tcPr>
            <w:tcW w:w="420" w:type="dxa"/>
            <w:vAlign w:val="bottom"/>
            <w:tcBorders>
              <w:bottom w:val="single" w:sz="8" w:color="auto"/>
            </w:tcBorders>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3"/>
                <w:szCs w:val="13"/>
                <w:b w:val="1"/>
                <w:bCs w:val="1"/>
                <w:color w:val="auto"/>
              </w:rPr>
              <w:t>to</w:t>
            </w:r>
          </w:p>
        </w:tc>
        <w:tc>
          <w:tcPr>
            <w:tcW w:w="420" w:type="dxa"/>
            <w:vAlign w:val="bottom"/>
            <w:tcBorders>
              <w:bottom w:val="single" w:sz="8" w:color="auto"/>
            </w:tcBorders>
            <w:gridSpan w:val="2"/>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ind w:left="160"/>
              <w:spacing w:after="0"/>
              <w:rPr>
                <w:sz w:val="20"/>
                <w:szCs w:val="20"/>
                <w:color w:val="auto"/>
              </w:rPr>
            </w:pPr>
            <w:r>
              <w:rPr>
                <w:rFonts w:ascii="Arial" w:cs="Arial" w:eastAsia="Arial" w:hAnsi="Arial"/>
                <w:sz w:val="13"/>
                <w:szCs w:val="13"/>
                <w:b w:val="1"/>
                <w:bCs w:val="1"/>
                <w:color w:val="auto"/>
                <w:w w:val="95"/>
              </w:rPr>
              <w:t>COMMISSION FILE NO.</w:t>
            </w:r>
          </w:p>
        </w:tc>
        <w:tc>
          <w:tcPr>
            <w:tcW w:w="104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w w:val="96"/>
              </w:rPr>
              <w:t>001-10308</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356235</wp:posOffset>
            </wp:positionV>
            <wp:extent cx="1492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140" w:type="dxa"/>
            <w:vAlign w:val="bottom"/>
          </w:tcPr>
          <w:p>
            <w:pPr>
              <w:spacing w:after="0"/>
              <w:rPr>
                <w:sz w:val="23"/>
                <w:szCs w:val="23"/>
                <w:color w:val="auto"/>
              </w:rPr>
            </w:pPr>
          </w:p>
        </w:tc>
        <w:tc>
          <w:tcPr>
            <w:tcW w:w="4120" w:type="dxa"/>
            <w:vAlign w:val="bottom"/>
          </w:tcPr>
          <w:p>
            <w:pPr>
              <w:jc w:val="center"/>
              <w:ind w:left="972"/>
              <w:spacing w:after="0"/>
              <w:rPr>
                <w:sz w:val="20"/>
                <w:szCs w:val="20"/>
                <w:color w:val="auto"/>
              </w:rPr>
            </w:pPr>
            <w:r>
              <w:rPr>
                <w:rFonts w:ascii="Arial" w:cs="Arial" w:eastAsia="Arial" w:hAnsi="Arial"/>
                <w:sz w:val="22"/>
                <w:szCs w:val="22"/>
                <w:b w:val="1"/>
                <w:bCs w:val="1"/>
                <w:color w:val="auto"/>
                <w:w w:val="96"/>
              </w:rPr>
              <w:t>AVIS BUDGET GROUP, INC.</w:t>
            </w: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3140" w:type="dxa"/>
            <w:vAlign w:val="bottom"/>
          </w:tcPr>
          <w:p>
            <w:pPr>
              <w:spacing w:after="0"/>
              <w:rPr>
                <w:sz w:val="13"/>
                <w:szCs w:val="13"/>
                <w:color w:val="auto"/>
              </w:rPr>
            </w:pPr>
          </w:p>
        </w:tc>
        <w:tc>
          <w:tcPr>
            <w:tcW w:w="4120" w:type="dxa"/>
            <w:vAlign w:val="bottom"/>
          </w:tcPr>
          <w:p>
            <w:pPr>
              <w:jc w:val="center"/>
              <w:ind w:left="972"/>
              <w:spacing w:after="0"/>
              <w:rPr>
                <w:sz w:val="20"/>
                <w:szCs w:val="20"/>
                <w:color w:val="auto"/>
              </w:rPr>
            </w:pPr>
            <w:r>
              <w:rPr>
                <w:rFonts w:ascii="Arial" w:cs="Arial" w:eastAsia="Arial" w:hAnsi="Arial"/>
                <w:sz w:val="13"/>
                <w:szCs w:val="13"/>
                <w:color w:val="auto"/>
                <w:w w:val="96"/>
              </w:rPr>
              <w:t>(Exact name of Registrant as specified in its charter)</w:t>
            </w: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3140" w:type="dxa"/>
            <w:vAlign w:val="bottom"/>
            <w:vMerge w:val="restart"/>
          </w:tcPr>
          <w:p>
            <w:pPr>
              <w:jc w:val="center"/>
              <w:ind w:left="377"/>
              <w:spacing w:after="0"/>
              <w:rPr>
                <w:sz w:val="20"/>
                <w:szCs w:val="20"/>
                <w:color w:val="auto"/>
              </w:rPr>
            </w:pPr>
            <w:r>
              <w:rPr>
                <w:rFonts w:ascii="Arial" w:cs="Arial" w:eastAsia="Arial" w:hAnsi="Arial"/>
                <w:sz w:val="13"/>
                <w:szCs w:val="13"/>
                <w:b w:val="1"/>
                <w:bCs w:val="1"/>
                <w:color w:val="auto"/>
                <w:w w:val="94"/>
              </w:rPr>
              <w:t>Delaware</w:t>
            </w:r>
          </w:p>
        </w:tc>
        <w:tc>
          <w:tcPr>
            <w:tcW w:w="4120" w:type="dxa"/>
            <w:vAlign w:val="bottom"/>
          </w:tcPr>
          <w:p>
            <w:pPr>
              <w:spacing w:after="0"/>
              <w:rPr>
                <w:sz w:val="24"/>
                <w:szCs w:val="24"/>
                <w:color w:val="auto"/>
              </w:rPr>
            </w:pPr>
          </w:p>
        </w:tc>
        <w:tc>
          <w:tcPr>
            <w:tcW w:w="3920" w:type="dxa"/>
            <w:vAlign w:val="bottom"/>
          </w:tcPr>
          <w:p>
            <w:pPr>
              <w:jc w:val="right"/>
              <w:ind w:right="1077"/>
              <w:spacing w:after="0"/>
              <w:rPr>
                <w:sz w:val="20"/>
                <w:szCs w:val="20"/>
                <w:color w:val="auto"/>
              </w:rPr>
            </w:pPr>
            <w:r>
              <w:rPr>
                <w:rFonts w:ascii="Arial" w:cs="Arial" w:eastAsia="Arial" w:hAnsi="Arial"/>
                <w:sz w:val="13"/>
                <w:szCs w:val="13"/>
                <w:b w:val="1"/>
                <w:bCs w:val="1"/>
                <w:color w:val="auto"/>
              </w:rPr>
              <w:t>06-0918165</w:t>
            </w:r>
          </w:p>
        </w:tc>
        <w:tc>
          <w:tcPr>
            <w:tcW w:w="0" w:type="dxa"/>
            <w:vAlign w:val="bottom"/>
          </w:tcPr>
          <w:p>
            <w:pPr>
              <w:spacing w:after="0"/>
              <w:rPr>
                <w:sz w:val="1"/>
                <w:szCs w:val="1"/>
                <w:color w:val="auto"/>
              </w:rPr>
            </w:pPr>
          </w:p>
        </w:tc>
      </w:tr>
      <w:tr>
        <w:trPr>
          <w:trHeight w:val="81"/>
        </w:trPr>
        <w:tc>
          <w:tcPr>
            <w:tcW w:w="3140" w:type="dxa"/>
            <w:vAlign w:val="bottom"/>
            <w:vMerge w:val="continue"/>
          </w:tcPr>
          <w:p>
            <w:pPr>
              <w:spacing w:after="0"/>
              <w:rPr>
                <w:sz w:val="7"/>
                <w:szCs w:val="7"/>
                <w:color w:val="auto"/>
              </w:rPr>
            </w:pPr>
          </w:p>
        </w:tc>
        <w:tc>
          <w:tcPr>
            <w:tcW w:w="41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3140" w:type="dxa"/>
            <w:vAlign w:val="bottom"/>
          </w:tcPr>
          <w:p>
            <w:pPr>
              <w:jc w:val="center"/>
              <w:ind w:left="377"/>
              <w:spacing w:after="0"/>
              <w:rPr>
                <w:sz w:val="20"/>
                <w:szCs w:val="20"/>
                <w:color w:val="auto"/>
              </w:rPr>
            </w:pPr>
            <w:r>
              <w:rPr>
                <w:rFonts w:ascii="Arial" w:cs="Arial" w:eastAsia="Arial" w:hAnsi="Arial"/>
                <w:sz w:val="13"/>
                <w:szCs w:val="13"/>
                <w:color w:val="auto"/>
                <w:w w:val="97"/>
              </w:rPr>
              <w:t>(State or other jurisdiction of</w:t>
            </w:r>
          </w:p>
        </w:tc>
        <w:tc>
          <w:tcPr>
            <w:tcW w:w="4120" w:type="dxa"/>
            <w:vAlign w:val="bottom"/>
          </w:tcPr>
          <w:p>
            <w:pPr>
              <w:spacing w:after="0"/>
              <w:rPr>
                <w:sz w:val="14"/>
                <w:szCs w:val="14"/>
                <w:color w:val="auto"/>
              </w:rPr>
            </w:pPr>
          </w:p>
        </w:tc>
        <w:tc>
          <w:tcPr>
            <w:tcW w:w="3920" w:type="dxa"/>
            <w:vAlign w:val="bottom"/>
          </w:tcPr>
          <w:p>
            <w:pPr>
              <w:jc w:val="center"/>
              <w:ind w:left="917"/>
              <w:spacing w:after="0"/>
              <w:rPr>
                <w:sz w:val="20"/>
                <w:szCs w:val="20"/>
                <w:color w:val="auto"/>
              </w:rPr>
            </w:pPr>
            <w:r>
              <w:rPr>
                <w:rFonts w:ascii="Arial" w:cs="Arial" w:eastAsia="Arial" w:hAnsi="Arial"/>
                <w:sz w:val="13"/>
                <w:szCs w:val="13"/>
                <w:color w:val="auto"/>
                <w:w w:val="96"/>
              </w:rPr>
              <w:t>(I.R.S. Employer Identification Number)</w:t>
            </w:r>
          </w:p>
        </w:tc>
        <w:tc>
          <w:tcPr>
            <w:tcW w:w="0" w:type="dxa"/>
            <w:vAlign w:val="bottom"/>
          </w:tcPr>
          <w:p>
            <w:pPr>
              <w:spacing w:after="0"/>
              <w:rPr>
                <w:sz w:val="1"/>
                <w:szCs w:val="1"/>
                <w:color w:val="auto"/>
              </w:rPr>
            </w:pPr>
          </w:p>
        </w:tc>
      </w:tr>
      <w:tr>
        <w:trPr>
          <w:trHeight w:val="152"/>
        </w:trPr>
        <w:tc>
          <w:tcPr>
            <w:tcW w:w="3140" w:type="dxa"/>
            <w:vAlign w:val="bottom"/>
          </w:tcPr>
          <w:p>
            <w:pPr>
              <w:jc w:val="center"/>
              <w:ind w:left="397"/>
              <w:spacing w:after="0"/>
              <w:rPr>
                <w:sz w:val="20"/>
                <w:szCs w:val="20"/>
                <w:color w:val="auto"/>
              </w:rPr>
            </w:pPr>
            <w:r>
              <w:rPr>
                <w:rFonts w:ascii="Arial" w:cs="Arial" w:eastAsia="Arial" w:hAnsi="Arial"/>
                <w:sz w:val="13"/>
                <w:szCs w:val="13"/>
                <w:color w:val="auto"/>
                <w:w w:val="96"/>
              </w:rPr>
              <w:t>incorporation or organization)</w:t>
            </w:r>
          </w:p>
        </w:tc>
        <w:tc>
          <w:tcPr>
            <w:tcW w:w="41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140" w:type="dxa"/>
            <w:vAlign w:val="bottom"/>
          </w:tcPr>
          <w:p>
            <w:pPr>
              <w:jc w:val="center"/>
              <w:ind w:left="377"/>
              <w:spacing w:after="0"/>
              <w:rPr>
                <w:sz w:val="20"/>
                <w:szCs w:val="20"/>
                <w:color w:val="auto"/>
              </w:rPr>
            </w:pPr>
            <w:r>
              <w:rPr>
                <w:rFonts w:ascii="Arial" w:cs="Arial" w:eastAsia="Arial" w:hAnsi="Arial"/>
                <w:sz w:val="13"/>
                <w:szCs w:val="13"/>
                <w:color w:val="auto"/>
                <w:w w:val="98"/>
              </w:rPr>
              <w:t>6 Sylvan Way</w:t>
            </w:r>
          </w:p>
        </w:tc>
        <w:tc>
          <w:tcPr>
            <w:tcW w:w="412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40" w:type="dxa"/>
            <w:vAlign w:val="bottom"/>
          </w:tcPr>
          <w:p>
            <w:pPr>
              <w:ind w:left="1400"/>
              <w:spacing w:after="0"/>
              <w:rPr>
                <w:sz w:val="20"/>
                <w:szCs w:val="20"/>
                <w:color w:val="auto"/>
              </w:rPr>
            </w:pPr>
            <w:r>
              <w:rPr>
                <w:rFonts w:ascii="Arial" w:cs="Arial" w:eastAsia="Arial" w:hAnsi="Arial"/>
                <w:sz w:val="13"/>
                <w:szCs w:val="13"/>
                <w:color w:val="auto"/>
              </w:rPr>
              <w:t>Parsippany, NJ</w:t>
            </w:r>
          </w:p>
        </w:tc>
        <w:tc>
          <w:tcPr>
            <w:tcW w:w="4120" w:type="dxa"/>
            <w:vAlign w:val="bottom"/>
          </w:tcPr>
          <w:p>
            <w:pPr>
              <w:spacing w:after="0"/>
              <w:rPr>
                <w:sz w:val="23"/>
                <w:szCs w:val="23"/>
                <w:color w:val="auto"/>
              </w:rPr>
            </w:pPr>
          </w:p>
        </w:tc>
        <w:tc>
          <w:tcPr>
            <w:tcW w:w="3920" w:type="dxa"/>
            <w:vAlign w:val="bottom"/>
          </w:tcPr>
          <w:p>
            <w:pPr>
              <w:jc w:val="right"/>
              <w:ind w:right="1237"/>
              <w:spacing w:after="0"/>
              <w:rPr>
                <w:sz w:val="20"/>
                <w:szCs w:val="20"/>
                <w:color w:val="auto"/>
              </w:rPr>
            </w:pPr>
            <w:r>
              <w:rPr>
                <w:rFonts w:ascii="Arial" w:cs="Arial" w:eastAsia="Arial" w:hAnsi="Arial"/>
                <w:sz w:val="13"/>
                <w:szCs w:val="13"/>
                <w:color w:val="auto"/>
              </w:rPr>
              <w:t>07054</w:t>
            </w:r>
          </w:p>
        </w:tc>
        <w:tc>
          <w:tcPr>
            <w:tcW w:w="0" w:type="dxa"/>
            <w:vAlign w:val="bottom"/>
          </w:tcPr>
          <w:p>
            <w:pPr>
              <w:spacing w:after="0"/>
              <w:rPr>
                <w:sz w:val="1"/>
                <w:szCs w:val="1"/>
                <w:color w:val="auto"/>
              </w:rPr>
            </w:pPr>
          </w:p>
        </w:tc>
      </w:tr>
      <w:tr>
        <w:trPr>
          <w:trHeight w:val="270"/>
        </w:trPr>
        <w:tc>
          <w:tcPr>
            <w:tcW w:w="3140" w:type="dxa"/>
            <w:vAlign w:val="bottom"/>
          </w:tcPr>
          <w:p>
            <w:pPr>
              <w:jc w:val="center"/>
              <w:ind w:left="377"/>
              <w:spacing w:after="0"/>
              <w:rPr>
                <w:sz w:val="20"/>
                <w:szCs w:val="20"/>
                <w:color w:val="auto"/>
              </w:rPr>
            </w:pPr>
            <w:r>
              <w:rPr>
                <w:rFonts w:ascii="Arial" w:cs="Arial" w:eastAsia="Arial" w:hAnsi="Arial"/>
                <w:sz w:val="13"/>
                <w:szCs w:val="13"/>
                <w:color w:val="auto"/>
                <w:w w:val="96"/>
              </w:rPr>
              <w:t>(Address of principal executive offices)</w:t>
            </w:r>
          </w:p>
        </w:tc>
        <w:tc>
          <w:tcPr>
            <w:tcW w:w="4120" w:type="dxa"/>
            <w:vAlign w:val="bottom"/>
          </w:tcPr>
          <w:p>
            <w:pPr>
              <w:spacing w:after="0"/>
              <w:rPr>
                <w:sz w:val="23"/>
                <w:szCs w:val="23"/>
                <w:color w:val="auto"/>
              </w:rPr>
            </w:pPr>
          </w:p>
        </w:tc>
        <w:tc>
          <w:tcPr>
            <w:tcW w:w="3920" w:type="dxa"/>
            <w:vAlign w:val="bottom"/>
          </w:tcPr>
          <w:p>
            <w:pPr>
              <w:jc w:val="center"/>
              <w:ind w:left="917"/>
              <w:spacing w:after="0"/>
              <w:rPr>
                <w:sz w:val="20"/>
                <w:szCs w:val="20"/>
                <w:color w:val="auto"/>
              </w:rPr>
            </w:pPr>
            <w:r>
              <w:rPr>
                <w:rFonts w:ascii="Arial" w:cs="Arial" w:eastAsia="Arial" w:hAnsi="Arial"/>
                <w:sz w:val="13"/>
                <w:szCs w:val="13"/>
                <w:color w:val="auto"/>
                <w:w w:val="94"/>
              </w:rPr>
              <w:t>(Zip Code)</w:t>
            </w: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4120" w:type="dxa"/>
            <w:vAlign w:val="bottom"/>
          </w:tcPr>
          <w:p>
            <w:pPr>
              <w:jc w:val="right"/>
              <w:ind w:right="1012"/>
              <w:spacing w:after="0"/>
              <w:rPr>
                <w:sz w:val="20"/>
                <w:szCs w:val="20"/>
                <w:color w:val="auto"/>
              </w:rPr>
            </w:pPr>
            <w:r>
              <w:rPr>
                <w:rFonts w:ascii="Arial" w:cs="Arial" w:eastAsia="Arial" w:hAnsi="Arial"/>
                <w:sz w:val="13"/>
                <w:szCs w:val="13"/>
                <w:color w:val="auto"/>
              </w:rPr>
              <w:t>(973) 496-4700</w:t>
            </w: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40" w:type="dxa"/>
            <w:vAlign w:val="bottom"/>
          </w:tcPr>
          <w:p>
            <w:pPr>
              <w:spacing w:after="0"/>
              <w:rPr>
                <w:sz w:val="23"/>
                <w:szCs w:val="23"/>
                <w:color w:val="auto"/>
              </w:rPr>
            </w:pPr>
          </w:p>
        </w:tc>
        <w:tc>
          <w:tcPr>
            <w:tcW w:w="4120" w:type="dxa"/>
            <w:vAlign w:val="bottom"/>
          </w:tcPr>
          <w:p>
            <w:pPr>
              <w:jc w:val="center"/>
              <w:ind w:left="1112"/>
              <w:spacing w:after="0"/>
              <w:rPr>
                <w:sz w:val="20"/>
                <w:szCs w:val="20"/>
                <w:color w:val="auto"/>
              </w:rPr>
            </w:pPr>
            <w:r>
              <w:rPr>
                <w:rFonts w:ascii="Arial" w:cs="Arial" w:eastAsia="Arial" w:hAnsi="Arial"/>
                <w:sz w:val="13"/>
                <w:szCs w:val="13"/>
                <w:color w:val="auto"/>
                <w:w w:val="96"/>
              </w:rPr>
              <w:t>(Registrant’s telephone number, including area code)</w:t>
            </w: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19"/>
                <w:szCs w:val="19"/>
                <w:color w:val="auto"/>
              </w:rPr>
            </w:pPr>
          </w:p>
        </w:tc>
        <w:tc>
          <w:tcPr>
            <w:tcW w:w="8040" w:type="dxa"/>
            <w:vAlign w:val="bottom"/>
            <w:gridSpan w:val="2"/>
          </w:tcPr>
          <w:p>
            <w:pPr>
              <w:jc w:val="center"/>
              <w:ind w:right="2837"/>
              <w:spacing w:after="0"/>
              <w:rPr>
                <w:sz w:val="20"/>
                <w:szCs w:val="20"/>
                <w:color w:val="auto"/>
              </w:rPr>
            </w:pPr>
            <w:r>
              <w:rPr>
                <w:rFonts w:ascii="Arial" w:cs="Arial" w:eastAsia="Arial" w:hAnsi="Arial"/>
                <w:sz w:val="13"/>
                <w:szCs w:val="13"/>
                <w:b w:val="1"/>
                <w:bCs w:val="1"/>
                <w:color w:val="auto"/>
                <w:w w:val="96"/>
              </w:rPr>
              <w:t>SECURITIES REGISTERED PURSUANT TO SECTION 12(b) OF THE ACT:</w:t>
            </w:r>
          </w:p>
        </w:tc>
        <w:tc>
          <w:tcPr>
            <w:tcW w:w="0" w:type="dxa"/>
            <w:vAlign w:val="bottom"/>
          </w:tcPr>
          <w:p>
            <w:pPr>
              <w:spacing w:after="0"/>
              <w:rPr>
                <w:sz w:val="1"/>
                <w:szCs w:val="1"/>
                <w:color w:val="auto"/>
              </w:rPr>
            </w:pPr>
          </w:p>
        </w:tc>
      </w:tr>
      <w:tr>
        <w:trPr>
          <w:trHeight w:val="311"/>
        </w:trPr>
        <w:tc>
          <w:tcPr>
            <w:tcW w:w="3140" w:type="dxa"/>
            <w:vAlign w:val="bottom"/>
          </w:tcPr>
          <w:p>
            <w:pPr>
              <w:jc w:val="center"/>
              <w:ind w:left="697"/>
              <w:spacing w:after="0"/>
              <w:rPr>
                <w:sz w:val="20"/>
                <w:szCs w:val="20"/>
                <w:color w:val="auto"/>
              </w:rPr>
            </w:pPr>
            <w:r>
              <w:rPr>
                <w:rFonts w:ascii="Arial" w:cs="Arial" w:eastAsia="Arial" w:hAnsi="Arial"/>
                <w:sz w:val="13"/>
                <w:szCs w:val="13"/>
                <w:b w:val="1"/>
                <w:bCs w:val="1"/>
                <w:color w:val="auto"/>
                <w:w w:val="97"/>
              </w:rPr>
              <w:t>TITLE OF EACH CLASS</w:t>
            </w:r>
          </w:p>
        </w:tc>
        <w:tc>
          <w:tcPr>
            <w:tcW w:w="4120" w:type="dxa"/>
            <w:vAlign w:val="bottom"/>
          </w:tcPr>
          <w:p>
            <w:pPr>
              <w:jc w:val="center"/>
              <w:ind w:left="1092"/>
              <w:spacing w:after="0"/>
              <w:rPr>
                <w:sz w:val="20"/>
                <w:szCs w:val="20"/>
                <w:color w:val="auto"/>
              </w:rPr>
            </w:pPr>
            <w:r>
              <w:rPr>
                <w:rFonts w:ascii="Arial" w:cs="Arial" w:eastAsia="Arial" w:hAnsi="Arial"/>
                <w:sz w:val="13"/>
                <w:szCs w:val="13"/>
                <w:b w:val="1"/>
                <w:bCs w:val="1"/>
                <w:color w:val="auto"/>
                <w:w w:val="97"/>
              </w:rPr>
              <w:t>TRADING SYMBOL(S)</w:t>
            </w:r>
          </w:p>
        </w:tc>
        <w:tc>
          <w:tcPr>
            <w:tcW w:w="3920" w:type="dxa"/>
            <w:vAlign w:val="bottom"/>
          </w:tcPr>
          <w:p>
            <w:pPr>
              <w:jc w:val="center"/>
              <w:ind w:left="597"/>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89"/>
        </w:trPr>
        <w:tc>
          <w:tcPr>
            <w:tcW w:w="3140" w:type="dxa"/>
            <w:vAlign w:val="bottom"/>
          </w:tcPr>
          <w:p>
            <w:pPr>
              <w:jc w:val="center"/>
              <w:ind w:left="717"/>
              <w:spacing w:after="0"/>
              <w:rPr>
                <w:sz w:val="20"/>
                <w:szCs w:val="20"/>
                <w:color w:val="auto"/>
              </w:rPr>
            </w:pPr>
            <w:r>
              <w:rPr>
                <w:rFonts w:ascii="Arial" w:cs="Arial" w:eastAsia="Arial" w:hAnsi="Arial"/>
                <w:sz w:val="13"/>
                <w:szCs w:val="13"/>
                <w:color w:val="auto"/>
                <w:w w:val="96"/>
              </w:rPr>
              <w:t>Common Stock, Par Value $.01</w:t>
            </w:r>
          </w:p>
        </w:tc>
        <w:tc>
          <w:tcPr>
            <w:tcW w:w="4120" w:type="dxa"/>
            <w:vAlign w:val="bottom"/>
          </w:tcPr>
          <w:p>
            <w:pPr>
              <w:jc w:val="center"/>
              <w:ind w:left="1092"/>
              <w:spacing w:after="0"/>
              <w:rPr>
                <w:sz w:val="20"/>
                <w:szCs w:val="20"/>
                <w:color w:val="auto"/>
              </w:rPr>
            </w:pPr>
            <w:r>
              <w:rPr>
                <w:rFonts w:ascii="Arial" w:cs="Arial" w:eastAsia="Arial" w:hAnsi="Arial"/>
                <w:sz w:val="13"/>
                <w:szCs w:val="13"/>
                <w:color w:val="auto"/>
              </w:rPr>
              <w:t>CAR</w:t>
            </w:r>
          </w:p>
        </w:tc>
        <w:tc>
          <w:tcPr>
            <w:tcW w:w="3920" w:type="dxa"/>
            <w:vAlign w:val="bottom"/>
          </w:tcPr>
          <w:p>
            <w:pPr>
              <w:jc w:val="center"/>
              <w:ind w:left="577"/>
              <w:spacing w:after="0"/>
              <w:rPr>
                <w:sz w:val="20"/>
                <w:szCs w:val="20"/>
                <w:color w:val="auto"/>
              </w:rPr>
            </w:pPr>
            <w:r>
              <w:rPr>
                <w:rFonts w:ascii="Arial" w:cs="Arial" w:eastAsia="Arial" w:hAnsi="Arial"/>
                <w:sz w:val="13"/>
                <w:szCs w:val="13"/>
                <w:color w:val="auto"/>
                <w:w w:val="97"/>
              </w:rPr>
              <w:t>The NASDAQ Global Select Market</w:t>
            </w:r>
          </w:p>
        </w:tc>
        <w:tc>
          <w:tcPr>
            <w:tcW w:w="0" w:type="dxa"/>
            <w:vAlign w:val="bottom"/>
          </w:tcPr>
          <w:p>
            <w:pPr>
              <w:spacing w:after="0"/>
              <w:rPr>
                <w:sz w:val="1"/>
                <w:szCs w:val="1"/>
                <w:color w:val="auto"/>
              </w:rPr>
            </w:pPr>
          </w:p>
        </w:tc>
      </w:tr>
      <w:tr>
        <w:trPr>
          <w:trHeight w:val="189"/>
        </w:trPr>
        <w:tc>
          <w:tcPr>
            <w:tcW w:w="3140" w:type="dxa"/>
            <w:vAlign w:val="bottom"/>
          </w:tcPr>
          <w:p>
            <w:pPr>
              <w:jc w:val="center"/>
              <w:ind w:left="697"/>
              <w:spacing w:after="0"/>
              <w:rPr>
                <w:sz w:val="20"/>
                <w:szCs w:val="20"/>
                <w:color w:val="auto"/>
              </w:rPr>
            </w:pPr>
            <w:r>
              <w:rPr>
                <w:rFonts w:ascii="Arial" w:cs="Arial" w:eastAsia="Arial" w:hAnsi="Arial"/>
                <w:sz w:val="13"/>
                <w:szCs w:val="13"/>
                <w:color w:val="auto"/>
                <w:w w:val="96"/>
              </w:rPr>
              <w:t>Common Stock Purchase Rights</w:t>
            </w:r>
          </w:p>
        </w:tc>
        <w:tc>
          <w:tcPr>
            <w:tcW w:w="4120" w:type="dxa"/>
            <w:vAlign w:val="bottom"/>
          </w:tcPr>
          <w:p>
            <w:pPr>
              <w:jc w:val="center"/>
              <w:ind w:left="1092"/>
              <w:spacing w:after="0"/>
              <w:rPr>
                <w:sz w:val="20"/>
                <w:szCs w:val="20"/>
                <w:color w:val="auto"/>
              </w:rPr>
            </w:pPr>
            <w:r>
              <w:rPr>
                <w:rFonts w:ascii="Arial" w:cs="Arial" w:eastAsia="Arial" w:hAnsi="Arial"/>
                <w:sz w:val="13"/>
                <w:szCs w:val="13"/>
                <w:color w:val="auto"/>
                <w:w w:val="92"/>
              </w:rPr>
              <w:t>N/A</w:t>
            </w:r>
          </w:p>
        </w:tc>
        <w:tc>
          <w:tcPr>
            <w:tcW w:w="3920" w:type="dxa"/>
            <w:vAlign w:val="bottom"/>
          </w:tcPr>
          <w:p>
            <w:pPr>
              <w:jc w:val="center"/>
              <w:ind w:left="577"/>
              <w:spacing w:after="0"/>
              <w:rPr>
                <w:sz w:val="20"/>
                <w:szCs w:val="20"/>
                <w:color w:val="auto"/>
              </w:rPr>
            </w:pPr>
            <w:r>
              <w:rPr>
                <w:rFonts w:ascii="Arial" w:cs="Arial" w:eastAsia="Arial" w:hAnsi="Arial"/>
                <w:sz w:val="13"/>
                <w:szCs w:val="13"/>
                <w:color w:val="auto"/>
                <w:w w:val="97"/>
              </w:rPr>
              <w:t>The NASDAQ Global Select Market</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8040" w:type="dxa"/>
            <w:vAlign w:val="bottom"/>
            <w:gridSpan w:val="2"/>
          </w:tcPr>
          <w:p>
            <w:pPr>
              <w:jc w:val="center"/>
              <w:ind w:right="2817"/>
              <w:spacing w:after="0"/>
              <w:rPr>
                <w:sz w:val="20"/>
                <w:szCs w:val="20"/>
                <w:color w:val="auto"/>
              </w:rPr>
            </w:pPr>
            <w:r>
              <w:rPr>
                <w:rFonts w:ascii="Arial" w:cs="Arial" w:eastAsia="Arial" w:hAnsi="Arial"/>
                <w:sz w:val="13"/>
                <w:szCs w:val="13"/>
                <w:b w:val="1"/>
                <w:bCs w:val="1"/>
                <w:color w:val="auto"/>
                <w:w w:val="96"/>
              </w:rPr>
              <w:t xml:space="preserve">SECURITIES REGISTERED PURSUANT TO SECTION 12(g) OF THE ACT: </w:t>
            </w:r>
            <w:r>
              <w:rPr>
                <w:rFonts w:ascii="Arial" w:cs="Arial" w:eastAsia="Arial" w:hAnsi="Arial"/>
                <w:sz w:val="13"/>
                <w:szCs w:val="13"/>
                <w:color w:val="auto"/>
                <w:w w:val="96"/>
              </w:rPr>
              <w:t>None</w:t>
            </w:r>
          </w:p>
        </w:tc>
        <w:tc>
          <w:tcPr>
            <w:tcW w:w="0" w:type="dxa"/>
            <w:vAlign w:val="bottom"/>
          </w:tcPr>
          <w:p>
            <w:pPr>
              <w:spacing w:after="0"/>
              <w:rPr>
                <w:sz w:val="1"/>
                <w:szCs w:val="1"/>
                <w:color w:val="auto"/>
              </w:rPr>
            </w:pPr>
          </w:p>
        </w:tc>
      </w:tr>
      <w:tr>
        <w:trPr>
          <w:trHeight w:val="244"/>
        </w:trPr>
        <w:tc>
          <w:tcPr>
            <w:tcW w:w="7260" w:type="dxa"/>
            <w:vAlign w:val="bottom"/>
            <w:gridSpan w:val="2"/>
          </w:tcPr>
          <w:p>
            <w:pPr>
              <w:jc w:val="right"/>
              <w:spacing w:after="0" w:line="150" w:lineRule="exact"/>
              <w:rPr>
                <w:sz w:val="20"/>
                <w:szCs w:val="20"/>
                <w:color w:val="auto"/>
              </w:rPr>
            </w:pPr>
            <w:r>
              <w:rPr>
                <w:rFonts w:ascii="Arial" w:cs="Arial" w:eastAsia="Arial" w:hAnsi="Arial"/>
                <w:sz w:val="13"/>
                <w:szCs w:val="13"/>
                <w:color w:val="auto"/>
                <w:w w:val="97"/>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7"/>
              </w:rPr>
              <w:t>☒</w:t>
            </w:r>
            <w:r>
              <w:rPr>
                <w:rFonts w:ascii="Arial" w:cs="Arial" w:eastAsia="Arial" w:hAnsi="Arial"/>
                <w:sz w:val="13"/>
                <w:szCs w:val="13"/>
                <w:color w:val="auto"/>
                <w:w w:val="97"/>
              </w:rPr>
              <w:t xml:space="preserve"> No</w:t>
            </w:r>
          </w:p>
        </w:tc>
        <w:tc>
          <w:tcPr>
            <w:tcW w:w="3920" w:type="dxa"/>
            <w:vAlign w:val="bottom"/>
          </w:tcPr>
          <w:p>
            <w:pPr>
              <w:spacing w:after="0"/>
              <w:rPr>
                <w:sz w:val="20"/>
                <w:szCs w:val="20"/>
                <w:color w:val="auto"/>
              </w:rPr>
            </w:pPr>
            <w:r>
              <w:rPr>
                <w:rFonts w:ascii="Arial" w:cs="Arial" w:eastAsia="Arial" w:hAnsi="Arial"/>
                <w:sz w:val="13"/>
                <w:szCs w:val="13"/>
                <w:color w:val="auto"/>
              </w:rPr>
              <w:t>o</w:t>
            </w:r>
          </w:p>
        </w:tc>
        <w:tc>
          <w:tcPr>
            <w:tcW w:w="0" w:type="dxa"/>
            <w:vAlign w:val="bottom"/>
          </w:tcPr>
          <w:p>
            <w:pPr>
              <w:spacing w:after="0"/>
              <w:rPr>
                <w:sz w:val="1"/>
                <w:szCs w:val="1"/>
                <w:color w:val="auto"/>
              </w:rPr>
            </w:pPr>
          </w:p>
        </w:tc>
      </w:tr>
    </w:tbl>
    <w:p>
      <w:pPr>
        <w:spacing w:after="0" w:line="3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o No </w:t>
      </w:r>
      <w:r>
        <w:rPr>
          <w:rFonts w:ascii="MS PGothic" w:cs="MS PGothic" w:eastAsia="MS PGothic" w:hAnsi="MS PGothic"/>
          <w:sz w:val="13"/>
          <w:szCs w:val="13"/>
          <w:color w:val="auto"/>
        </w:rPr>
        <w:t>☒</w:t>
      </w:r>
    </w:p>
    <w:p>
      <w:pPr>
        <w:spacing w:after="0" w:line="113" w:lineRule="exact"/>
        <w:rPr>
          <w:sz w:val="24"/>
          <w:szCs w:val="24"/>
          <w:color w:val="auto"/>
        </w:rPr>
      </w:pPr>
    </w:p>
    <w:p>
      <w:pPr>
        <w:ind w:right="120"/>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4" w:lineRule="exact"/>
        <w:rPr>
          <w:sz w:val="24"/>
          <w:szCs w:val="24"/>
          <w:color w:val="auto"/>
        </w:rPr>
      </w:pPr>
    </w:p>
    <w:p>
      <w:pPr>
        <w:ind w:right="80"/>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4" w:lineRule="exact"/>
        <w:rPr>
          <w:sz w:val="24"/>
          <w:szCs w:val="24"/>
          <w:color w:val="auto"/>
        </w:rPr>
      </w:pPr>
    </w:p>
    <w:p>
      <w:pPr>
        <w:ind w:right="480"/>
        <w:spacing w:after="0" w:line="157"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4" w:lineRule="exact"/>
        <w:rPr>
          <w:sz w:val="24"/>
          <w:szCs w:val="24"/>
          <w:color w:val="auto"/>
        </w:rPr>
      </w:pPr>
    </w:p>
    <w:p>
      <w:pPr>
        <w:ind w:right="66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71"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9" w:lineRule="exact"/>
        <w:rPr>
          <w:sz w:val="24"/>
          <w:szCs w:val="24"/>
          <w:color w:val="auto"/>
        </w:rPr>
      </w:pPr>
    </w:p>
    <w:p>
      <w:pPr>
        <w:sectPr>
          <w:pgSz w:w="11900" w:h="16838" w:orient="portrait"/>
          <w:cols w:equalWidth="0" w:num="6">
            <w:col w:w="2940" w:space="720"/>
            <w:col w:w="120" w:space="140"/>
            <w:col w:w="2800" w:space="720"/>
            <w:col w:w="120" w:space="140"/>
            <w:col w:w="2780" w:space="720"/>
            <w:col w:w="220"/>
          </w:cols>
          <w:pgMar w:left="240" w:top="229"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5" w:lineRule="exact"/>
        <w:rPr>
          <w:sz w:val="24"/>
          <w:szCs w:val="24"/>
          <w:color w:val="auto"/>
        </w:rPr>
      </w:pPr>
    </w:p>
    <w:p>
      <w:pPr>
        <w:sectPr>
          <w:pgSz w:w="11900" w:h="16838" w:orient="portrait"/>
          <w:cols w:equalWidth="0" w:num="4">
            <w:col w:w="2940" w:space="720"/>
            <w:col w:w="120" w:space="140"/>
            <w:col w:w="2800" w:space="720"/>
            <w:col w:w="3980"/>
          </w:cols>
          <w:pgMar w:left="240" w:top="229" w:right="239" w:bottom="1440" w:gutter="0" w:footer="0" w:header="0"/>
          <w:type w:val="continuous"/>
        </w:sectPr>
      </w:pPr>
    </w:p>
    <w:p>
      <w:pPr>
        <w:ind w:right="100"/>
        <w:spacing w:after="0" w:line="242"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right="540"/>
        <w:spacing w:after="0" w:line="282" w:lineRule="auto"/>
        <w:rPr>
          <w:sz w:val="20"/>
          <w:szCs w:val="20"/>
          <w:color w:val="auto"/>
        </w:rPr>
      </w:pPr>
      <w:r>
        <w:rPr>
          <w:rFonts w:ascii="Arial" w:cs="Arial" w:eastAsia="Arial" w:hAnsi="Arial"/>
          <w:sz w:val="12"/>
          <w:szCs w:val="12"/>
          <w:color w:val="auto"/>
        </w:rPr>
        <w:t>As of June 30, 2019, the aggregate market value of the registrant’s common stock held by non-affiliates of the registrant was $ 2,564,141,255 based on the closing price of its common stock on the NASDAQ Global Select Market. All executive officers and directors of the registrant have been deemed, solely for the purpose of the foregoing calculation, to be “affiliates” of the registrant.</w:t>
      </w:r>
    </w:p>
    <w:p>
      <w:pPr>
        <w:spacing w:after="0" w:line="54"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14, 2020, the number of shares outstanding of the registrant’s common stock was 74,356,513.</w:t>
      </w:r>
    </w:p>
    <w:p>
      <w:pPr>
        <w:spacing w:after="0" w:line="91" w:lineRule="exact"/>
        <w:rPr>
          <w:sz w:val="24"/>
          <w:szCs w:val="24"/>
          <w:color w:val="auto"/>
        </w:rPr>
      </w:pPr>
    </w:p>
    <w:p>
      <w:pPr>
        <w:ind w:left="42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9"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Portions of the registrant’s definitive proxy statement to be mailed to stockholders in connection with the registrant’s 2020 annual meeting of stockholders (the “Annual Proxy Statement”) are incorporated by reference into Part III hereof.</w:t>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0" w:type="dxa"/>
            <w:vAlign w:val="bottom"/>
            <w:gridSpan w:val="8"/>
          </w:tcPr>
          <w:p>
            <w:pPr>
              <w:ind w:left="32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8"/>
        </w:trPr>
        <w:tc>
          <w:tcPr>
            <w:tcW w:w="380" w:type="dxa"/>
            <w:vAlign w:val="bottom"/>
          </w:tcPr>
          <w:p>
            <w:pPr>
              <w:spacing w:after="0"/>
              <w:rPr>
                <w:sz w:val="20"/>
                <w:szCs w:val="20"/>
                <w:color w:val="auto"/>
              </w:rPr>
            </w:pPr>
            <w:r>
              <w:rPr>
                <w:rFonts w:ascii="Arial" w:cs="Arial" w:eastAsia="Arial" w:hAnsi="Arial"/>
                <w:sz w:val="18"/>
                <w:szCs w:val="18"/>
                <w:b w:val="1"/>
                <w:bCs w:val="1"/>
                <w:color w:val="auto"/>
                <w:w w:val="97"/>
              </w:rPr>
              <w:t>Item</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4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c>
          <w:tcPr>
            <w:tcW w:w="76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2"/>
              </w:rPr>
              <w:t>Page</w:t>
            </w:r>
          </w:p>
        </w:tc>
      </w:tr>
      <w:tr>
        <w:trPr>
          <w:trHeight w:val="615"/>
        </w:trPr>
        <w:tc>
          <w:tcPr>
            <w:tcW w:w="3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gridSpan w:val="10"/>
          </w:tcPr>
          <w:p>
            <w:pPr>
              <w:spacing w:after="0"/>
              <w:rPr>
                <w:sz w:val="20"/>
                <w:szCs w:val="20"/>
                <w:color w:val="auto"/>
              </w:rPr>
            </w:pPr>
            <w:r>
              <w:rPr>
                <w:rFonts w:ascii="Arial" w:cs="Arial" w:eastAsia="Arial" w:hAnsi="Arial"/>
                <w:sz w:val="18"/>
                <w:szCs w:val="18"/>
                <w:b w:val="1"/>
                <w:bCs w:val="1"/>
                <w:color w:val="auto"/>
              </w:rPr>
              <w:t>PART I</w:t>
            </w:r>
          </w:p>
        </w:tc>
        <w:tc>
          <w:tcPr>
            <w:tcW w:w="980" w:type="dxa"/>
            <w:vAlign w:val="bottom"/>
            <w:tcBorders>
              <w:top w:val="single" w:sz="8" w:color="auto"/>
            </w:tcBorders>
            <w:gridSpan w:val="3"/>
          </w:tcPr>
          <w:p>
            <w:pPr>
              <w:spacing w:after="0"/>
              <w:rPr>
                <w:sz w:val="24"/>
                <w:szCs w:val="24"/>
                <w:color w:val="auto"/>
              </w:rPr>
            </w:pPr>
          </w:p>
        </w:tc>
        <w:tc>
          <w:tcPr>
            <w:tcW w:w="4660" w:type="dxa"/>
            <w:vAlign w:val="bottom"/>
            <w:gridSpan w:val="4"/>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40" w:type="dxa"/>
            <w:vAlign w:val="bottom"/>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Business</w:t>
              </w:r>
            </w:hyperlink>
          </w:p>
        </w:tc>
        <w:tc>
          <w:tcPr>
            <w:tcW w:w="9180" w:type="dxa"/>
            <w:vAlign w:val="bottom"/>
            <w:gridSpan w:val="16"/>
          </w:tcPr>
          <w:p>
            <w:pPr>
              <w:spacing w:after="0"/>
              <w:rPr>
                <w:sz w:val="18"/>
                <w:szCs w:val="18"/>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6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1A</w:t>
            </w:r>
          </w:p>
        </w:tc>
        <w:tc>
          <w:tcPr>
            <w:tcW w:w="992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76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56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1B</w:t>
            </w:r>
          </w:p>
        </w:tc>
        <w:tc>
          <w:tcPr>
            <w:tcW w:w="2260" w:type="dxa"/>
            <w:vAlign w:val="bottom"/>
            <w:gridSpan w:val="8"/>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Unresolved Staff Comments</w:t>
              </w:r>
            </w:hyperlink>
          </w:p>
        </w:tc>
        <w:tc>
          <w:tcPr>
            <w:tcW w:w="7660" w:type="dxa"/>
            <w:vAlign w:val="bottom"/>
            <w:gridSpan w:val="9"/>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2260" w:type="dxa"/>
            <w:vAlign w:val="bottom"/>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7660" w:type="dxa"/>
            <w:vAlign w:val="bottom"/>
            <w:gridSpan w:val="9"/>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500" w:type="dxa"/>
            <w:vAlign w:val="bottom"/>
            <w:gridSpan w:val="5"/>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Legal Proceedings</w:t>
              </w:r>
            </w:hyperlink>
          </w:p>
        </w:tc>
        <w:tc>
          <w:tcPr>
            <w:tcW w:w="8420" w:type="dxa"/>
            <w:vAlign w:val="bottom"/>
            <w:gridSpan w:val="1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000" w:type="dxa"/>
            <w:vAlign w:val="bottom"/>
            <w:gridSpan w:val="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7920" w:type="dxa"/>
            <w:vAlign w:val="bottom"/>
            <w:gridSpan w:val="10"/>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615"/>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PART II</w:t>
            </w:r>
          </w:p>
        </w:tc>
        <w:tc>
          <w:tcPr>
            <w:tcW w:w="792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992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 Purchases of Equity Securities</w:t>
              </w:r>
            </w:hyperlink>
          </w:p>
        </w:tc>
        <w:tc>
          <w:tcPr>
            <w:tcW w:w="7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888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Selected Financial Data</w:t>
              </w:r>
            </w:hyperlink>
          </w:p>
        </w:tc>
        <w:tc>
          <w:tcPr>
            <w:tcW w:w="1040" w:type="dxa"/>
            <w:vAlign w:val="bottom"/>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992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76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7A</w:t>
            </w:r>
          </w:p>
        </w:tc>
        <w:tc>
          <w:tcPr>
            <w:tcW w:w="4700" w:type="dxa"/>
            <w:vAlign w:val="bottom"/>
            <w:gridSpan w:val="12"/>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Quantitative and Qualitative Disclosures about Market Risk</w:t>
              </w:r>
            </w:hyperlink>
          </w:p>
        </w:tc>
        <w:tc>
          <w:tcPr>
            <w:tcW w:w="2380" w:type="dxa"/>
            <w:vAlign w:val="bottom"/>
            <w:gridSpan w:val="2"/>
          </w:tcPr>
          <w:p>
            <w:pPr>
              <w:spacing w:after="0"/>
              <w:rPr>
                <w:sz w:val="20"/>
                <w:szCs w:val="20"/>
                <w:color w:val="auto"/>
              </w:rPr>
            </w:pPr>
          </w:p>
        </w:tc>
        <w:tc>
          <w:tcPr>
            <w:tcW w:w="2840" w:type="dxa"/>
            <w:vAlign w:val="bottom"/>
            <w:gridSpan w:val="3"/>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4700" w:type="dxa"/>
            <w:vAlign w:val="bottom"/>
            <w:gridSpan w:val="1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5220" w:type="dxa"/>
            <w:vAlign w:val="bottom"/>
            <w:gridSpan w:val="5"/>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7140" w:type="dxa"/>
            <w:vAlign w:val="bottom"/>
            <w:gridSpan w:val="15"/>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Changes in and Disagreements with Accountants on Accounting and Financial Disclosure</w:t>
              </w:r>
            </w:hyperlink>
          </w:p>
        </w:tc>
        <w:tc>
          <w:tcPr>
            <w:tcW w:w="2780" w:type="dxa"/>
            <w:vAlign w:val="bottom"/>
            <w:gridSpan w:val="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9A</w:t>
            </w:r>
          </w:p>
        </w:tc>
        <w:tc>
          <w:tcPr>
            <w:tcW w:w="2000" w:type="dxa"/>
            <w:vAlign w:val="bottom"/>
            <w:gridSpan w:val="7"/>
          </w:tcPr>
          <w:p>
            <w:pPr>
              <w:spacing w:after="0"/>
              <w:rPr>
                <w:rFonts w:ascii="Arial" w:cs="Arial" w:eastAsia="Arial" w:hAnsi="Arial"/>
                <w:sz w:val="18"/>
                <w:szCs w:val="18"/>
                <w:color w:val="0000EE"/>
                <w:w w:val="98"/>
              </w:rPr>
            </w:pPr>
            <w:hyperlink w:anchor="page49">
              <w:r>
                <w:rPr>
                  <w:rFonts w:ascii="Arial" w:cs="Arial" w:eastAsia="Arial" w:hAnsi="Arial"/>
                  <w:sz w:val="18"/>
                  <w:szCs w:val="18"/>
                  <w:color w:val="0000EE"/>
                  <w:w w:val="98"/>
                </w:rPr>
                <w:t>Controls and Procedures</w:t>
              </w:r>
            </w:hyperlink>
          </w:p>
        </w:tc>
        <w:tc>
          <w:tcPr>
            <w:tcW w:w="5140" w:type="dxa"/>
            <w:vAlign w:val="bottom"/>
            <w:gridSpan w:val="8"/>
          </w:tcPr>
          <w:p>
            <w:pPr>
              <w:spacing w:after="0"/>
              <w:rPr>
                <w:sz w:val="20"/>
                <w:szCs w:val="20"/>
                <w:color w:val="auto"/>
              </w:rPr>
            </w:pPr>
          </w:p>
        </w:tc>
        <w:tc>
          <w:tcPr>
            <w:tcW w:w="2780" w:type="dxa"/>
            <w:vAlign w:val="bottom"/>
            <w:gridSpan w:val="2"/>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56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9B</w:t>
            </w:r>
          </w:p>
        </w:tc>
        <w:tc>
          <w:tcPr>
            <w:tcW w:w="200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7920" w:type="dxa"/>
            <w:vAlign w:val="bottom"/>
            <w:gridSpan w:val="10"/>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615"/>
        </w:trPr>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PART III</w:t>
            </w:r>
          </w:p>
        </w:tc>
        <w:tc>
          <w:tcPr>
            <w:tcW w:w="8520" w:type="dxa"/>
            <w:vAlign w:val="bottom"/>
            <w:gridSpan w:val="13"/>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992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Directors, Executive Officers and Corporate Governance</w:t>
              </w:r>
            </w:hyperlink>
          </w:p>
        </w:tc>
        <w:tc>
          <w:tcPr>
            <w:tcW w:w="76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Borders>
              <w:right w:val="single" w:sz="8" w:color="0000EE"/>
            </w:tcBorders>
            <w:gridSpan w:val="7"/>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380" w:type="dxa"/>
            <w:vAlign w:val="bottom"/>
          </w:tcPr>
          <w:p>
            <w:pPr>
              <w:ind w:left="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2000" w:type="dxa"/>
            <w:vAlign w:val="bottom"/>
            <w:gridSpan w:val="7"/>
          </w:tcPr>
          <w:p>
            <w:pPr>
              <w:spacing w:after="0"/>
              <w:rPr>
                <w:rFonts w:ascii="Arial" w:cs="Arial" w:eastAsia="Arial" w:hAnsi="Arial"/>
                <w:sz w:val="18"/>
                <w:szCs w:val="18"/>
                <w:color w:val="0000EE"/>
                <w:w w:val="98"/>
              </w:rPr>
            </w:pPr>
            <w:hyperlink w:anchor="page52">
              <w:r>
                <w:rPr>
                  <w:rFonts w:ascii="Arial" w:cs="Arial" w:eastAsia="Arial" w:hAnsi="Arial"/>
                  <w:sz w:val="18"/>
                  <w:szCs w:val="18"/>
                  <w:color w:val="0000EE"/>
                  <w:w w:val="98"/>
                </w:rPr>
                <w:t>Executive Compensation</w:t>
              </w:r>
            </w:hyperlink>
          </w:p>
        </w:tc>
        <w:tc>
          <w:tcPr>
            <w:tcW w:w="2500" w:type="dxa"/>
            <w:vAlign w:val="bottom"/>
            <w:gridSpan w:val="4"/>
          </w:tcPr>
          <w:p>
            <w:pPr>
              <w:spacing w:after="0"/>
              <w:rPr>
                <w:sz w:val="20"/>
                <w:szCs w:val="20"/>
                <w:color w:val="auto"/>
              </w:rPr>
            </w:pPr>
          </w:p>
        </w:tc>
        <w:tc>
          <w:tcPr>
            <w:tcW w:w="5420" w:type="dxa"/>
            <w:vAlign w:val="bottom"/>
            <w:gridSpan w:val="6"/>
          </w:tcPr>
          <w:p>
            <w:pPr>
              <w:spacing w:after="0"/>
              <w:rPr>
                <w:sz w:val="20"/>
                <w:szCs w:val="20"/>
                <w:color w:val="auto"/>
              </w:rPr>
            </w:pPr>
          </w:p>
        </w:tc>
        <w:tc>
          <w:tcPr>
            <w:tcW w:w="76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36" w:lineRule="exact"/>
        <w:rPr>
          <w:sz w:val="20"/>
          <w:szCs w:val="20"/>
          <w:color w:val="auto"/>
        </w:rPr>
      </w:pPr>
    </w:p>
    <w:p>
      <w:pPr>
        <w:ind w:left="560" w:hanging="550"/>
        <w:spacing w:after="0"/>
        <w:tabs>
          <w:tab w:leader="none" w:pos="560" w:val="left"/>
        </w:tabs>
        <w:numPr>
          <w:ilvl w:val="0"/>
          <w:numId w:val="1"/>
        </w:numPr>
        <w:rPr>
          <w:rFonts w:ascii="Arial" w:cs="Arial" w:eastAsia="Arial" w:hAnsi="Arial"/>
          <w:sz w:val="18"/>
          <w:szCs w:val="18"/>
          <w:color w:val="0000EE"/>
        </w:rPr>
      </w:pPr>
      <w:hyperlink w:anchor="page52">
        <w:r>
          <w:rPr>
            <w:rFonts w:ascii="Arial" w:cs="Arial" w:eastAsia="Arial" w:hAnsi="Arial"/>
            <w:sz w:val="18"/>
            <w:szCs w:val="18"/>
            <w:color w:val="0000EE"/>
          </w:rPr>
          <w:t>Security Ownership of Certain Beneficial Owners and Management and</w:t>
        </w:r>
      </w:hyperlink>
    </w:p>
    <w:tbl>
      <w:tblPr>
        <w:tblLayout w:type="fixed"/>
        <w:tblInd w:w="20" w:type="dxa"/>
        <w:tblCellMar>
          <w:top w:w="0" w:type="dxa"/>
          <w:left w:w="0" w:type="dxa"/>
          <w:bottom w:w="0" w:type="dxa"/>
          <w:right w:w="0" w:type="dxa"/>
        </w:tblCellMar>
      </w:tblPr>
      <w:tr>
        <w:trPr>
          <w:trHeight w:val="183"/>
        </w:trPr>
        <w:tc>
          <w:tcPr>
            <w:tcW w:w="54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Related Stockholder Matters</w:t>
              </w:r>
            </w:hyperlink>
          </w:p>
        </w:tc>
        <w:tc>
          <w:tcPr>
            <w:tcW w:w="3420" w:type="dxa"/>
            <w:vAlign w:val="bottom"/>
            <w:tcBorders>
              <w:top w:val="single" w:sz="8" w:color="0000EE"/>
            </w:tcBorders>
            <w:gridSpan w:val="3"/>
          </w:tcPr>
          <w:p>
            <w:pPr>
              <w:spacing w:after="0"/>
              <w:rPr>
                <w:sz w:val="15"/>
                <w:szCs w:val="15"/>
                <w:color w:val="auto"/>
              </w:rPr>
            </w:pPr>
          </w:p>
        </w:tc>
        <w:tc>
          <w:tcPr>
            <w:tcW w:w="4780" w:type="dxa"/>
            <w:vAlign w:val="bottom"/>
            <w:gridSpan w:val="2"/>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r>
      <w:tr>
        <w:trPr>
          <w:trHeight w:val="237"/>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13</w:t>
            </w:r>
          </w:p>
        </w:tc>
        <w:tc>
          <w:tcPr>
            <w:tcW w:w="1048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Certain Relationships and Related Transactions, and Director Independence</w:t>
              </w:r>
            </w:hyperlink>
          </w:p>
        </w:tc>
        <w:tc>
          <w:tcPr>
            <w:tcW w:w="200" w:type="dxa"/>
            <w:vAlign w:val="bottom"/>
          </w:tcPr>
          <w:p>
            <w:pPr>
              <w:jc w:val="right"/>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r>
      <w:tr>
        <w:trPr>
          <w:trHeight w:val="237"/>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14</w:t>
            </w:r>
          </w:p>
        </w:tc>
        <w:tc>
          <w:tcPr>
            <w:tcW w:w="6080" w:type="dxa"/>
            <w:vAlign w:val="bottom"/>
            <w:tcBorders>
              <w:top w:val="single" w:sz="8" w:color="0000EE"/>
            </w:tcBorders>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Principal Accountant Fees and Services</w:t>
              </w:r>
            </w:hyperlink>
          </w:p>
        </w:tc>
        <w:tc>
          <w:tcPr>
            <w:tcW w:w="4400" w:type="dxa"/>
            <w:vAlign w:val="bottom"/>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r>
      <w:tr>
        <w:trPr>
          <w:trHeight w:val="615"/>
        </w:trPr>
        <w:tc>
          <w:tcPr>
            <w:tcW w:w="540" w:type="dxa"/>
            <w:vAlign w:val="bottom"/>
          </w:tcPr>
          <w:p>
            <w:pPr>
              <w:spacing w:after="0"/>
              <w:rPr>
                <w:sz w:val="24"/>
                <w:szCs w:val="24"/>
                <w:color w:val="auto"/>
              </w:rPr>
            </w:pPr>
          </w:p>
        </w:tc>
        <w:tc>
          <w:tcPr>
            <w:tcW w:w="318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PART IV</w:t>
            </w:r>
          </w:p>
        </w:tc>
        <w:tc>
          <w:tcPr>
            <w:tcW w:w="7300" w:type="dxa"/>
            <w:vAlign w:val="bottom"/>
            <w:gridSpan w:val="4"/>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r>
      <w:tr>
        <w:trPr>
          <w:trHeight w:val="216"/>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15</w:t>
            </w:r>
          </w:p>
        </w:tc>
        <w:tc>
          <w:tcPr>
            <w:tcW w:w="35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Exhibits and Financial Statement Schedules</w:t>
              </w:r>
            </w:hyperlink>
          </w:p>
        </w:tc>
        <w:tc>
          <w:tcPr>
            <w:tcW w:w="6960" w:type="dxa"/>
            <w:vAlign w:val="bottom"/>
            <w:gridSpan w:val="3"/>
          </w:tcPr>
          <w:p>
            <w:pPr>
              <w:spacing w:after="0"/>
              <w:rPr>
                <w:sz w:val="18"/>
                <w:szCs w:val="18"/>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r>
      <w:tr>
        <w:trPr>
          <w:trHeight w:val="250"/>
        </w:trPr>
        <w:tc>
          <w:tcPr>
            <w:tcW w:w="540" w:type="dxa"/>
            <w:vAlign w:val="bottom"/>
          </w:tcPr>
          <w:p>
            <w:pPr>
              <w:spacing w:after="0"/>
              <w:rPr>
                <w:sz w:val="21"/>
                <w:szCs w:val="21"/>
                <w:color w:val="auto"/>
              </w:rPr>
            </w:pPr>
          </w:p>
        </w:tc>
        <w:tc>
          <w:tcPr>
            <w:tcW w:w="1048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200" w:type="dxa"/>
            <w:vAlign w:val="bottom"/>
          </w:tcPr>
          <w:p>
            <w:pPr>
              <w:jc w:val="right"/>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52</w:t>
              </w:r>
            </w:hyperlink>
          </w:p>
        </w:tc>
      </w:tr>
      <w:tr>
        <w:trPr>
          <w:trHeight w:val="20"/>
        </w:trPr>
        <w:tc>
          <w:tcPr>
            <w:tcW w:w="5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240"/>
          </w:cols>
          <w:pgMar w:left="400" w:top="33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Annual Report on Form 10-K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96"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right="40" w:hanging="328"/>
        <w:spacing w:after="0" w:line="27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185"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travel demand, including changes or disruptions in airline passenger traffic;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civil unrest or political instability in the locations in which we operate;</w:t>
      </w:r>
    </w:p>
    <w:p>
      <w:pPr>
        <w:spacing w:after="0" w:line="19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196"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the performance and retention of our senior management and key employees;</w:t>
      </w:r>
    </w:p>
    <w:p>
      <w:pPr>
        <w:spacing w:after="0" w:line="225"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0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660" w:right="24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201" w:lineRule="exact"/>
        <w:rPr>
          <w:rFonts w:ascii="Arial" w:cs="Arial" w:eastAsia="Arial" w:hAnsi="Arial"/>
          <w:sz w:val="18"/>
          <w:szCs w:val="18"/>
          <w:color w:val="auto"/>
        </w:rPr>
      </w:pPr>
    </w:p>
    <w:p>
      <w:pPr>
        <w:jc w:val="both"/>
        <w:ind w:left="660" w:right="220" w:hanging="328"/>
        <w:spacing w:after="0" w:line="27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protecting the integrity of, and preventing unauthorized access to, our information technology systems or those of our third-party vendors, and protecting the confidential information of our employees and customers against security breaches, including physical or cybersecurity breaches, attacks, or other disruptions, and compliance with privacy and data protection regulation;</w:t>
      </w:r>
    </w:p>
    <w:p>
      <w:pPr>
        <w:spacing w:after="0" w:line="18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third-party vendors and independent contractors;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and our ability to incur substantially more debt;</w:t>
      </w:r>
    </w:p>
    <w:p>
      <w:pPr>
        <w:spacing w:after="0" w:line="196"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actions by activist stockholders and responses from our Board of Directors and senior management; and</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set forth in Item 7, in “Risk Factors” set forth in Item 1A and in other portions of this Annual Report on Form 10-K, may contain forward-looking statements and involve uncertainties that could cause actual results to differ materially from those projected in such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BUSINESS</w:t>
      </w:r>
    </w:p>
    <w:p>
      <w:pPr>
        <w:spacing w:after="0" w:line="25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Except as expressly indicated or unless the context otherwise requires, the “Company,” “Avis Budget,” “we,” “our” or “us” means Avis Budget Group, Inc. and its subsidiaries. “Avis,” “Budget,” “Budget Truck,” “Zipcar,” “Payless,” “Apex,” “Maggiore,” “Morini Rent,” “Turiscar” and “FranceCars” refer to our Avis Rent A Car System, LLC, Budget Rent A Car System, Inc., Budget Truck Rental, LLC, Zipcar, Inc., Payless Car Rental, Inc., Apex Car Rentals, Maggiore Rent S.p.A., Morini S.p.A., Turiscar Group and AAA France Cars SAS operations, respectively, and, unless the context otherwise requires, do not include the operations of our licensees, as further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5487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 leading global provider of mobility solutions through our three most recognized brands, Avis, Budget and Zipcar, together with several other brands, well recognized in their respective markets. Our brands offer a range of options, from car and truck rental to car sharing. We and our licensees operate our brands in approximately 180 countries throughout the world. We generally maintain a leading share of airport car rental revenues in North America, Europe and Australasia, and we operate a leading car sharing network, as well as one of the leading commercial truck rental businesses in the United States.</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average, our global rental fleet totaled approximately 660,000 vehicles in 2019 and we completed more than 41 million vehicle rental transactions worldwide. We typically generate approximately 64% of our revenues from on-airport locations. We license the use of the Avis, Budget, Zipcar and other brands’ trademarks to licensees in areas in which we do not operate directly. Our brands and mobility solutions have an extended global reach with more than 11,000 rental locations throughout the world, including approximately 4,300 locations operated by our licensees. We believe that Avis, Budget and Zipcar enjoy complementary demand patterns with mid-week commercial demand balanced by weekend leisure demand.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categorize our operations into two reportable business segments:</w:t>
      </w:r>
    </w:p>
    <w:p>
      <w:pPr>
        <w:spacing w:after="0" w:line="207" w:lineRule="exact"/>
        <w:rPr>
          <w:sz w:val="20"/>
          <w:szCs w:val="20"/>
          <w:color w:val="auto"/>
        </w:rPr>
      </w:pPr>
    </w:p>
    <w:p>
      <w:pPr>
        <w:ind w:left="660" w:right="8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Americas</w:t>
      </w:r>
      <w:r>
        <w:rPr>
          <w:rFonts w:ascii="Arial" w:cs="Arial" w:eastAsia="Arial" w:hAnsi="Arial"/>
          <w:sz w:val="18"/>
          <w:szCs w:val="18"/>
          <w:color w:val="auto"/>
        </w:rPr>
        <w:t>, which provides and licenses the Company’s brands to third parties for vehicle rentals and ancillary products and services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 America, South America, Central America and the Caribbean, and operates the Company’s car sharing business in certain of these markets; and</w:t>
      </w:r>
    </w:p>
    <w:p>
      <w:pPr>
        <w:spacing w:after="0" w:line="176" w:lineRule="exact"/>
        <w:rPr>
          <w:rFonts w:ascii="Arial" w:cs="Arial" w:eastAsia="Arial" w:hAnsi="Arial"/>
          <w:sz w:val="18"/>
          <w:szCs w:val="18"/>
          <w:color w:val="auto"/>
        </w:rPr>
      </w:pPr>
    </w:p>
    <w:p>
      <w:pPr>
        <w:jc w:val="both"/>
        <w:ind w:left="660" w:hanging="328"/>
        <w:spacing w:after="0" w:line="313"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International</w:t>
      </w:r>
      <w:r>
        <w:rPr>
          <w:rFonts w:ascii="Arial" w:cs="Arial" w:eastAsia="Arial" w:hAnsi="Arial"/>
          <w:sz w:val="17"/>
          <w:szCs w:val="17"/>
          <w:color w:val="auto"/>
        </w:rPr>
        <w:t>, which provides and licenses the Company’s brands to third parties for vehicle rentals and ancillary products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 Europe, the Middle East, Africa, Asia and Australasia, and operates the Company’s car sharing business in certain of these markets.</w:t>
      </w:r>
    </w:p>
    <w:p>
      <w:pPr>
        <w:spacing w:after="0" w:line="15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Additional discussion of our reportable segments is included in the Item 7. “Management’s Discussion and Analysis of Financial Condition and Results of Operations” and in Note 20 to the Consolidated Financial Statements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HISTORY</w:t>
      </w:r>
    </w:p>
    <w:p>
      <w:pPr>
        <w:spacing w:after="0" w:line="2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Avis was founded in 1946 and is believed to be the first company to rent cars from airport locations. Since its founding, Avis has expanded its business throughout the United States and internationally, becoming one of the largest and most recognized car rental brands in the world. In 1996, Avis was acquired by HFS Incorporated and in 1997 merged with our predecessor company, with the combined entity being renamed Cendant Corporation. In 2006, Cendant spun off several significant subsidiaries and changed its name to Avis Budget Group, Inc. The Company is a Delaware corporation headquartered in Parsippany, New Jersey.</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Budget was founded in 1958 to appeal to the value-conscious car rental customer. In 2002, we acquired the Budget brand and certain Budget vehicle rental operations, including the Budget truck rental business. In 2011, we acquired Avis Europe, an independently-owned Company licensee, to expand our international operations and globally reunite the Avis and Budget brands. In 2012 and 2013, we acquired our Apex and Payless brands, respectively, which allowed us to expand our presence in the deep-value segment of the car rental industry. In 2013, we acquired Zipcar, a leading car sharing network, to better serve a greater variety of our customers’ mobility needs. In 2015, we acquired Maggiore, a leading provider of vehicle rental services in Italy. In 2016, we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40"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acquired FranceCars, a privately held vehicle rental company based in France, which significantly expanded our presence in the French market. In 2018, we acquired Morini Rent, which focuses on rentals of cars, vans and refrigerated trucks in Northern Italy, and Turiscar, a well-established vehicle rental company in Portugal, and also invested in our licensee in Greece. These acquisitions have allowed us to continue to expand our global footprint of Company-operated locations and brand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5487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27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strategy is focused on driving sustainable and profitable growth by leveraging differentiated brands and products, delivering margins from our established businesses, and positioning our company as a global leader in the mobility sector.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Leveraging Differentiated Brands and Products</w:t>
      </w: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distinct and well-recognized global brands focus on different segments of customer demand and are complemented by a range of regional brands. We continue to support and build the reputation of our Avis brand as an innovative, reliable and high-quality service provider. Our investments in technology, including our Avis mobile application and websites, are key parts of our efforts to enhance the Avis experience for our customers. In 2019, the Avis mobile application was honored with the J.D. Power award for best mobile travel rental car application. Our Budget brand is a global leader among value-conscious vehicle rental consumers who are looking to “get more” from their vehicle rental provider and Budget Truck is a leading provider of trucks and vans. We are also a leading provider in the car sharing network, where our Zipcar brand provides “wheels when you want them” to urban consumers across more than 450 cities and towns and over 600 college and university campuses.</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plan to drive incremental performance by continuing to improve our customer experience by growing ancillary sales, including services such as our curbside delivery product, providing discounted bundling of products, promoting car class upgrades, piloting new customer vehicle choice models (through our mobile application) and new payment features such as allowing customers to pay with more than one credit card. We plan to continue to strengthen and further expand our global footprint through organic growth and, potentially, through acquisitions, joint ventures, licensing agreements or other relationships.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Improving Margins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have an ongoing portfolio of strategic initiatives underway to improve our margins, including the following:</w:t>
      </w:r>
    </w:p>
    <w:p>
      <w:pPr>
        <w:spacing w:after="0" w:line="225" w:lineRule="exact"/>
        <w:rPr>
          <w:sz w:val="20"/>
          <w:szCs w:val="20"/>
          <w:color w:val="auto"/>
        </w:rPr>
      </w:pPr>
    </w:p>
    <w:p>
      <w:pPr>
        <w:ind w:left="660" w:right="80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Continuing to invest in our connected fleet to benefit from fuel savings and improved utilization, vehicle recovery and damage collections;</w:t>
      </w:r>
    </w:p>
    <w:p>
      <w:pPr>
        <w:spacing w:after="0" w:line="196" w:lineRule="exact"/>
        <w:rPr>
          <w:rFonts w:ascii="Arial" w:cs="Arial" w:eastAsia="Arial" w:hAnsi="Arial"/>
          <w:sz w:val="18"/>
          <w:szCs w:val="18"/>
          <w:color w:val="auto"/>
        </w:rPr>
      </w:pPr>
    </w:p>
    <w:p>
      <w:pPr>
        <w:ind w:left="660" w:right="9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our risk vehicle dispositions through our direct-to-consumer sales channels, including online sales channels and strategically positioned Avis vehicle retail car sale lots, and direct-to-dealer sales channels;</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Achieving fleet cost efficiencies through our mileage optimization initiative, which involves understanding a vehicle’s next best action (rent, rest or hold) based upon current mileage, status and customer demand; and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Rigorously controlling costs, reducing expenses and increasing efficiencies through process and other improvements.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Evolving Mobility</w:t>
      </w:r>
    </w:p>
    <w:p>
      <w:pPr>
        <w:spacing w:after="0" w:line="24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believe that our company is well-positioned as a leader in the evolving mobility sector based on our leading brands, global operations and our fleet management capabilities. We continue to explore a range of mobility opportunities to support future revenue streams. We have expanded our services to offer vehicle rentals to ride-hail drivers and to package delivery providers. We are also exploring a new suite of services for potential customers who could utilize our operational experience and our technology to maintain and manage their own fleets. Our current and growing list of partnerships with mobility service and technology providers, including</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40"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40" w:right="2180" w:hanging="40"/>
        <w:spacing w:after="0" w:line="465" w:lineRule="auto"/>
        <w:rPr>
          <w:sz w:val="20"/>
          <w:szCs w:val="20"/>
          <w:color w:val="auto"/>
        </w:rPr>
      </w:pPr>
      <w:r>
        <w:rPr>
          <w:rFonts w:ascii="Arial" w:cs="Arial" w:eastAsia="Arial" w:hAnsi="Arial"/>
          <w:sz w:val="18"/>
          <w:szCs w:val="18"/>
          <w:color w:val="auto"/>
        </w:rPr>
        <w:t xml:space="preserve">companies such as Uber, Via and Waymo, allows us to offer more options to satisfy a wide variety of mobility needs. </w:t>
      </w:r>
      <w:r>
        <w:rPr>
          <w:rFonts w:ascii="Arial" w:cs="Arial" w:eastAsia="Arial" w:hAnsi="Arial"/>
          <w:sz w:val="18"/>
          <w:szCs w:val="18"/>
          <w:b w:val="1"/>
          <w:bCs w:val="1"/>
          <w:color w:val="auto"/>
        </w:rPr>
        <w:t>OUR BRANDS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5487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BRANDS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Avis, Budget and Zipcar brands are three of the most recognized brands in our industry. We believe that each of our brands are positioned to be embraced by different target customers, and we see benefits and savings from our brands sharing some of the same maintenance facilities, fleet management systems, technology and administrative infrastructure. In addition, we are able to recognize benefits and savings by combining our car rental and car sharing maintenance activities and fleets at times to increase our fleet utilization efficiency and to meet demand peaks. These benefits are further enhanced by complementary demand patterns balancing our business customers’ utilization during weekdays and our leisure and urban customers’ utilization on evenings and weekends. We also operate the Payless and Apex brands, which operate in the value segment of the car rental industry, augmenting our Avis, Budget and Zipcar brands. In addition, our Maggiore and Morini Rent brands in Italy, FranceCars brand in France and Turiscar brand in Portugal further extend the range of vehicle use occasions we are able to serve.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present the approximate composition of our revenues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6350</wp:posOffset>
            </wp:positionV>
            <wp:extent cx="5737225" cy="1483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722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  Includes Budget Truck.</w:t>
      </w:r>
    </w:p>
    <w:p>
      <w:pPr>
        <w:spacing w:after="0" w:line="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Zipcar and other operating brands.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Budget Truck and Zipcar.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45466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4660" cy="20574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Avis brand provides high-quality vehicle rental and other mobility solutions at price points generally above non-branded and value-branded vehicle rental companies and serves the premium commercial and leisure segments of the travel industry. We operate or license Avis vehicle rental locations at virtually all of the largest commercial airports and cities in the world.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Avis locations as of December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Avis Locations</w:t>
            </w:r>
            <w:r>
              <w:rPr>
                <w:rFonts w:ascii="Arial" w:cs="Arial" w:eastAsia="Arial" w:hAnsi="Arial"/>
                <w:sz w:val="14"/>
                <w:szCs w:val="14"/>
                <w:b w:val="1"/>
                <w:bCs w:val="1"/>
                <w:color w:val="auto"/>
              </w:rPr>
              <w:t>*</w:t>
            </w:r>
          </w:p>
        </w:tc>
        <w:tc>
          <w:tcPr>
            <w:tcW w:w="1700" w:type="dxa"/>
            <w:vAlign w:val="bottom"/>
            <w:tcBorders>
              <w:bottom w:val="single" w:sz="8" w:color="auto"/>
            </w:tcBorders>
          </w:tcPr>
          <w:p>
            <w:pPr>
              <w:spacing w:after="0"/>
              <w:rPr>
                <w:sz w:val="21"/>
                <w:szCs w:val="21"/>
                <w:color w:val="auto"/>
              </w:rPr>
            </w:pPr>
          </w:p>
        </w:tc>
      </w:tr>
      <w:tr>
        <w:trPr>
          <w:trHeight w:val="264"/>
        </w:trPr>
        <w:tc>
          <w:tcPr>
            <w:tcW w:w="6060" w:type="dxa"/>
            <w:vAlign w:val="bottom"/>
          </w:tcPr>
          <w:p>
            <w:pPr>
              <w:spacing w:after="0"/>
              <w:rPr>
                <w:sz w:val="22"/>
                <w:szCs w:val="22"/>
                <w:color w:val="auto"/>
              </w:rPr>
            </w:pPr>
          </w:p>
        </w:tc>
        <w:tc>
          <w:tcPr>
            <w:tcW w:w="1840" w:type="dxa"/>
            <w:vAlign w:val="bottom"/>
            <w:gridSpan w:val="2"/>
          </w:tcPr>
          <w:p>
            <w:pPr>
              <w:ind w:left="460"/>
              <w:spacing w:after="0"/>
              <w:rPr>
                <w:sz w:val="20"/>
                <w:szCs w:val="20"/>
                <w:color w:val="auto"/>
              </w:rPr>
            </w:pPr>
            <w:r>
              <w:rPr>
                <w:rFonts w:ascii="Arial" w:cs="Arial" w:eastAsia="Arial" w:hAnsi="Arial"/>
                <w:sz w:val="18"/>
                <w:szCs w:val="18"/>
                <w:b w:val="1"/>
                <w:bCs w:val="1"/>
                <w:color w:val="auto"/>
              </w:rPr>
              <w:t>Americas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International</w:t>
            </w: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57"/>
        </w:trPr>
        <w:tc>
          <w:tcPr>
            <w:tcW w:w="6060" w:type="dxa"/>
            <w:vAlign w:val="bottom"/>
            <w:tcBorders>
              <w:top w:val="single" w:sz="8" w:color="C6D9F1"/>
            </w:tcBorders>
            <w:shd w:val="clear" w:color="auto" w:fill="C6D9F1"/>
          </w:tcPr>
          <w:p>
            <w:pPr>
              <w:ind w:left="40"/>
              <w:spacing w:after="0"/>
              <w:rPr>
                <w:sz w:val="20"/>
                <w:szCs w:val="20"/>
                <w:color w:val="auto"/>
              </w:rPr>
            </w:pPr>
            <w:r>
              <w:rPr>
                <w:rFonts w:ascii="Arial" w:cs="Arial" w:eastAsia="Arial" w:hAnsi="Arial"/>
                <w:sz w:val="18"/>
                <w:szCs w:val="18"/>
                <w:color w:val="auto"/>
              </w:rPr>
              <w:t>Company-operated locations</w:t>
            </w:r>
          </w:p>
        </w:tc>
        <w:tc>
          <w:tcPr>
            <w:tcW w:w="1720" w:type="dxa"/>
            <w:vAlign w:val="bottom"/>
            <w:tcBorders>
              <w:top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1,600</w:t>
            </w:r>
          </w:p>
        </w:tc>
        <w:tc>
          <w:tcPr>
            <w:tcW w:w="120" w:type="dxa"/>
            <w:vAlign w:val="bottom"/>
            <w:tcBorders>
              <w:top w:val="single" w:sz="8" w:color="C6D9F1"/>
            </w:tcBorders>
            <w:shd w:val="clear" w:color="auto" w:fill="C6D9F1"/>
          </w:tcPr>
          <w:p>
            <w:pPr>
              <w:spacing w:after="0"/>
              <w:rPr>
                <w:sz w:val="22"/>
                <w:szCs w:val="22"/>
                <w:color w:val="auto"/>
              </w:rPr>
            </w:pPr>
          </w:p>
        </w:tc>
        <w:tc>
          <w:tcPr>
            <w:tcW w:w="1720" w:type="dxa"/>
            <w:vAlign w:val="bottom"/>
            <w:tcBorders>
              <w:top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1,300</w:t>
            </w:r>
          </w:p>
        </w:tc>
        <w:tc>
          <w:tcPr>
            <w:tcW w:w="100" w:type="dxa"/>
            <w:vAlign w:val="bottom"/>
            <w:tcBorders>
              <w:top w:val="single" w:sz="8" w:color="C6D9F1"/>
            </w:tcBorders>
            <w:shd w:val="clear" w:color="auto" w:fill="C6D9F1"/>
          </w:tcPr>
          <w:p>
            <w:pPr>
              <w:spacing w:after="0"/>
              <w:rPr>
                <w:sz w:val="22"/>
                <w:szCs w:val="22"/>
                <w:color w:val="auto"/>
              </w:rPr>
            </w:pPr>
          </w:p>
        </w:tc>
        <w:tc>
          <w:tcPr>
            <w:tcW w:w="1700" w:type="dxa"/>
            <w:vAlign w:val="bottom"/>
            <w:tcBorders>
              <w:top w:val="single" w:sz="8" w:color="auto"/>
            </w:tcBorders>
            <w:shd w:val="clear" w:color="auto" w:fill="C6D9F1"/>
          </w:tcPr>
          <w:p>
            <w:pPr>
              <w:jc w:val="right"/>
              <w:ind w:right="10"/>
              <w:spacing w:after="0"/>
              <w:rPr>
                <w:sz w:val="20"/>
                <w:szCs w:val="20"/>
                <w:color w:val="auto"/>
              </w:rPr>
            </w:pPr>
            <w:r>
              <w:rPr>
                <w:rFonts w:ascii="Arial" w:cs="Arial" w:eastAsia="Arial" w:hAnsi="Arial"/>
                <w:sz w:val="18"/>
                <w:szCs w:val="18"/>
                <w:color w:val="auto"/>
              </w:rPr>
              <w:t>2,900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Licensee locations</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
        </w:trPr>
        <w:tc>
          <w:tcPr>
            <w:tcW w:w="606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6D9F1"/>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6D9F1"/>
            </w:tcBorders>
            <w:shd w:val="clear" w:color="auto" w:fill="C6D9F1"/>
          </w:tcPr>
          <w:p>
            <w:pPr>
              <w:ind w:left="40"/>
              <w:spacing w:after="0"/>
              <w:rPr>
                <w:sz w:val="20"/>
                <w:szCs w:val="20"/>
                <w:color w:val="auto"/>
              </w:rPr>
            </w:pPr>
            <w:r>
              <w:rPr>
                <w:rFonts w:ascii="Arial" w:cs="Arial" w:eastAsia="Arial" w:hAnsi="Arial"/>
                <w:sz w:val="18"/>
                <w:szCs w:val="18"/>
                <w:b w:val="1"/>
                <w:bCs w:val="1"/>
                <w:color w:val="auto"/>
              </w:rPr>
              <w:t>Total Avis Locations</w:t>
            </w:r>
          </w:p>
        </w:tc>
        <w:tc>
          <w:tcPr>
            <w:tcW w:w="1720" w:type="dxa"/>
            <w:vAlign w:val="bottom"/>
            <w:tcBorders>
              <w:bottom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6D9F1"/>
            </w:tcBorders>
            <w:shd w:val="clear" w:color="auto" w:fill="C6D9F1"/>
          </w:tcPr>
          <w:p>
            <w:pPr>
              <w:spacing w:after="0"/>
              <w:rPr>
                <w:sz w:val="21"/>
                <w:szCs w:val="21"/>
                <w:color w:val="auto"/>
              </w:rPr>
            </w:pPr>
          </w:p>
        </w:tc>
        <w:tc>
          <w:tcPr>
            <w:tcW w:w="1720" w:type="dxa"/>
            <w:vAlign w:val="bottom"/>
            <w:tcBorders>
              <w:bottom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6D9F1"/>
            </w:tcBorders>
            <w:shd w:val="clear" w:color="auto" w:fill="C6D9F1"/>
          </w:tcPr>
          <w:p>
            <w:pPr>
              <w:spacing w:after="0"/>
              <w:rPr>
                <w:sz w:val="21"/>
                <w:szCs w:val="21"/>
                <w:color w:val="auto"/>
              </w:rPr>
            </w:pPr>
          </w:p>
        </w:tc>
        <w:tc>
          <w:tcPr>
            <w:tcW w:w="1700" w:type="dxa"/>
            <w:vAlign w:val="bottom"/>
            <w:tcBorders>
              <w:bottom w:val="single" w:sz="8" w:color="auto"/>
            </w:tcBorders>
            <w:shd w:val="clear" w:color="auto" w:fill="C6D9F1"/>
          </w:tcPr>
          <w:p>
            <w:pPr>
              <w:jc w:val="right"/>
              <w:ind w:right="10"/>
              <w:spacing w:after="0"/>
              <w:rPr>
                <w:sz w:val="20"/>
                <w:szCs w:val="20"/>
                <w:color w:val="auto"/>
              </w:rPr>
            </w:pPr>
            <w:r>
              <w:rPr>
                <w:rFonts w:ascii="Arial" w:cs="Arial" w:eastAsia="Arial" w:hAnsi="Arial"/>
                <w:sz w:val="18"/>
                <w:szCs w:val="18"/>
                <w:color w:val="auto"/>
              </w:rPr>
              <w:t>5,400</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  Certain locations support multiple brands.</w:t>
      </w:r>
    </w:p>
    <w:p>
      <w:pPr>
        <w:spacing w:after="0" w:line="21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2019, our Company-operated Avis locations generated total worldwide revenues of approximately $5.3 billion, of which approximately $2.6 billion was derived from commercial customers and approximately $3.6 billion was derived from customers renting at airports. The following graphs present the approximate composition of our Avis revenues in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142875</wp:posOffset>
            </wp:positionV>
            <wp:extent cx="5711190" cy="1483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119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We also license the Avis brand to independent commercial owners who operate approximately half of our locations worldwide and generally pay royalty fees to us based on a percentage of applicable revenues. In 2019, these royalty fees totaled approximately 1% of our worldwide Avis 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offer Avis customers a variety of premium services, including:</w:t>
      </w:r>
    </w:p>
    <w:p>
      <w:pPr>
        <w:spacing w:after="0" w:line="225" w:lineRule="exact"/>
        <w:rPr>
          <w:sz w:val="20"/>
          <w:szCs w:val="20"/>
          <w:color w:val="auto"/>
        </w:rPr>
      </w:pPr>
    </w:p>
    <w:p>
      <w:pPr>
        <w:ind w:left="660" w:right="100" w:hanging="328"/>
        <w:spacing w:after="0" w:line="27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Avis mobile application, which allows customers a unique and innovative way to control many elements of their rental experience via their mobile devices without the need to visit the rental counter. The Avis mobile application also allows customers to track Avis shuttle buses to rental locations, find their vehicle, and locate nearby gas stations and parking facilities. The application also includes the Split My Bill feature, which gives customers the ability to remotely split their bill between two credit cards, allowing, commercial customers to upgrade their car, add an ancillary product or extend their rental on their personal credit card following a business rental;</w:t>
      </w:r>
    </w:p>
    <w:p>
      <w:pPr>
        <w:spacing w:after="0" w:line="174" w:lineRule="exact"/>
        <w:rPr>
          <w:rFonts w:ascii="Arial" w:cs="Arial" w:eastAsia="Arial" w:hAnsi="Arial"/>
          <w:sz w:val="17"/>
          <w:szCs w:val="17"/>
          <w:color w:val="auto"/>
        </w:rPr>
      </w:pPr>
    </w:p>
    <w:p>
      <w:pPr>
        <w:ind w:left="660" w:right="38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Avis Preferred</w:t>
      </w:r>
      <w:r>
        <w:rPr>
          <w:rFonts w:ascii="Arial" w:cs="Arial" w:eastAsia="Arial" w:hAnsi="Arial"/>
          <w:sz w:val="18"/>
          <w:szCs w:val="18"/>
          <w:color w:val="auto"/>
        </w:rPr>
        <w:t>, a frequent renter rewards program that offers counter-bypass at major airport locations and reward points for every</w:t>
      </w:r>
      <w:r>
        <w:rPr>
          <w:rFonts w:ascii="Arial" w:cs="Arial" w:eastAsia="Arial" w:hAnsi="Arial"/>
          <w:sz w:val="18"/>
          <w:szCs w:val="18"/>
          <w:i w:val="1"/>
          <w:iCs w:val="1"/>
          <w:color w:val="auto"/>
        </w:rPr>
        <w:t xml:space="preserve"> </w:t>
      </w:r>
      <w:r>
        <w:rPr>
          <w:rFonts w:ascii="Arial" w:cs="Arial" w:eastAsia="Arial" w:hAnsi="Arial"/>
          <w:sz w:val="18"/>
          <w:szCs w:val="18"/>
          <w:color w:val="auto"/>
        </w:rPr>
        <w:t>dollar spent on vehicle rentals and related products;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Avis Select Series</w:t>
      </w:r>
      <w:r>
        <w:rPr>
          <w:rFonts w:ascii="Arial" w:cs="Arial" w:eastAsia="Arial" w:hAnsi="Arial"/>
          <w:sz w:val="18"/>
          <w:szCs w:val="18"/>
          <w:color w:val="auto"/>
        </w:rPr>
        <w:t>, a selection of luxury vehicles including Mercedes, Jaguars, Corvettes, and others;</w:t>
      </w:r>
    </w:p>
    <w:p>
      <w:pPr>
        <w:spacing w:after="0" w:line="24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invited or earned customer status levels allowing for upgrades and counter bypass;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premium, sport and performance vehicles as well as eco-friendly vehicles, including gasoline/electric hybrids;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portable navigation units, tablets and satellite radio service;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Avis rental services such as roadside assistance, fuel service options, e-receipts, electronic toll collection services that allow customers to pay highway tolls without waiting in toll booth lines, and amenities such as </w:t>
      </w:r>
      <w:r>
        <w:rPr>
          <w:rFonts w:ascii="Arial" w:cs="Arial" w:eastAsia="Arial" w:hAnsi="Arial"/>
          <w:sz w:val="18"/>
          <w:szCs w:val="18"/>
          <w:i w:val="1"/>
          <w:iCs w:val="1"/>
          <w:color w:val="auto"/>
        </w:rPr>
        <w:t>Avis Access</w:t>
      </w:r>
      <w:r>
        <w:rPr>
          <w:rFonts w:ascii="Arial" w:cs="Arial" w:eastAsia="Arial" w:hAnsi="Arial"/>
          <w:sz w:val="18"/>
          <w:szCs w:val="18"/>
          <w:color w:val="auto"/>
        </w:rPr>
        <w:t>, a full range of special products and services for drivers and passengers with disabilities;</w:t>
      </w:r>
    </w:p>
    <w:p>
      <w:pPr>
        <w:spacing w:after="0" w:line="201"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Curbside Delivery, a service that provides customers at select airport locations in the United States with the added convenience of being dropped off at the airport terminal in the same car that they rented; and</w:t>
      </w:r>
    </w:p>
    <w:p>
      <w:pPr>
        <w:spacing w:after="0" w:line="196" w:lineRule="exact"/>
        <w:rPr>
          <w:rFonts w:ascii="Arial" w:cs="Arial" w:eastAsia="Arial" w:hAnsi="Arial"/>
          <w:sz w:val="18"/>
          <w:szCs w:val="18"/>
          <w:color w:val="auto"/>
        </w:rPr>
      </w:pPr>
    </w:p>
    <w:p>
      <w:pPr>
        <w:ind w:left="660" w:right="28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our corporate customers, Avis Budget Group Business Intelligence, a proprietary customer reporting solution that provides a centralized reporting tool and customer reporting portal for all corporate clients around the globe, enabling them to easily view and analyze their rental activity, permitting them to better manage their travel budgets and monitor employee compliance with applicable travel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85800"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0" cy="31750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Car Rental</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Budget brand is a leading supplier of vehicle rental and other mobility solutions focused primarily on more value-conscious customers. We operate or license Budget car rental locations at most of the largest airports and cities in the world.</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40"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53"/>
        </w:trPr>
        <w:tc>
          <w:tcPr>
            <w:tcW w:w="7900" w:type="dxa"/>
            <w:vAlign w:val="bottom"/>
            <w:gridSpan w:val="4"/>
          </w:tcPr>
          <w:p>
            <w:pPr>
              <w:spacing w:after="0"/>
              <w:rPr>
                <w:sz w:val="20"/>
                <w:szCs w:val="20"/>
                <w:color w:val="auto"/>
              </w:rPr>
            </w:pPr>
            <w:r>
              <w:rPr>
                <w:rFonts w:ascii="Arial" w:cs="Arial" w:eastAsia="Arial" w:hAnsi="Arial"/>
                <w:sz w:val="18"/>
                <w:szCs w:val="18"/>
                <w:color w:val="auto"/>
              </w:rPr>
              <w:t>The table below presents the approximate number of Budget locations as of December 31, 2019.</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Budget Locations</w:t>
            </w:r>
            <w:r>
              <w:rPr>
                <w:rFonts w:ascii="Arial" w:cs="Arial" w:eastAsia="Arial" w:hAnsi="Arial"/>
                <w:sz w:val="14"/>
                <w:szCs w:val="14"/>
                <w:b w:val="1"/>
                <w:bCs w:val="1"/>
                <w:color w:val="auto"/>
              </w:rPr>
              <w:t>*</w:t>
            </w:r>
          </w:p>
        </w:tc>
        <w:tc>
          <w:tcPr>
            <w:tcW w:w="1700" w:type="dxa"/>
            <w:vAlign w:val="bottom"/>
            <w:tcBorders>
              <w:bottom w:val="single" w:sz="8" w:color="auto"/>
            </w:tcBorders>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1840" w:type="dxa"/>
            <w:vAlign w:val="bottom"/>
            <w:gridSpan w:val="2"/>
          </w:tcPr>
          <w:p>
            <w:pPr>
              <w:ind w:left="460"/>
              <w:spacing w:after="0"/>
              <w:rPr>
                <w:sz w:val="20"/>
                <w:szCs w:val="20"/>
                <w:color w:val="auto"/>
              </w:rPr>
            </w:pPr>
            <w:r>
              <w:rPr>
                <w:rFonts w:ascii="Arial" w:cs="Arial" w:eastAsia="Arial" w:hAnsi="Arial"/>
                <w:sz w:val="18"/>
                <w:szCs w:val="18"/>
                <w:b w:val="1"/>
                <w:bCs w:val="1"/>
                <w:color w:val="auto"/>
              </w:rPr>
              <w:t>Americas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International</w:t>
            </w: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57"/>
        </w:trPr>
        <w:tc>
          <w:tcPr>
            <w:tcW w:w="6060" w:type="dxa"/>
            <w:vAlign w:val="bottom"/>
            <w:tcBorders>
              <w:top w:val="single" w:sz="8" w:color="C6D9F1"/>
            </w:tcBorders>
            <w:gridSpan w:val="2"/>
            <w:shd w:val="clear" w:color="auto" w:fill="C6D9F1"/>
          </w:tcPr>
          <w:p>
            <w:pPr>
              <w:ind w:left="40"/>
              <w:spacing w:after="0"/>
              <w:rPr>
                <w:sz w:val="20"/>
                <w:szCs w:val="20"/>
                <w:color w:val="auto"/>
              </w:rPr>
            </w:pPr>
            <w:r>
              <w:rPr>
                <w:rFonts w:ascii="Arial" w:cs="Arial" w:eastAsia="Arial" w:hAnsi="Arial"/>
                <w:sz w:val="18"/>
                <w:szCs w:val="18"/>
                <w:color w:val="auto"/>
              </w:rPr>
              <w:t>Company-operated locations</w:t>
            </w:r>
          </w:p>
        </w:tc>
        <w:tc>
          <w:tcPr>
            <w:tcW w:w="1720" w:type="dxa"/>
            <w:vAlign w:val="bottom"/>
            <w:tcBorders>
              <w:top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1,375</w:t>
            </w:r>
          </w:p>
        </w:tc>
        <w:tc>
          <w:tcPr>
            <w:tcW w:w="120" w:type="dxa"/>
            <w:vAlign w:val="bottom"/>
            <w:tcBorders>
              <w:top w:val="single" w:sz="8" w:color="C6D9F1"/>
            </w:tcBorders>
            <w:shd w:val="clear" w:color="auto" w:fill="C6D9F1"/>
          </w:tcPr>
          <w:p>
            <w:pPr>
              <w:spacing w:after="0"/>
              <w:rPr>
                <w:sz w:val="22"/>
                <w:szCs w:val="22"/>
                <w:color w:val="auto"/>
              </w:rPr>
            </w:pPr>
          </w:p>
        </w:tc>
        <w:tc>
          <w:tcPr>
            <w:tcW w:w="1720" w:type="dxa"/>
            <w:vAlign w:val="bottom"/>
            <w:tcBorders>
              <w:top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6D9F1"/>
            </w:tcBorders>
            <w:shd w:val="clear" w:color="auto" w:fill="C6D9F1"/>
          </w:tcPr>
          <w:p>
            <w:pPr>
              <w:spacing w:after="0"/>
              <w:rPr>
                <w:sz w:val="22"/>
                <w:szCs w:val="22"/>
                <w:color w:val="auto"/>
              </w:rPr>
            </w:pPr>
          </w:p>
        </w:tc>
        <w:tc>
          <w:tcPr>
            <w:tcW w:w="1700" w:type="dxa"/>
            <w:vAlign w:val="bottom"/>
            <w:tcBorders>
              <w:top w:val="single" w:sz="8" w:color="auto"/>
            </w:tcBorders>
            <w:shd w:val="clear" w:color="auto" w:fill="C6D9F1"/>
          </w:tcPr>
          <w:p>
            <w:pPr>
              <w:jc w:val="right"/>
              <w:ind w:right="10"/>
              <w:spacing w:after="0"/>
              <w:rPr>
                <w:sz w:val="20"/>
                <w:szCs w:val="20"/>
                <w:color w:val="auto"/>
              </w:rPr>
            </w:pPr>
            <w:r>
              <w:rPr>
                <w:rFonts w:ascii="Arial" w:cs="Arial" w:eastAsia="Arial" w:hAnsi="Arial"/>
                <w:sz w:val="18"/>
                <w:szCs w:val="18"/>
                <w:color w:val="auto"/>
              </w:rPr>
              <w:t>2,275</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Licensee locations</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1,650</w:t>
            </w:r>
          </w:p>
        </w:tc>
      </w:tr>
      <w:tr>
        <w:trPr>
          <w:trHeight w:val="27"/>
        </w:trPr>
        <w:tc>
          <w:tcPr>
            <w:tcW w:w="1400" w:type="dxa"/>
            <w:vAlign w:val="bottom"/>
            <w:tcBorders>
              <w:bottom w:val="single" w:sz="8" w:color="C6D9F1"/>
            </w:tcBorders>
          </w:tcPr>
          <w:p>
            <w:pPr>
              <w:spacing w:after="0"/>
              <w:rPr>
                <w:sz w:val="2"/>
                <w:szCs w:val="2"/>
                <w:color w:val="auto"/>
              </w:rPr>
            </w:pPr>
          </w:p>
        </w:tc>
        <w:tc>
          <w:tcPr>
            <w:tcW w:w="466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6D9F1"/>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6D9F1"/>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6D9F1"/>
            </w:tcBorders>
            <w:gridSpan w:val="2"/>
            <w:shd w:val="clear" w:color="auto" w:fill="C6D9F1"/>
          </w:tcPr>
          <w:p>
            <w:pPr>
              <w:ind w:left="40"/>
              <w:spacing w:after="0"/>
              <w:rPr>
                <w:sz w:val="20"/>
                <w:szCs w:val="20"/>
                <w:color w:val="auto"/>
              </w:rPr>
            </w:pPr>
            <w:r>
              <w:rPr>
                <w:rFonts w:ascii="Arial" w:cs="Arial" w:eastAsia="Arial" w:hAnsi="Arial"/>
                <w:sz w:val="18"/>
                <w:szCs w:val="18"/>
                <w:b w:val="1"/>
                <w:bCs w:val="1"/>
                <w:color w:val="auto"/>
              </w:rPr>
              <w:t>Total Budget Locations</w:t>
            </w:r>
          </w:p>
        </w:tc>
        <w:tc>
          <w:tcPr>
            <w:tcW w:w="1720" w:type="dxa"/>
            <w:vAlign w:val="bottom"/>
            <w:tcBorders>
              <w:bottom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1,925</w:t>
            </w:r>
          </w:p>
        </w:tc>
        <w:tc>
          <w:tcPr>
            <w:tcW w:w="120" w:type="dxa"/>
            <w:vAlign w:val="bottom"/>
            <w:tcBorders>
              <w:bottom w:val="single" w:sz="8" w:color="C6D9F1"/>
            </w:tcBorders>
            <w:shd w:val="clear" w:color="auto" w:fill="C6D9F1"/>
          </w:tcPr>
          <w:p>
            <w:pPr>
              <w:spacing w:after="0"/>
              <w:rPr>
                <w:sz w:val="21"/>
                <w:szCs w:val="21"/>
                <w:color w:val="auto"/>
              </w:rPr>
            </w:pPr>
          </w:p>
        </w:tc>
        <w:tc>
          <w:tcPr>
            <w:tcW w:w="1720" w:type="dxa"/>
            <w:vAlign w:val="bottom"/>
            <w:tcBorders>
              <w:bottom w:val="single" w:sz="8" w:color="auto"/>
            </w:tcBorders>
            <w:shd w:val="clear" w:color="auto" w:fill="C6D9F1"/>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6D9F1"/>
            </w:tcBorders>
            <w:shd w:val="clear" w:color="auto" w:fill="C6D9F1"/>
          </w:tcPr>
          <w:p>
            <w:pPr>
              <w:spacing w:after="0"/>
              <w:rPr>
                <w:sz w:val="21"/>
                <w:szCs w:val="21"/>
                <w:color w:val="auto"/>
              </w:rPr>
            </w:pPr>
          </w:p>
        </w:tc>
        <w:tc>
          <w:tcPr>
            <w:tcW w:w="1700" w:type="dxa"/>
            <w:vAlign w:val="bottom"/>
            <w:tcBorders>
              <w:bottom w:val="single" w:sz="8" w:color="auto"/>
            </w:tcBorders>
            <w:shd w:val="clear" w:color="auto" w:fill="C6D9F1"/>
          </w:tcPr>
          <w:p>
            <w:pPr>
              <w:jc w:val="right"/>
              <w:ind w:right="10"/>
              <w:spacing w:after="0"/>
              <w:rPr>
                <w:sz w:val="20"/>
                <w:szCs w:val="20"/>
                <w:color w:val="auto"/>
              </w:rPr>
            </w:pPr>
            <w:r>
              <w:rPr>
                <w:rFonts w:ascii="Arial" w:cs="Arial" w:eastAsia="Arial" w:hAnsi="Arial"/>
                <w:sz w:val="18"/>
                <w:szCs w:val="18"/>
                <w:color w:val="auto"/>
              </w:rPr>
              <w:t>3,925</w:t>
            </w:r>
          </w:p>
        </w:tc>
      </w:tr>
      <w:tr>
        <w:trPr>
          <w:trHeight w:val="20"/>
        </w:trPr>
        <w:tc>
          <w:tcPr>
            <w:tcW w:w="14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  Certain locations support multiple brands.</w:t>
      </w:r>
    </w:p>
    <w:p>
      <w:pPr>
        <w:spacing w:after="0" w:line="2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also license the Budget brand to independent commercial owners who operate approximately half of our locations worldwide and generally pay royalty fees to us based on a percentage of applicable revenues. In 2019, these royalty fees totaled approximately 1% of our worldwide Budget revenues.</w:t>
      </w:r>
    </w:p>
    <w:p>
      <w:pPr>
        <w:spacing w:after="0" w:line="20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Budget offers its customers several products and services similar to Avis, such as refueling options, roadside assistance, electronic toll collection, curbside delivery and other supplemental rental products, emailed receipts and special rental rates for frequent renters. In addition, Budget’s mobile application allows customers to reserve, modify and cancel reservations on their mobile device, and its Fastbreak service expedites rental service for frequent travelers.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Budget Truck</w:t>
      </w: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Budget Truck rental business is one of the largest local and one-way truck and cargo van rental businesses in the United States. As of December 31, 2019, our Budget Truck fleet is comprised of approximately 20,000 vehicles that are rented through a network of approximately 575 dealer-operated and 420 Company-operated locations throughout the continental United States. These dealers are independently-owned businesses that generally operate other retail service businesses. In addition to their principal businesses, the dealers rent our light- and medium-duty trucks and commercial cargo vans to customers and are responsible for collecting payments on our behalf. The dealers receive a commission on all truck, van and ancillary equipment rentals. The Budget Truck rental business serves both the light commercial and consumer sectors. The light commercial sector consists of a wide range of businesses that rent light- to medium-duty trucks, which we define as trucks having a gross vehicle weight of less than 26,000 pounds, for a variety of commercial applications. The consumer sector consists primarily of individuals who rent trucks to move household goods on either a one-way or local basis.</w:t>
      </w:r>
    </w:p>
    <w:p>
      <w:pPr>
        <w:spacing w:after="0" w:line="21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2019, our Company-operated Budget vehicle rental operations generated total revenues of approximately $3.2 billion, of which approximately $2.4 billion was derived from leisure customers and $2.2 billion was derived from customers renting at airports. The following graphs present the approximate composition of our Budget revenues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483350" cy="179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335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Zipcar is a leading provider in the car sharing network, driven by a mission to enable simple and responsible urban living. With its wide variety of self-service vehicles available by the hour or day, Zipcar offers comprehensive, convenient and flexible car sharing options in urban areas and college campuses in over 450 cities and towns. Zipcar provides its members on-demand, self-service vehicles in reserved parking spaces located in neighborhoods, business districts, office complexes, college campuses and airports, as an alternative to car ownership. Members can reserve vehicles online, on a mobile device or over the phone, by the minute,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8"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hour or by the day, at rates that include gasoline, insurance and other costs associated with vehicle ownership. We continue to offer our Zipcar Commuter product in 2019, which is available in several major markets in North America and provides sole access to a vehicle on weekdays and a dedicated parking spot during the week for Zipcar members who may commute outside of the city for work. We also continue to offer our Zipcar Flex product in London providing for one-way rentals, including to and from Heathrow airport, which can be parked in public on-street spots in designated areas of the city.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Brands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other brands include the following:</w:t>
      </w:r>
    </w:p>
    <w:p>
      <w:pPr>
        <w:spacing w:after="0" w:line="225" w:lineRule="exact"/>
        <w:rPr>
          <w:sz w:val="20"/>
          <w:szCs w:val="20"/>
          <w:color w:val="auto"/>
        </w:rPr>
      </w:pPr>
    </w:p>
    <w:p>
      <w:pPr>
        <w:ind w:left="660" w:right="2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Payless, a leading rental car supplier serving the deep-value segment of the industry, which we license or operate in approximately 250 locations worldwide, including more than 160 locations operated by licensees and approximately 90 Company-operated locations.</w:t>
      </w:r>
    </w:p>
    <w:p>
      <w:pPr>
        <w:spacing w:after="0" w:line="196"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Company-operated Payless locations are primarily located in North America, the majority of which are at or near major airports. Payless’ rental fees are often lower than those of larger, more established vehicle rental brands.</w:t>
      </w:r>
    </w:p>
    <w:p>
      <w:pPr>
        <w:spacing w:after="0" w:line="196" w:lineRule="exact"/>
        <w:rPr>
          <w:rFonts w:ascii="Arial" w:cs="Arial" w:eastAsia="Arial" w:hAnsi="Arial"/>
          <w:sz w:val="18"/>
          <w:szCs w:val="18"/>
          <w:color w:val="auto"/>
        </w:rPr>
      </w:pPr>
    </w:p>
    <w:p>
      <w:pPr>
        <w:ind w:left="1300" w:right="560" w:hanging="320"/>
        <w:spacing w:after="0" w:line="262"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Payless business model allows the Company to extend the life-cycle of a portion of our rental fleet, as we “cascade” certain vehicles that exceed certain Avis and Budget age or mileage thresholds to be used by Payless.</w:t>
      </w:r>
    </w:p>
    <w:p>
      <w:pPr>
        <w:spacing w:after="0" w:line="196"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Apex, which operates in approximately 30 rental locations at, or near, major airports and in several metropolitan cities in New Zealand and Australia with a separate rental fleet.</w:t>
      </w:r>
    </w:p>
    <w:p>
      <w:pPr>
        <w:spacing w:after="0" w:line="196" w:lineRule="exact"/>
        <w:rPr>
          <w:rFonts w:ascii="Arial" w:cs="Arial" w:eastAsia="Arial" w:hAnsi="Arial"/>
          <w:sz w:val="18"/>
          <w:szCs w:val="18"/>
          <w:color w:val="auto"/>
        </w:rPr>
      </w:pPr>
    </w:p>
    <w:p>
      <w:pPr>
        <w:ind w:left="1300" w:right="140" w:hanging="320"/>
        <w:spacing w:after="0" w:line="262"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Apex generates reservations through proprietary websites as well as a contact center and online travel agencies and typically has a greater-than-average length of rental.</w:t>
      </w:r>
    </w:p>
    <w:p>
      <w:pPr>
        <w:spacing w:after="0" w:line="196"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Maggiore, a leading vehicle rental brand in Italy, where we operate or license in approximately 145 rental locations throughout the country.</w:t>
      </w:r>
    </w:p>
    <w:p>
      <w:pPr>
        <w:spacing w:after="0" w:line="196"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Maggiore has a strong local reputation and benefits from a strong presence at airport, off-airport and railway locations and from the integration of our existing operations and rental fleet management expertise.</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Morini Rent, a leading vehicle rental brand in Italy, which offers rental of cars, vans and refrigerated vehicles and which we operate or license in approximately 50 rental locations throughout the country.</w:t>
      </w:r>
    </w:p>
    <w:p>
      <w:pPr>
        <w:spacing w:after="0" w:line="196"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FranceCars, which operates one of the largest light commercial vehicle rental fleets in France in approximately 85 rental locations and leverages our existing operational processes and local customer base.</w:t>
      </w:r>
    </w:p>
    <w:p>
      <w:pPr>
        <w:spacing w:after="0" w:line="196" w:lineRule="exact"/>
        <w:rPr>
          <w:rFonts w:ascii="Arial" w:cs="Arial" w:eastAsia="Arial" w:hAnsi="Arial"/>
          <w:sz w:val="18"/>
          <w:szCs w:val="18"/>
          <w:color w:val="auto"/>
        </w:rPr>
      </w:pPr>
    </w:p>
    <w:p>
      <w:pPr>
        <w:ind w:left="660" w:right="6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Turiscar, a leading vehicle rental brand in Portugal, which operates primarily in the corporate market, including light commercial vehicles, at more than 25 rental locations throughout the country.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RESERVATIONS, MARKETING AND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Reservations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customers can make vehicle rental reservations through our brand-specific websites and toll-free reservation centers, by calling a specific location directly, through our brand-specific mobile applications, online travel agencies, travel agents or through selected partners, including many major airlines, associations and retailers. Travel agents can access our reservation systems through all major global distribution systems, which provide information with respect to rental locations, vehicle availability and applicable rate structures.</w:t>
      </w:r>
    </w:p>
    <w:p>
      <w:pPr>
        <w:spacing w:after="0" w:line="20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Zipcar members may reserve cars by the minute, hour or by the day through Zipcar’s reservation system, which is accessible through the Zipcar website, through the Zipcar application on their smartphone or by phone.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also provide two-way SMS texting, enabling us to proactively reach out to members during their reservation via their mobile device to manage their reservation, including instant reservation extension.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Marketing and Sales</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support our brands through a range of marketing channels and campaigns, including traditional media, such as television and print advertising, as well as Internet and email marketing, social media and mobile device applications. We market through sponsorships of major sports entities such as the PGA Tour, Pebble Beach, the New York Yankees, the Toronto Maple Leafs, Toronto Raptors and Toronto FC. We also market through sponsorships of charitable organizations such as the Make-A-Wish Foundation and the Red Cross. We utilize a customer relationship management system that enables us to deliver more targeted and relevant offers to customers across online and offline channels and allows our customers to benefit through better and more relevant marketing, improved service delivery and loyalty programs that reward frequent renters with free rental days and car class upgrades.</w:t>
      </w:r>
    </w:p>
    <w:p>
      <w:pPr>
        <w:spacing w:after="0" w:line="20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maintain strong links to the travel industry including marketing alliances with numerous marketing partners, such as American Airlines, and major hotel companies.</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addition, we have developed relationships that provide brand exposure and access to new customers, including deals to provide vehicles to ride-hail drivers in cities across North America.</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Approximately 60% of vehicle rental transactions in 2019 from our Company-operated Avis locations were generated by travelers who rented from Avis under contracts between Avis and their employers or through membership in an organization with which Avis has a contractual affiliation (such as AARP and Costco Wholesale). In 2019, the Company introduced Business Intelligence, an online portal complete with rental summary dashboards, visualizations and detailed reports that provides our corporate customers with insight into their program’s performance, giving them direct access to more data in a customer-facing portal offering useful data insights, including options to customize and schedule reports. Avis also maintains marketing relationships with other organizations such as American Express, MasterCard International and others, through which we are able to provide their customers with incentives to rent from Avis. Generally, Avis licensees also have the option to participate in these affiliations.</w:t>
      </w:r>
    </w:p>
    <w:p>
      <w:pPr>
        <w:spacing w:after="0" w:line="204"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Additionally, we offer “Unlimited Rewards</w:t>
      </w:r>
      <w:r>
        <w:rPr>
          <w:rFonts w:ascii="Arial" w:cs="Arial" w:eastAsia="Arial" w:hAnsi="Arial"/>
          <w:sz w:val="21"/>
          <w:szCs w:val="21"/>
          <w:color w:val="auto"/>
          <w:vertAlign w:val="superscript"/>
        </w:rPr>
        <w:t>®</w:t>
      </w:r>
      <w:r>
        <w:rPr>
          <w:rFonts w:ascii="Arial" w:cs="Arial" w:eastAsia="Arial" w:hAnsi="Arial"/>
          <w:sz w:val="18"/>
          <w:szCs w:val="18"/>
          <w:color w:val="auto"/>
        </w:rPr>
        <w:t>,” an award-winning loyalty incentive program for travel agents, and Avis and Budget programs for small businesses that offer discounted rates, central billing options and rental credits to members. Budget has contractual arrangements with American Express, MasterCard International and other organizations, which offer members incentives to rent from Budget.</w:t>
      </w:r>
    </w:p>
    <w:p>
      <w:pPr>
        <w:spacing w:after="0" w:line="2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Zipcar brand also partners with other active lifestyle brands that appeal to our Zipcar members and we organize, sponsor and participate in charitable and community events with organizations that are important to our Zipcar members. Zipcar maintains close relationships with universities that allow us to market to the “next generation consumer” who, upon graduation, may continue their relationship with us and advocate for broad sponsorship of Zipcar membership at their places of work. Through our Zipcar for Business program, we also offer reduced weekday driving rates to employees of companies, federal agencies and local governments that sponsor the use of Zipcars.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licensees in approximately 175 countries throughout the world. Royalty fee revenues derived from our vehicle rental licensees in 2019 totaled $135 million, with approximately $95 million in our International segment and $40 million in our Americas segment. Licensed locations are independently operated by our licensees and range from large operations at major airport locations and territories encompassing entire countries to relatively small operations in suburban or rural locations. Our licensees generally maintain separate independently owned and operated fleets. Royalties generated from licensing provide us with a source of high-margin revenue because there are relatively limited additional costs associated with fees paid by licensees to us. We facilitate one-way vehicle rentals between Company-operated and licensed locations, which enables us to offer an integrated network of locations to our customers.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40"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generally enjoy good relationships with our licensees and meet regularly with them at regional, national and international meetings. Our relationships with our licensees are governed by license agreements that grant the licensee the right to operate independently operated vehicle rental businesses in certain territories. Our license agreements generally provide our licensees with the exclusive right to operate under one or more of our brands in their assigned territory. These agreements impose obligations on the licensee regarding its operations, and most agreements restrict the licensee’s ability to sell, transfer or assign its rights granted under the license agreement or to change the control of its ownership without our consent.</w:t>
      </w:r>
    </w:p>
    <w:p>
      <w:pPr>
        <w:spacing w:after="0" w:line="20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terms of our license agreements, including duration, royalty fees and termination provisions, vary based upon brand, territory, and original signing date. Royalty fees are generally structured to be a percentage of the licensee’s gross rental income. We maintain the right to monitor the operations of licensees and, when applicable, can declare a licensee to be in default under its license agreement. We perform audits as part of our program to assure licensee compliance with brand quality standards and contract provisions. Generally, we can terminate license agreements for certain defaults, including failure to pay royalties or to adhere to our operational standards. Upon termination of a license agreement, the licensee is prohibited from using our brand names and related marks in any business. In the United States, these license relationships constitute “franchises” under most federal and state laws regulating the offer and sale of franchises and the relationship of the parties to a franchise agreement.</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continue to optimize the Avis and Budget brands by issuing new license agreements and periodically acquiring licensees to grow our revenues and expand our global presence. Discussion of our recent acquisitions is included in Note 6 to the Consolidated Financial Statements included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w:t>
      </w:r>
    </w:p>
    <w:p>
      <w:pPr>
        <w:spacing w:after="0" w:line="247"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In addition to revenues derived from time and mileage fees from our vehicle rentals and licensee royalties, we generate revenues from our customers through the sale and/or rental of optional ancillary products and services. We offer products to customers that will enhance their rental experience, including:</w:t>
      </w:r>
    </w:p>
    <w:p>
      <w:pPr>
        <w:spacing w:after="0" w:line="202" w:lineRule="exact"/>
        <w:rPr>
          <w:sz w:val="20"/>
          <w:szCs w:val="20"/>
          <w:color w:val="auto"/>
        </w:rPr>
      </w:pPr>
    </w:p>
    <w:p>
      <w:pPr>
        <w:ind w:left="660" w:right="64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collision and loss damage waivers, under which we agree to relieve a customer from financial responsibility arising from vehicle damage incurred during the rental;</w:t>
      </w:r>
    </w:p>
    <w:p>
      <w:pPr>
        <w:spacing w:after="0" w:line="196"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additional/supplemental liability insurance or personal accident/effects insurance products which provide customers with additional protections for personal or third-party losses incurred;</w:t>
      </w:r>
    </w:p>
    <w:p>
      <w:pPr>
        <w:spacing w:after="0" w:line="196" w:lineRule="exact"/>
        <w:rPr>
          <w:rFonts w:ascii="Arial" w:cs="Arial" w:eastAsia="Arial" w:hAnsi="Arial"/>
          <w:sz w:val="18"/>
          <w:szCs w:val="18"/>
          <w:color w:val="auto"/>
        </w:rPr>
      </w:pPr>
    </w:p>
    <w:p>
      <w:pPr>
        <w:ind w:left="660" w:right="40" w:hanging="328"/>
        <w:spacing w:after="0" w:line="29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products for driving convenience such as fuel service options, chauffeur drive services, roadside assistance services, electronic toll collection services, curbside delivery, tablet rentals, access to satellite radio, portable navigation units and child safety seat rentals; and</w:t>
      </w:r>
    </w:p>
    <w:p>
      <w:pPr>
        <w:spacing w:after="0" w:line="174" w:lineRule="exact"/>
        <w:rPr>
          <w:rFonts w:ascii="Arial" w:cs="Arial" w:eastAsia="Arial" w:hAnsi="Arial"/>
          <w:sz w:val="17"/>
          <w:szCs w:val="17"/>
          <w:color w:val="auto"/>
        </w:rPr>
      </w:pPr>
    </w:p>
    <w:p>
      <w:pPr>
        <w:ind w:left="660" w:right="50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products that supplement truck rental including automobile towing equipment and other moving accessories such as hand trucks, furniture pads and moving supplies.</w:t>
      </w:r>
    </w:p>
    <w:p>
      <w:pPr>
        <w:spacing w:after="0" w:line="1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offer customized bundling of certain of these ancillary products and services, allowing our customers to benefit from discounted pricing and providing customers the flexibility to add multiple products or services that suit their needs.</w:t>
      </w:r>
    </w:p>
    <w:p>
      <w:pPr>
        <w:spacing w:after="0" w:line="1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also receive payment from our customers for certain operating expenses that we incur, including vehicle licensing fees, as well as airport concession fees that we pay in exchange for the right to operate at airports and other locations. In addition, we collect membership fees in connection with our car sharing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FLEET</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offer a wide variety of vehicles in our rental fleet, including luxury cars, specialty-use vehicles and light commercial vehicles. Our fleet consists primarily of vehicles from the current and immediately preceding model year. We maintain a single fleet of vehicles for Avis and Budget in countries where we operate both brands. The substantial majority of Zipcar’s fleet is dedicated to use by Zipcar.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Purchases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maintain a diverse rental fleet, in which no vehicle manufacturer represented more than 14% of our 2019 fleet purchases, and we regularly adjust our fleet levels to be consistent with demand. We participate in a variety of vehicle purchase programs with major vehicle manufacturers. The following presents the approximate percentage of fleet purchases by manufacturer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-7620</wp:posOffset>
            </wp:positionV>
            <wp:extent cx="3713480" cy="2512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1348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Includes all manufacturers for which fleet purchases were less than 5%.</w:t>
      </w:r>
    </w:p>
    <w:p>
      <w:pPr>
        <w:spacing w:after="0" w:line="22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Fleet costs represented approximately 23% of our aggregate expenses in 2019. Fleet costs can vary from year to year based on the prices at which we are able to purchase and dispose of rental vehicles.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2019, approximately 34% of our average rental fleet was comprised of the following:</w:t>
      </w:r>
    </w:p>
    <w:p>
      <w:pPr>
        <w:spacing w:after="0" w:line="225" w:lineRule="exact"/>
        <w:rPr>
          <w:sz w:val="20"/>
          <w:szCs w:val="20"/>
          <w:color w:val="auto"/>
        </w:rPr>
      </w:pPr>
    </w:p>
    <w:p>
      <w:pPr>
        <w:ind w:left="660" w:right="1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vehicles subject to agreements requiring automobile manufacturers to repurchase vehicles at a specified price during a specified time period or guarantee our rate of depreciation on the vehicles during a specified period of time; or</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vehicles subject to operating leases, which are subject to a fixed lease period and interest rate.</w:t>
      </w:r>
    </w:p>
    <w:p>
      <w:pPr>
        <w:spacing w:after="0" w:line="22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refer to vehicles subject to these agreements as “program” vehicles and vehicles not subject to these agreements as “risk” vehicles because we retain the risk associated with such vehicles’ residual values at the time of their disposition. The following graphs present the approximate percentage of program vehicles in both our average rental fleet and purchases within each of our reporting segments in the last three years.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142875</wp:posOffset>
            </wp:positionV>
            <wp:extent cx="5514340" cy="3087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434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agreements with automobile manufacturers typically require that we pay more for program vehicles and maintain them in our fleet for a minimum number of months and impose certain return conditions, including vehicle condition and mileage requirements. When we return program vehicles to the manufacturer, we receive the price guaranteed at the time of purchase and are therefore protected from fluctuations in the prices of previously-owned vehicles in the wholesale market. In 2019, approximately 49% of the vehicles we disposed of were sold pursuant to repurchase or guaranteed depreciation programs. The future percentages of program and risk vehicles in our fleet will depend on several factors, including our expectations for future used vehicle prices, our seasonal needs and the availability and attractiveness of manufacturers’ repurchase and guaranteed depreciation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Dispositions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dispose of our risk vehicles largely through resale and alternative disposition channels, including direct-to-consumer, online auctions, retail lots and direct-to-dealer sales, as well as through more traditional automobile auctions. Alternative disposition channels provide the opportunity to increase vehicle sales prices and reduce relevant fleet costs compared to selling vehicles at auctions. We have continued to expand the scope of our direct-to-consumer vehicle sales program, growing sales of our risk vehicles directly to consumers through our Ultimate Test Drive online program and our approximately 15 physical retail locations, which offer customers the ability to purchase well-maintained, late-model rental vehicles from our fleet. We dispose of our program vehicles in accordance with repurchase or guaranteed depreciation programs with major vehicle manufacturers.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Utilization</w:t>
      </w:r>
    </w:p>
    <w:p>
      <w:pPr>
        <w:spacing w:after="0" w:line="24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2019, our average monthly vehicle rental fleet size ranged from a low of approximately 576,000 vehicles in January to a high of approximately 757,000 vehicles in July. Our average monthly car rental fleet size typically peaks in the summer months. Average fleet utilization for 2019, which is based on the number of rental days (or portion thereof) that vehicles are rented compared to the total amount of time that vehicles are available for rent, ranged from 64% in January to 76% in July. Our calculation of utilization may not be comparable to other companies’ calculation of similarly titled metrics.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Maintenance</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place a strong emphasis on the quality of our vehicle maintenance for customer safety and customer satisfaction reasons, and because quick and proper repairs are critical to fleet utilization. To accomplish this task, we developed specialized training programs for our technicians. Our Maintenance and Damage Planning</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40"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Department prepares technical service bulletins that can be retrieved electronically at our repair locations. In addition, we have implemented policies and procedures to promptly address manufacturer recalls as part of our ongoing maintenance and repair efforts.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SERVICE</w:t>
      </w:r>
    </w:p>
    <w:p>
      <w:pPr>
        <w:spacing w:after="0" w:line="247"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 xml:space="preserve">Our commitment to delivering a consistently high level of customer service across all of our brands is a critical element of our success and business strategy. Our </w:t>
      </w:r>
      <w:r>
        <w:rPr>
          <w:rFonts w:ascii="Arial" w:cs="Arial" w:eastAsia="Arial" w:hAnsi="Arial"/>
          <w:sz w:val="17"/>
          <w:szCs w:val="17"/>
          <w:i w:val="1"/>
          <w:iCs w:val="1"/>
          <w:color w:val="auto"/>
        </w:rPr>
        <w:t>Customer Led, Service Driven</w:t>
      </w:r>
      <w:r>
        <w:rPr>
          <w:rFonts w:ascii="Arial" w:cs="Arial" w:eastAsia="Arial" w:hAnsi="Arial"/>
          <w:sz w:val="17"/>
          <w:szCs w:val="17"/>
          <w:color w:val="auto"/>
        </w:rPr>
        <w:t>™ program focuses on continually improving the overall customer experience based on our research of customer service practices, improved customer insights, executing our customer relationship management strategy, delivering customer-centric employee training and leverage our mobile applications technology and the enriched experience it provides our customers.</w:t>
      </w:r>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employees at our Company-operated locations are trained and empowered to resolve most customer issues at the location level. We also continuously track customer-satisfaction levels by sending location-specific surveys to recent customers and utilize detailed reports and tracking to assess and identify ways that we can improve our customer service delivery and the overall customer experience. Our location-specific surveys ask customers to evaluate their overall satisfaction with their rental experience and the likelihood that they will recommend our brands, as well as key elements of the rental experience. Results are analyzed in aggregate and by location to help further enhance our service levels to our customers.</w:t>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understand our customers’ time is valuable and we offer rental options that provide greater control and self-service capabilities. While our mobile applications provide a fast customer experience, our customers know a company representative is always available to meet their needs. Our survey platform includes specific questions to learn more about individual preferences and find innovative ways to better serve and anticipate our customers’ needs.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4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As of December 31, 2019, we employed approximately 30,000 people worldwide, of whom approximately 8,800 were employed on a part-time basis. Of our approximately 30,000 employees, approximately 18,000 were employed in our Americas segment and 12,000 in our International segment.</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our Americas segment, the majority of our employees are at-will employees and, therefore, not subject to any type of employment contract or agreement. Certain of our executive officers may be employed under employment contracts that may specify a term of employment and specify pay and other benefits. In our International segment, we enter into employment contracts and agreements in those countries in which such relationships are mandatory or customary. The provisions of these agreements correspond in each case with the required or customary terms in the subject jurisdiction. Many of our employees are covered by a variety of union contracts and governmental regulations affecting, among other things, compensation, job retention rights and pensions.</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of December 31, 2019, approximately 27% of our employees were covered by collective bargaining or similar agreements with various labor unions. We believe our employee relations are satisfactory.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AIRPORT CONCESSION AGREEMENTS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generally operate our vehicle rental and car sharing services at airports under concession agreements with airport authorities, pursuant to which we typically make airport concession payments and/or lease payments. In general, concession fees for on-airport locations are based on a percentage of total commissionable revenues (as defined by each airport authority), often subject to minimum annual guaranteed amounts. Concessions are typically awarded by airport authorities every three to ten years based upon competitive bids. Our concession 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548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BUSINESS CONSIDERATIONS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operations are also seasonal, with the third quarter of the year historically having been our strongest due to the increased level of leisure travel during the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our quarterly revenues for the years ended December 31, 2017,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6350</wp:posOffset>
            </wp:positionV>
            <wp:extent cx="5711190" cy="2280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119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competitive environment for our industry is generally characterized by intense price and service competition among global, local and regional competitors. Competition in our vehicle rental operations is based primarily upon price, customer service quality, including usability of booking systems and ease of rental and return, vehicle availability, reliability, rental locations, product innovation and national or international distribution. In addition, competition is also influenced strongly by advertising, marketing, loyalty programs and brand reputation. We believe the prominence and service reputation of our brands, extensive worldwide ownership of mobility solutions and commitment to innovation provides us with a competitive advantage.</w:t>
      </w:r>
    </w:p>
    <w:p>
      <w:pPr>
        <w:spacing w:after="0" w:line="20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use of technology has increased pricing transparency among vehicle rental companies and other mobility solutions providers enabling cost-conscious customers to more easily compare on the Internet and their mobile devices the rates available for the mobility solutions that fit their needs. This transparency has further increased the prevalence and intensity of price competition in the industry.</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vehicle rental operations compete primarily with Enterprise Holdings, Inc., which operates the Enterprise, National and Alamo car rental brands; Hertz Global Holdings, Inc., which operates the Hertz, Dollar and Thrifty brands; Europcar Mobility Group, which operates the Europcar, Goldcar, InterRent, Buchbinder and Ubeeqo brands; and Sixt AG. We also compete with smaller local and regional vehicle rental companies for vehicle rental market share, and with ride-hailing companies largely for short length trips in urban areas. Our Zipcar brand also competes with various local and regional mobility companies, including mobility services sponsored by several auto manufacturers, ride-hailing and car sharing companies and other technology players in the mobility industry. Our Budget Truck operations in the United States competes with several other local, regional and nationwide truck rental companies including U-Haul International, Inc., Penske Truck Leasing Corporation, Ryder Systems, Inc. and Enterprise.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AND RISK MANAGEMENT</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vehicle rental and corporate operations expose us to various types of claims for bodily injury, death and property damage related to the use of our vehicles and/or properties, as well as general employment-related matters stemming from our operations. We generally retain economic exposure for liability to third parties arising from vehicle rental and car sharing services in the United States, Canada, Puerto Rico and the U.S. Virgin Islands, in accordance with the minimum financial responsibility requirements (“MFRs”) and primacy of coverage laws of the relevant jurisdiction. In certain cases, we assume liability above applicable MFRs, up to $1 million per occurrence, other than in cases involving a negligent act on the part of the Company, for which we purchase insurance coverage for exposures beyond retained amounts from a combination of unaffiliated excess insurers.</w:t>
      </w:r>
    </w:p>
    <w:p>
      <w:pPr>
        <w:spacing w:after="0" w:line="20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Europe, we insure the risk of liability to third parties arising from vehicle rental and car sharing services in accordance with local regulatory requirements primarily through insurance policies provided by unaffiliated insurers. We may retain a portion of the insured risk of liability through local deductibles, and by reinsuring certain risks through our captive insurance subsidiary AEGIS Motor Insurance Limited. In Australasia, motor vehicle bodily injury insurance coverage is compulsory and provided upon vehicle registration. In addition, we provide our customers with third-party property damage insurance through an unaffiliated third-party insurer. We retain a share of property damage risk through AEGIS Motor Insurance Limited. AEGIS Motor Insurance Limited reinsures certain risks through an unaffiliated company, which limits its liabilities. We insure the risk of liability to third parties in Argentina through unaffiliated insurers.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offer our U.S. customers a range of optional insurance products and coverages such as supplemental liability insurance, personal accident insurance, personal effects protection, emergency sickness protection, automobile towing protection and cargo insurance, which create additional risk exposure for us. When a customer elects to purchase supplemental liability insurance or other optional insurance related products, we typically retain economic exposure to loss, since the insurance is provided by an unaffiliated insurer that is reinsuring its exposure through our captive insurance subsidiary, Constellation Reinsurance Co., Ltd. Additional personal accident insurance offered to our customers in Europe and Australasia is provided by a third-party insurer, and reinsured by our Avis Budget Europe International Reinsurance Limited subsidiary. We also maintain excess insurance coverage through unaffiliated carriers to help mitigate our potential exposure to large liability losses. We otherwise bear these and other risks, except to the extent that the risks are transferred through insurance or contractual arrangements.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INTELLECTUAL PROPERTY</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rely primarily on a combination of trademark, trade secret and copyright laws, as well as contractual provisions with employees and third parties, to establish and protect our intellectual property rights. The service marks “Avis,” “Budget” and “Zipcar” and related marks or designs incorporating such terms and related logos and marks such as “We Try Harder,” “We Know The Road” and “Own The Trip, Not The Car” are material to our vehicle rental and car sharing businesses. Our subsidiaries and licensees actively use these marks. All of the material marks used by Avis, Budget and Zipcar are registered (or have applications pending for registration) with the U.S. Patent and Trademark Office as well as in foreign jurisdictions. Our subsidiaries own the marks and other intellectual property, including the Wizard system, used in our business. We also own trademarks and logos related to the “Apex Car Rentals” brand in Australia and New Zealand, the “Payless Car Rental” brand in the United States and several other countries, the “Maggiore” and “Morini Rent” brands in Italy, the “FranceCars” brand in France and the “Turiscar” brand in Portugal. Our subsidiaries have also filed patent applications pertaining to fleet and connected car technology in the U.S. and other countries.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SOCIAL RESPONSIBILITY</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At Avis Budget Group, we take our responsibilities as a corporate citizen seriously. We are aware of how our actions can benefit the community and are sensitive to the needs of the environment, our customers and our employees.</w:t>
      </w:r>
    </w:p>
    <w:p>
      <w:pPr>
        <w:spacing w:after="0" w:line="196"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Our practices in corporate social responsibility focus on our people, our communities, and our planet. We are committed to the highest standards of ethics, integrity and compliance in all respects of our business.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ind w:left="340" w:right="120" w:hanging="332"/>
        <w:spacing w:after="0" w:line="281" w:lineRule="auto"/>
        <w:tabs>
          <w:tab w:leader="none" w:pos="34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Our People: </w:t>
      </w:r>
      <w:r>
        <w:rPr>
          <w:rFonts w:ascii="Arial" w:cs="Arial" w:eastAsia="Arial" w:hAnsi="Arial"/>
          <w:sz w:val="17"/>
          <w:szCs w:val="17"/>
          <w:color w:val="auto"/>
        </w:rPr>
        <w:t>We believe that our success has its foundation in how we treat our employees. In concert with our core values, we seek to</w:t>
      </w:r>
      <w:r>
        <w:rPr>
          <w:rFonts w:ascii="Arial" w:cs="Arial" w:eastAsia="Arial" w:hAnsi="Arial"/>
          <w:sz w:val="17"/>
          <w:szCs w:val="17"/>
          <w:i w:val="1"/>
          <w:iCs w:val="1"/>
          <w:color w:val="auto"/>
        </w:rPr>
        <w:t xml:space="preserve"> </w:t>
      </w:r>
      <w:r>
        <w:rPr>
          <w:rFonts w:ascii="Arial" w:cs="Arial" w:eastAsia="Arial" w:hAnsi="Arial"/>
          <w:sz w:val="17"/>
          <w:szCs w:val="17"/>
          <w:color w:val="auto"/>
        </w:rPr>
        <w:t>foster an environment where communication among our employees is open, honest, and respectful; performance is recognized; growth is encouraged; and accomplishments - individual and collective - are celebrated. We also seek to support the well-being and development of the people we employ and the communities in which they work. The following initiatives reflect our commitment to achieving these goals:</w:t>
      </w:r>
    </w:p>
    <w:p>
      <w:pPr>
        <w:spacing w:after="0" w:line="182" w:lineRule="exact"/>
        <w:rPr>
          <w:rFonts w:ascii="Arial" w:cs="Arial" w:eastAsia="Arial" w:hAnsi="Arial"/>
          <w:sz w:val="17"/>
          <w:szCs w:val="17"/>
          <w:i w:val="1"/>
          <w:iCs w:val="1"/>
          <w:color w:val="auto"/>
        </w:rPr>
      </w:pPr>
    </w:p>
    <w:p>
      <w:pPr>
        <w:ind w:left="660" w:right="20" w:hanging="328"/>
        <w:spacing w:after="0" w:line="252"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Diversity and Inclusion: We are committed to providing equal employment opportunity to all applicants and employees without regard to race, religion, color, sexual orientation, gender, gender identity, age, national origin, ancestry, citizenship, protected veteran or disability status or any factor prohibited by law, and as such we affirm in policy and practice to support and promote the concept of equal employment opportunity and affirmative action, in accordance with all applicable federal, state, provincial and municipal laws. As an equal-opportunity employer, we are proud to provide an inclusive workplace that embraces and celebrates demographic, cultural and lifestyle differences.</w:t>
      </w:r>
    </w:p>
    <w:p>
      <w:pPr>
        <w:spacing w:after="0" w:line="208" w:lineRule="exact"/>
        <w:rPr>
          <w:rFonts w:ascii="Arial" w:cs="Arial" w:eastAsia="Arial" w:hAnsi="Arial"/>
          <w:sz w:val="18"/>
          <w:szCs w:val="18"/>
          <w:color w:val="auto"/>
        </w:rPr>
      </w:pPr>
    </w:p>
    <w:p>
      <w:pPr>
        <w:ind w:left="660" w:right="280" w:hanging="328"/>
        <w:spacing w:after="0" w:line="262"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Employee Benefits: We care about our employees and their families. We strive to offer them comprehensive and high value benefits programs that take care of their health and financial needs.</w:t>
      </w:r>
    </w:p>
    <w:p>
      <w:pPr>
        <w:spacing w:after="0" w:line="17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Our Communities</w:t>
      </w:r>
      <w:r>
        <w:rPr>
          <w:rFonts w:ascii="Arial" w:cs="Arial" w:eastAsia="Arial" w:hAnsi="Arial"/>
          <w:sz w:val="18"/>
          <w:szCs w:val="18"/>
          <w:color w:val="auto"/>
        </w:rPr>
        <w:t>: We help and encourage our employees to connect to the communities in which they reside. Through our “Inspire the World”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we challenge our employees to dedicate an hour of their time to a local cause close to their hearts. As well as empowering our employees to volunteer in their local communities, we are committed to helping a variety of causes and charities that support people in crisis situations and who live with life-threatening illnesses. Those we support were chosen because our employees told us that charities that support women and children are the most important to them.</w:t>
      </w:r>
    </w:p>
    <w:p>
      <w:pPr>
        <w:spacing w:after="0" w:line="202" w:lineRule="exact"/>
        <w:rPr>
          <w:sz w:val="20"/>
          <w:szCs w:val="20"/>
          <w:color w:val="auto"/>
        </w:rPr>
      </w:pPr>
    </w:p>
    <w:p>
      <w:pPr>
        <w:ind w:left="580" w:hanging="329"/>
        <w:spacing w:after="0" w:line="270" w:lineRule="auto"/>
        <w:tabs>
          <w:tab w:leader="none" w:pos="5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Being Prepared When Disaster Strikes: Over the past seventy years, we have developed strong competencies in responding to business disruptions. Whether the disruption is man-made or an extreme weather event such as a hurricane, flood or wildfire, our business continuity programs are central to how we respond in times of crisis. Our program’s focus is on preparing and protecting our people, property and infrastructure. We utilize an “all hands on deck” approach within our incident management and command structure to ensure that we respond as rapidly and effectively as possible. We have also developed longstanding partnerships with leading national disaster response agencies, which strengthen our ability to provide support to affected customers, employees and communities.</w:t>
      </w:r>
    </w:p>
    <w:p>
      <w:pPr>
        <w:spacing w:after="0" w:line="175" w:lineRule="exact"/>
        <w:rPr>
          <w:rFonts w:ascii="Arial" w:cs="Arial" w:eastAsia="Arial" w:hAnsi="Arial"/>
          <w:sz w:val="17"/>
          <w:szCs w:val="17"/>
          <w:color w:val="auto"/>
        </w:rPr>
      </w:pPr>
    </w:p>
    <w:p>
      <w:pPr>
        <w:ind w:left="340" w:right="60" w:hanging="332"/>
        <w:spacing w:after="0" w:line="266"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Environment: </w:t>
      </w:r>
      <w:r>
        <w:rPr>
          <w:rFonts w:ascii="Arial" w:cs="Arial" w:eastAsia="Arial" w:hAnsi="Arial"/>
          <w:sz w:val="18"/>
          <w:szCs w:val="18"/>
          <w:color w:val="auto"/>
        </w:rPr>
        <w:t>As a responsible corporate citizen, we are committed to monitoring, measuring and managing our environmental impact,</w:t>
      </w:r>
      <w:r>
        <w:rPr>
          <w:rFonts w:ascii="Arial" w:cs="Arial" w:eastAsia="Arial" w:hAnsi="Arial"/>
          <w:sz w:val="18"/>
          <w:szCs w:val="18"/>
          <w:i w:val="1"/>
          <w:iCs w:val="1"/>
          <w:color w:val="auto"/>
        </w:rPr>
        <w:t xml:space="preserve"> </w:t>
      </w:r>
      <w:r>
        <w:rPr>
          <w:rFonts w:ascii="Arial" w:cs="Arial" w:eastAsia="Arial" w:hAnsi="Arial"/>
          <w:sz w:val="18"/>
          <w:szCs w:val="18"/>
          <w:color w:val="auto"/>
        </w:rPr>
        <w:t>and working to reduce it where practicable on an ongoing basis. This enables us to meet customer expectations while building a resilient business for generations to come. The following illustrates these commitments:</w:t>
      </w:r>
    </w:p>
    <w:p>
      <w:pPr>
        <w:spacing w:after="0" w:line="194" w:lineRule="exact"/>
        <w:rPr>
          <w:rFonts w:ascii="Arial" w:cs="Arial" w:eastAsia="Arial" w:hAnsi="Arial"/>
          <w:sz w:val="18"/>
          <w:szCs w:val="18"/>
          <w:i w:val="1"/>
          <w:iCs w:val="1"/>
          <w:color w:val="auto"/>
        </w:rPr>
      </w:pPr>
    </w:p>
    <w:p>
      <w:pPr>
        <w:ind w:left="660" w:hanging="328"/>
        <w:spacing w:after="0" w:line="256" w:lineRule="auto"/>
        <w:tabs>
          <w:tab w:leader="none" w:pos="6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Environmental Footprint: Through our continuous improvement approach, we work proactively to address the environmental challenges that impact our business. Guided by our Environmental Policy, we focus on the environmental issues most important to us and our stakeholders.</w:t>
      </w:r>
    </w:p>
    <w:p>
      <w:pPr>
        <w:spacing w:after="0" w:line="201" w:lineRule="exact"/>
        <w:rPr>
          <w:rFonts w:ascii="Arial" w:cs="Arial" w:eastAsia="Arial" w:hAnsi="Arial"/>
          <w:sz w:val="18"/>
          <w:szCs w:val="18"/>
          <w:color w:val="auto"/>
        </w:rPr>
      </w:pPr>
    </w:p>
    <w:p>
      <w:pPr>
        <w:ind w:left="660" w:right="200" w:hanging="328"/>
        <w:spacing w:after="0" w:line="256" w:lineRule="auto"/>
        <w:tabs>
          <w:tab w:leader="none" w:pos="6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Sustainable Operations: We are driving the efficiencies needed to reduce our environmental impact and enhance the sustainability of our operations. These are mainly driven by improvements on vehicle preventive maintenance, the incorporation of green building practices and by complying with all environmental regulations.</w:t>
      </w:r>
    </w:p>
    <w:p>
      <w:pPr>
        <w:spacing w:after="0" w:line="201" w:lineRule="exact"/>
        <w:rPr>
          <w:rFonts w:ascii="Arial" w:cs="Arial" w:eastAsia="Arial" w:hAnsi="Arial"/>
          <w:sz w:val="18"/>
          <w:szCs w:val="18"/>
          <w:color w:val="auto"/>
        </w:rPr>
      </w:pPr>
    </w:p>
    <w:p>
      <w:pPr>
        <w:ind w:left="660" w:right="140" w:hanging="328"/>
        <w:spacing w:after="0" w:line="256" w:lineRule="auto"/>
        <w:tabs>
          <w:tab w:leader="none" w:pos="6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Carbon Offset Program: We are committed to helping educate both consumers and travel professionals on their environmental impact from rental car use and on how that can be reduced. We also work closely with our corporate customers to help them achieve their environmental impact reduction targets through our carbon offset program.</w:t>
      </w:r>
    </w:p>
    <w:p>
      <w:pPr>
        <w:spacing w:after="0" w:line="201" w:lineRule="exact"/>
        <w:rPr>
          <w:rFonts w:ascii="Arial" w:cs="Arial" w:eastAsia="Arial" w:hAnsi="Arial"/>
          <w:sz w:val="18"/>
          <w:szCs w:val="18"/>
          <w:color w:val="auto"/>
        </w:rPr>
      </w:pPr>
    </w:p>
    <w:p>
      <w:pPr>
        <w:ind w:left="660" w:right="40" w:hanging="328"/>
        <w:spacing w:after="0" w:line="254" w:lineRule="auto"/>
        <w:tabs>
          <w:tab w:leader="none" w:pos="6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Sustainable Fleet: We have been actively anticipating and driving changes in mobility. Connected and autonomous vehicles are likely to become a common feature worldwide, along with an increase use of electric and shared vehicles, which is why we’re building on our core experience, data intelligence and technology to develop entirely new lines of business and extend our offering and capabilities for our customers, businesses and cities. Our efforts include: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1620" w:right="160" w:hanging="315"/>
        <w:spacing w:after="0" w:line="254"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Car Sharing: Our Zipcar car sharing technology was designed and specifically built for our car sharing business and has been continually refined and upgraded. With more than one million members worldwide, Zipcar is taking thousands of vehicles off the road and reducing congestion. In addition, car sharing members report notable reductions in their own driving behavior after joining.</w:t>
      </w:r>
    </w:p>
    <w:p>
      <w:pPr>
        <w:spacing w:after="0" w:line="204" w:lineRule="exact"/>
        <w:rPr>
          <w:rFonts w:ascii="Arial" w:cs="Arial" w:eastAsia="Arial" w:hAnsi="Arial"/>
          <w:sz w:val="18"/>
          <w:szCs w:val="18"/>
          <w:color w:val="auto"/>
        </w:rPr>
      </w:pPr>
    </w:p>
    <w:p>
      <w:pPr>
        <w:ind w:left="1960" w:right="600" w:hanging="655"/>
        <w:spacing w:after="0" w:line="262" w:lineRule="auto"/>
        <w:tabs>
          <w:tab w:leader="none" w:pos="1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Connected Vehicles: Connected vehicles support our ability to reduce emissions through a steadfast focus on fleet maintenance and optimization.</w:t>
      </w:r>
    </w:p>
    <w:p>
      <w:pPr>
        <w:spacing w:after="0" w:line="196" w:lineRule="exact"/>
        <w:rPr>
          <w:rFonts w:ascii="Arial" w:cs="Arial" w:eastAsia="Arial" w:hAnsi="Arial"/>
          <w:sz w:val="18"/>
          <w:szCs w:val="18"/>
          <w:color w:val="auto"/>
        </w:rPr>
      </w:pPr>
    </w:p>
    <w:p>
      <w:pPr>
        <w:ind w:left="1960" w:right="160" w:hanging="655"/>
        <w:spacing w:after="0" w:line="254" w:lineRule="auto"/>
        <w:tabs>
          <w:tab w:leader="none" w:pos="1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Fleet Efficiency: We offer our customers the opportunity to choose from a wide variety of vehicles, including hybrids, electric or fuel efficient vehicles at almost all of our locations. Our fleet consists primarily of vehicles from the current and immediately preceding model year - this ensures the highest possible standards of air emissions control. Our hybrid fleet is one of the largest in our industry with 19,000+ hybrid vehicles globally.</w:t>
      </w:r>
    </w:p>
    <w:p>
      <w:pPr>
        <w:spacing w:after="0" w:line="20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most recent Corporate Social Responsibility Report (“CSR”) is available on the Company’s website. The information contained on the Company’s website is not included in, or incorporated by reference into,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a wide variety of laws and regulations in the countries in which we operate, including those relating to, among others, consumer protection, insurance products and rates, franchising, customer privacy and data protection, securities and public disclosure, competition and antitrust, environmental matters, taxes, automobile-related liability, corruption and anti-bribery, labor and employment matters, health and safety, claims management, automotive retail sales, currency-exchange and other various banking and financial industry regulations, cost and fee recovery, the protection of our trademarks and other intellectual property, and local ownership or investment requirements. Additional information about the regulations that we are subject to can be found in Item 1A. “Risk Factors” in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principal executive office is located at 6 Sylvan Way, Parsippany, New Jersey 07054 (our telephone number is 973-496-4700). The Company files electronically with the Securities and Exchange Commission (the “SEC”) required reports on Form 8-K, Form 10-Q, Form 10-K and Form 11-K; proxy materials; registration statements and other forms or reports as required. Certain of the Company’s officers, directors and stockholders also file statements of beneficial ownership and of changes in beneficial ownership on Forms 3, 4 and 5 with the SEC. Such materials may be accessed electronically on the SEC’s Internet site (sec.gov). The Company maintains a website (avisbudgetgroup.com) and copies of our annual report on Form 10-K, quarterly reports on Form 10-Q, current reports on Form 8-K, Section 16 reports, proxy materials and any amendments to these reports filed or furnished with the SEC are available free of charge in the Investor Relations section of our website, as soon as reasonably practicable after filing with the SEC. Copies of our board committee charters, Codes of Conduct and Ethics, Corporate Governance Guidelines and other corporate governance information are also available on our website. If the Company should decide to amend any of its board committee charters, Codes of Conduct and Ethics or other corporate governance documents, copies of such amendments will be made available to the public through the Company’s website. The information contained on the Company’s website is not included in, or incorporated by reference into, this Annual Report on Form 10-K.</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140"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5487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i w:val="1"/>
          <w:iCs w:val="1"/>
          <w:color w:val="auto"/>
        </w:rPr>
        <w:t>The following is a cautionary discussion of the most significant risks, uncertainties and assumptions that we believe are significant to our business and should be considered carefully in conjunction with all of the other information set forth in this Annual Report on Form 10-K. The risks described below are not an exhaustive list of the risks that we face and are not listed by order of priority or materiality. In addition to the factors discussed elsewhere in this Annual Report on Form 10-K, the factors described in this item could, individually or in the aggregate, cause our actual results to differ materially from those described in any forward-looking statements. Should unknown risks or uncertainties materialize or underlying assumptions prove inaccurate, actual results could materially differ from past results and/or those anticipated, estimated or projected. Achievement of future results is subject to risks, uncertainties and potentially inaccurate assumptions. Past financial performance may not be a reliable indicator of future performance and historical trends should not be used to anticipate results or trends in future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high level of competition in the mobility industry.</w:t>
      </w:r>
    </w:p>
    <w:p>
      <w:pPr>
        <w:spacing w:after="0" w:line="24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mobility industry is highly competitive, with price being one of the primary competitive factors. To the extent that our competitors reduce their pricing and we do not provide competitive pricing, or if price increases we implement make us less competitive, we risk losing rental volume from existing customers, as well as lessening the chances of success for future bids for new customer accounts. If competitive pressures lead us to lose rental volume or match any downward pricing and we are unable to reduce our operating costs, then our financial condition or results of operations could be materially adversely impacted.</w:t>
      </w:r>
    </w:p>
    <w:p>
      <w:pPr>
        <w:spacing w:after="0" w:line="20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Additionally, pricing in the vehicle rental industry is impacted by the size of rental fleets and the supply of vehicles available for rent. Any significant fluctuations in the supply of rental vehicles available in the market due to an unexpected decrease in demand, or actions taken by our competitors that increases fleet significantly above market demand, could negatively affect our pricing, operating plans or results of operations if we are unable to adjust the size of our rental fleet in response to fluctuations in supply and demand.</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competitive environment for our mobility services has become more intense as additional companies, including automobile manufacturers, ride-hailing companies, car sharing companies and other technology players in the mobility industry enter our existing markets or expand their operations. Companies offering new mobility business models, including ride-hailing or car sharing services may affect demand for rental vehicles. Some of these companies may have access to substantial capital, innovative technologies or have the ability to provide services at a relatively low cost. To the extent these companies can improve transportation efficiency, alter driving patterns or attitudes toward vehicle rental, offer more competitive prices or fleet management services, more effectively utilize mobile platforms, undertake more aggressive marketing campaigns, price their competing services below market or otherwise disrupt the mobility industry, we risk heightened pricing competition and/or loss of rental volume, which could adversely impact our business and results of operations if we are unable to compete with such efforts.</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risk of competition on the basis of pricing in the truck rental industry can be even more impactful than in the car rental industry as it can be more difficult to reduce the size of our truck rental fleet in response to significantly reduced demand.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fleet costs.</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Fleet costs typically represent our single largest expense and can vary from year to year based on the prices that we are able to purchase and dispose of our vehicles. We purchase program vehicles, which are guaranteed a rate of depreciation through agreements with auto manufacturers, and non-program, or “risk” vehicles. In 2019, on average approximately 66% of our rental fleet was comprised of risk vehicles.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costs of our risk vehicles may be adversely impacted by the relative strength of the used car market, particularly the market for one- to two-year old used vehicles, or potentially by the insolvency or bankruptcy of an auto manufacturer from whom we purchase vehicles. We currently sell risk vehicles through various sales channels in the used vehicle marketplace, including traditional auctions, on-line auctions, direct-to-dealer sales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and directly to consumers through either retail lots or our Ultimate Test Drive consumer car sales program. These channels may not produce stable vehicle prices in the future, as the market for used vehicles is subject to changes in demand for such vehicles, consumer interests, inventory levels, new car pricing, interest rates, fuel costs, tariffs and general economic conditions. A reduction in residual values for risk vehicles in our rental fleet could cause us to sustain a substantial loss on the ultimate sale of such vehicles or require us to depreciate those vehicles at a more accelerated rate than previously anticipated while we own them.</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If the market value of the vehicles in our fleet is reduced or our ability to sell vehicles in the used vehicle marketplace were to become severely limited, we may have difficulty meeting collateral requirements due under our asset-backed financing facilities, which could lead to decreased capacity in such facilities and effectively increase our fleet costs or adversely impact our profitability. In addition, if we are unable to meet our collateral requirements under such facilities, the outstanding principal amount due may be required to be repaid earlier than anticipated. If that were to occur, the holders of our asset-backed debt may have the ability to exercise their right to instruct the trustee to direct the return of program vehicles and/or the sale of risk vehicles to generate proceeds sufficient to repay such debt.</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Program and leased vehicles enable us to determine our depreciation expense in advance of purchase. Our program and leased vehicles also generally provide us with flexibility to reduce the size of our fleet rapidly. This flexibility would be affected as the percentage of program vehicles in our fleet is reduced, or if the features of the programs provided by auto manufacturers are less favorable. Our inability to reduce the size of our fleet in response to seasonal demand fluctuations, economic constraints or other changes in demand could have an adverse impact on our fleet costs and results of operations.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Failure by a manufacturer to fulfill its obligations under any program agreement or incentive payment obligation, due to insolvency, bankruptcy or other reasons, could leave us with a material expense if we are unable to dispose of program vehicles at prices estimated at the time of purchase or with a substantial unpaid claim against the manufacturer, particularly with respect to program vehicles that were either (i) resold for an amount less than the amount guaranteed under the applicable program and therefore subject to a “true-up” payment obligation from the manufacturer; or (ii) returned to the manufacturer, but for which we were not yet paid, and therefore we could incur a substantial loss as a result of such failure to perform.</w:t>
      </w:r>
    </w:p>
    <w:p>
      <w:pPr>
        <w:spacing w:after="0" w:line="2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While we source our fleet purchases from a wide range of auto manufacturers, we are exposed to risk to the extent that any auto manufacturer significantly curtails production, increases the cost of vehicles or declines to sell vehicles to us on terms or at prices consistent with past practice. Should any of these risks occur, we may be unable to obtain a sufficient number of vehicles to operate our business without significantly increasing our fleet costs or reducing our volumes.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safety recalls affecting our vehicles.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vehicles may be subject to safety recalls by their manufacturers, which could have an adverse impact on our business when we remove recalled vehicles from our rentable fleet. We cannot control nor predict the number of vehicles that will be subject to manufacturer recalls in the future. Recalls often require us to retrieve vehicles from customers and/or hold vehicles until we can arrange for the repairs described in the recalls to be completed. As such, recalls can result in incremental costs, negatively impact our revenues and/or reduce our fleet utilization. If a large number of vehicles were to be the subject of one or more recalls, or if needed replacement parts were not in adequate supply, we may be unable to utilize recalled vehicles for a significant period of time. We could also face liability claims related to vehicles subject to a safety recall. Depending on the nature and severity of the recall, it could create customer service problems, reduce the residual value of the vehicles involved, harm our general reputation and/or have an adverse impact on our financial condition or results of operations.</w:t>
      </w:r>
    </w:p>
    <w:p>
      <w:pPr>
        <w:spacing w:after="0" w:line="184"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Weakness in travel demand or general economic conditions, or a significant increase in fuel costs, can adversely impact our business.</w:t>
      </w:r>
    </w:p>
    <w:p>
      <w:pPr>
        <w:spacing w:after="0" w:line="17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Demand for vehicle rentals is generally subject to and impacted by international, national and local economic conditions and travel demand. When travel demand or economic conditions in the United States, Europe and/or worldwide weakens, our financial condition and results of operations are often adversely impacted.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0"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Any significant airline capacity reductions, airfare or related fee increases, reduced flight schedules, or any events that disrupt or reduce business or leisure air travel or weaken travel demand and tourism, such as work stoppages, military conflicts, terrorist incidents, natural disasters, disease epidemics, or the response of governments to any such events, could have an adverse impact on our results of operations. For instance, the ongoing coronavirus outbreak emanating from China at the beginning of 2020 has resulted in increased travel restrictions. In addition, any significant increases in fuel prices, a severe protracted disruption in fuel supplies or rationing of fuel could discourage our customers from renting vehicles or reduce or disrupt air travel, which could also adversely impact our results of operations.</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truck rental business can be impacted by the housing market. If conditions in the housing market were to weaken, we may see a reduction in truck rental transactions, which could have an adverse impact on our business.</w:t>
      </w:r>
    </w:p>
    <w:p>
      <w:pPr>
        <w:spacing w:after="0" w:line="1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truck rental business can be impacted by changes in the light commercial business sector. If the light commercial business develops their own package delivery service with a fleet of trucks and vans to use for their business, or other large competitors enter the package delivery service industry, in particular around the holiday season, we may see a reduction in truck rental transactions, which could have an adverse impact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ability to successfully implement our business strategies and to preserve the value of our brands.</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strategic objectives involve winning and retaining customers through supporting and strengthening our brands, increasing operational efficiency and margins and enhancing our position in the evolving mobility industry. We see significant potential in the areas of optimizing our pricing, customer mix and sales of ancillary products and services, optimizing our procurement, deployment and disposition of vehicles, including increased use of non-auction channels for selling our risk vehicles; and applying connected-car/in-vehicle systems and other emerging technologies in our operations. If we are unsuccessful in implementing our strategic initiatives, our financial condition or results of operations could be adversely impacted.</w:t>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continues to further streamline its administrative and shared-services infrastructure that identifies and replicates best practices, leverages the scale and capabilities of third-party service providers and is designed to increase the global standardization and consolidation of non-rental-location functions over time. We cannot be certain that such initiatives will continue to be successful. Failure to successfully implement any of these initiatives could have an adverse impact on our financial condition or results of operations.</w:t>
      </w:r>
    </w:p>
    <w:p>
      <w:pPr>
        <w:spacing w:after="0" w:line="20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Any failure to adapt to changes in the mobility industry, provide a high-quality rental experience for our customers and members, adopt new technologies, capitalize on cost saving initiatives or meet customer needs could substantially harm our reputation and competitiveness and could adversely impact our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political, economic and commercial instability or uncertainty in the countries in which we operate.</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global operations expose us to risks related to international, national and local economic and political conditions and instability. For example, our operations in the United Kingdom include a significant amount of cross-border business that could be negatively impacted by the withdrawal of the United Kingdom from the European Union. Given the lack of comparable precedent, it is unclear what financial, trade and legal implications the withdrawal of the United Kingdom from the European Union will have and how such withdrawal would affect our operations. The withdrawal could lead to volatility in the global financial markets, adversely affect tax, legal and regulatory regimes and could impact the economies of the United Kingdom and other countries in which we operate, which could have a material adverse effect on our results in such countries. Operating our business in a number of different regions and countries exposes us to a number of other risks, including:</w:t>
      </w:r>
    </w:p>
    <w:p>
      <w:pPr>
        <w:spacing w:after="0" w:line="20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 and potentially conflicting laws, regulations, trade policies and agreements that are subject to 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varying tax regimes, including consequences from changes in applicable tax laws;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40"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660" w:right="50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currency restrictions, restrictions on repatriation of earnings or other restraints, as well as difficulties in obtaining financing in foreign countries for local operations;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changes to import-export laws, trade treaties or tariffs in the countries where we purchase vehicles;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trade disruptions or disputes, including in connection with the ongoing trade negotiations between the United States and China;</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ownership or investment requirements, or compliance with local laws, regulations or business practices;</w:t>
      </w:r>
    </w:p>
    <w:p>
      <w:pPr>
        <w:spacing w:after="0" w:line="225" w:lineRule="exact"/>
        <w:rPr>
          <w:rFonts w:ascii="Arial" w:cs="Arial" w:eastAsia="Arial" w:hAnsi="Arial"/>
          <w:sz w:val="18"/>
          <w:szCs w:val="18"/>
          <w:color w:val="auto"/>
        </w:rPr>
      </w:pPr>
    </w:p>
    <w:p>
      <w:pPr>
        <w:ind w:left="660" w:right="90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uncertainty and changes to </w:t>
      </w:r>
      <w:r>
        <w:rPr>
          <w:rFonts w:ascii="Arial" w:cs="Arial" w:eastAsia="Arial" w:hAnsi="Arial"/>
          <w:sz w:val="18"/>
          <w:szCs w:val="18"/>
          <w:color w:val="333333"/>
        </w:rPr>
        <w:t>political and regulatory regimes as a result of changing social, political, regulatory and economic</w:t>
      </w:r>
      <w:r>
        <w:rPr>
          <w:rFonts w:ascii="Arial" w:cs="Arial" w:eastAsia="Arial" w:hAnsi="Arial"/>
          <w:sz w:val="18"/>
          <w:szCs w:val="18"/>
          <w:color w:val="auto"/>
        </w:rPr>
        <w:t xml:space="preserve"> </w:t>
      </w:r>
      <w:r>
        <w:rPr>
          <w:rFonts w:ascii="Arial" w:cs="Arial" w:eastAsia="Arial" w:hAnsi="Arial"/>
          <w:sz w:val="18"/>
          <w:szCs w:val="18"/>
          <w:color w:val="333333"/>
        </w:rPr>
        <w:t>environments in the United States and internationally;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and international conflict, including terrorist acts;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instability or civil unrest that may severely disrupt economic activity in affected countries.</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Exposure to these risks may adversely impact our financial condition or results of operations. Our licensees’ vehicle rental operations may also be impacted by political, economic and commercial instability, which in turn could impact the amount of royalty payments they make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third-party distribution channels that we rely upon.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rely upon third-party distribution channels to generate a significant portion of our vehicle rental reservations, including:</w:t>
      </w:r>
    </w:p>
    <w:p>
      <w:pPr>
        <w:spacing w:after="0" w:line="225" w:lineRule="exact"/>
        <w:rPr>
          <w:sz w:val="20"/>
          <w:szCs w:val="20"/>
          <w:color w:val="auto"/>
        </w:rPr>
      </w:pPr>
    </w:p>
    <w:p>
      <w:pPr>
        <w:ind w:left="660" w:right="10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traditional and online travel agencies, airlines and hotel companies, marketing partners such as credit card companies and membership organizations and other entities that help us attract customers; and</w:t>
      </w:r>
    </w:p>
    <w:p>
      <w:pPr>
        <w:spacing w:after="0" w:line="196"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global distribution systems (“GDS”), such as Amadeus, Galileo/Apollo, Sabre and Worldspan, that connect travel agents, travel service providers and corporations to our reservation systems.</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Changes in our pricing agreements, commission schedules or arrangements with third-party distribution channels, the termination of any of our relationships or a reduction in the transaction volume of such channels, or a GDS’s inability to process and communicate reservations to us could have an adverse impact on our financial condition or results of operations, particularly if our customers are unable to access our reservation systems through alternate channels.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reliance on communications networks and centralized information systems.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rely heavily on the satisfactory performance and availability of our information systems, including our reservation systems, websites and network infrastructure to attract and retain customers, accept reservations, process rental and sales transactions, manage our fleet of vehicles, account for our activities and otherwise conduct our business. We have centralized our information systems and we rely on third-party communications service and system providers to provide technology services and link our systems with the business locations these systems were designed to serve. We have been subjected to, and from time to time in the future may be subject to, a failure or interruption that results in the unavailability of certain of our information systems. Such a failure or interruption, or a major disruption of communications between a system and the locations it serves, could cause a loss of reservations, interfere with our fleet management, slow rental and sales processes, create negative publicity that damages our reputation or otherwise adversely impacts our ability to manage our business effectively. We may experience system interruptions or disruptions for a variety of reasons, including as the result of network failures, power outages, cyber attacks, employee errors, software errors, an unusually high volume of visitors attempting to access our systems, or localized conditions such as fire, explosions or power outages or broader geographic events such as earthquakes, storms, floods, epidemics, strikes, acts of war, civil unrest or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40"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terrorist acts.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Our systems’ business continuity plans and insurance programs seek to mitigate such risks but they cannot fully eliminate the risks as a disruption could be experienced in any of our information systems.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cybersecurity breaches of our systems and information technology.</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Threats to network and data security are becoming increasingly diverse and sophisticated. As cybersecurity threats become more frequent, intense and sophisticated, costs of proactive defense measures may increase. Third parties may have the technology or expertise to breach the security of our customer transaction data and our security measures may not prevent physical security or cybersecurity breaches, which could result in substantial harm to our business, our reputation or our results of operations. We rely on encryption and/or authentication technology licensed from and, at times, administered by independent third parties to secure transmission of confidential information, including credit card numbers and other customer personal information. Our outsourcing agreements with these third-party service providers, including third-party hosted cloud environments, generally require that they have adequate security systems in place to protect our customer transaction data. Despite the implementation of cybersecurity measures (including access controls, data encryption, vulnerability assessments, continuous monitoring, and maintenance of backup and protective systems), our information technology systems or those used by our third-party service providers may still be vulnerable to a breach. In addition, anyone who is able to circumvent our security measures, or those of the third-party service providers we use, could misappropriate proprietary information or cause interruptions in our operations. Risks of cybersecurity incidents caused by malicious third parties using sophisticated, targeted methods to circumvent firewalls, encryption, and other security defenses, could include hacking, viruses, malicious software, ransomware, phishing attacks, denial of service attacks and other attempts to capture, disrupt or gain unauthorized access to data are rapidly evolving and could lead to disruptions in our reservation system or other data systems, unauthorized release of confidential or otherwise protected information or corruption of data. The techniques used by third parties change frequently and may be difficult to detect for long periods of time. Any successful efforts by individuals to infiltrate, break into, disrupt, damage or otherwise steal from the Company’s, its licensees’ or its third-party service providers’ security or information systems could damage our reputation and expose us to increased cybersecurity protection costs, litigation or other liability that could adversely impact our financial condition or results of operations. A cybersecurity breach resulting in the unauthorized use or disclosure of certain personal information could put individuals at risk of identity theft and financial or other harm and result in costs to the Company in investigation, remediation, legal defense and in liability to parties who are financially harmed. Failure to appropriately address these issues could also give rise to potentially material legal risks and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property leases and vehicle rental concessions.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lease or have vehicle rental concessions at locations throughout the world, including at most airports where we operate and at train stations throughout Europe, where vehicle rental companies are frequently required to bid periodically for space at these locations. If we were to lose a property lease or vehicle rental concession, particularly at an airport or a train station in a major metropolitan area, there can be no assurance that we would be able to find a suitable replacement location on reasonable terms which could adversely impact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seasonality of our business.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our business, the third quarter of the year has historically been our most profitable quarter, as measured by net income and Adjusted EBITDA, due to the increased level of summer leisure travel and household moving activity. We vary our fleet size over the course of the year to help manage seasonal variations in demand, as well as localized changes in demand that we may encounter in the various regions in which we operate. Any circumstance or occurrence that disrupts rental activity during the third quarter, especially in North America and Europe, could have a disproportionately adverse impact on our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senior management and other key personnel.</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future success depends on key members of our senior management team and other key personnel, our ability to effectively recruit, retain and motivate high quality employees, and replace those who retire or resign. In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May 2019, we announced the departure of our President and Chief Executive Officer, effective December 31, 2019. On December 30, 2019, we announced that our President, Americas, would assume the role of President and Chief Executive Officer on an interim basis while the search process for a permanent chief executive officer continues. The loss of services of one or more of the other key members of our senior management team or other key personnel could impact our operations, ability to execute our strategies and adversely affect our business and operating results.</w:t>
      </w:r>
    </w:p>
    <w:p>
      <w:pPr>
        <w:spacing w:after="0" w:line="18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We face risks related to acquisitions, including the acquisition of existing licensees or investments in or partnerships with other related businesses.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engage in strategic transactions, including the acquisition of, or investment in, existing licensees and/or other businesses, partnerships or joint ventures with other companies. The risks involved in engaging in these types of transactions include the possible failure to successfully integrate the operations of acquired businesses, or to realize expected benefits within the anticipated time frame, or at all, such as cost savings, synergies, sales and growth opportunities. In addition, the integration of an acquired business or oversight of a partnership or joint venture may result in material unanticipated challenges, expenses, liabilities or competitive responses, including:</w:t>
      </w:r>
    </w:p>
    <w:p>
      <w:pPr>
        <w:spacing w:after="0" w:line="20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inconsistencies between our standards, procedures and policies and those of an acquired business, partnership and/or joint venture;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or inefficiencies associated with the integration of our operational and administrative systems;</w:t>
      </w:r>
    </w:p>
    <w:p>
      <w:pPr>
        <w:spacing w:after="0" w:line="225" w:lineRule="exact"/>
        <w:rPr>
          <w:rFonts w:ascii="Arial" w:cs="Arial" w:eastAsia="Arial" w:hAnsi="Arial"/>
          <w:sz w:val="18"/>
          <w:szCs w:val="18"/>
          <w:color w:val="auto"/>
        </w:rPr>
      </w:pPr>
    </w:p>
    <w:p>
      <w:pPr>
        <w:ind w:left="660" w:right="84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increased scope and complexity of our operations could require significant attention from management and could impose constraints on our operations or other projects;</w:t>
      </w:r>
    </w:p>
    <w:p>
      <w:pPr>
        <w:spacing w:after="0" w:line="196"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expenses, delays or conditions, including required regulatory or other third-party approvals or consents, or provisions in contracts with third parties that could limit our flexibility to take certain actions;</w:t>
      </w:r>
    </w:p>
    <w:p>
      <w:pPr>
        <w:spacing w:after="0" w:line="196"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retain the customers, employees, suppliers and/or marketing partners of an acquired business, partnership or joint venture or generate new customers or revenue opportunities through a strategic partnership;</w:t>
      </w:r>
    </w:p>
    <w:p>
      <w:pPr>
        <w:spacing w:after="0" w:line="196"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compliance with local laws and regulations and the implementation of compliance processes, as well as the assumption of unexpected liabilities, litigation, penalties or other enforcement actions;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undetected malware and viruses embedded in the acquired IT systems of the acquired entity;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than expected costs arising due to unforeseen changes in tax, trade, environmental, labor, safety, payroll or pension policies.</w:t>
      </w:r>
    </w:p>
    <w:p>
      <w:pPr>
        <w:spacing w:after="0" w:line="22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Any one of these factors could result in delays, increased costs or decreases in the amount of expected revenues related to combining the companies or derived from a strategic transaction and could adversely impact our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fluctuations in currency exchange rates.</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operations generate revenue and incur operating costs in a variety of currencies. The financial position and results of operations of many of our foreign subsidiaries are reported in the relevant local currency and then translated to U.S. dollars at the applicable currency exchange rate for inclusion in our Consolidated Financial Statements. Changes in exchange rates among these currencies and the U.S. dollar will affect, among other things, the recorded levels of our assets and liabilities in our Consolidated Financial Statements. While we take steps to manage our currency exposure, such as currency hedging, we may not be able to effectively limit our exposure to intermediate- or long-term movements in currency exchange rates, which could adversely impact our financial condition or results of operations.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derivative instruments.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typically utilize derivative instruments to manage fluctuations in foreign exchange rates, interest rates and gasoline prices. The derivative instruments we use to manage our risk are usually in the form of interest rate swaps and caps and foreign exchange and commodity contracts. Periodically, we are required to determine the change in fair value, called the “mark-to-market,” of some of these derivative instruments, which could expose us to substantial mark-to-market losses or gains if such rates or prices fluctuate materially from the time we entered into the derivatives. Accordingly, volatility in rates or prices may adversely impact our financial position or results of operations and could impact the cost and effectiveness of our derivative instruments in managing our risks.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liability and insurance.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global operations expose us to several forms of liability, including claims for bodily injury, death and property damage related to the use of our vehicles, or for having our customers on our premises, as well as workers’ compensation and other employment-related claims by our employees. We may become exposed to uninsured liability at levels in excess of our historical levels. In addition, liabilities related to existing or future claims may exceed the level of our reserves and/or our insurance, which could adversely impact our financial condition and results of operations. Furthermore, insurance with unaffiliated insurers may not continue to be available to us on economically reasonable terms or at all. Should we be subject to an adverse ruling, or experience other significant liability for which we did not plan and are unable to adequately insure against such liability, our results of operations, financial position or cash flows could be negatively impacted.</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reinsure certain insurance exposures as well as offer optional insurance coverages through unaffiliated third-party insurers that then reinsure all or a portion of their risks through our insurance company subsidiaries, which subjects us to regulation under various insurance laws and statutes in the jurisdictions in which our insurance company subsidiaries are domiciled. Any changes in regulations that alter or impede our reinsurance obligations or insurance subsidiary operations could adversely impact the economic benefits that we rely upon to support our reinsurance efforts, which in turn would adversely impact our financial condition or results of operations.</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Optional insurance products that we offer to renters in the United States, including, but not limited to, supplemental liability insurance, personal accident insurance and personal effects protection, are regulated under state laws governing such products. Our vehicle rental operations outside the United States must also comply with certain local laws and regulations regarding the sale of supplemental liability and personal accident and effects insurance by intermediaries. Any changes in law that affect our operating requirements with respect to our sale of optional insurance products could increase our costs of compliance or make it uneconomical to offer such products, which would lead to a reduction in revenue and profitability. Should more of our customers decline to purchase optional liability insurance products as a result of any changes in these laws or otherwise, our financial condition or results of operations could be adversely impacted.</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offer loss damage waivers to our customers as an option for them to reduce their financial responsibility that may be incurred as a result of loss or damage to the rental vehicle. Certain states in the United States have enacted legislation that mandates disclosure to each customer at the time of rental that damage to the rented vehicle may be covered to some extent by the customer’s personal automobile insurance and that loss damage waivers may not be necessary. In addition, some states have statutes that establish or cap the daily rate that can be charged for loss damage waivers. Should new laws or regulations arise that place new limits on our ability to offer loss damage waivers to our customers, our financial condition or results of operations could be adversely impacted.</w:t>
      </w:r>
    </w:p>
    <w:p>
      <w:pPr>
        <w:spacing w:after="0" w:line="209"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Additionally, current U.S. federal law pre-empts state laws that impute tort liability based solely on ownership of a vehicle involved in an accident. If such federal law were to change, our insurance liability exposure could materially increase.</w:t>
      </w:r>
    </w:p>
    <w:p>
      <w:pPr>
        <w:spacing w:after="0" w:line="1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may be unable to collect amounts that we believe are owed to us by customers, insurers and other third parties related to vehicle damage claims or liabilities. The inability to collect such amounts in a timely manner or to the extent that we expect could adversely impact our financial condition or results of operations.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Costs associated with lawsuits, investigations or increases in legal reserves that we establish based on our assessment of contingent liabilities may have an adverse effect on our results of operations.</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global operations expose us to various claims, lawsuits and other legal proceedings that arise in and outside of the ordinary course of our business in the countries in which we operate. We may be subject to complaints and/or litigation involving our customers, licensees, employees, independent operators and others with whom we conduct business, including claims for bodily injury, death and property damage related to use of our vehicles or our locations, or claims based on allegations of discrimination, misclassification as exempt employees under the Fair Labor Standards Act, wage and hourly pay disputes, and various other claims. We could be subject to substantial costs and/or adverse outcomes from such complaints or litigation, which could have a material adverse effect on our financial condition, cash flows or results of operations.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some of our locations, we outsource to third party independent contractors who operate the business as a separate entity. The independent contractors are paid a commission for operating their business under our brands. There is a growing trend in the United States aimed at the gig economy to define independent contractors as employees. As such, we are subject to legislative and or judicial determination that any such changes are applicable to these independent contractors. Such determinations may require us to change the business operations and make such independent contractor locations employee operated. This could potentially expose us to additional costs and material liability under federal and state labor and employment and tax laws.</w:t>
      </w:r>
    </w:p>
    <w:p>
      <w:pPr>
        <w:spacing w:after="0" w:line="20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time to time, our Company may be reviewed or investigated by government regulators, which could lead to tax assessments, enforcement actions, fines and penalties or the assertion of private litigation claims. It is not possible to predict with certainty the outcome of claims, investigations and lawsuits, and we could in the future incur judgments, taxes, fines or penalties or enter into settlements of lawsuits or claims that could have an adverse impact on our financial condition or results of operations. In addition, while we maintain insurance coverage with respect to exposure for certain types of legal claims, we may not be able to obtain such insurance on acceptable terms in the future, if at all, and any such insurance may not provide adequate coverage against any such claims.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laws and regulations that could impact our global operations.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multiple, and sometimes conflicting, laws and regulations in the countries in which we operate that relate to, among others, consumer protection, competition and antitrust, customer privacy and data protection, securities and public disclosure, automotive retail sales, franchising, corruption and anti-bribery, environmental matters, taxes, automobile-related liability, labor and employment matters, cost and fee recovery, currency-exchange and other various banking and financial industry regulations, health and safety, insurance rates and products, claims management, protection of our trademarks and other intellectual property and other trade-related laws and regulations. Recent years have seen a substantial increase in the global enforcement of certain of these laws such as the U.S. Foreign Corrupt Practices Act, the UK Bribery Act and similar foreign laws and regulations. Our continued global operations and expansion could increase the risk of governmental investigations and violations of such laws. We cannot predict the nature, scope or effect of future regulatory requirements to which our global operations may be subject or the manner in which existing or future laws may be administered or interpreted. Any alleged or actual violations of any law or regulation, change in law, regulation, trade treaties or tariffs, or changes in the interpretation of existing laws or regulations may subject us to government scrutiny, investigation and civil and criminal penalties, limit our ability to provide services in any of the countries in which we operate and could result in a material adverse impact on our reputation, business, financial position or results of operations.</w:t>
      </w:r>
    </w:p>
    <w:p>
      <w:pPr>
        <w:spacing w:after="0" w:line="2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certain countries where we have Company-operated locations, we may recover certain costs from consumers, including costs associated with the title and registration of our vehicles, or concession costs imposed by an airport authority or the owner and/or operator of the premises from which our vehicles are rented. We may in the future be subject to potential laws or regulations that could negatively impact our ability to separately state, charge and recover such costs, which could adversely impact our financial condition or results of operations.</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recognition of the contribution that our various operations located in different countries provide to the global network, we have implemented a new transfer pricing policy. We expect to seek Advanced Pricing Agreements in 2020 with certain tax authorities to obtain certainty regarding our new transfer pricing policy and we expect to enter into agreements with foreign tax authorities that reduce or defer the amount of tax we pay. The process of</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negotiating and ultimately entering into these agreements may take several years. The ultimate results of our negotiations of these agreements with tax authorities, the expiration of such agreements, or changes in circumstances or in the interpretation of such agreements could increase our tax costs in these jurisdictions. Many countries routinely examine transfer pricing policies of taxpayers subject to their jurisdiction, challenge transfer pricing practices aggressively where there is potential non-compliance and impose significant interest charges and penalties where non-compliance is determined. To the extent we do not have an existing Advance Pricing Agreement or other agreement, governmental authorities could challenge our transfer pricing policy in the future and, if challenged, we may not prevail, which could increase our tax costs or reduce savings related to our transfer pricing policy.</w:t>
      </w:r>
    </w:p>
    <w:p>
      <w:pPr>
        <w:spacing w:after="0" w:line="185"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We are subject to privacy, data protection, security transfer and other regulations, as well as private industry standards, which could negatively impact our global operations and cause us to incur additional incremental expense that impacts our future operating results.</w:t>
      </w:r>
    </w:p>
    <w:p>
      <w:pPr>
        <w:spacing w:after="0" w:line="1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Current consumer privacy and data protection laws, particularly the European Union’s General Data Protection Regulation (the “GDPR”), California Consumer Privacy Act (the “CCPA”), and other regulations in the jurisdictions in which we operate limit the types of information that we may collect, process, sell and retain about our customers and other individuals with whom we deal or propose to deal, some of which may be non-public personally identifiable information. The GDPR and CCPA, are each wide-ranging in scope, provides the European Union and California residents, respectively, greater control over their personal data and imposes several requirements relating to the consent of the individuals to whom the personal data relates, the information provided to the individuals, the security and confidentiality of the personal data, data breach notification, the use of third-party processors in connection with the processing of personal data, and the transfer or sale of personal data. It also imposes significant forfeitures and penalties for noncompliance and affords private rights of action to individuals under certain circumstances. The Company has adopted policies and procedures in compliance with the GDPR and CCPA, respectively; however, such policies and procedures may need to be updated as additional information concerning best practices are made available through guidance from regulatory authorities or published enforcement decisions. Other privacy laws may be interpreted and applied inconsistently from country to country, or from state to state in the U.S., and impose inconsistent or conflicting requirements. Complying with varying jurisdictional privacy requirements could increase our operating costs, divert management attention or require additional changes to our business practices. Should we be found to not be in compliance with the GDPR, CCPA or similar privacy and data protection laws, we could be subject to substantial monetary forfeitures, government consent decrees and other penalties that could negatively impact our operating results or harm our reputation.</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centralized nature of our information systems requires the routine flow of information about customers and potential customers across national borders, particularly in the United States and Europe. Should this flow of information become illegal or subject to onerous restrictions, our ability to serve our customers could be negatively impacted for an extended period of time. In addition, our failure to maintain the security of the data we hold, whether as a result of our own error or the actions of others, could harm our reputation or give rise to legal liabilities that adversely impact our financial condition or results of operations. Privacy and data protection laws and regulations restrict the ways that we process our transaction information and the Payment Card Industry imposes strict customer credit card data security standards to ensure that our customers’ credit card information is protected. Failure to meet these data security standards could result in substantial increased fees to credit card companies, other liabilities and/or loss of the right to collect credit card payments, which could adversely impact our financial condition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environmental laws and regulations.</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are subject to a wide variety of environmental laws and regulations in connection with our operations, including, among other things, with respect to the ownership or use of tanks for the storage of petroleum products such as gasoline, diesel fuel and motor and waste oils; the treatment or discharge of waste waters; and the generation, storage, transportation and off-site treatment or disposal of solid or liquid wastes. We maintain liability insurance covering storage tanks at our locations. In the United States, we administer an environmental compliance program designed to ensure that these tanks are properly registered in the jurisdiction in which they are located and are in compliance with applicable technical and operational requirements. The tank systems located at each of our locations may not at all times remain free from undetected leaks, and the use of these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0"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tanks has resulted in, and from time to time in the future may result in, spills, which may be significant and may require remediation and expose us to material uninsured liability or liabilities in excess of insurance.</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may also be subject to requirements related to the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 These remediation requirements and other environmental regulations differ depending on the country where the property is located. We have made, and will continue to make, expenditures to comply with environmental laws and regulations, including, among others, expenditures for the remediation of contamination at our owned and leased properties, as well as contamination at other locations at which our wastes have reportedly been identified. Our compliance with existing or future environmental laws and regulations may, however, require material expenditures by us or otherwise have an adverse impact on our financial condition or results of operations.</w:t>
      </w:r>
    </w:p>
    <w:p>
      <w:pPr>
        <w:spacing w:after="0" w:line="20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Environmental regulatory authorities are likely to continue to pursue measures related to climate change and greenhouse gas emissions, including vehicle travel restrictions. Should rules establishing limitations on greenhouse gas or other emissions or rules imposing fees on entities deemed to be responsible for greenhouse gas emission, or rules establishing bans on diesel or fuel vehicles from entering certain locations become effective in the countries in which we operate, demand for our services could be affected, our fleet and/or other costs could increase, and our business could be adversely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vehicle electrification.</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Vehicle electrification refers to a range of technologies that uses electricity to propel a vehicle and includes hybrid, plug-in, extended range and battery electric vehicles, as well as autonomous vehicles. We believe that the vehicle industry will continue to experience significant change in the coming years, in particular as it relates to vehicle electrification. Worldwide demand for electric and hybrid vehicles continues to increase, and manufacturers continue to invest more time and cost into producing these types of vehicles to reduce fuel consumption and greenhouse gas emissions, as mandated by various governmental standards and regulations.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continue to face pressure to ensure our fleet has both electric and hybrid vehicles both from consumer demand, and from our purchase agreements with various vehicle manufacturers. Our hybrid fleet is one of the largest in our industry with over 19,000 hybrid vehicles globally, however, this still remains only a fraction of our overall fleet. In addition, autonomous, or “self driving” vehicles are being tested and produced by various auto manufacturers globally at a rapid pace. We currently do not have any autonomous vehicles in our fleet. If we are not adequately prepared to meet consumer demand for electric, hybrid and autonomous vehicles as such demand develops, our financial condition or results of operations could be adversely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franchising or licensing laws and regulations.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license to third parties the right to operate locations using our brands in exchange for royalty payments. Our licensing activities are subject to various laws and regulations in the countries in which we operate. In particular, laws in the United States require that we provide extensive disclosure to prospective licensees in connection with licensing offers and sales, as well as comply with franchise relationship laws that could limit our ability to, among other things, terminate license agreements or withhold consent to the renewal or transfer of these agreements. We are also subject to certain regulations affecting our license arrangements in Europe and other international locations. Should our operations become subject to new laws or regulations that negatively impact our ability to engage in licensing activities, our financial condition or results of operations could be adversely impacted.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actions of, or failures to act by, our licensees, dealers, independent operators or third-party vendors.</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vehicle rental licensee and dealer locations are independently owned and operated. We also operate many of our Company-owned locations through agreements with independent operators, which are third-party independent contractors who receive commissions to operate such locations. We also enter into service contracts with various third-party vendors that provide services for us or in support of our business. Under our agreements with our licensees, dealers, independent operators and third-party vendors (collectively referred to as “third-party operators”), the third-party operators retain control over the employment and management of all personnel at their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0"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locations or in support of the services that they provide our Company. These agreements also generally require that third-party operators comply with all laws and regulations applicable to their businesses, including relevant internal policies and standards. Regulators, courts or others may seek to hold us responsible for the actions of, or failures to act by, third-party operators or their employees based on theories of vicarious liability, negligence, joint operations or joint employer liability. Although we actively monitor the operations of these third-party operators, and under certain circumstances have the ability to terminate their agreements for failure to adhere to contracted operational standards, we are unlikely to detect all misconduct or noncompliance by a third-party operator or its employees. It is our policy to vigorously seek to be dismissed from any claims involving third -party operators and to pursue indemnity for any adverse outcomes that affect the Company. Failure of third-party operators to comply with laws and regulations or our operational standards, or our inability to be dismissed from claims against our third-party operators, may expose us to liability, damages and negative publicity that may damage our brand and reputation and adversely affect our financial condition or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protection of our intellectual property.</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registered certain marks and designs as trademarks in the United States and in certain other countries. At times, competitors may adopt service names similar to ours, thereby impeding our ability to build brand identity and possibly leading to market confusion. In addition, we have been subject to, and from time to time in the future may be subject to, trade name or trademark infringement claims brought by owners of other registered trademarks or trademarks that incorporate variations of our registered trademarks. From time to time, we have acquired or attempted to acquire Internet domain names held by others when such names have caused consumer confusion or had the potential to cause consumer confusion.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tax reform.</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Tax Cuts and Jobs Act (the “Tax Act”), signed into law in 2017, eliminated the use of like-kind exchange for personal property and also included a provision allowing for full expensing of qualified property purchases through the year 2022. Since 2004, we have utilized a like-kind exchange program whereby we replace vehicles in a manner that allows tax gains on vehicles sold in the U.S. to be deferred, resulting in a material deferral of U.S. federal and state income taxes. While the Tax Act repealed like-kind exchange treatment for vehicle sales, the effect of the repeal will be largely offset through 2022 by the full expensing provision of certain business assets in the year placed in service, which we believe includes our vehicles. However, an extended downsizing of our fleet would significantly decrease the amount of tax deductions available under the full expensing provision. This would result in the utilization of tax attributes and increased federal and state income tax liabilities that could require us to make material cash payments. Such a downsizing or reduction in purchases would likely occur if, and to the extent, we are unable to obtain financing when our asset-backed rental vehicle financings mature, or in connection with a significant decrease in demand for vehicle rentals. In addition, the full expensing provision phases out at the end of year 2022 and we are not certain if this provision will be extended. Certain U.S. states have modified their tax statutes as a result of the Tax Act, and such state legislation negates the full expensing benefits granted under the Tax Act, which negatively impacts our tax liability in such states. Other U.S. states continue to modify their tax statutes related to full expensing. Therefore, we cannot offer assurance that the benefits from the expected tax deductions will continue.</w:t>
      </w:r>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Tax Act also made significant changes to the U.S. Internal Revenue Code applicable to corporations including a permanent reduction to the corporate income tax rate, a mandatory one-time repatriation tax on undistributed historic earnings of foreign subsidiaries, elimination or limitation of the deductibility of certain business expenses, and requires the inclusion in the U.S. tax base certain earnings generated by foreign subsidiaries, among other changes. While the Company believes it will not be materially impacted by these changes, the ultimate impact of the Tax Act may differ from our current estimates due to changes in interpretations of the Tax Act, legislative action, changes in accounting standards for income taxes, among other things, which could adversely impact our financial condition or results of operations.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current and future debt obligations.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ability to satisfy and manage our debt obligations depends on our ability to generate cash flow and on overall financial market conditions. To some extent, this is subject to prevailing economic and competitive conditions and to certain financial, business and other factors, many of which are beyond our control. Our outstanding debt obligations require us to dedicate a significant portion of our cash flows to pay interest and principal on our debt, which reduces the funds available to us for other purposes. Our business may not generate sufficient cash flow from operations to permit us to service our debt obligations and meet our other cash needs, which may force us to reduce or delay capital expenditures, sell or curtail assets or operations, seek additional capital or seek to restructure or refinance our indebtedness. If we must sell or curtail our assets or operations, it may negatively affect our ability to generate revenue. Certain of our debt obligations contain restrictive covenants and provisions applicable to us and our subsidiaries that limit our ability to, among other things:</w:t>
      </w:r>
    </w:p>
    <w:p>
      <w:pPr>
        <w:spacing w:after="0" w:line="206" w:lineRule="exact"/>
        <w:rPr>
          <w:sz w:val="20"/>
          <w:szCs w:val="20"/>
          <w:color w:val="auto"/>
        </w:rPr>
      </w:pPr>
    </w:p>
    <w:p>
      <w:pPr>
        <w:ind w:left="660" w:right="32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debt to fund working capital, capital expenditures, debt service requirements, execution of our business strategy or acquisitions and other purposes;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guarantees in respect of obligations of other persons;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distributions, redeem or repurchase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distributions from our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 and</w:t>
      </w:r>
    </w:p>
    <w:p>
      <w:pPr>
        <w:spacing w:after="0" w:line="225"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respond to adverse changes in general economic, industry and competitive conditions, as well as changes in government regulation and changes to our business.</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failure to comply with the restrictive covenants contained in the agreements or instruments that govern our debt obligations, if not waived, would cause a default under our senior credit facility and could result in a cross-default under several of our other debt obligations, including our U.S. and European asset-backed debt facilities. If such a default were to occur, certain provisions in our various debt agreements could require that we repay or accelerate debt payments to the lenders or holders of our debt, and there can be no assurance that we would be able to refinance or obtain a replacement for such financing programs.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movements or disruptions in the credit and asset-backed securities markets.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finance our vehicle fleet purchases and operations through the use of asset-backed securities in the United States, Canada, Australia and Europe and other debt financing structures available through the credit markets. If the asset-backed financing and/or credit markets were to be disrupted for any reason, we may be unable to obtain refinancing for our operations or vehicle fleet purchases at current levels, or at all, when our respective asset-backed financings or debt financings mature. Likewise, any disruption of the asset-backed financing or credit markets could also increase our borrowing costs, as we seek to engage in new financings or refinance our existing financings. In addition, we could be subject to increased collateral requirements to the extent that we request any amendment or renewal of any of our existing asset-backed or debt financings.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potential increases in interest rates.</w:t>
      </w:r>
    </w:p>
    <w:p>
      <w:pPr>
        <w:spacing w:after="0" w:line="247"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A portion of our borrowings, primarily our vehicle-backed borrowings, bears interest at variable rates that expose us to interest rate risk. If interest rates were to increase, whether due to an increase in market interest rates or an increase in our own cost of borrowing, our debt service obligations for our variable rate indebtedness would</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40"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increase even though the amount of borrowings remained the same, and our results of operations could be adversely affected. As of December 31, 2019, our total outstanding debt of approximately $14.5 billion included unhedged interest rate sensitive debt of approximately $4.0 billion. During our seasonal borrowing peak in 2019, outstanding unhedged interest rate sensitive debt totaled approximately $5.7 billion.</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Virtually all of our debt under vehicle programs and certain of our corporate indebtedness matures within the next five years. If we are unable to refinance maturing indebtedness at interest rates that are equivalent to or lower than the interest rates on our maturing debt, our results of operations or our financial condition may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market price of our common stock.</w:t>
      </w: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cannot predict the prices at which our common stock will trade. The market price of our common stock experienced substantial volatility in the past and may fluctuate widely in the future, depending upon many factors, some of which may be beyond our control, including:</w:t>
      </w:r>
    </w:p>
    <w:p>
      <w:pPr>
        <w:spacing w:after="0" w:line="19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weakness in general economic conditions and credit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consumers’, investors’ and analysts’ perceptions of our industry, business or related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including our key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estimates that we provide to the public, any changes in such estimates, or our failure to meet such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dispositions, strategies, management or stockholder changes, marketing affiliations, projections, fleet costs, pricing actions or other competitive actions;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stock market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 or failure of competitive service offerings or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or regulatory developments in the United States and other countries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involving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of activist stockholders and responses from our Board and senior management;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amount of any share repurchases by us.</w:t>
      </w:r>
    </w:p>
    <w:p>
      <w:pPr>
        <w:spacing w:after="0" w:line="2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If any of the foregoing occurs, it could cause our stock price to fall and may expose us to litigation, including class action lawsuits that, even if unsuccessful, could be costly to defend and a distraction to management.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0"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Delaware law, and a short-term stockholder rights plan could prevent or delay a potential acquisition of control of our Company, which could decrease the trading price of our common stock.</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amended and restated certificate of incorporation, amended and restated by-laws and the laws in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 In January 2020, a short-term stockholder rights plan was adopted, which expires in January 2021.</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believe these provisions protect our stockholders from coercive or otherwise unfair takeover tactics by effectively requiring those who seek to obtain control of the Company to negotiate with our Board of Directors and by providing our Board with more time to assess any acquisition of control. However, these provisions could apply even if an acquisition of control of the Company may be considered beneficial by some stockholders and could delay or prevent an acquisition of control that our Board of Directors determines is not in the best interests of our Company and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as a result of actions by activist stockholders or others.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value constructive input from investors and regularly engage in dialogue with our stockholders regarding strategy and performance. We are committed to acting in the best interests of all of our stockholders. There is no assurance that the actions we have taken or may take in seeking to maintain constructive engagement with our stockholders will be successful. We have been, and may be in the future, subject to formal or informal actions or requests, including a proxy contest, from stockholders or other interested parties. Responding to such actions can be costly and time-consuming, divert attention of management and employees, and may have an adverse effect on our business, results of operations and cash flow and the market price of our common stock. SRS Investment Management, LLC (“SRS”) has disclosed ownership of 16,189,300 shares of the Company’s common stock and economic exposure to an additional 8,810,700 notional shares of the Company’s common stock pursuant to cash settled equity swaps. The standstill restrictions contained in the 2018 cooperation agreement entered into between the Company and SRS have expired and the Company, through a committee of the Board, is currently in discussions with SRS regarding, among other things, SRS's ownership limits and voting rights, Board and committee composition, governance rights and standstill restrictions. There can be no assurance that a new agreement will be entered into between the Company and SRS or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5487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1B. 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2. PROPERTIES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principal executive offices are located at 6 Sylvan Way, Parsippany, New Jersey 07054 pursuant to a lease agreement that expires in 2023. We own a facility in Virginia Beach, Virginia, which serves as a satellite administrative facility for our car and truck rental operations. We also lease office space in Tulsa, Oklahoma, and Boston, Massachusetts, pursuant to leases expiring in 2022 and 2023, respectively. These locations primarily provide operational and administrative services or contact center operations for our Americas segment. We also lease office space in Bracknell, England, Barcelona, Spain and Budapest, Hungary, pursuant to leases expiring in 2027, 2024 and 2021, respectively, for corporate offices, contact center activities and other administrative functions, respectively, for our International segment. Other office locations throughout the world are leased for administrative, regional sales and operations activities.</w:t>
      </w:r>
    </w:p>
    <w:p>
      <w:pPr>
        <w:spacing w:after="0" w:line="2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lease or have vehicle rental concessions for our brands at locations throughout the world. We own approximately 2% of the locations from which we operate and in some cases we sublease to franchisees or other third parties. The remaining locations from which we operate our vehicle rental businesses are leased or operated under concession agreements with governmental authorities and private entities. Those leases and concession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agreements typically require the payment of minimum rents or minimum concession fees and often also require us to pay or reimburse operating expenses, to pay additional rent, or concession fees above guaranteed minimums, based on a percentage of revenues or sales arising at the relevant premises, or to do both. See Note 3 to our Consolidated Financial Statements for information regarding lease commitments.</w:t>
      </w: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that our properties are sufficient to meet our present needs and we do not anticipate any difficulty in securing additional space, as needed, on acceptable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3. LEGAL PROCEEDINGS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 15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5487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5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140" w:right="4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165"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FOR COMMON EQUITY</w:t>
      </w:r>
    </w:p>
    <w:p>
      <w:pPr>
        <w:spacing w:after="0" w:line="24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common stock is currently traded on the NASDAQ Global Select Market (“NASDAQ”) under the symbol “CAR.” At January 31, 2020, the number of stockholders of record was 2,404.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4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neither declared nor paid any cash dividend on our common stock in 2019 or 2018, and we do not currently anticipate paying cash dividends on our common stock. However, we evaluate our dividend policy on a regular basis and may pay dividends in the future, subject to compliance with the covenants in our senior credit facility, the indentures governing our senior notes and our vehicle financing programs. The declaration and payment of future dividends to holders of our common stock will be at the discretion of our Board of Directors and will also depend upon many factors, including our financial condition, earnings, capital requirements of our businesses, covenants associated with certain debt obligations, legal requirements, regulatory constraints, industry practice and other factors that the Board of Directors deems relevant.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AUTHORIZED FOR ISSUANCE UNDER EQUITY COMPENSATION PLANS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and restricted stock units under all of our existing equity compensation plans as of December 31,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Number of Securities</w:t>
            </w:r>
          </w:p>
        </w:tc>
        <w:tc>
          <w:tcPr>
            <w:tcW w:w="240" w:type="dxa"/>
            <w:vAlign w:val="bottom"/>
          </w:tcPr>
          <w:p>
            <w:pPr>
              <w:spacing w:after="0"/>
              <w:rPr>
                <w:sz w:val="16"/>
                <w:szCs w:val="16"/>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Weighted-Average</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1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Exercise Price of</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to be Issued Upon Exercise</w:t>
            </w:r>
          </w:p>
        </w:tc>
        <w:tc>
          <w:tcPr>
            <w:tcW w:w="2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1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Outstanding Options,</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Future Issuance Under</w:t>
            </w: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of Outstanding Options,</w:t>
            </w:r>
          </w:p>
        </w:tc>
        <w:tc>
          <w:tcPr>
            <w:tcW w:w="2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1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Warrants and Rights</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Equity Compensation Plans</w:t>
            </w: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Warrants, Rights</w:t>
            </w:r>
          </w:p>
        </w:tc>
        <w:tc>
          <w:tcPr>
            <w:tcW w:w="2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18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(Excludes Restricted</w:t>
            </w: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and Restricted Stock Units</w:t>
            </w:r>
          </w:p>
        </w:tc>
        <w:tc>
          <w:tcPr>
            <w:tcW w:w="24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Plan Category</w:t>
            </w:r>
          </w:p>
        </w:tc>
        <w:tc>
          <w:tcPr>
            <w:tcW w:w="120" w:type="dxa"/>
            <w:vAlign w:val="bottom"/>
            <w:vMerge w:val="restart"/>
          </w:tcPr>
          <w:p>
            <w:pPr>
              <w:spacing w:after="0"/>
              <w:rPr>
                <w:sz w:val="6"/>
                <w:szCs w:val="6"/>
                <w:color w:val="auto"/>
              </w:rPr>
            </w:pPr>
          </w:p>
        </w:tc>
        <w:tc>
          <w:tcPr>
            <w:tcW w:w="23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2060" w:type="dxa"/>
            <w:vAlign w:val="bottom"/>
            <w:vMerge w:val="restart"/>
          </w:tcPr>
          <w:p>
            <w:pPr>
              <w:jc w:val="center"/>
              <w:ind w:right="196"/>
              <w:spacing w:after="0"/>
              <w:rPr>
                <w:sz w:val="20"/>
                <w:szCs w:val="20"/>
                <w:color w:val="auto"/>
              </w:rPr>
            </w:pPr>
            <w:r>
              <w:rPr>
                <w:rFonts w:ascii="Arial" w:cs="Arial" w:eastAsia="Arial" w:hAnsi="Arial"/>
                <w:sz w:val="16"/>
                <w:szCs w:val="16"/>
                <w:b w:val="1"/>
                <w:bCs w:val="1"/>
                <w:color w:val="auto"/>
              </w:rPr>
              <w:t>Stock Units) ($)</w:t>
            </w:r>
          </w:p>
        </w:tc>
        <w:tc>
          <w:tcPr>
            <w:tcW w:w="120" w:type="dxa"/>
            <w:vAlign w:val="bottom"/>
            <w:vMerge w:val="restart"/>
          </w:tcPr>
          <w:p>
            <w:pPr>
              <w:spacing w:after="0"/>
              <w:rPr>
                <w:sz w:val="6"/>
                <w:szCs w:val="6"/>
                <w:color w:val="auto"/>
              </w:rPr>
            </w:pPr>
          </w:p>
        </w:tc>
        <w:tc>
          <w:tcPr>
            <w:tcW w:w="2260" w:type="dxa"/>
            <w:vAlign w:val="bottom"/>
            <w:vMerge w:val="restart"/>
          </w:tcPr>
          <w:p>
            <w:pPr>
              <w:jc w:val="center"/>
              <w:spacing w:after="0" w:line="234" w:lineRule="exact"/>
              <w:rPr>
                <w:sz w:val="20"/>
                <w:szCs w:val="20"/>
                <w:color w:val="auto"/>
              </w:rPr>
            </w:pPr>
            <w:r>
              <w:rPr>
                <w:rFonts w:ascii="Arial" w:cs="Arial" w:eastAsia="Arial" w:hAnsi="Arial"/>
                <w:sz w:val="16"/>
                <w:szCs w:val="16"/>
                <w:b w:val="1"/>
                <w:bCs w:val="1"/>
                <w:color w:val="auto"/>
                <w:w w:val="99"/>
              </w:rPr>
              <w:t xml:space="preserve">Reflected in First Column) </w:t>
            </w:r>
            <w:r>
              <w:rPr>
                <w:rFonts w:ascii="Arial" w:cs="Arial" w:eastAsia="Arial" w:hAnsi="Arial"/>
                <w:sz w:val="21"/>
                <w:szCs w:val="21"/>
                <w:b w:val="1"/>
                <w:bCs w:val="1"/>
                <w:color w:val="auto"/>
                <w:w w:val="99"/>
                <w:vertAlign w:val="superscript"/>
              </w:rPr>
              <w:t>(b)</w:t>
            </w:r>
          </w:p>
        </w:tc>
        <w:tc>
          <w:tcPr>
            <w:tcW w:w="0" w:type="dxa"/>
            <w:vAlign w:val="bottom"/>
          </w:tcPr>
          <w:p>
            <w:pPr>
              <w:spacing w:after="0"/>
              <w:rPr>
                <w:sz w:val="1"/>
                <w:szCs w:val="1"/>
                <w:color w:val="auto"/>
              </w:rPr>
            </w:pPr>
          </w:p>
        </w:tc>
      </w:tr>
      <w:tr>
        <w:trPr>
          <w:trHeight w:val="164"/>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2,218,998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7,758,927</w:t>
            </w:r>
          </w:p>
        </w:tc>
        <w:tc>
          <w:tcPr>
            <w:tcW w:w="0" w:type="dxa"/>
            <w:vAlign w:val="bottom"/>
          </w:tcPr>
          <w:p>
            <w:pPr>
              <w:spacing w:after="0"/>
              <w:rPr>
                <w:sz w:val="1"/>
                <w:szCs w:val="1"/>
                <w:color w:val="auto"/>
              </w:rPr>
            </w:pPr>
          </w:p>
        </w:tc>
      </w:tr>
      <w:tr>
        <w:trPr>
          <w:trHeight w:val="229"/>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holders</w:t>
            </w:r>
          </w:p>
        </w:tc>
        <w:tc>
          <w:tcPr>
            <w:tcW w:w="22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2,218,998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7,758,927</w:t>
            </w:r>
          </w:p>
        </w:tc>
        <w:tc>
          <w:tcPr>
            <w:tcW w:w="0" w:type="dxa"/>
            <w:vAlign w:val="bottom"/>
          </w:tcPr>
          <w:p>
            <w:pPr>
              <w:spacing w:after="0"/>
              <w:rPr>
                <w:sz w:val="1"/>
                <w:szCs w:val="1"/>
                <w:color w:val="auto"/>
              </w:rPr>
            </w:pPr>
          </w:p>
        </w:tc>
      </w:tr>
      <w:tr>
        <w:trPr>
          <w:trHeight w:val="186"/>
        </w:trPr>
        <w:tc>
          <w:tcPr>
            <w:tcW w:w="4240" w:type="dxa"/>
            <w:vAlign w:val="bottom"/>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60" w:hanging="452"/>
        <w:spacing w:after="0" w:line="184"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Includes options and other awards granted under the Amended and Restated Equity and Incentive Plan, which plan was approved by stockholders.</w:t>
      </w:r>
    </w:p>
    <w:p>
      <w:pPr>
        <w:ind w:left="460" w:right="360" w:hanging="452"/>
        <w:spacing w:after="0" w:line="210"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Represents 5,352,041 shares available for issuance under the Amended and Restated Equity and Incentive Plan and 2,406,886 shares available for issuance pursuant to the 2009 Employee Stock Purchase Plan.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December 31,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Dollar Value of</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7"/>
                <w:szCs w:val="17"/>
                <w:color w:val="auto"/>
              </w:rPr>
            </w:pPr>
          </w:p>
        </w:tc>
        <w:tc>
          <w:tcPr>
            <w:tcW w:w="18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Shares That May Yet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7"/>
                <w:szCs w:val="17"/>
                <w:color w:val="auto"/>
              </w:rPr>
            </w:pPr>
          </w:p>
        </w:tc>
        <w:tc>
          <w:tcPr>
            <w:tcW w:w="18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Be Purchased under</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7"/>
                <w:szCs w:val="17"/>
                <w:color w:val="auto"/>
              </w:rPr>
            </w:pPr>
          </w:p>
        </w:tc>
        <w:tc>
          <w:tcPr>
            <w:tcW w:w="194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rPr>
              <w:t>Average Price Paid</w:t>
            </w: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 or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rPr>
              <w:t>the Plans or</w:t>
            </w:r>
          </w:p>
        </w:tc>
        <w:tc>
          <w:tcPr>
            <w:tcW w:w="0" w:type="dxa"/>
            <w:vAlign w:val="bottom"/>
          </w:tcPr>
          <w:p>
            <w:pPr>
              <w:spacing w:after="0"/>
              <w:rPr>
                <w:sz w:val="1"/>
                <w:szCs w:val="1"/>
                <w:color w:val="auto"/>
              </w:rPr>
            </w:pPr>
          </w:p>
        </w:tc>
      </w:tr>
      <w:tr>
        <w:trPr>
          <w:trHeight w:val="239"/>
        </w:trPr>
        <w:tc>
          <w:tcPr>
            <w:tcW w:w="3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vMerge w:val="restart"/>
          </w:tcPr>
          <w:p>
            <w:pPr>
              <w:spacing w:after="0"/>
              <w:rPr>
                <w:sz w:val="20"/>
                <w:szCs w:val="20"/>
                <w:color w:val="auto"/>
              </w:rPr>
            </w:pPr>
          </w:p>
        </w:tc>
        <w:tc>
          <w:tcPr>
            <w:tcW w:w="184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per Share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88"/>
        </w:trPr>
        <w:tc>
          <w:tcPr>
            <w:tcW w:w="36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October 2019</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104,781</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104,781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189,013,105</w:t>
            </w:r>
          </w:p>
        </w:tc>
        <w:tc>
          <w:tcPr>
            <w:tcW w:w="0" w:type="dxa"/>
            <w:vAlign w:val="bottom"/>
          </w:tcPr>
          <w:p>
            <w:pPr>
              <w:spacing w:after="0"/>
              <w:rPr>
                <w:sz w:val="1"/>
                <w:szCs w:val="1"/>
                <w:color w:val="auto"/>
              </w:rPr>
            </w:pP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November 2019</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189,013,105</w:t>
            </w:r>
          </w:p>
        </w:tc>
        <w:tc>
          <w:tcPr>
            <w:tcW w:w="0" w:type="dxa"/>
            <w:vAlign w:val="bottom"/>
          </w:tcPr>
          <w:p>
            <w:pPr>
              <w:spacing w:after="0"/>
              <w:rPr>
                <w:sz w:val="1"/>
                <w:szCs w:val="1"/>
                <w:color w:val="auto"/>
              </w:rPr>
            </w:pP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2019</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189,013,105</w:t>
            </w:r>
          </w:p>
        </w:tc>
        <w:tc>
          <w:tcPr>
            <w:tcW w:w="0" w:type="dxa"/>
            <w:vAlign w:val="bottom"/>
          </w:tcPr>
          <w:p>
            <w:pPr>
              <w:spacing w:after="0"/>
              <w:rPr>
                <w:sz w:val="1"/>
                <w:szCs w:val="1"/>
                <w:color w:val="auto"/>
              </w:rPr>
            </w:pPr>
          </w:p>
        </w:tc>
      </w:tr>
      <w:tr>
        <w:trPr>
          <w:trHeight w:val="250"/>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104,781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104,781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189,013,105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262626"/>
        </w:rPr>
        <w:t>The Company’s Board of Directors has authorized the repurchase of up to approximately $1.8 billion of its common stock under a plan originally approved in 2013 and subsequently expanded, most recently in August 2019.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Set forth below are a line graph and table comparing the cumulative total stockholder return of our common stock against the cumulative total returns of peer group indices, the S&amp;P Midcap 400 Index, and the Dow Jones U.S. Transportation Average Index for the period of five fiscal years commencing December 31, 2014 and ending December 31, 2019. The broad equity market indices used by the Company are the S&amp;P Midcap 400 Index, which measures the performance of mid-sized companies and the Dow Jones U.S. Transportation Average Index, which measures the performance of transportation companies. The graph and table depict the result of an investment on December 31, 2014 of $100 in the Company’s common stock, the S&amp;P Midcap 400 Index and the Dow Jones U.S. Transportation Average Index, including 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-4445</wp:posOffset>
            </wp:positionV>
            <wp:extent cx="5763260" cy="3747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3260"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As of December 31,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50"/>
        </w:trPr>
        <w:tc>
          <w:tcPr>
            <w:tcW w:w="33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Avis Budget Group, Inc.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54.71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55.30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66.15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48.61</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S&amp;P Midcap 400 Index</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97.82</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118.11</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137.30</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122.08</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154.07</w:t>
            </w:r>
          </w:p>
        </w:tc>
      </w:tr>
      <w:tr>
        <w:trPr>
          <w:trHeight w:val="228"/>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Dow Jones U.S. Transportation Average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Index</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128.39</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5487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6. SELECTED FINANCIAL DATA</w:t>
      </w:r>
    </w:p>
    <w:p>
      <w:pPr>
        <w:spacing w:after="0" w:line="4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The following discussion should be read in conjunction with Item 7. Management’s Discussion and Analysis of Financial Condition and Results of Operations, our Consolidated Financial Statements and Notes thereto and other financial information contained elsewhere in this Annual Report on Form 10-K.</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8"/>
                <w:szCs w:val="18"/>
                <w:b w:val="1"/>
                <w:bCs w:val="1"/>
                <w:color w:val="auto"/>
                <w:w w:val="99"/>
              </w:rPr>
              <w:t>As of or For the Year Ended December 31,</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64"/>
        </w:trPr>
        <w:tc>
          <w:tcPr>
            <w:tcW w:w="4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0"/>
        </w:trPr>
        <w:tc>
          <w:tcPr>
            <w:tcW w:w="4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40" w:type="dxa"/>
            <w:vAlign w:val="bottom"/>
            <w:gridSpan w:val="8"/>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9"/>
              </w:rPr>
              <w:t>(In millions, except per share data)</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9,172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9,124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8,848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8,502</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4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313</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4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1"/>
                <w:szCs w:val="21"/>
                <w:color w:val="auto"/>
                <w:vertAlign w:val="superscript"/>
              </w:rPr>
              <w:t>(a)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903</w:t>
            </w: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4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3"/>
        </w:trPr>
        <w:tc>
          <w:tcPr>
            <w:tcW w:w="444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3.02</w:t>
            </w:r>
          </w:p>
        </w:tc>
      </w:tr>
      <w:tr>
        <w:trPr>
          <w:trHeight w:val="277"/>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2.98</w:t>
            </w:r>
          </w:p>
        </w:tc>
      </w:tr>
      <w:tr>
        <w:trPr>
          <w:trHeight w:val="270"/>
        </w:trPr>
        <w:tc>
          <w:tcPr>
            <w:tcW w:w="4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23,126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19,149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17,699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17,643</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17,634</w:t>
            </w:r>
          </w:p>
        </w:tc>
      </w:tr>
      <w:tr>
        <w:trPr>
          <w:trHeight w:val="27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under vehicle programs</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13,815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11,879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11,716</w:t>
            </w:r>
          </w:p>
        </w:tc>
      </w:tr>
      <w:tr>
        <w:trPr>
          <w:trHeight w:val="263"/>
        </w:trPr>
        <w:tc>
          <w:tcPr>
            <w:tcW w:w="4440" w:type="dxa"/>
            <w:vAlign w:val="bottom"/>
          </w:tcPr>
          <w:p>
            <w:pPr>
              <w:ind w:left="40"/>
              <w:spacing w:after="0"/>
              <w:rPr>
                <w:sz w:val="20"/>
                <w:szCs w:val="20"/>
                <w:color w:val="auto"/>
              </w:rPr>
            </w:pPr>
            <w:r>
              <w:rPr>
                <w:rFonts w:ascii="Arial" w:cs="Arial" w:eastAsia="Arial" w:hAnsi="Arial"/>
                <w:sz w:val="18"/>
                <w:szCs w:val="18"/>
                <w:color w:val="auto"/>
              </w:rPr>
              <w:t>Corporate debt</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3,551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3,599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3,461</w:t>
            </w:r>
          </w:p>
        </w:tc>
      </w:tr>
      <w:tr>
        <w:trPr>
          <w:trHeight w:val="27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Debt under vehicle programs </w:t>
            </w:r>
            <w:r>
              <w:rPr>
                <w:rFonts w:ascii="Arial" w:cs="Arial" w:eastAsia="Arial" w:hAnsi="Arial"/>
                <w:sz w:val="21"/>
                <w:szCs w:val="21"/>
                <w:color w:val="auto"/>
                <w:vertAlign w:val="superscript"/>
              </w:rPr>
              <w:t>(b)</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11,068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9,221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8,860</w:t>
            </w: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80" w:type="dxa"/>
            <w:vAlign w:val="bottom"/>
          </w:tcPr>
          <w:p>
            <w:pPr>
              <w:spacing w:after="0"/>
              <w:rPr>
                <w:sz w:val="20"/>
                <w:szCs w:val="20"/>
                <w:color w:val="auto"/>
              </w:rPr>
            </w:pPr>
            <w:r>
              <w:rPr>
                <w:rFonts w:ascii="Arial" w:cs="Arial" w:eastAsia="Arial" w:hAnsi="Arial"/>
                <w:sz w:val="18"/>
                <w:szCs w:val="18"/>
                <w:color w:val="auto"/>
              </w:rPr>
              <w:t>Ratio of debt under vehicle programs to assets under</w:t>
            </w: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4780" w:type="dxa"/>
            <w:vAlign w:val="bottom"/>
          </w:tcPr>
          <w:p>
            <w:pPr>
              <w:ind w:left="160"/>
              <w:spacing w:after="0"/>
              <w:rPr>
                <w:sz w:val="20"/>
                <w:szCs w:val="20"/>
                <w:color w:val="auto"/>
              </w:rPr>
            </w:pPr>
            <w:r>
              <w:rPr>
                <w:rFonts w:ascii="Arial" w:cs="Arial" w:eastAsia="Arial" w:hAnsi="Arial"/>
                <w:sz w:val="18"/>
                <w:szCs w:val="18"/>
                <w:color w:val="auto"/>
              </w:rPr>
              <w:t>vehicle programs</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80%</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80%</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78%</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77%</w:t>
            </w: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20" w:hanging="332"/>
        <w:spacing w:after="0" w:line="235" w:lineRule="auto"/>
        <w:tabs>
          <w:tab w:leader="none" w:pos="3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The following table reconciles Net Income to Adjusted EBITDA within our Selected Financial Data,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China and income taxes. Net charges for unprecedented personal-injury legal matters and gain on sale of equity method investment in China are recorded within operating expenses in our Consolidated Statements of Operations. Non-operational charges related to shareholder activist activity include third-party advisory, legal and other professional service fees and are recorded within selling, general and administrative expenses in our Consolidated Statements of Operations. We have revised our definition of Adjusted EBITDA to exclude the gain on sale of equity method investment in China. We did not revise prior years’ Adjusted EBITDA because there were no gains similar in nature to this gain. Our presentation of Adjusted EBITDA may not be comparable to similarly-titled measures used by other companies. See Management’s Discussion and Analysis of Financial Condition and Results of Operations, Item 7, for an explanation of why we believe Adjusted EBITDA is a useful measure.</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For the Year Ended December 31,</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64"/>
        </w:trPr>
        <w:tc>
          <w:tcPr>
            <w:tcW w:w="5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r>
      <w:tr>
        <w:trPr>
          <w:trHeight w:val="244"/>
        </w:trPr>
        <w:tc>
          <w:tcPr>
            <w:tcW w:w="5240" w:type="dxa"/>
            <w:vAlign w:val="bottom"/>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313</w:t>
            </w:r>
          </w:p>
        </w:tc>
      </w:tr>
      <w:tr>
        <w:trPr>
          <w:trHeight w:val="276"/>
        </w:trPr>
        <w:tc>
          <w:tcPr>
            <w:tcW w:w="52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r>
      <w:tr>
        <w:trPr>
          <w:trHeight w:val="244"/>
        </w:trPr>
        <w:tc>
          <w:tcPr>
            <w:tcW w:w="524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2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382</w:t>
            </w:r>
          </w:p>
        </w:tc>
      </w:tr>
      <w:tr>
        <w:trPr>
          <w:trHeight w:val="270"/>
        </w:trPr>
        <w:tc>
          <w:tcPr>
            <w:tcW w:w="5240" w:type="dxa"/>
            <w:vAlign w:val="bottom"/>
          </w:tcPr>
          <w:p>
            <w:pPr>
              <w:spacing w:after="0"/>
              <w:rPr>
                <w:sz w:val="20"/>
                <w:szCs w:val="20"/>
                <w:color w:val="auto"/>
              </w:rPr>
            </w:pPr>
            <w:r>
              <w:rPr>
                <w:rFonts w:ascii="Arial" w:cs="Arial" w:eastAsia="Arial" w:hAnsi="Arial"/>
                <w:sz w:val="14"/>
                <w:szCs w:val="14"/>
                <w:color w:val="auto"/>
              </w:rPr>
              <w:t>Add:   Non-vehicle related depreciation and amortization</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218</w:t>
            </w:r>
          </w:p>
        </w:tc>
      </w:tr>
      <w:tr>
        <w:trPr>
          <w:trHeight w:val="270"/>
        </w:trPr>
        <w:tc>
          <w:tcPr>
            <w:tcW w:w="5240" w:type="dxa"/>
            <w:vAlign w:val="bottom"/>
          </w:tcPr>
          <w:p>
            <w:pPr>
              <w:ind w:left="520"/>
              <w:spacing w:after="0"/>
              <w:rPr>
                <w:sz w:val="20"/>
                <w:szCs w:val="20"/>
                <w:color w:val="auto"/>
              </w:rPr>
            </w:pPr>
            <w:r>
              <w:rPr>
                <w:rFonts w:ascii="Arial" w:cs="Arial" w:eastAsia="Arial" w:hAnsi="Arial"/>
                <w:sz w:val="14"/>
                <w:szCs w:val="14"/>
                <w:color w:val="auto"/>
              </w:rPr>
              <w:t>Interest expense related to corporate debt, net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194</w:t>
            </w:r>
          </w:p>
        </w:tc>
      </w:tr>
      <w:tr>
        <w:trPr>
          <w:trHeight w:val="270"/>
        </w:trPr>
        <w:tc>
          <w:tcPr>
            <w:tcW w:w="5240" w:type="dxa"/>
            <w:vAlign w:val="bottom"/>
          </w:tcPr>
          <w:p>
            <w:pPr>
              <w:ind w:left="520"/>
              <w:spacing w:after="0"/>
              <w:rPr>
                <w:sz w:val="20"/>
                <w:szCs w:val="20"/>
                <w:color w:val="auto"/>
              </w:rPr>
            </w:pPr>
            <w:r>
              <w:rPr>
                <w:rFonts w:ascii="Arial" w:cs="Arial" w:eastAsia="Arial" w:hAnsi="Arial"/>
                <w:sz w:val="14"/>
                <w:szCs w:val="14"/>
                <w:color w:val="auto"/>
              </w:rPr>
              <w:t>Restructuring and other related charges</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0"/>
        </w:trPr>
        <w:tc>
          <w:tcPr>
            <w:tcW w:w="5240" w:type="dxa"/>
            <w:vAlign w:val="bottom"/>
          </w:tcPr>
          <w:p>
            <w:pPr>
              <w:ind w:left="520"/>
              <w:spacing w:after="0"/>
              <w:rPr>
                <w:sz w:val="20"/>
                <w:szCs w:val="20"/>
                <w:color w:val="auto"/>
              </w:rPr>
            </w:pPr>
            <w:r>
              <w:rPr>
                <w:rFonts w:ascii="Arial" w:cs="Arial" w:eastAsia="Arial" w:hAnsi="Arial"/>
                <w:sz w:val="14"/>
                <w:szCs w:val="14"/>
                <w:color w:val="auto"/>
              </w:rPr>
              <w:t>Transaction-related costs, net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68</w:t>
            </w:r>
          </w:p>
        </w:tc>
      </w:tr>
      <w:tr>
        <w:trPr>
          <w:trHeight w:val="270"/>
        </w:trPr>
        <w:tc>
          <w:tcPr>
            <w:tcW w:w="5240" w:type="dxa"/>
            <w:vAlign w:val="bottom"/>
          </w:tcPr>
          <w:p>
            <w:pPr>
              <w:ind w:left="520"/>
              <w:spacing w:after="0"/>
              <w:rPr>
                <w:sz w:val="20"/>
                <w:szCs w:val="20"/>
                <w:color w:val="auto"/>
              </w:rPr>
            </w:pPr>
            <w:r>
              <w:rPr>
                <w:rFonts w:ascii="Arial" w:cs="Arial" w:eastAsia="Arial" w:hAnsi="Arial"/>
                <w:sz w:val="14"/>
                <w:szCs w:val="14"/>
                <w:color w:val="auto"/>
              </w:rPr>
              <w:t>Early extinguishment of corporate debt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0"/>
        </w:trPr>
        <w:tc>
          <w:tcPr>
            <w:tcW w:w="5240" w:type="dxa"/>
            <w:vAlign w:val="bottom"/>
          </w:tcPr>
          <w:p>
            <w:pPr>
              <w:ind w:left="520"/>
              <w:spacing w:after="0"/>
              <w:rPr>
                <w:sz w:val="20"/>
                <w:szCs w:val="20"/>
                <w:color w:val="auto"/>
              </w:rPr>
            </w:pPr>
            <w:r>
              <w:rPr>
                <w:rFonts w:ascii="Arial" w:cs="Arial" w:eastAsia="Arial" w:hAnsi="Arial"/>
                <w:sz w:val="14"/>
                <w:szCs w:val="14"/>
                <w:color w:val="auto"/>
              </w:rPr>
              <w:t>Non-operational charges related to shareholder activist activity</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40" w:type="dxa"/>
            <w:vAlign w:val="bottom"/>
          </w:tcPr>
          <w:p>
            <w:pPr>
              <w:ind w:left="520"/>
              <w:spacing w:after="0"/>
              <w:rPr>
                <w:sz w:val="20"/>
                <w:szCs w:val="20"/>
                <w:color w:val="auto"/>
              </w:rPr>
            </w:pPr>
            <w:r>
              <w:rPr>
                <w:rFonts w:ascii="Arial" w:cs="Arial" w:eastAsia="Arial" w:hAnsi="Arial"/>
                <w:sz w:val="14"/>
                <w:szCs w:val="14"/>
                <w:color w:val="auto"/>
              </w:rPr>
              <w:t>Impairment</w:t>
            </w: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40" w:type="dxa"/>
            <w:vAlign w:val="bottom"/>
          </w:tcPr>
          <w:p>
            <w:pPr>
              <w:ind w:left="520"/>
              <w:spacing w:after="0"/>
              <w:rPr>
                <w:sz w:val="20"/>
                <w:szCs w:val="20"/>
                <w:color w:val="auto"/>
              </w:rPr>
            </w:pPr>
            <w:r>
              <w:rPr>
                <w:rFonts w:ascii="Arial" w:cs="Arial" w:eastAsia="Arial" w:hAnsi="Arial"/>
                <w:sz w:val="14"/>
                <w:szCs w:val="14"/>
                <w:color w:val="auto"/>
              </w:rPr>
              <w:t>Gain on sale of equity method investment in China</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240" w:type="dxa"/>
            <w:vAlign w:val="bottom"/>
          </w:tcPr>
          <w:p>
            <w:pPr>
              <w:ind w:left="520"/>
              <w:spacing w:after="0"/>
              <w:rPr>
                <w:sz w:val="20"/>
                <w:szCs w:val="20"/>
                <w:color w:val="auto"/>
              </w:rPr>
            </w:pPr>
            <w:r>
              <w:rPr>
                <w:rFonts w:ascii="Arial" w:cs="Arial" w:eastAsia="Arial" w:hAnsi="Arial"/>
                <w:sz w:val="14"/>
                <w:szCs w:val="14"/>
                <w:color w:val="auto"/>
              </w:rPr>
              <w:t>Charges for legal matter, net</w:t>
            </w: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240" w:type="dxa"/>
            <w:vAlign w:val="bottom"/>
          </w:tcPr>
          <w:p>
            <w:pPr>
              <w:spacing w:after="0"/>
              <w:rPr>
                <w:sz w:val="20"/>
                <w:szCs w:val="20"/>
                <w:color w:val="auto"/>
              </w:rPr>
            </w:pPr>
            <w:r>
              <w:rPr>
                <w:rFonts w:ascii="Arial" w:cs="Arial" w:eastAsia="Arial" w:hAnsi="Arial"/>
                <w:sz w:val="14"/>
                <w:szCs w:val="14"/>
                <w:color w:val="auto"/>
              </w:rPr>
              <w:t>Adjusted EBITDA</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903</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related-party debt due to Avis Budget Rental Car Funding (AESOP) LLC (“Avis Budget Rental Car Funding”). See Note 14 to our Consolidated Financial Statements.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40"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presenting the financial data above in conformity with GAAP, we are required to make estimates and assumptions that affect the amounts reported. See “Critical Accounting Policies” under Item 7 of this Annual Report for a detailed discussion of the accounting policies that we believe require subjective and complex judgments that could potentially affect reported results.</w:t>
      </w: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240" w:top="140" w:right="5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54875" cy="351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351790"/>
                    </a:xfrm>
                    <a:prstGeom prst="rect">
                      <a:avLst/>
                    </a:prstGeom>
                    <a:noFill/>
                  </pic:spPr>
                </pic:pic>
              </a:graphicData>
            </a:graphic>
          </wp:anchor>
        </w:drawing>
      </w:r>
    </w:p>
    <w:p>
      <w:pPr>
        <w:spacing w:after="0" w:line="358" w:lineRule="exact"/>
        <w:rPr>
          <w:sz w:val="20"/>
          <w:szCs w:val="20"/>
          <w:color w:val="auto"/>
        </w:rPr>
      </w:pPr>
    </w:p>
    <w:p>
      <w:pPr>
        <w:ind w:left="10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OPERATIONS</w:t>
      </w:r>
    </w:p>
    <w:p>
      <w:pPr>
        <w:spacing w:after="0" w:line="25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The following discussion should be read in conjunction with Item 1 Business, Item 1A Risk Factors and our Consolidated Financial Statements and accompanying Notes included in this Annual Report on Form 10-K commencing on page F-1. Our actual results of operations may differ materially from those discussed in forward-looking statements as a result of various factors, including but not limited to those included in Item 1A, “Risk Factors” and other portions of this Annual Report on Form 10-K. Unless otherwise noted, all dollar amounts in tables are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5487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COMPANY</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Our brands offer a range of options, from car and truck rental to car sharing in North America, Europe, Australasia and certain other regions we serve, with an average rental fleet of approximately 660,000 vehicles. We also license the use of our trademarks to licensees in the areas in which we do not operate directly. We and our licensees operate our brands in approximately 180 countries throughout the world.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During 2019:</w:t>
      </w:r>
    </w:p>
    <w:p>
      <w:pPr>
        <w:spacing w:after="0" w:line="117" w:lineRule="exact"/>
        <w:rPr>
          <w:sz w:val="20"/>
          <w:szCs w:val="20"/>
          <w:color w:val="auto"/>
        </w:rPr>
      </w:pPr>
    </w:p>
    <w:p>
      <w:pPr>
        <w:ind w:left="660" w:right="22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revenues totaled $9.2 billion, and increased 1% compared to 2018, due to higher rental volumes, partially offset by 2% negative impact from currency exchange rate movements.</w:t>
      </w:r>
    </w:p>
    <w:p>
      <w:pPr>
        <w:spacing w:after="0" w:line="88"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net income was $302 million and our Adjusted EBITDA was $788 million primarily driven by higher revenues, Americas’ lower per-unit fleet costs and higher utilization, partially offset by higher salaries, wages and other related benefits, higher vehicle registration fees and a $23 million negative impact from currency exchange rate movements.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repurchased $62 million of our common stock, reducing our shares outstanding by approximately 2.2 million shares, or 3%.</w:t>
      </w:r>
    </w:p>
    <w:p>
      <w:pPr>
        <w:spacing w:after="0" w:line="117"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issued $400 million of 5¾% Senior Notes due July 2027, the net proceeds of which were used to redeem $400 million principal of our outstanding 5½% Senior Notes due April 2023.</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acquired various licensees primarily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5487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RESULTS OF OPERATIONS</w:t>
      </w:r>
    </w:p>
    <w:p>
      <w:pPr>
        <w:spacing w:after="0" w:line="2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discussion regarding our financial condition and results of operations for the year ended December 31, 2019 compared to 2018 is presented below. A discussion regarding our financial condition and results of operations for the year ended December 31, 2018 compared to 2017 can be found under Item 7 in our Annual Report on Form 10-K for the year ended December 31, 2018, filed with the SEC on February 21, 2019, which is available on the SEC’s website at www.sec.gov and our Investor Relations website at ir.avisbudgetgroup.com.</w:t>
      </w:r>
    </w:p>
    <w:p>
      <w:pPr>
        <w:spacing w:after="0" w:line="20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available rental days is defined as average rental fleet times the number of days in the period, and</w:t>
      </w:r>
    </w:p>
    <w:p>
      <w:pPr>
        <w:spacing w:after="0" w:line="1" w:lineRule="exact"/>
        <w:rPr>
          <w:sz w:val="20"/>
          <w:szCs w:val="20"/>
          <w:color w:val="auto"/>
        </w:rPr>
      </w:pPr>
    </w:p>
    <w:p>
      <w:pPr>
        <w:ind w:firstLine="8"/>
        <w:spacing w:after="0" w:line="252"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us with the most relevant metrics in order to manage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40"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China and income taxes. Net charges for unprecedented personal-injury legal matters and gain on sale of equity method investment in China are recorded within operating expenses in our consolidated results of operations. Non-operational charges related to shareholder activist activity include third party advisory, legal and other professional service fees and are recorded within selling, general and administrative expenses in our consolidated results of operations. We have revised our definition of Adjusted EBITDA to exclude the gain on sale of equity method investment in China. We did not revise prior years’ Adjusted EBITDA amounts because there were no gains similar in nature to this gain.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2019 vs. Year Ended December 31, 2018</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9,172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9,124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6000" w:type="dxa"/>
            <w:vAlign w:val="bottom"/>
          </w:tcPr>
          <w:p>
            <w:pPr>
              <w:ind w:left="46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600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8,885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8,857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2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600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52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Arial" w:cs="Arial" w:eastAsia="Arial" w:hAnsi="Arial"/>
                <w:sz w:val="14"/>
                <w:szCs w:val="14"/>
                <w:color w:val="auto"/>
              </w:rPr>
              <w:t>n/m Not meaningful.</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Revenues increased during 2019 compared to 2018, primarily due to a 3% increase in volume, partially offset by a $165 million negative impact from currency exchange rate movements. Total expenses were primarily unchanged during the year ended December 31, 2019, compared to 2018.</w:t>
      </w:r>
    </w:p>
    <w:p>
      <w:pPr>
        <w:spacing w:after="0" w:line="202"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Operating expenses increased to 51.2% of revenue during 2019 compared to 50.8% in 2018, primarily due to higher salaries, wages, and related benefits and higher vehicle registration fees, partially offset by a gain on the sale of an equity method investment in China. Vehicle depreciation and lease charges decreased to 22.5% of</w:t>
      </w:r>
    </w:p>
    <w:p>
      <w:pPr>
        <w:sectPr>
          <w:pgSz w:w="11900" w:h="16838" w:orient="portrait"/>
          <w:cols w:equalWidth="0" w:num="1">
            <w:col w:w="11420"/>
          </w:cols>
          <w:pgMar w:left="240" w:top="140"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40"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revenue during 2019 compared to 23.9% in 2018, primarily due to Americas’ lower per-unit fleet costs and higher utilization. Selling, general and administrative costs increased to 13.5% of revenue during 2019 compared to 13.4% in 2018. Vehicle interest costs increased to 3.8% of revenue during 2019 compared to 3.4% in 2018 primarily due to higher interest rates.</w:t>
      </w:r>
    </w:p>
    <w:p>
      <w:pPr>
        <w:spacing w:after="0" w:line="202"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Our effective tax rates were a benefit of 5% and a provision of 38% for the year ended December 31, 2019 and 2018, respectively, which in 2019 included a $113 million one-time benefit arising from the release of valuation allowances on certain of our foreign deferred tax assets primarily driven by tax planning strategies. As a result of these items, our net income increased by $137 million compared to 2018.</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2019, the Company reported earnings of $3.98 per diluted share, which includes a one-time benefit arising from the release of valuation allowances on certain of our foreign deferred tax assets primarily driven by tax planning strategies of $1.50 per share and a benefit from the impact of our 2019 share repurchases of $0.04 per share. For 2018, the Company reported earnings of $2.06 per diluted share, which includes a benefit from the impact of our 2018 share repurchases of $0.05 per share.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240" w:type="dxa"/>
            <w:vAlign w:val="bottom"/>
            <w:tcBorders>
              <w:bottom w:val="single" w:sz="8" w:color="auto"/>
            </w:tcBorders>
          </w:tcPr>
          <w:p>
            <w:pPr>
              <w:spacing w:after="0"/>
              <w:rPr>
                <w:sz w:val="21"/>
                <w:szCs w:val="21"/>
                <w:color w:val="auto"/>
              </w:rPr>
            </w:pPr>
          </w:p>
        </w:tc>
      </w:t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Adjusted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r>
      <w:tr>
        <w:trPr>
          <w:trHeight w:val="246"/>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EBITDA</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558</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287</w:t>
            </w:r>
          </w:p>
        </w:tc>
      </w:tr>
      <w:tr>
        <w:trPr>
          <w:trHeight w:val="283"/>
        </w:trPr>
        <w:tc>
          <w:tcPr>
            <w:tcW w:w="508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50"/>
        </w:trPr>
        <w:tc>
          <w:tcPr>
            <w:tcW w:w="5080" w:type="dxa"/>
            <w:vAlign w:val="bottom"/>
          </w:tcPr>
          <w:p>
            <w:pPr>
              <w:ind w:left="120"/>
              <w:spacing w:after="0"/>
              <w:rPr>
                <w:sz w:val="20"/>
                <w:szCs w:val="20"/>
                <w:color w:val="auto"/>
              </w:rPr>
            </w:pPr>
            <w:r>
              <w:rPr>
                <w:rFonts w:ascii="Arial" w:cs="Arial" w:eastAsia="Arial" w:hAnsi="Arial"/>
                <w:sz w:val="18"/>
                <w:szCs w:val="18"/>
                <w:color w:val="auto"/>
              </w:rPr>
              <w:t>Total Company</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9,172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9,124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781</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Reconciliation of net income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28575</wp:posOffset>
            </wp:positionV>
            <wp:extent cx="39789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7"/>
        </w:trPr>
        <w:tc>
          <w:tcPr>
            <w:tcW w:w="832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500"/>
        </w:trPr>
        <w:tc>
          <w:tcPr>
            <w:tcW w:w="8320" w:type="dxa"/>
            <w:vAlign w:val="bottom"/>
          </w:tcPr>
          <w:p>
            <w:pPr>
              <w:ind w:left="40"/>
              <w:spacing w:after="0"/>
              <w:rPr>
                <w:sz w:val="20"/>
                <w:szCs w:val="20"/>
                <w:color w:val="auto"/>
              </w:rPr>
            </w:pPr>
            <w:r>
              <w:rPr>
                <w:rFonts w:ascii="Arial" w:cs="Arial" w:eastAsia="Arial" w:hAnsi="Arial"/>
                <w:sz w:val="18"/>
                <w:szCs w:val="18"/>
                <w:color w:val="auto"/>
              </w:rPr>
              <w:t>Add:  Non-vehicle related depreciation and amortization</w:t>
            </w:r>
          </w:p>
        </w:tc>
        <w:tc>
          <w:tcPr>
            <w:tcW w:w="1000" w:type="dxa"/>
            <w:vAlign w:val="bottom"/>
          </w:tcPr>
          <w:p>
            <w:pPr>
              <w:spacing w:after="0"/>
              <w:rPr>
                <w:sz w:val="24"/>
                <w:szCs w:val="24"/>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0"/>
        </w:trPr>
        <w:tc>
          <w:tcPr>
            <w:tcW w:w="8320" w:type="dxa"/>
            <w:vAlign w:val="bottom"/>
          </w:tcPr>
          <w:p>
            <w:pPr>
              <w:ind w:left="620"/>
              <w:spacing w:after="0"/>
              <w:rPr>
                <w:sz w:val="20"/>
                <w:szCs w:val="20"/>
                <w:color w:val="auto"/>
              </w:rPr>
            </w:pPr>
            <w:r>
              <w:rPr>
                <w:rFonts w:ascii="Arial" w:cs="Arial" w:eastAsia="Arial" w:hAnsi="Arial"/>
                <w:sz w:val="18"/>
                <w:szCs w:val="18"/>
                <w:color w:val="auto"/>
              </w:rPr>
              <w:t>Interest expense related to corporate debt, net:</w:t>
            </w:r>
          </w:p>
        </w:tc>
        <w:tc>
          <w:tcPr>
            <w:tcW w:w="1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0"/>
        </w:trPr>
        <w:tc>
          <w:tcPr>
            <w:tcW w:w="8320" w:type="dxa"/>
            <w:vAlign w:val="bottom"/>
          </w:tcPr>
          <w:p>
            <w:pPr>
              <w:ind w:left="860"/>
              <w:spacing w:after="0"/>
              <w:rPr>
                <w:sz w:val="20"/>
                <w:szCs w:val="20"/>
                <w:color w:val="auto"/>
              </w:rPr>
            </w:pPr>
            <w:r>
              <w:rPr>
                <w:rFonts w:ascii="Arial" w:cs="Arial" w:eastAsia="Arial" w:hAnsi="Arial"/>
                <w:sz w:val="18"/>
                <w:szCs w:val="18"/>
                <w:color w:val="auto"/>
              </w:rPr>
              <w:t>Early extinguishment of debt</w:t>
            </w:r>
          </w:p>
        </w:tc>
        <w:tc>
          <w:tcPr>
            <w:tcW w:w="100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3"/>
        </w:trPr>
        <w:tc>
          <w:tcPr>
            <w:tcW w:w="8320" w:type="dxa"/>
            <w:vAlign w:val="bottom"/>
          </w:tcPr>
          <w:p>
            <w:pPr>
              <w:ind w:left="620"/>
              <w:spacing w:after="0"/>
              <w:rPr>
                <w:sz w:val="20"/>
                <w:szCs w:val="20"/>
                <w:color w:val="auto"/>
              </w:rPr>
            </w:pPr>
            <w:r>
              <w:rPr>
                <w:rFonts w:ascii="Arial" w:cs="Arial" w:eastAsia="Arial" w:hAnsi="Arial"/>
                <w:sz w:val="18"/>
                <w:szCs w:val="18"/>
                <w:color w:val="auto"/>
              </w:rPr>
              <w:t xml:space="preserve">Restructuring and other related charges </w:t>
            </w:r>
            <w:r>
              <w:rPr>
                <w:rFonts w:ascii="Arial" w:cs="Arial" w:eastAsia="Arial" w:hAnsi="Arial"/>
                <w:sz w:val="18"/>
                <w:szCs w:val="18"/>
                <w:color w:val="auto"/>
                <w:vertAlign w:val="superscript"/>
              </w:rPr>
              <w:t>(b)</w:t>
            </w:r>
          </w:p>
        </w:tc>
        <w:tc>
          <w:tcPr>
            <w:tcW w:w="1000" w:type="dxa"/>
            <w:vAlign w:val="bottom"/>
          </w:tcPr>
          <w:p>
            <w:pPr>
              <w:spacing w:after="0"/>
              <w:rPr>
                <w:sz w:val="24"/>
                <w:szCs w:val="24"/>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8320" w:type="dxa"/>
            <w:vAlign w:val="bottom"/>
          </w:tcPr>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(c)</w:t>
            </w:r>
          </w:p>
        </w:tc>
        <w:tc>
          <w:tcPr>
            <w:tcW w:w="100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8320" w:type="dxa"/>
            <w:vAlign w:val="bottom"/>
          </w:tcPr>
          <w:p>
            <w:pPr>
              <w:ind w:left="62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18"/>
                <w:szCs w:val="18"/>
                <w:color w:val="auto"/>
                <w:vertAlign w:val="superscript"/>
              </w:rPr>
              <w:t>(d)</w:t>
            </w:r>
          </w:p>
        </w:tc>
        <w:tc>
          <w:tcPr>
            <w:tcW w:w="100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1"/>
        </w:trPr>
        <w:tc>
          <w:tcPr>
            <w:tcW w:w="8320" w:type="dxa"/>
            <w:vAlign w:val="bottom"/>
          </w:tcPr>
          <w:p>
            <w:pPr>
              <w:ind w:left="620"/>
              <w:spacing w:after="0"/>
              <w:rPr>
                <w:sz w:val="20"/>
                <w:szCs w:val="20"/>
                <w:color w:val="auto"/>
              </w:rPr>
            </w:pPr>
            <w:r>
              <w:rPr>
                <w:rFonts w:ascii="Arial" w:cs="Arial" w:eastAsia="Arial" w:hAnsi="Arial"/>
                <w:sz w:val="18"/>
                <w:szCs w:val="18"/>
                <w:color w:val="auto"/>
              </w:rPr>
              <w:t xml:space="preserve">Gain on sale of equity method investment in China </w:t>
            </w:r>
            <w:r>
              <w:rPr>
                <w:rFonts w:ascii="Arial" w:cs="Arial" w:eastAsia="Arial" w:hAnsi="Arial"/>
                <w:sz w:val="21"/>
                <w:szCs w:val="21"/>
                <w:color w:val="auto"/>
                <w:vertAlign w:val="superscript"/>
              </w:rPr>
              <w:t>(e)</w:t>
            </w:r>
          </w:p>
        </w:tc>
        <w:tc>
          <w:tcPr>
            <w:tcW w:w="10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7" w:lineRule="auto"/>
        <w:tabs>
          <w:tab w:leader="none" w:pos="340"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Other related charges include costs associated with the separation of certain officers of the Company.</w:t>
      </w:r>
    </w:p>
    <w:p>
      <w:pPr>
        <w:ind w:left="340" w:hanging="332"/>
        <w:spacing w:after="0" w:line="187" w:lineRule="auto"/>
        <w:tabs>
          <w:tab w:leader="none" w:pos="340"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Primarily comprised of acquisition- and integration-related expenses.</w:t>
      </w:r>
    </w:p>
    <w:p>
      <w:pPr>
        <w:ind w:left="340" w:hanging="332"/>
        <w:spacing w:after="0" w:line="187" w:lineRule="auto"/>
        <w:tabs>
          <w:tab w:leader="none" w:pos="340"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Reported within selling, general and administrative expenses in our consolidated results of operations.</w:t>
      </w:r>
    </w:p>
    <w:p>
      <w:pPr>
        <w:ind w:left="340" w:hanging="332"/>
        <w:spacing w:after="0" w:line="184" w:lineRule="auto"/>
        <w:tabs>
          <w:tab w:leader="none" w:pos="34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Reported within operating expenses in our consolidated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4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6,186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3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7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Revenues increased 3% during 2019, compared to 2018, primarily due to a 3% increase in volume, partially offset by an $11 million negative effect from currency exchange rate movements.</w:t>
      </w:r>
    </w:p>
    <w:p>
      <w:pPr>
        <w:spacing w:after="0" w:line="142"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Operating expenses increased to 50.2% of revenue during 2019 compared to 49.7% in 2018, primarily due to higher salaries, wages and related benefits and higher vehicle registration fees. Vehicle depreciation and lease charges decreased to 23.0% of revenue during 2019 compared to 25.4% in 2018, primarily due to an 8%</w:t>
      </w:r>
    </w:p>
    <w:p>
      <w:pPr>
        <w:sectPr>
          <w:pgSz w:w="11900" w:h="16838" w:orient="portrait"/>
          <w:cols w:equalWidth="0" w:num="1">
            <w:col w:w="11420"/>
          </w:cols>
          <w:pgMar w:left="240" w:top="140"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40"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decrease in per-unit fleet costs excluding exchange rate effects and higher utilization. Selling, general and administrative costs increased to 12.1% of revenue during 2019 compared to 11.9% in 2018. Vehicle interest costs increased to 4.5% of revenue during 2019 compared to 4.1% in 2018, primarily due to higher interest rates.</w:t>
      </w:r>
    </w:p>
    <w:p>
      <w:pPr>
        <w:spacing w:after="0" w:line="20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Adjusted EBITDA increased 17% during 2019, compared to 2018, due to higher revenues, lower per-unit fleet costs, partially offset by higher salaries, wages, and related benefits and higher vehicle registration fees.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2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75"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Revenues decreased 4% during 2019, compared to 2018, primarily due to a $154 million negative impact from currency exchange rate movements and a 1% decrease in revenue per day excluding exchange rate effects, partially offset by a 2% increase in volume.</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Operating expenses increased to 53.5% of revenue during 2019 compared to 52.8% in 2018, primarily due to lower revenue per day excluding exchange rate effects and higher public liability and property damage expense, partially offset by a gain on the sale of an equity method investment in China. Vehicle depreciation and lease charges increased to 21.3% of revenue during 2019 compared to 20.8% in 2018, primarily due to lower revenue per day excluding exchange rate effects and a 2% increase in per-unit fleet costs excluding exchange rate effects, partially offset by higher utilization. Selling, general and administrative costs decreased to 14.3% of revenue during 2019 compared to 14.5% in 2018. Vehicle interest costs, at 2.1% of revenue, remained unchanged during 2019 compared to 2018.</w:t>
      </w:r>
    </w:p>
    <w:p>
      <w:pPr>
        <w:spacing w:after="0" w:line="2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Adjusted EBITDA decreased 29% during 2019, compared to 2018, due to lower revenues, a $21 million negative impact from currency exchange rate movements, higher public liability and property damage expense and higher per-unit fleet costs excluding exchange rate effects, partially offset by higher utilization.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20" w:type="dxa"/>
            <w:vAlign w:val="bottom"/>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9"/>
        </w:trPr>
        <w:tc>
          <w:tcPr>
            <w:tcW w:w="74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Revenues</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ind w:left="780"/>
              <w:spacing w:after="0"/>
              <w:rPr>
                <w:sz w:val="20"/>
                <w:szCs w:val="20"/>
                <w:color w:val="auto"/>
              </w:rPr>
            </w:pPr>
            <w:r>
              <w:rPr>
                <w:rFonts w:ascii="Arial" w:cs="Arial" w:eastAsia="Arial" w:hAnsi="Arial"/>
                <w:sz w:val="18"/>
                <w:szCs w:val="18"/>
                <w:color w:val="auto"/>
              </w:rPr>
              <w:t>n/m</w:t>
            </w:r>
          </w:p>
        </w:tc>
      </w:tr>
      <w:tr>
        <w:trPr>
          <w:trHeight w:val="270"/>
        </w:trPr>
        <w:tc>
          <w:tcPr>
            <w:tcW w:w="74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8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1240" w:type="dxa"/>
            <w:vAlign w:val="bottom"/>
          </w:tcPr>
          <w:p>
            <w:pPr>
              <w:ind w:left="780"/>
              <w:spacing w:after="0"/>
              <w:rPr>
                <w:sz w:val="20"/>
                <w:szCs w:val="20"/>
                <w:color w:val="auto"/>
              </w:rPr>
            </w:pPr>
            <w:r>
              <w:rPr>
                <w:rFonts w:ascii="Arial" w:cs="Arial" w:eastAsia="Arial" w:hAnsi="Arial"/>
                <w:sz w:val="18"/>
                <w:szCs w:val="18"/>
                <w:color w:val="auto"/>
              </w:rPr>
              <w:t>n/m</w:t>
            </w:r>
          </w:p>
        </w:tc>
      </w:tr>
      <w:tr>
        <w:trPr>
          <w:trHeight w:val="207"/>
        </w:trPr>
        <w:tc>
          <w:tcPr>
            <w:tcW w:w="7420" w:type="dxa"/>
            <w:vAlign w:val="bottom"/>
          </w:tcPr>
          <w:p>
            <w:pPr>
              <w:spacing w:after="0"/>
              <w:rPr>
                <w:sz w:val="20"/>
                <w:szCs w:val="20"/>
                <w:color w:val="auto"/>
              </w:rPr>
            </w:pPr>
            <w:r>
              <w:rPr>
                <w:rFonts w:ascii="Arial" w:cs="Arial" w:eastAsia="Arial" w:hAnsi="Arial"/>
                <w:sz w:val="16"/>
                <w:szCs w:val="16"/>
                <w:color w:val="auto"/>
              </w:rPr>
              <w:t>__________</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72"/>
        </w:trPr>
        <w:tc>
          <w:tcPr>
            <w:tcW w:w="7420" w:type="dxa"/>
            <w:vAlign w:val="bottom"/>
          </w:tcPr>
          <w:p>
            <w:pPr>
              <w:spacing w:after="0"/>
              <w:rPr>
                <w:sz w:val="20"/>
                <w:szCs w:val="20"/>
                <w:color w:val="auto"/>
              </w:rPr>
            </w:pPr>
            <w:r>
              <w:rPr>
                <w:rFonts w:ascii="Arial" w:cs="Arial" w:eastAsia="Arial" w:hAnsi="Arial"/>
                <w:sz w:val="14"/>
                <w:szCs w:val="14"/>
                <w:color w:val="auto"/>
              </w:rPr>
              <w:t>n/m Not meaningful.</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20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Adjusted EBITDA decreased $3 million during 2019, compared to 2018, primarily due to higher selling, general and administrative expenses which are not attributable to a particular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5487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574"/>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FINANCIAL CONDITION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35"/>
        </w:trPr>
        <w:tc>
          <w:tcPr>
            <w:tcW w:w="14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9,311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6,370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2,941</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2,527</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Assets under vehicle programs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13,815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12,779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1,036</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Liabilities under vehicle programs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13,932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1,208</w:t>
            </w:r>
          </w:p>
        </w:tc>
      </w:tr>
      <w:tr>
        <w:trPr>
          <w:trHeight w:val="270"/>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242</w:t>
            </w:r>
          </w:p>
        </w:tc>
      </w:tr>
    </w:tbl>
    <w:p>
      <w:pPr>
        <w:spacing w:after="0" w:line="22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Total assets exclusive of assets under vehicle programs and total liabilities exclusive of liabilities under vehicle programs increased compared to 2018 primarily due to the adoption of ASU 2016-02 (see Note 3 to our Consolidated Financial Statements).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Assets and liabilities under vehicle programs increased compared to 2018 primarily due to an increase in the size of our vehicle rental fleet and operating leases recognized upon adoption of ASU 2016-02 (see Note 3 to our Consolidated Financial Statements). The increase in stockholders’ equity compared to 2018 is primarily due to our comprehensive income, partially offset by our repurchases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2019 our Avis Budget Rental Car Funding subsidiary issued approximately $600 million, $650 million, and $650 million in asset-backed notes with an expected final payment date of March 2022, September 2024, and March 2025, and a weighted average interest rate of 3.56%, 3.44%, and 2.45%, respectively. The proceeds from these borrowings were used to fund the repayment of maturing vehicle-backed debt and the acquisition of rental cars in the United States. In July 2019, we issued $400 million of our 5¾% Senior Notes due July 2027 to redeem $400 million of our outstanding 5</w:t>
      </w:r>
      <w:r>
        <w:rPr>
          <w:rFonts w:ascii="Arial" w:cs="Arial" w:eastAsia="Arial" w:hAnsi="Arial"/>
          <w:sz w:val="16"/>
          <w:szCs w:val="16"/>
          <w:color w:val="auto"/>
        </w:rPr>
        <w:t>½</w:t>
      </w:r>
      <w:r>
        <w:rPr>
          <w:rFonts w:ascii="Arial" w:cs="Arial" w:eastAsia="Arial" w:hAnsi="Arial"/>
          <w:sz w:val="18"/>
          <w:szCs w:val="18"/>
          <w:color w:val="auto"/>
        </w:rPr>
        <w:t>% Senior Notes due April 2023. In October 2019, we redeemed $75 million of our 5</w:t>
      </w:r>
      <w:r>
        <w:rPr>
          <w:rFonts w:ascii="Arial" w:cs="Arial" w:eastAsia="Arial" w:hAnsi="Arial"/>
          <w:sz w:val="16"/>
          <w:szCs w:val="16"/>
          <w:color w:val="auto"/>
        </w:rPr>
        <w:t>½%</w:t>
      </w:r>
      <w:r>
        <w:rPr>
          <w:rFonts w:ascii="Arial" w:cs="Arial" w:eastAsia="Arial" w:hAnsi="Arial"/>
          <w:sz w:val="18"/>
          <w:szCs w:val="18"/>
          <w:color w:val="auto"/>
        </w:rPr>
        <w:t xml:space="preserve"> Senior Notes due April 2023. We repurchased approximately 2.2 million shares of our outstanding common stock for approximately $62 million during 2019.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2019 vs. Year Ended December 31, 2018</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7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2"/>
        </w:trPr>
        <w:tc>
          <w:tcPr>
            <w:tcW w:w="6740" w:type="dxa"/>
            <w:vAlign w:val="bottom"/>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program and restricted cash</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620"/>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during 2019 was substantially unchanged compared with 2018.</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decrease in cash used in investing activities during 2019 compared with 2018 is primarily due to an increase in proceeds received on the disposition of vehicles, partially offset by an increase in investment in vehicles.</w:t>
      </w:r>
    </w:p>
    <w:p>
      <w:pPr>
        <w:spacing w:after="0" w:line="19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decrease in cash provided by financing activities during 2019 compared with 2018 is primarily due to a decrease in net borrowings under vehicle programs.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non-vehicle property and equipment additions will be approximately $230 million in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December 31, 2019, we had approximately $14.5 billion of indebtedness (including corporate indebtedness of approximately $3.4 billion and debt under vehicle programs of approximately $11.1 billion). For detailed information regarding our debt and borrowing arrangements, see Notes 13 and 14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5487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highlight w:val="lightGray"/>
        </w:rPr>
        <w:t>LIQUIDITY RISK</w:t>
      </w:r>
    </w:p>
    <w:p>
      <w:pPr>
        <w:spacing w:after="0" w:line="22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1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As of December 31, 2019, we have cash and cash equivalents of $0.7 billion, available borrowing capacity under our committed credit facilities of $0.7 billion, and available capacity under our vehicle programs of approximately $2.9 billion.</w:t>
      </w:r>
    </w:p>
    <w:p>
      <w:pPr>
        <w:spacing w:after="0" w:line="14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Our liquidity position could be negatively affected by financial market disruptions or a downturn in the U.S. and worldwide economies, which may result in unfavorable conditions in the mobility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2" w:lineRule="exact"/>
        <w:rPr>
          <w:sz w:val="20"/>
          <w:szCs w:val="20"/>
          <w:color w:val="auto"/>
        </w:rPr>
      </w:pPr>
    </w:p>
    <w:p>
      <w:pPr>
        <w:jc w:val="both"/>
        <w:ind w:right="40" w:firstLine="8"/>
        <w:spacing w:after="0" w:line="254"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 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 (see Item 1A. Risk Factors for further discussion).</w:t>
      </w:r>
    </w:p>
    <w:p>
      <w:pPr>
        <w:spacing w:after="0" w:line="15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revolving credit facility and other borrowings, including a maximum leverage ratio. As of December 31, 2019, we were in compliance with the financial covenants governing our indebtedness.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40"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principal future contractual obligations as of December 31, 2019:</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r>
              <w:rPr>
                <w:rFonts w:ascii="Arial" w:cs="Arial" w:eastAsia="Arial" w:hAnsi="Arial"/>
                <w:sz w:val="16"/>
                <w:szCs w:val="16"/>
                <w:color w:val="auto"/>
              </w:rPr>
              <w:t>Corporate debt</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2,505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3,474</w:t>
            </w:r>
          </w:p>
        </w:tc>
        <w:tc>
          <w:tcPr>
            <w:tcW w:w="0" w:type="dxa"/>
            <w:vAlign w:val="bottom"/>
          </w:tcPr>
          <w:p>
            <w:pPr>
              <w:spacing w:after="0"/>
              <w:rPr>
                <w:sz w:val="1"/>
                <w:szCs w:val="1"/>
                <w:color w:val="auto"/>
              </w:rPr>
            </w:pPr>
          </w:p>
        </w:tc>
      </w:tr>
      <w:tr>
        <w:trPr>
          <w:trHeight w:val="238"/>
        </w:trPr>
        <w:tc>
          <w:tcPr>
            <w:tcW w:w="2480" w:type="dxa"/>
            <w:vAlign w:val="bottom"/>
          </w:tcPr>
          <w:p>
            <w:pPr>
              <w:spacing w:after="0"/>
              <w:rPr>
                <w:sz w:val="20"/>
                <w:szCs w:val="20"/>
                <w:color w:val="auto"/>
              </w:rPr>
            </w:pPr>
            <w:r>
              <w:rPr>
                <w:rFonts w:ascii="Arial" w:cs="Arial" w:eastAsia="Arial" w:hAnsi="Arial"/>
                <w:sz w:val="16"/>
                <w:szCs w:val="16"/>
                <w:color w:val="auto"/>
              </w:rPr>
              <w:t>Debt under vehicle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20"/>
                <w:szCs w:val="20"/>
                <w:color w:val="auto"/>
              </w:rPr>
            </w:pPr>
            <w:r>
              <w:rPr>
                <w:rFonts w:ascii="Arial" w:cs="Arial" w:eastAsia="Arial" w:hAnsi="Arial"/>
                <w:sz w:val="16"/>
                <w:szCs w:val="16"/>
                <w:color w:val="auto"/>
              </w:rPr>
              <w:t>programs</w:t>
            </w:r>
          </w:p>
        </w:tc>
        <w:tc>
          <w:tcPr>
            <w:tcW w:w="26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3,032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11,117</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6"/>
                <w:szCs w:val="16"/>
                <w:color w:val="auto"/>
              </w:rPr>
              <w:t>Debt interest</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1,697</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Arial" w:cs="Arial" w:eastAsia="Arial" w:hAnsi="Arial"/>
                <w:sz w:val="16"/>
                <w:szCs w:val="16"/>
                <w:color w:val="auto"/>
              </w:rPr>
              <w:t>Operating leases</w:t>
            </w:r>
          </w:p>
        </w:tc>
        <w:tc>
          <w:tcPr>
            <w:tcW w:w="26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3,403</w:t>
            </w:r>
          </w:p>
        </w:tc>
        <w:tc>
          <w:tcPr>
            <w:tcW w:w="0" w:type="dxa"/>
            <w:vAlign w:val="bottom"/>
          </w:tcPr>
          <w:p>
            <w:pPr>
              <w:spacing w:after="0"/>
              <w:rPr>
                <w:sz w:val="1"/>
                <w:szCs w:val="1"/>
                <w:color w:val="auto"/>
              </w:rPr>
            </w:pPr>
          </w:p>
        </w:tc>
      </w:tr>
      <w:tr>
        <w:trPr>
          <w:trHeight w:val="232"/>
        </w:trPr>
        <w:tc>
          <w:tcPr>
            <w:tcW w:w="2480" w:type="dxa"/>
            <w:vAlign w:val="bottom"/>
          </w:tcPr>
          <w:p>
            <w:pPr>
              <w:spacing w:after="0"/>
              <w:rPr>
                <w:sz w:val="20"/>
                <w:szCs w:val="20"/>
                <w:color w:val="auto"/>
              </w:rPr>
            </w:pPr>
            <w:r>
              <w:rPr>
                <w:rFonts w:ascii="Arial" w:cs="Arial" w:eastAsia="Arial" w:hAnsi="Arial"/>
                <w:sz w:val="16"/>
                <w:szCs w:val="16"/>
                <w:color w:val="auto"/>
              </w:rPr>
              <w:t>Commitments to purchase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6"/>
                <w:szCs w:val="16"/>
                <w:color w:val="auto"/>
              </w:rPr>
              <w:t xml:space="preserve">vehicles </w:t>
            </w:r>
            <w:r>
              <w:rPr>
                <w:rFonts w:ascii="Arial" w:cs="Arial" w:eastAsia="Arial" w:hAnsi="Arial"/>
                <w:sz w:val="21"/>
                <w:szCs w:val="21"/>
                <w:color w:val="auto"/>
                <w:vertAlign w:val="superscript"/>
              </w:rPr>
              <w:t>(a)</w:t>
            </w:r>
          </w:p>
        </w:tc>
        <w:tc>
          <w:tcPr>
            <w:tcW w:w="2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7,749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7,751</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Defined benefit pension plan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480" w:type="dxa"/>
            <w:vAlign w:val="bottom"/>
          </w:tcPr>
          <w:p>
            <w:pPr>
              <w:spacing w:after="0"/>
              <w:rPr>
                <w:sz w:val="20"/>
                <w:szCs w:val="20"/>
                <w:color w:val="auto"/>
              </w:rPr>
            </w:pPr>
            <w:r>
              <w:rPr>
                <w:rFonts w:ascii="Arial" w:cs="Arial" w:eastAsia="Arial" w:hAnsi="Arial"/>
                <w:sz w:val="16"/>
                <w:szCs w:val="16"/>
                <w:color w:val="auto"/>
              </w:rPr>
              <w:t xml:space="preserve">contributions </w:t>
            </w:r>
            <w:r>
              <w:rPr>
                <w:rFonts w:ascii="Arial" w:cs="Arial" w:eastAsia="Arial" w:hAnsi="Arial"/>
                <w:sz w:val="21"/>
                <w:szCs w:val="21"/>
                <w:color w:val="auto"/>
                <w:vertAlign w:val="superscript"/>
              </w:rPr>
              <w:t>(b)</w:t>
            </w:r>
          </w:p>
        </w:tc>
        <w:tc>
          <w:tcPr>
            <w:tcW w:w="2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20"/>
                <w:szCs w:val="20"/>
                <w:color w:val="auto"/>
              </w:rPr>
            </w:pPr>
            <w:r>
              <w:rPr>
                <w:rFonts w:ascii="Arial" w:cs="Arial" w:eastAsia="Arial" w:hAnsi="Arial"/>
                <w:sz w:val="16"/>
                <w:szCs w:val="16"/>
                <w:color w:val="auto"/>
              </w:rPr>
              <w:t>Other purchase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480" w:type="dxa"/>
            <w:vAlign w:val="bottom"/>
          </w:tcPr>
          <w:p>
            <w:pPr>
              <w:spacing w:after="0" w:line="219" w:lineRule="exact"/>
              <w:rPr>
                <w:sz w:val="20"/>
                <w:szCs w:val="20"/>
                <w:color w:val="auto"/>
              </w:rPr>
            </w:pPr>
            <w:r>
              <w:rPr>
                <w:rFonts w:ascii="Arial" w:cs="Arial" w:eastAsia="Arial" w:hAnsi="Arial"/>
                <w:sz w:val="16"/>
                <w:szCs w:val="16"/>
                <w:color w:val="auto"/>
              </w:rPr>
              <w:t xml:space="preserve">commitments </w:t>
            </w:r>
            <w:r>
              <w:rPr>
                <w:rFonts w:ascii="Arial" w:cs="Arial" w:eastAsia="Arial" w:hAnsi="Arial"/>
                <w:sz w:val="21"/>
                <w:szCs w:val="21"/>
                <w:color w:val="auto"/>
                <w:vertAlign w:val="superscript"/>
              </w:rPr>
              <w:t>(c)</w:t>
            </w: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2480" w:type="dxa"/>
            <w:vAlign w:val="bottom"/>
          </w:tcPr>
          <w:p>
            <w:pPr>
              <w:spacing w:after="0" w:line="237"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(d)</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10,783</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4,207</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3,797</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1,918</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2,572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4,312</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27,589</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20"/>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line="225"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Represents commitments to purchase vehicles, the majority of which are from Ford, Fiat Chrysler and General Motors. These commitments are generally subject to the vehicle manufacturers satisfying their obligations under the repurchase and guaranteed depreciation agreements. The purchase of such vehicles is generally financed through borrowings under vehicle programs in addition to cash received upon the sale of vehicles, some of which were purchased under repurchase and guaranteed depreciation programs (see Note 15 to our Consolidated Financial Statements).</w:t>
      </w:r>
    </w:p>
    <w:p>
      <w:pPr>
        <w:spacing w:after="0" w:line="1" w:lineRule="exact"/>
        <w:rPr>
          <w:rFonts w:ascii="Arial" w:cs="Arial" w:eastAsia="Arial" w:hAnsi="Arial"/>
          <w:sz w:val="18"/>
          <w:szCs w:val="18"/>
          <w:color w:val="auto"/>
          <w:vertAlign w:val="superscript"/>
        </w:rPr>
      </w:pPr>
    </w:p>
    <w:p>
      <w:pPr>
        <w:ind w:left="340" w:hanging="332"/>
        <w:spacing w:after="0" w:line="211"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Represents the expected contributions to our defined benefit pension plans in 2019. The amount of future contributions to our defined benefit pension plans will depend on the rates of return generated from plan assets and other factors (see Note 18 to our Consolidated Financial Statements) and are not included above.</w:t>
      </w:r>
    </w:p>
    <w:p>
      <w:pPr>
        <w:ind w:left="340" w:hanging="332"/>
        <w:spacing w:after="0" w:line="187"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Primarily represents commitments under service contracts for information technology, telecommunications and marketing agreements with travel service companies.</w:t>
      </w:r>
    </w:p>
    <w:p>
      <w:pPr>
        <w:ind w:left="340" w:right="160" w:hanging="332"/>
        <w:spacing w:after="0" w:line="218"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Excludes income tax uncertainties of $57 million, $13 million of which is subject to indemnification by Realogy and Wyndham. We are unable to estimate the period in which these income tax uncertainties are expected to be settled.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guarantees and indemnifications, see Note 15 to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presenting our financial statements in conformity with GAAP, we are required to make estimates and assumptions that affect the amounts reported therein. Several of the estimates and assumptions we are required to make relate to matters that are inherently uncertain as they pertain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However, our businesses operate in environments where we are paid a fee for a service performed, and therefore the results of the majority of our recurring operations are recorded in our financial statements using accounting policies that are not particularly subjective, nor complex.</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Goodwill and Other Indefinite-lived Intangible Assets. </w:t>
      </w:r>
      <w:r>
        <w:rPr>
          <w:rFonts w:ascii="Arial" w:cs="Arial" w:eastAsia="Arial" w:hAnsi="Arial"/>
          <w:sz w:val="18"/>
          <w:szCs w:val="18"/>
          <w:color w:val="auto"/>
        </w:rPr>
        <w:t>We have reviewed the carrying value of our goodwill and other indefinite-lived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for impairment. In performing this review, we are required to make an assessment of fair value for our goodwill and other indefinite-lived intangible assets. When determining fair value, we utilize various assumptions, including the fair market trading price of our common stock and management’s projections of future cash flows.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 goodwill and other indefinite-lived intangible assets for impairment annually or more frequently if circumstances indicate that an impairment may have occurred.</w:t>
      </w:r>
    </w:p>
    <w:p>
      <w:pPr>
        <w:spacing w:after="0" w:line="15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Our goodwill and other indefinite-lived intangible assets are allocated among our reporting units. During 2019, 2018 and 2017, there was no impairment of goodwill and no material impairment of other intangible assets, see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Note 7 to our Consolidated Financial Statements. For our Europe, Middle East and Africa (“EMEA”) reporting unit, the percentage by which the estimated fair value exceeded the carrying value as of October 1, 2019 was 25% and the amount of goodwill allocated to our reporting unit was $460 million. In the future, failure to achieve our business plans, a significant deterioration of the macroeconomic conditions of the countries in which we operate, or significant changes in the assumptions and estimates that are used in our impairment testing for goodwill and indefinite-lived intangible assets (such as the discount rate) could result in significantly different estimates of fair value that could trigger an impairment of the goodwill of our reporting units or intangible assets.</w:t>
      </w:r>
    </w:p>
    <w:p>
      <w:pPr>
        <w:spacing w:after="0" w:line="13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Vehicles. </w:t>
      </w:r>
      <w:r>
        <w:rPr>
          <w:rFonts w:ascii="Arial" w:cs="Arial" w:eastAsia="Arial" w:hAnsi="Arial"/>
          <w:sz w:val="18"/>
          <w:szCs w:val="18"/>
          <w:color w:val="auto"/>
        </w:rPr>
        <w:t>We present vehicles at cost, net of accumulated depreciation, on the Consolidated Balance Sheets. We record the initial cost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net of incentives and allowances from manufacturers.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risk vehicles acquired outside of manufacturer repurchase and guaranteed depreciation programs, we depreciate based on the vehicles’ estimated residual market values at their expected dates of disposition. The estimation of residual values requires the Company to make assumptions regarding the age and mileage of the vehicle at the time of disposal, as well as expected used vehicle market conditions. The Company regularly evaluates estimated residual values and adjusts depreciation rates as appropriate. Differences between actual residual values and those estimated result in a gain or loss on disposal and are recorded as part of vehicle depreciation and lease charges, net, at the time of sale. See Note 2 to our Consolidated Financial Statements.</w:t>
      </w:r>
    </w:p>
    <w:p>
      <w:pPr>
        <w:spacing w:after="0" w:line="1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method, which requires the recognition of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the expected future tax consequences of events that have been reflected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 The Tax Act enacted in the fourth quarter of 2017 included a change in the U.S. federal corporate income tax rate. For more information regarding the accounting for the effects of the Tax Act, see Note 9 to our Consolidated Financial Statements.</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we do not record valuation allowances on the majority of our tax loss carryforwards as there are adequate deferred tax liabilities that could be realized within the carryforward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See Notes 2 and 9 to our Consolidated Financial Statements for more information regarding income taxes.</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Public Liability, Property Damage and Other Insurance Liabilities. </w:t>
      </w:r>
      <w:r>
        <w:rPr>
          <w:rFonts w:ascii="Arial" w:cs="Arial" w:eastAsia="Arial" w:hAnsi="Arial"/>
          <w:sz w:val="18"/>
          <w:szCs w:val="18"/>
          <w:color w:val="auto"/>
        </w:rPr>
        <w:t>Insurance liabilities on our Consolidated Balance Sheets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liability 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a description of our adoption of new accounting pronouncements and the impact thereof on our business, see Note 2 to our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0"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93"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For a description of recently issued accounting pronouncements and the impact thereof on our business, see Note 2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manage our exposure to market risks through our regular operating and financing activities and, when deemed appropriate, through the use of derivative financial instruments, particularly currency forward contracts to manage and reduce currency exchange rate risk; swap contracts, futures and options contracts, to manage and reduce the interest rate risk related to our debt; and derivative commodity instruments to manage and reduce the risk of changing unleaded gasoline prices.</w:t>
      </w:r>
    </w:p>
    <w:p>
      <w:pPr>
        <w:spacing w:after="0" w:line="152"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1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discussed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borrowings and financial instruments, see Notes 13, 14 and 19 to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 Management</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exposure to currency exchange rate fluctuations worldwide and particularly with respect to the Australian, Canadian and New Zealand dollars, the euro and British pound sterling. We use currency forward contracts and currency swap contracts to manage exchange rate risk that arises from certain intercompany transactions and from non-functional currency denominated assets and liabilities and earnings denominated in non-U.S. dollar currencies. Our currency forward contracts are often not designated as hedges and therefore changes in the fair value of these derivatives are recognized in earnings as they occur. We anticipate that such currency exchange rate risk will remain a market risk exposure for the foreseeable future.</w:t>
      </w:r>
    </w:p>
    <w:p>
      <w:pPr>
        <w:spacing w:after="0" w:line="15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assess our market risk based on changes in currency exchange rates utilizing a sensitivity analysis. The sensitivity analysis measures the potential impact on earnings, cash flows and fair values based on a hypothetical 10% appreciation or depreciation in the value of the underlying currencies being hedged, against the U.S. dollar at December 31, 2019. With all other variables held constant, a hypothetical 10% change (increase or decrease) in currency exchange rates would not have a material impact on our 2019 earnings. Because unrealized gains or losses related to foreign currency forward and swap contracts are expected to be offset by corresponding gains or losses on the underlying exposures being hedged, when combined, these foreign currency contracts and the offsetting underlying commitments do not create a material impact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primary interest rate exposure at December 31, 2019 was interest rate fluctuations in the U.S., specifically LIBOR and commercial paper interest rates due to their impact on variable rate borrowings and other interest rate sensitive liabilities. We use interest rate swaps and caps to manage our exposure to interest rate movements. We anticipate that LIBOR and commercial paper rates will remain a primary market risk exposure for the foreseeable future.</w:t>
      </w:r>
    </w:p>
    <w:p>
      <w:pPr>
        <w:spacing w:after="0" w:line="1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assess our market risk based on changes in interest rates utilizing a sensitivity analysis. Based on our interest rate exposures and derivatives as of December 31, 2019, we estimate that a 10% change in interest rates would not have a material impact on our 2019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on our Consolidated Financial Statements.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commodity price exposure related to fluctuations in the price of gasoline. We anticipate that such commodity risk will remain a market risk exposure for the foreseeable future. We determined that a hypothetical 10% change in the price of gasoline would not have a material impact on our earnings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5487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ind w:left="340" w:hanging="332"/>
        <w:spacing w:after="0" w:line="25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end of the period covered by this annual report.</w:t>
      </w:r>
    </w:p>
    <w:p>
      <w:pPr>
        <w:spacing w:after="0" w:line="183"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management is responsible for establishing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adequate internal control over financial reporting, as defined in Rules 13a-15(f) and 15d-15(f) under the Exchange Act. Our management assessed the effectiveness of our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our management believes that, as of December 31, 2019, our internal control over financial reporting was effective. The effectiveness of the Company’s internal control over financial reporting as of December 31, 2019 has been audited by Deloitte &amp; Touche LLP, an independent registered public accounting firm. Their attestation report is included below.</w:t>
      </w:r>
    </w:p>
    <w:p>
      <w:pPr>
        <w:spacing w:after="0" w:line="185"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Parsippany, New Jersey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1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audited the internal control over financial reporting of Avis Budget Group, Inc. and subsidiaries (the "Company") as of December 31, 2019,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2019, based on criteria established in Internal Control - Integrated Framework (2013) issued by COSO.</w:t>
      </w:r>
    </w:p>
    <w:p>
      <w:pPr>
        <w:spacing w:after="0" w:line="176"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and financial statement schedule as of and for the year ended December 31, 2019 of the Company and our report dated February 20, 2020 expressed an unqualified opinion on those consolidated financial statements and financial statement schedule.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1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1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20, 2020</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140"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5487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19"/>
          </w:cols>
          <w:pgMar w:left="240" w:top="140" w:right="1440"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2020 Annual Meeting of Stockholders to be filed with the SEC pursuant to Regulation 14A within 120 days after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11. EXECUTIVE COMPENSATION</w:t>
      </w:r>
    </w:p>
    <w:p>
      <w:pPr>
        <w:spacing w:after="0" w:line="2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2020 Annual Meeting of Stockholders to be filed with the SEC pursuant to Regulation 14A within 120 days after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308610"/>
                    </a:xfrm>
                    <a:prstGeom prst="rect">
                      <a:avLst/>
                    </a:prstGeom>
                    <a:noFill/>
                  </pic:spPr>
                </pic:pic>
              </a:graphicData>
            </a:graphic>
          </wp:anchor>
        </w:drawing>
      </w:r>
    </w:p>
    <w:p>
      <w:pPr>
        <w:spacing w:after="0" w:line="114" w:lineRule="exact"/>
        <w:rPr>
          <w:sz w:val="20"/>
          <w:szCs w:val="20"/>
          <w:color w:val="auto"/>
        </w:rPr>
      </w:pPr>
    </w:p>
    <w:p>
      <w:pPr>
        <w:ind w:left="40"/>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2020 Annual Meeting of Stockholders to be filed with the SEC pursuant to Regulation 14A within 120 days after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2020 Annual Meeting of Stockholders to be filed with the SEC pursuant to Regulation 14A within 120 days after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2020 Annual Meeting of Stockholders to be filed with the SEC pursuant to Regulation 14A within 120 days after December 31, 2019.</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80"/>
          </w:cols>
          <w:pgMar w:left="240" w:top="140" w:right="10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5487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5487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15(A)(1).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Statements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15(A)(2). FINANCIAL STATEMENT SCHEDULES</w:t>
      </w:r>
    </w:p>
    <w:p>
      <w:pPr>
        <w:spacing w:after="0" w:line="2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See Schedule II – Valuation and Qualifying Accounts for the years ended December 31, 2019, 2018 and 2017 commencing on page G-1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54875"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15(A)(3).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H-1 hereof.</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860"/>
          </w:cols>
          <w:pgMar w:left="240" w:top="140" w:right="7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5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AVIS BUDGET GROUP, INC.</w:t>
      </w:r>
    </w:p>
    <w:p>
      <w:pPr>
        <w:spacing w:after="0" w:line="387" w:lineRule="exact"/>
        <w:rPr>
          <w:sz w:val="20"/>
          <w:szCs w:val="20"/>
          <w:color w:val="auto"/>
        </w:rPr>
      </w:pPr>
    </w:p>
    <w:tbl>
      <w:tblPr>
        <w:tblLayout w:type="fixed"/>
        <w:tblInd w:w="608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/s/ CATHLEEN DEGENOVA</w:t>
            </w:r>
          </w:p>
        </w:tc>
      </w:tr>
      <w:tr>
        <w:trPr>
          <w:trHeight w:val="27"/>
        </w:trPr>
        <w:tc>
          <w:tcPr>
            <w:tcW w:w="7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rPr>
              <w:t>Cathleen DeGenova</w:t>
            </w:r>
          </w:p>
        </w:tc>
      </w:tr>
      <w:tr>
        <w:trPr>
          <w:trHeight w:val="257"/>
        </w:trPr>
        <w:tc>
          <w:tcPr>
            <w:tcW w:w="5340" w:type="dxa"/>
            <w:vAlign w:val="bottom"/>
            <w:gridSpan w:val="2"/>
          </w:tcPr>
          <w:p>
            <w:pPr>
              <w:spacing w:after="0"/>
              <w:rPr>
                <w:sz w:val="20"/>
                <w:szCs w:val="20"/>
                <w:color w:val="auto"/>
              </w:rPr>
            </w:pPr>
            <w:r>
              <w:rPr>
                <w:rFonts w:ascii="Arial" w:cs="Arial" w:eastAsia="Arial" w:hAnsi="Arial"/>
                <w:sz w:val="18"/>
                <w:szCs w:val="18"/>
                <w:i w:val="1"/>
                <w:iCs w:val="1"/>
                <w:color w:val="auto"/>
              </w:rPr>
              <w:t>Vice President and Chief Accounting Officer</w:t>
            </w:r>
          </w:p>
        </w:tc>
      </w:tr>
      <w:tr>
        <w:trPr>
          <w:trHeight w:val="284"/>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Pr>
          <w:p>
            <w:pPr>
              <w:ind w:left="20"/>
              <w:spacing w:after="0"/>
              <w:rPr>
                <w:sz w:val="20"/>
                <w:szCs w:val="20"/>
                <w:color w:val="auto"/>
              </w:rPr>
            </w:pPr>
            <w:r>
              <w:rPr>
                <w:rFonts w:ascii="Arial" w:cs="Arial" w:eastAsia="Arial" w:hAnsi="Arial"/>
                <w:sz w:val="18"/>
                <w:szCs w:val="18"/>
                <w:color w:val="auto"/>
              </w:rPr>
              <w:t>February 20, 2020</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0"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240" w:top="140" w:right="4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230"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(Joseph A. Ferraro)</w:t>
      </w:r>
    </w:p>
    <w:p>
      <w:pPr>
        <w:spacing w:after="0" w:line="208"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JOHN F. NORTH,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(John F. North, III)</w:t>
      </w:r>
    </w:p>
    <w:p>
      <w:pPr>
        <w:spacing w:after="0" w:line="208"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CATHLEEN DEGENOVA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(Cathleen DeGenova)</w:t>
      </w:r>
    </w:p>
    <w:p>
      <w:pPr>
        <w:spacing w:after="0" w:line="208"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(Brian Choi)</w:t>
      </w:r>
    </w:p>
    <w:p>
      <w:pPr>
        <w:spacing w:after="0" w:line="262"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MARY C. CHOKSI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(Mary C. Choksi)</w:t>
      </w:r>
    </w:p>
    <w:p>
      <w:pPr>
        <w:spacing w:after="0" w:line="208"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LEONARD S. COLEMAN,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(Leonard S. Coleman, Jr.)</w:t>
      </w:r>
    </w:p>
    <w:p>
      <w:pPr>
        <w:spacing w:after="0" w:line="208"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JEFFREY H.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(Jeffrey H. Fox)</w:t>
      </w:r>
    </w:p>
    <w:p>
      <w:pPr>
        <w:spacing w:after="0" w:line="208"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BERNARDO 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(Bernardo Hees)</w:t>
      </w:r>
    </w:p>
    <w:p>
      <w:pPr>
        <w:spacing w:after="0" w:line="208"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(Lynn Krominga)</w:t>
      </w:r>
    </w:p>
    <w:p>
      <w:pPr>
        <w:spacing w:after="0" w:line="208"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(Glenn Lurie)</w:t>
      </w:r>
    </w:p>
    <w:p>
      <w:pPr>
        <w:spacing w:after="0" w:line="208"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(Jagdeep Pahwa)</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F. ROBERT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(F. Robert Salerno)</w:t>
      </w:r>
    </w:p>
    <w:p>
      <w:pPr>
        <w:spacing w:after="0" w:line="275"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FRANCIS J. SHAMMO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(Francis J. Shammo)</w:t>
      </w:r>
    </w:p>
    <w:p>
      <w:pPr>
        <w:spacing w:after="0" w:line="262"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CARL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(Carl Sparks)</w:t>
      </w:r>
    </w:p>
    <w:p>
      <w:pPr>
        <w:spacing w:after="0" w:line="262"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 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4701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6"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(Sanoke Viswanathan)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215"/>
        </w:trPr>
        <w:tc>
          <w:tcPr>
            <w:tcW w:w="3600" w:type="dxa"/>
            <w:vAlign w:val="bottom"/>
          </w:tcPr>
          <w:p>
            <w:pPr>
              <w:jc w:val="center"/>
              <w:ind w:right="279"/>
              <w:spacing w:after="0"/>
              <w:rPr>
                <w:sz w:val="20"/>
                <w:szCs w:val="20"/>
                <w:color w:val="auto"/>
              </w:rPr>
            </w:pPr>
            <w:r>
              <w:rPr>
                <w:rFonts w:ascii="Arial" w:cs="Arial" w:eastAsia="Arial" w:hAnsi="Arial"/>
                <w:sz w:val="16"/>
                <w:szCs w:val="16"/>
                <w:b w:val="1"/>
                <w:bCs w:val="1"/>
                <w:color w:val="auto"/>
                <w:w w:val="97"/>
              </w:rPr>
              <w:t>Title</w:t>
            </w:r>
          </w:p>
        </w:tc>
        <w:tc>
          <w:tcPr>
            <w:tcW w:w="1700" w:type="dxa"/>
            <w:vAlign w:val="bottom"/>
          </w:tcPr>
          <w:p>
            <w:pPr>
              <w:jc w:val="center"/>
              <w:ind w:left="279"/>
              <w:spacing w:after="0"/>
              <w:rPr>
                <w:sz w:val="20"/>
                <w:szCs w:val="20"/>
                <w:color w:val="auto"/>
              </w:rPr>
            </w:pPr>
            <w:r>
              <w:rPr>
                <w:rFonts w:ascii="Arial" w:cs="Arial" w:eastAsia="Arial" w:hAnsi="Arial"/>
                <w:sz w:val="16"/>
                <w:szCs w:val="16"/>
                <w:b w:val="1"/>
                <w:bCs w:val="1"/>
                <w:color w:val="auto"/>
                <w:w w:val="97"/>
              </w:rPr>
              <w:t>Date</w:t>
            </w:r>
          </w:p>
        </w:tc>
      </w:tr>
      <w:tr>
        <w:trPr>
          <w:trHeight w:val="567"/>
        </w:trPr>
        <w:tc>
          <w:tcPr>
            <w:tcW w:w="3600" w:type="dxa"/>
            <w:vAlign w:val="bottom"/>
          </w:tcPr>
          <w:p>
            <w:pPr>
              <w:jc w:val="center"/>
              <w:ind w:right="279"/>
              <w:spacing w:after="0"/>
              <w:rPr>
                <w:sz w:val="20"/>
                <w:szCs w:val="20"/>
                <w:color w:val="auto"/>
              </w:rPr>
            </w:pPr>
            <w:r>
              <w:rPr>
                <w:rFonts w:ascii="Arial" w:cs="Arial" w:eastAsia="Arial" w:hAnsi="Arial"/>
                <w:sz w:val="16"/>
                <w:szCs w:val="16"/>
                <w:color w:val="auto"/>
              </w:rPr>
              <w:t>Interim President and Chief Executive Officer</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656"/>
        </w:trPr>
        <w:tc>
          <w:tcPr>
            <w:tcW w:w="3600" w:type="dxa"/>
            <w:vAlign w:val="bottom"/>
          </w:tcPr>
          <w:p>
            <w:pPr>
              <w:jc w:val="center"/>
              <w:ind w:right="299"/>
              <w:spacing w:after="0"/>
              <w:rPr>
                <w:sz w:val="20"/>
                <w:szCs w:val="20"/>
                <w:color w:val="auto"/>
              </w:rPr>
            </w:pPr>
            <w:r>
              <w:rPr>
                <w:rFonts w:ascii="Arial" w:cs="Arial" w:eastAsia="Arial" w:hAnsi="Arial"/>
                <w:sz w:val="16"/>
                <w:szCs w:val="16"/>
                <w:color w:val="auto"/>
              </w:rPr>
              <w:t>Executive Vice President and Chief Financial</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195"/>
        </w:trPr>
        <w:tc>
          <w:tcPr>
            <w:tcW w:w="3600" w:type="dxa"/>
            <w:vAlign w:val="bottom"/>
          </w:tcPr>
          <w:p>
            <w:pPr>
              <w:jc w:val="center"/>
              <w:ind w:right="279"/>
              <w:spacing w:after="0"/>
              <w:rPr>
                <w:sz w:val="20"/>
                <w:szCs w:val="20"/>
                <w:color w:val="auto"/>
              </w:rPr>
            </w:pPr>
            <w:r>
              <w:rPr>
                <w:rFonts w:ascii="Arial" w:cs="Arial" w:eastAsia="Arial" w:hAnsi="Arial"/>
                <w:sz w:val="16"/>
                <w:szCs w:val="16"/>
                <w:color w:val="auto"/>
              </w:rPr>
              <w:t>Officer</w:t>
            </w:r>
          </w:p>
        </w:tc>
        <w:tc>
          <w:tcPr>
            <w:tcW w:w="1700" w:type="dxa"/>
            <w:vAlign w:val="bottom"/>
          </w:tcPr>
          <w:p>
            <w:pPr>
              <w:spacing w:after="0"/>
              <w:rPr>
                <w:sz w:val="16"/>
                <w:szCs w:val="16"/>
                <w:color w:val="auto"/>
              </w:rPr>
            </w:pPr>
          </w:p>
        </w:tc>
      </w:tr>
      <w:tr>
        <w:trPr>
          <w:trHeight w:val="473"/>
        </w:trPr>
        <w:tc>
          <w:tcPr>
            <w:tcW w:w="3600" w:type="dxa"/>
            <w:vAlign w:val="bottom"/>
          </w:tcPr>
          <w:p>
            <w:pPr>
              <w:jc w:val="center"/>
              <w:ind w:right="279"/>
              <w:spacing w:after="0"/>
              <w:rPr>
                <w:sz w:val="20"/>
                <w:szCs w:val="20"/>
                <w:color w:val="auto"/>
              </w:rPr>
            </w:pPr>
            <w:r>
              <w:rPr>
                <w:rFonts w:ascii="Arial" w:cs="Arial" w:eastAsia="Arial" w:hAnsi="Arial"/>
                <w:sz w:val="16"/>
                <w:szCs w:val="16"/>
                <w:color w:val="auto"/>
              </w:rPr>
              <w:t>Vice President and Chief Accounting Officer</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662"/>
        </w:trPr>
        <w:tc>
          <w:tcPr>
            <w:tcW w:w="3600" w:type="dxa"/>
            <w:vAlign w:val="bottom"/>
          </w:tcPr>
          <w:p>
            <w:pPr>
              <w:jc w:val="center"/>
              <w:ind w:right="279"/>
              <w:spacing w:after="0"/>
              <w:rPr>
                <w:sz w:val="20"/>
                <w:szCs w:val="20"/>
                <w:color w:val="auto"/>
              </w:rPr>
            </w:pPr>
            <w:r>
              <w:rPr>
                <w:rFonts w:ascii="Arial" w:cs="Arial" w:eastAsia="Arial" w:hAnsi="Arial"/>
                <w:sz w:val="16"/>
                <w:szCs w:val="16"/>
                <w:color w:val="auto"/>
                <w:w w:val="99"/>
              </w:rPr>
              <w:t>Director</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716"/>
        </w:trPr>
        <w:tc>
          <w:tcPr>
            <w:tcW w:w="3600" w:type="dxa"/>
            <w:vAlign w:val="bottom"/>
          </w:tcPr>
          <w:p>
            <w:pPr>
              <w:jc w:val="center"/>
              <w:ind w:right="279"/>
              <w:spacing w:after="0"/>
              <w:rPr>
                <w:sz w:val="20"/>
                <w:szCs w:val="20"/>
                <w:color w:val="auto"/>
              </w:rPr>
            </w:pPr>
            <w:r>
              <w:rPr>
                <w:rFonts w:ascii="Arial" w:cs="Arial" w:eastAsia="Arial" w:hAnsi="Arial"/>
                <w:sz w:val="16"/>
                <w:szCs w:val="16"/>
                <w:color w:val="auto"/>
                <w:w w:val="99"/>
              </w:rPr>
              <w:t>Director</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662"/>
        </w:trPr>
        <w:tc>
          <w:tcPr>
            <w:tcW w:w="3600" w:type="dxa"/>
            <w:vAlign w:val="bottom"/>
          </w:tcPr>
          <w:p>
            <w:pPr>
              <w:jc w:val="center"/>
              <w:ind w:right="279"/>
              <w:spacing w:after="0"/>
              <w:rPr>
                <w:sz w:val="20"/>
                <w:szCs w:val="20"/>
                <w:color w:val="auto"/>
              </w:rPr>
            </w:pPr>
            <w:r>
              <w:rPr>
                <w:rFonts w:ascii="Arial" w:cs="Arial" w:eastAsia="Arial" w:hAnsi="Arial"/>
                <w:sz w:val="16"/>
                <w:szCs w:val="16"/>
                <w:color w:val="auto"/>
                <w:w w:val="99"/>
              </w:rPr>
              <w:t>Director</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662"/>
        </w:trPr>
        <w:tc>
          <w:tcPr>
            <w:tcW w:w="3600" w:type="dxa"/>
            <w:vAlign w:val="bottom"/>
          </w:tcPr>
          <w:p>
            <w:pPr>
              <w:jc w:val="center"/>
              <w:ind w:right="279"/>
              <w:spacing w:after="0"/>
              <w:rPr>
                <w:sz w:val="20"/>
                <w:szCs w:val="20"/>
                <w:color w:val="auto"/>
              </w:rPr>
            </w:pPr>
            <w:r>
              <w:rPr>
                <w:rFonts w:ascii="Arial" w:cs="Arial" w:eastAsia="Arial" w:hAnsi="Arial"/>
                <w:sz w:val="16"/>
                <w:szCs w:val="16"/>
                <w:color w:val="auto"/>
                <w:w w:val="99"/>
              </w:rPr>
              <w:t>Director</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662"/>
        </w:trPr>
        <w:tc>
          <w:tcPr>
            <w:tcW w:w="3600" w:type="dxa"/>
            <w:vAlign w:val="bottom"/>
          </w:tcPr>
          <w:p>
            <w:pPr>
              <w:jc w:val="center"/>
              <w:ind w:right="299"/>
              <w:spacing w:after="0"/>
              <w:rPr>
                <w:sz w:val="20"/>
                <w:szCs w:val="20"/>
                <w:color w:val="auto"/>
              </w:rPr>
            </w:pPr>
            <w:r>
              <w:rPr>
                <w:rFonts w:ascii="Arial" w:cs="Arial" w:eastAsia="Arial" w:hAnsi="Arial"/>
                <w:sz w:val="16"/>
                <w:szCs w:val="16"/>
                <w:color w:val="auto"/>
              </w:rPr>
              <w:t>Chairman of the Board of Directors</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662"/>
        </w:trPr>
        <w:tc>
          <w:tcPr>
            <w:tcW w:w="3600" w:type="dxa"/>
            <w:vAlign w:val="bottom"/>
          </w:tcPr>
          <w:p>
            <w:pPr>
              <w:jc w:val="center"/>
              <w:ind w:right="279"/>
              <w:spacing w:after="0"/>
              <w:rPr>
                <w:sz w:val="20"/>
                <w:szCs w:val="20"/>
                <w:color w:val="auto"/>
              </w:rPr>
            </w:pPr>
            <w:r>
              <w:rPr>
                <w:rFonts w:ascii="Arial" w:cs="Arial" w:eastAsia="Arial" w:hAnsi="Arial"/>
                <w:sz w:val="16"/>
                <w:szCs w:val="16"/>
                <w:color w:val="auto"/>
                <w:w w:val="99"/>
              </w:rPr>
              <w:t>Director</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662"/>
        </w:trPr>
        <w:tc>
          <w:tcPr>
            <w:tcW w:w="3600" w:type="dxa"/>
            <w:vAlign w:val="bottom"/>
          </w:tcPr>
          <w:p>
            <w:pPr>
              <w:jc w:val="center"/>
              <w:ind w:right="279"/>
              <w:spacing w:after="0"/>
              <w:rPr>
                <w:sz w:val="20"/>
                <w:szCs w:val="20"/>
                <w:color w:val="auto"/>
              </w:rPr>
            </w:pPr>
            <w:r>
              <w:rPr>
                <w:rFonts w:ascii="Arial" w:cs="Arial" w:eastAsia="Arial" w:hAnsi="Arial"/>
                <w:sz w:val="16"/>
                <w:szCs w:val="16"/>
                <w:color w:val="auto"/>
                <w:w w:val="99"/>
              </w:rPr>
              <w:t>Director</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662"/>
        </w:trPr>
        <w:tc>
          <w:tcPr>
            <w:tcW w:w="3600" w:type="dxa"/>
            <w:vAlign w:val="bottom"/>
          </w:tcPr>
          <w:p>
            <w:pPr>
              <w:jc w:val="center"/>
              <w:ind w:right="279"/>
              <w:spacing w:after="0"/>
              <w:rPr>
                <w:sz w:val="20"/>
                <w:szCs w:val="20"/>
                <w:color w:val="auto"/>
              </w:rPr>
            </w:pPr>
            <w:r>
              <w:rPr>
                <w:rFonts w:ascii="Arial" w:cs="Arial" w:eastAsia="Arial" w:hAnsi="Arial"/>
                <w:sz w:val="16"/>
                <w:szCs w:val="16"/>
                <w:color w:val="auto"/>
                <w:w w:val="99"/>
              </w:rPr>
              <w:t>Director</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675"/>
        </w:trPr>
        <w:tc>
          <w:tcPr>
            <w:tcW w:w="3600" w:type="dxa"/>
            <w:vAlign w:val="bottom"/>
          </w:tcPr>
          <w:p>
            <w:pPr>
              <w:jc w:val="center"/>
              <w:ind w:right="279"/>
              <w:spacing w:after="0"/>
              <w:rPr>
                <w:sz w:val="20"/>
                <w:szCs w:val="20"/>
                <w:color w:val="auto"/>
              </w:rPr>
            </w:pPr>
            <w:r>
              <w:rPr>
                <w:rFonts w:ascii="Arial" w:cs="Arial" w:eastAsia="Arial" w:hAnsi="Arial"/>
                <w:sz w:val="16"/>
                <w:szCs w:val="16"/>
                <w:color w:val="auto"/>
                <w:w w:val="99"/>
              </w:rPr>
              <w:t>Director</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729"/>
        </w:trPr>
        <w:tc>
          <w:tcPr>
            <w:tcW w:w="3600" w:type="dxa"/>
            <w:vAlign w:val="bottom"/>
          </w:tcPr>
          <w:p>
            <w:pPr>
              <w:jc w:val="center"/>
              <w:ind w:right="279"/>
              <w:spacing w:after="0"/>
              <w:rPr>
                <w:sz w:val="20"/>
                <w:szCs w:val="20"/>
                <w:color w:val="auto"/>
              </w:rPr>
            </w:pPr>
            <w:r>
              <w:rPr>
                <w:rFonts w:ascii="Arial" w:cs="Arial" w:eastAsia="Arial" w:hAnsi="Arial"/>
                <w:sz w:val="16"/>
                <w:szCs w:val="16"/>
                <w:color w:val="auto"/>
                <w:w w:val="99"/>
              </w:rPr>
              <w:t>Director</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743"/>
        </w:trPr>
        <w:tc>
          <w:tcPr>
            <w:tcW w:w="3600" w:type="dxa"/>
            <w:vAlign w:val="bottom"/>
          </w:tcPr>
          <w:p>
            <w:pPr>
              <w:jc w:val="center"/>
              <w:ind w:right="279"/>
              <w:spacing w:after="0"/>
              <w:rPr>
                <w:sz w:val="20"/>
                <w:szCs w:val="20"/>
                <w:color w:val="auto"/>
              </w:rPr>
            </w:pPr>
            <w:r>
              <w:rPr>
                <w:rFonts w:ascii="Arial" w:cs="Arial" w:eastAsia="Arial" w:hAnsi="Arial"/>
                <w:sz w:val="16"/>
                <w:szCs w:val="16"/>
                <w:color w:val="auto"/>
                <w:w w:val="99"/>
              </w:rPr>
              <w:t>Director</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r>
        <w:trPr>
          <w:trHeight w:val="716"/>
        </w:trPr>
        <w:tc>
          <w:tcPr>
            <w:tcW w:w="3600" w:type="dxa"/>
            <w:vAlign w:val="bottom"/>
          </w:tcPr>
          <w:p>
            <w:pPr>
              <w:jc w:val="center"/>
              <w:ind w:right="279"/>
              <w:spacing w:after="0"/>
              <w:rPr>
                <w:sz w:val="20"/>
                <w:szCs w:val="20"/>
                <w:color w:val="auto"/>
              </w:rPr>
            </w:pPr>
            <w:r>
              <w:rPr>
                <w:rFonts w:ascii="Arial" w:cs="Arial" w:eastAsia="Arial" w:hAnsi="Arial"/>
                <w:sz w:val="16"/>
                <w:szCs w:val="16"/>
                <w:color w:val="auto"/>
                <w:w w:val="99"/>
              </w:rPr>
              <w:t>Director</w:t>
            </w:r>
          </w:p>
        </w:tc>
        <w:tc>
          <w:tcPr>
            <w:tcW w:w="1700" w:type="dxa"/>
            <w:vAlign w:val="bottom"/>
          </w:tcPr>
          <w:p>
            <w:pPr>
              <w:jc w:val="center"/>
              <w:ind w:left="279"/>
              <w:spacing w:after="0"/>
              <w:rPr>
                <w:sz w:val="20"/>
                <w:szCs w:val="20"/>
                <w:color w:val="auto"/>
              </w:rPr>
            </w:pPr>
            <w:r>
              <w:rPr>
                <w:rFonts w:ascii="Arial" w:cs="Arial" w:eastAsia="Arial" w:hAnsi="Arial"/>
                <w:sz w:val="16"/>
                <w:szCs w:val="16"/>
                <w:color w:val="auto"/>
              </w:rPr>
              <w:t>February 20, 2020</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ectPr>
          <w:pgSz w:w="11900" w:h="16838" w:orient="portrait"/>
          <w:cols w:equalWidth="0" w:num="2">
            <w:col w:w="4900" w:space="720"/>
            <w:col w:w="5620"/>
          </w:cols>
          <w:pgMar w:left="240" w:top="140" w:right="4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Report of Independent Registered Public Accounting Firm</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Consolidated Statements of Operations for the years ended December 31, 2019, 2018 and 2017</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Consolidated Statements of Comprehensive Income for the years ended December 31, 2019, 2018 and 2017</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Balance Sheets as of December 31, 2019 and 2018</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Consolidated Statements of Cash Flows for the years ended December 31, 2019, 2018 and 2017</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Consolidated Statements of Stockholders’ Equity for the years ended December 31, 2019, 2018 and 2017</w:t>
        </w:r>
      </w:hyperlink>
    </w:p>
    <w:p>
      <w:pPr>
        <w:spacing w:after="0" w:line="374" w:lineRule="exact"/>
        <w:rPr>
          <w:sz w:val="20"/>
          <w:szCs w:val="20"/>
          <w:color w:val="auto"/>
        </w:rPr>
      </w:pPr>
    </w:p>
    <w:p>
      <w:pPr>
        <w:ind w:left="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Notes to Consolidated Financial Statements</w:t>
        </w:r>
      </w:hyperlink>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28575</wp:posOffset>
            </wp:positionV>
            <wp:extent cx="9347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89" w:lineRule="exact"/>
        <w:rPr>
          <w:sz w:val="20"/>
          <w:szCs w:val="20"/>
          <w:color w:val="auto"/>
        </w:rPr>
      </w:pPr>
    </w:p>
    <w:p>
      <w:pPr>
        <w:ind w:left="66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F-2</w:t>
        </w:r>
      </w:hyperlink>
    </w:p>
    <w:p>
      <w:pPr>
        <w:spacing w:after="0" w:line="374" w:lineRule="exact"/>
        <w:rPr>
          <w:sz w:val="20"/>
          <w:szCs w:val="20"/>
          <w:color w:val="auto"/>
        </w:rPr>
      </w:pPr>
    </w:p>
    <w:p>
      <w:pPr>
        <w:ind w:left="6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F-5</w:t>
        </w:r>
      </w:hyperlink>
    </w:p>
    <w:p>
      <w:pPr>
        <w:spacing w:after="0" w:line="374" w:lineRule="exact"/>
        <w:rPr>
          <w:sz w:val="20"/>
          <w:szCs w:val="20"/>
          <w:color w:val="auto"/>
        </w:rPr>
      </w:pPr>
    </w:p>
    <w:p>
      <w:pPr>
        <w:ind w:left="66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F-6</w:t>
        </w:r>
      </w:hyperlink>
    </w:p>
    <w:p>
      <w:pPr>
        <w:spacing w:after="0" w:line="374" w:lineRule="exact"/>
        <w:rPr>
          <w:sz w:val="20"/>
          <w:szCs w:val="20"/>
          <w:color w:val="auto"/>
        </w:rPr>
      </w:pPr>
    </w:p>
    <w:p>
      <w:pPr>
        <w:ind w:left="66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F-7</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F-8</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F-10</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F-11</w:t>
        </w:r>
      </w:hyperlink>
    </w:p>
    <w:p>
      <w:pPr>
        <w:sectPr>
          <w:pgSz w:w="11900" w:h="16838" w:orient="portrait"/>
          <w:cols w:equalWidth="0" w:num="2">
            <w:col w:w="9740" w:space="720"/>
            <w:col w:w="940"/>
          </w:cols>
          <w:pgMar w:left="240" w:top="140"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Avis Budget Group, Inc. and subsidiaries (the "Company") as of December 31, 2019 and 2018, and the related consolidated statements of operations, comprehensive income, stockholders' equity, and cash flows for each of the three years in the period ended December 31, 2019, and the related notes and the schedule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20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20,</w:t>
      </w:r>
      <w:r>
        <w:rPr>
          <w:rFonts w:ascii="Arial" w:cs="Arial" w:eastAsia="Arial" w:hAnsi="Arial"/>
          <w:sz w:val="18"/>
          <w:szCs w:val="18"/>
          <w:i w:val="1"/>
          <w:iCs w:val="1"/>
          <w:color w:val="auto"/>
        </w:rPr>
        <w:t xml:space="preserve"> </w:t>
      </w:r>
      <w:r>
        <w:rPr>
          <w:rFonts w:ascii="Arial" w:cs="Arial" w:eastAsia="Arial" w:hAnsi="Arial"/>
          <w:sz w:val="18"/>
          <w:szCs w:val="18"/>
          <w:color w:val="auto"/>
        </w:rPr>
        <w:t>2020, expressed an unqualified opinion on the Company's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As discussed in Note 2 to the financial statements, effective January 1, 2019, the Company adopted FASB ASC Topic 842, </w:t>
      </w:r>
      <w:r>
        <w:rPr>
          <w:rFonts w:ascii="Arial" w:cs="Arial" w:eastAsia="Arial" w:hAnsi="Arial"/>
          <w:sz w:val="18"/>
          <w:szCs w:val="18"/>
          <w:i w:val="1"/>
          <w:iCs w:val="1"/>
          <w:color w:val="auto"/>
        </w:rPr>
        <w:t>Leases</w:t>
      </w:r>
      <w:r>
        <w:rPr>
          <w:rFonts w:ascii="Arial" w:cs="Arial" w:eastAsia="Arial" w:hAnsi="Arial"/>
          <w:sz w:val="18"/>
          <w:szCs w:val="18"/>
          <w:color w:val="auto"/>
        </w:rPr>
        <w:t>, using the transition method allowing entities to only apply the new lease standard in the year of adoption.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140"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Depreciation Expense - United States Risk Vehicles - Refer to Notes 2 and 8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records rental vehicles at cost, net of incentives and allowances from manufacturers. Rental vehicles acquired by the Company outside of manufacturer repurchase or guaranteed depreciation programs are referred to as risk vehicles and the carrying value of these risk vehicles are depreciated to the vehicles’ estimated residual market value at their expected dates of disposition.</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Significant assumptions and judgments made by management in the Company’s calculation of the estimated residual market value of risk vehicles include, but are not limited to, the anticipated age of the vehicles and market conditions for used vehicles at the time of disposal. The Company regularly evaluates the reasonableness of these significant assumptions and judgments and adjusts vehicle depreciation expense rates on a prospective basis to reflect changes in the estimated residual market value of risk vehicles through their expected date of disposition.</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Given the subjectivity in the significant assumptions and judgments made by management to calculate the estimated residual market value of risk vehicles, auditing the estimated residual market value of risk vehicles and vehicle depreciation expense related to risk vehicles required extensive audit effort to develop an independent expectation of residual market values and depreciation expense, and a high degree of auditor judgment when performing audit procedures and evaluating the results of those procedures.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4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audit procedures to assess the reasonableness of the estimated residual market value and vehicle depreciation expense related to risk vehicles included the following, among others:</w:t>
      </w:r>
    </w:p>
    <w:p>
      <w:pPr>
        <w:spacing w:after="0" w:line="196" w:lineRule="exact"/>
        <w:rPr>
          <w:sz w:val="20"/>
          <w:szCs w:val="20"/>
          <w:color w:val="auto"/>
        </w:rPr>
      </w:pPr>
    </w:p>
    <w:p>
      <w:pPr>
        <w:ind w:left="340" w:right="260" w:hanging="332"/>
        <w:spacing w:after="0" w:line="262"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the Company’s methods, significant assumptions and judgments to calculate the estimated residual market value of risk vehicles and the expected dates of disposition.</w:t>
      </w:r>
    </w:p>
    <w:p>
      <w:pPr>
        <w:spacing w:after="0" w:line="196" w:lineRule="exact"/>
        <w:rPr>
          <w:rFonts w:ascii="Arial" w:cs="Arial" w:eastAsia="Arial" w:hAnsi="Arial"/>
          <w:sz w:val="18"/>
          <w:szCs w:val="18"/>
          <w:color w:val="auto"/>
        </w:rPr>
      </w:pPr>
    </w:p>
    <w:p>
      <w:pPr>
        <w:ind w:left="340" w:right="66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tested the effectiveness of controls over vehicle depreciation expense related to risk vehicles and management’s review of the significant assumptions and judgments to calculate the estimated residual market value of risk vehicles, including those over the Company’s monitoring of residual market values and used vehicle market conditions.</w:t>
      </w:r>
    </w:p>
    <w:p>
      <w:pPr>
        <w:spacing w:after="0" w:line="201" w:lineRule="exact"/>
        <w:rPr>
          <w:rFonts w:ascii="Arial" w:cs="Arial" w:eastAsia="Arial" w:hAnsi="Arial"/>
          <w:sz w:val="18"/>
          <w:szCs w:val="18"/>
          <w:color w:val="auto"/>
        </w:rPr>
      </w:pPr>
    </w:p>
    <w:p>
      <w:pPr>
        <w:ind w:left="340" w:right="420" w:hanging="332"/>
        <w:spacing w:after="0" w:line="262"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assessed the reasonableness of the estimated residual market value of risk vehicles by performing the following procedures on a selection of risk vehicles:</w:t>
      </w:r>
    </w:p>
    <w:p>
      <w:pPr>
        <w:spacing w:after="0" w:line="196" w:lineRule="exact"/>
        <w:rPr>
          <w:rFonts w:ascii="Arial" w:cs="Arial" w:eastAsia="Arial" w:hAnsi="Arial"/>
          <w:sz w:val="18"/>
          <w:szCs w:val="18"/>
          <w:color w:val="auto"/>
        </w:rPr>
      </w:pPr>
    </w:p>
    <w:p>
      <w:pPr>
        <w:ind w:left="660" w:right="60" w:hanging="328"/>
        <w:spacing w:after="0" w:line="262"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We tested the underlying historical data that served as the basis for the Company’s calculation of the estimated residual market value to evaluate that the inputs were reasonable.</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We tested the mathematical accuracy of the Company’s calculation of the estimated residual market value and vehicle depreciation expense rates.</w:t>
      </w:r>
    </w:p>
    <w:p>
      <w:pPr>
        <w:spacing w:after="0" w:line="196" w:lineRule="exact"/>
        <w:rPr>
          <w:rFonts w:ascii="Arial" w:cs="Arial" w:eastAsia="Arial" w:hAnsi="Arial"/>
          <w:sz w:val="18"/>
          <w:szCs w:val="18"/>
          <w:color w:val="auto"/>
        </w:rPr>
      </w:pPr>
    </w:p>
    <w:p>
      <w:pPr>
        <w:ind w:left="660" w:right="220" w:hanging="328"/>
        <w:spacing w:after="0" w:line="254"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We tested significant assumptions and judgments used in the Company’s calculation by developing an independent expectation of residual market values and compared them to the estimated residual market values calculated by the Company. Our independent expectation was calculated using our professional judgment by reference to third party data, information produced by the Company, subsequent vehicle sales, and inquiries of management.</w:t>
      </w:r>
    </w:p>
    <w:p>
      <w:pPr>
        <w:spacing w:after="0" w:line="204" w:lineRule="exact"/>
        <w:rPr>
          <w:rFonts w:ascii="Arial" w:cs="Arial" w:eastAsia="Arial" w:hAnsi="Arial"/>
          <w:sz w:val="18"/>
          <w:szCs w:val="18"/>
          <w:color w:val="auto"/>
        </w:rPr>
      </w:pPr>
    </w:p>
    <w:p>
      <w:pPr>
        <w:ind w:left="660" w:right="140" w:hanging="328"/>
        <w:spacing w:after="0" w:line="262"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We searched for contradictory evidence associated with the significant assumptions and judgments made by management based on our knowledge of the industry and review of third party industry data.</w:t>
      </w:r>
    </w:p>
    <w:p>
      <w:pPr>
        <w:spacing w:after="0" w:line="196"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developed an independent expectation of depreciation expense based on, but not limited to, the vehicles’ age and results of our residual value testing and compared it to the amount recorded by the Company as depreciation expense.</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20"/>
          </w:cols>
          <w:pgMar w:left="240" w:top="140"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Liability and Property Damage Self-Insurance Reserves - United States - Refer to Note 2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is self-insured for public liability and property damage claims. These self-insurance reserves represent an estimate of the reported claims not yet paid and unreported claims and are calculated on an undiscounted basis using actuarial methods followed in the insurance industry. Significant assumptions and key inputs included in the calculation of these reserves include, but are not limited to, historical loss experience and projected loss development factors. The Company periodically evaluates the reasonableness of these significant assumptions and key inputs and adjusts the self-insurance reserves to reflect changes in claims experience, such as changes in volume or cost of historical claims.</w:t>
      </w:r>
    </w:p>
    <w:p>
      <w:pPr>
        <w:spacing w:after="0" w:line="209"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Given the subjectivity of estimating the self-insurance reserves for reported claims not yet paid and unreported claims, performing audit procedures to evaluate whether self-insurance reserves were appropriately recorded as of December 31, 2019 required a high degree of auditor judgment and an increased extent of effort, including the need to involve our actuarial specialists.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public liability and property damage self-insurance reserves included the following, among others:</w:t>
      </w:r>
    </w:p>
    <w:p>
      <w:pPr>
        <w:spacing w:after="0" w:line="225" w:lineRule="exact"/>
        <w:rPr>
          <w:sz w:val="20"/>
          <w:szCs w:val="20"/>
          <w:color w:val="auto"/>
        </w:rPr>
      </w:pPr>
    </w:p>
    <w:p>
      <w:pPr>
        <w:ind w:left="340" w:right="240" w:hanging="332"/>
        <w:spacing w:after="0" w:line="262"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review of significant assumptions, key inputs and methods used to calculate the estimate of the reported claims not yet paid and unreported claims.</w:t>
      </w:r>
    </w:p>
    <w:p>
      <w:pPr>
        <w:spacing w:after="0" w:line="196" w:lineRule="exact"/>
        <w:rPr>
          <w:rFonts w:ascii="Arial" w:cs="Arial" w:eastAsia="Arial" w:hAnsi="Arial"/>
          <w:sz w:val="18"/>
          <w:szCs w:val="18"/>
          <w:color w:val="auto"/>
        </w:rPr>
      </w:pPr>
    </w:p>
    <w:p>
      <w:pPr>
        <w:ind w:left="340" w:right="380" w:hanging="332"/>
        <w:spacing w:after="0" w:line="262"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tested the underlying data that served as the basis for the Company’s actuarial analysis, including historical claims, to test that the inputs to the actuarial estimate were reasonable.</w:t>
      </w:r>
    </w:p>
    <w:p>
      <w:pPr>
        <w:spacing w:after="0" w:line="196" w:lineRule="exact"/>
        <w:rPr>
          <w:rFonts w:ascii="Arial" w:cs="Arial" w:eastAsia="Arial" w:hAnsi="Arial"/>
          <w:sz w:val="18"/>
          <w:szCs w:val="18"/>
          <w:color w:val="auto"/>
        </w:rPr>
      </w:pPr>
    </w:p>
    <w:p>
      <w:pPr>
        <w:ind w:left="340" w:right="20" w:hanging="332"/>
        <w:spacing w:after="0" w:line="256"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the assistance of our actuarial specialists, we developed an independent estimate of the self-insurance reserves, including assessment of loss data and claim development factors, and compared our estimate to management’s estimate. In addition, we performed the following:</w:t>
      </w:r>
    </w:p>
    <w:p>
      <w:pPr>
        <w:spacing w:after="0" w:line="201" w:lineRule="exact"/>
        <w:rPr>
          <w:rFonts w:ascii="Arial" w:cs="Arial" w:eastAsia="Arial" w:hAnsi="Arial"/>
          <w:sz w:val="18"/>
          <w:szCs w:val="18"/>
          <w:color w:val="auto"/>
        </w:rPr>
      </w:pPr>
    </w:p>
    <w:p>
      <w:pPr>
        <w:ind w:left="660" w:right="520" w:hanging="328"/>
        <w:spacing w:after="0" w:line="262"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reasonableness of the methodologies used in management’s estimate based on actuarial methods followed in the insurance industry associated with such liabilities.</w:t>
      </w:r>
    </w:p>
    <w:p>
      <w:pPr>
        <w:spacing w:after="0" w:line="196" w:lineRule="exact"/>
        <w:rPr>
          <w:rFonts w:ascii="Arial" w:cs="Arial" w:eastAsia="Arial" w:hAnsi="Arial"/>
          <w:sz w:val="18"/>
          <w:szCs w:val="18"/>
          <w:color w:val="auto"/>
        </w:rPr>
      </w:pPr>
    </w:p>
    <w:p>
      <w:pPr>
        <w:jc w:val="both"/>
        <w:ind w:left="660" w:right="140" w:hanging="328"/>
        <w:spacing w:after="0" w:line="291"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reasonableness of the assumptions used in management’s estimate by comparing prior-year assumptions of expected development and ultimate loss to actuals incurred during the current year to identify potential bias in the determination of the liability.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40" w:top="140" w:right="2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millions, except per share data)</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64"/>
        </w:trPr>
        <w:tc>
          <w:tcPr>
            <w:tcW w:w="7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534"/>
        </w:trPr>
        <w:tc>
          <w:tcPr>
            <w:tcW w:w="72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9,172</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9,124</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513"/>
        </w:trPr>
        <w:tc>
          <w:tcPr>
            <w:tcW w:w="72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4,698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57"/>
        </w:trPr>
        <w:tc>
          <w:tcPr>
            <w:tcW w:w="728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0"/>
        </w:trPr>
        <w:tc>
          <w:tcPr>
            <w:tcW w:w="728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7"/>
        </w:trPr>
        <w:tc>
          <w:tcPr>
            <w:tcW w:w="728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8,885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8,857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8,637</w:t>
            </w:r>
          </w:p>
        </w:tc>
        <w:tc>
          <w:tcPr>
            <w:tcW w:w="0" w:type="dxa"/>
            <w:vAlign w:val="bottom"/>
          </w:tcPr>
          <w:p>
            <w:pPr>
              <w:spacing w:after="0"/>
              <w:rPr>
                <w:sz w:val="1"/>
                <w:szCs w:val="1"/>
                <w:color w:val="auto"/>
              </w:rPr>
            </w:pPr>
          </w:p>
        </w:tc>
      </w:tr>
      <w:tr>
        <w:trPr>
          <w:trHeight w:val="527"/>
        </w:trPr>
        <w:tc>
          <w:tcPr>
            <w:tcW w:w="72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520"/>
        </w:trPr>
        <w:tc>
          <w:tcPr>
            <w:tcW w:w="7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8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0"/>
        </w:trPr>
        <w:tc>
          <w:tcPr>
            <w:tcW w:w="7280" w:type="dxa"/>
            <w:vAlign w:val="bottom"/>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00"/>
          </w:cols>
          <w:pgMar w:left="240" w:top="140" w:right="659" w:bottom="1113"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millions)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64"/>
        </w:trPr>
        <w:tc>
          <w:tcPr>
            <w:tcW w:w="7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534"/>
        </w:trPr>
        <w:tc>
          <w:tcPr>
            <w:tcW w:w="7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r>
      <w:tr>
        <w:trPr>
          <w:trHeight w:val="473"/>
        </w:trPr>
        <w:tc>
          <w:tcPr>
            <w:tcW w:w="758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4"/>
        </w:trPr>
        <w:tc>
          <w:tcPr>
            <w:tcW w:w="7580" w:type="dxa"/>
            <w:vAlign w:val="bottom"/>
          </w:tcPr>
          <w:p>
            <w:pPr>
              <w:ind w:left="100"/>
              <w:spacing w:after="0"/>
              <w:rPr>
                <w:sz w:val="20"/>
                <w:szCs w:val="20"/>
                <w:color w:val="auto"/>
              </w:rPr>
            </w:pPr>
            <w:r>
              <w:rPr>
                <w:rFonts w:ascii="Arial" w:cs="Arial" w:eastAsia="Arial" w:hAnsi="Arial"/>
                <w:sz w:val="18"/>
                <w:szCs w:val="18"/>
                <w:color w:val="auto"/>
              </w:rPr>
              <w:t>Currency translation adjustments, net of tax of $(6), $(8) and $33, 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7580" w:type="dxa"/>
            <w:vAlign w:val="bottom"/>
          </w:tcPr>
          <w:p>
            <w:pPr>
              <w:ind w:left="300"/>
              <w:spacing w:after="0"/>
              <w:rPr>
                <w:sz w:val="20"/>
                <w:szCs w:val="20"/>
                <w:color w:val="auto"/>
              </w:rPr>
            </w:pPr>
            <w:r>
              <w:rPr>
                <w:rFonts w:ascii="Arial" w:cs="Arial" w:eastAsia="Arial" w:hAnsi="Arial"/>
                <w:sz w:val="18"/>
                <w:szCs w:val="18"/>
                <w:color w:val="auto"/>
              </w:rPr>
              <w:t>Net unrealized gains (losses) on available-for-sale securities, net of tax of $0, $0, and $(1),</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7"/>
        </w:trPr>
        <w:tc>
          <w:tcPr>
            <w:tcW w:w="7580" w:type="dxa"/>
            <w:vAlign w:val="bottom"/>
          </w:tcPr>
          <w:p>
            <w:pPr>
              <w:ind w:left="4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4"/>
        </w:trPr>
        <w:tc>
          <w:tcPr>
            <w:tcW w:w="7580" w:type="dxa"/>
            <w:vAlign w:val="bottom"/>
          </w:tcPr>
          <w:p>
            <w:pPr>
              <w:ind w:left="300"/>
              <w:spacing w:after="0"/>
              <w:rPr>
                <w:sz w:val="20"/>
                <w:szCs w:val="20"/>
                <w:color w:val="auto"/>
              </w:rPr>
            </w:pPr>
            <w:r>
              <w:rPr>
                <w:rFonts w:ascii="Arial" w:cs="Arial" w:eastAsia="Arial" w:hAnsi="Arial"/>
                <w:sz w:val="18"/>
                <w:szCs w:val="18"/>
                <w:color w:val="auto"/>
              </w:rPr>
              <w:t>Net unrealized holding gains (losses), net of tax of $7, $0, and $0, respectively</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42"/>
        </w:trPr>
        <w:tc>
          <w:tcPr>
            <w:tcW w:w="7580" w:type="dxa"/>
            <w:vAlign w:val="bottom"/>
          </w:tcPr>
          <w:p>
            <w:pPr>
              <w:ind w:left="300"/>
              <w:spacing w:after="0"/>
              <w:rPr>
                <w:sz w:val="20"/>
                <w:szCs w:val="20"/>
                <w:color w:val="auto"/>
              </w:rPr>
            </w:pPr>
            <w:r>
              <w:rPr>
                <w:rFonts w:ascii="Arial" w:cs="Arial" w:eastAsia="Arial" w:hAnsi="Arial"/>
                <w:sz w:val="18"/>
                <w:szCs w:val="18"/>
                <w:color w:val="auto"/>
              </w:rPr>
              <w:t>Reclassification of cash flow hedges to earnings, net of tax of $1, $1, and $(2),</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7"/>
        </w:trPr>
        <w:tc>
          <w:tcPr>
            <w:tcW w:w="7580" w:type="dxa"/>
            <w:vAlign w:val="bottom"/>
          </w:tcPr>
          <w:p>
            <w:pPr>
              <w:ind w:left="4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57"/>
        </w:trPr>
        <w:tc>
          <w:tcPr>
            <w:tcW w:w="7580" w:type="dxa"/>
            <w:vAlign w:val="bottom"/>
          </w:tcPr>
          <w:p>
            <w:pPr>
              <w:ind w:left="100"/>
              <w:spacing w:after="0"/>
              <w:rPr>
                <w:sz w:val="20"/>
                <w:szCs w:val="20"/>
                <w:color w:val="auto"/>
              </w:rPr>
            </w:pPr>
            <w:r>
              <w:rPr>
                <w:rFonts w:ascii="Arial" w:cs="Arial" w:eastAsia="Arial" w:hAnsi="Arial"/>
                <w:sz w:val="18"/>
                <w:szCs w:val="18"/>
                <w:color w:val="auto"/>
              </w:rPr>
              <w:t>Minimum pension liability adjustment: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4"/>
        </w:trPr>
        <w:tc>
          <w:tcPr>
            <w:tcW w:w="7580" w:type="dxa"/>
            <w:vAlign w:val="bottom"/>
          </w:tcPr>
          <w:p>
            <w:pPr>
              <w:ind w:left="300"/>
              <w:spacing w:after="0"/>
              <w:rPr>
                <w:sz w:val="20"/>
                <w:szCs w:val="20"/>
                <w:color w:val="auto"/>
              </w:rPr>
            </w:pPr>
            <w:r>
              <w:rPr>
                <w:rFonts w:ascii="Arial" w:cs="Arial" w:eastAsia="Arial" w:hAnsi="Arial"/>
                <w:sz w:val="18"/>
                <w:szCs w:val="18"/>
                <w:color w:val="auto"/>
              </w:rPr>
              <w:t>Pension and post-retirement benefits, net of tax of $6, $6, and $(4), respectively</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42"/>
        </w:trPr>
        <w:tc>
          <w:tcPr>
            <w:tcW w:w="7580" w:type="dxa"/>
            <w:vAlign w:val="bottom"/>
          </w:tcPr>
          <w:p>
            <w:pPr>
              <w:ind w:left="300"/>
              <w:spacing w:after="0"/>
              <w:rPr>
                <w:sz w:val="20"/>
                <w:szCs w:val="20"/>
                <w:color w:val="auto"/>
              </w:rPr>
            </w:pPr>
            <w:r>
              <w:rPr>
                <w:rFonts w:ascii="Arial" w:cs="Arial" w:eastAsia="Arial" w:hAnsi="Arial"/>
                <w:sz w:val="18"/>
                <w:szCs w:val="18"/>
                <w:color w:val="auto"/>
              </w:rPr>
              <w:t>Reclassification of pension and post-retirement benefits to earnings, net of tax of $(2),</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4"/>
        </w:trPr>
        <w:tc>
          <w:tcPr>
            <w:tcW w:w="7580" w:type="dxa"/>
            <w:vAlign w:val="bottom"/>
          </w:tcPr>
          <w:p>
            <w:pPr>
              <w:ind w:left="460"/>
              <w:spacing w:after="0"/>
              <w:rPr>
                <w:sz w:val="20"/>
                <w:szCs w:val="20"/>
                <w:color w:val="auto"/>
              </w:rPr>
            </w:pPr>
            <w:r>
              <w:rPr>
                <w:rFonts w:ascii="Arial" w:cs="Arial" w:eastAsia="Arial" w:hAnsi="Arial"/>
                <w:sz w:val="18"/>
                <w:szCs w:val="18"/>
                <w:color w:val="auto"/>
              </w:rPr>
              <w:t>$(2), and $(3), respectively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50"/>
        </w:trPr>
        <w:tc>
          <w:tcPr>
            <w:tcW w:w="7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r>
      <w:tr>
        <w:trPr>
          <w:trHeight w:val="250"/>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491</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140" w:right="4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Avis Budget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par value)</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9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9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r>
      <w:tr>
        <w:trPr>
          <w:trHeight w:val="210"/>
        </w:trPr>
        <w:tc>
          <w:tcPr>
            <w:tcW w:w="90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84"/>
        </w:trPr>
        <w:tc>
          <w:tcPr>
            <w:tcW w:w="900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90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615</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Receivables (net of allowance for doubtful accounts of $52 and $39, respectively)</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955</w:t>
            </w:r>
          </w:p>
        </w:tc>
      </w:tr>
      <w:tr>
        <w:trPr>
          <w:trHeight w:val="283"/>
        </w:trPr>
        <w:tc>
          <w:tcPr>
            <w:tcW w:w="90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604</w:t>
            </w:r>
          </w:p>
        </w:tc>
      </w:tr>
      <w:tr>
        <w:trPr>
          <w:trHeight w:val="237"/>
        </w:trPr>
        <w:tc>
          <w:tcPr>
            <w:tcW w:w="9000" w:type="dxa"/>
            <w:vAlign w:val="bottom"/>
          </w:tcPr>
          <w:p>
            <w:pPr>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2,174</w:t>
            </w:r>
          </w:p>
        </w:tc>
      </w:tr>
      <w:tr>
        <w:trPr>
          <w:trHeight w:val="500"/>
        </w:trPr>
        <w:tc>
          <w:tcPr>
            <w:tcW w:w="90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736</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1,301</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1,092</w:t>
            </w:r>
          </w:p>
        </w:tc>
      </w:tr>
      <w:tr>
        <w:trPr>
          <w:trHeight w:val="270"/>
        </w:trPr>
        <w:tc>
          <w:tcPr>
            <w:tcW w:w="9000" w:type="dxa"/>
            <w:vAlign w:val="bottom"/>
          </w:tcPr>
          <w:p>
            <w:pPr>
              <w:spacing w:after="0"/>
              <w:rPr>
                <w:sz w:val="20"/>
                <w:szCs w:val="20"/>
                <w:color w:val="auto"/>
              </w:rPr>
            </w:pPr>
            <w:r>
              <w:rPr>
                <w:rFonts w:ascii="Arial" w:cs="Arial" w:eastAsia="Arial" w:hAnsi="Arial"/>
                <w:sz w:val="16"/>
                <w:szCs w:val="16"/>
                <w:color w:val="auto"/>
              </w:rPr>
              <w:t>Other intangibles, net</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825</w:t>
            </w:r>
          </w:p>
        </w:tc>
      </w:tr>
      <w:tr>
        <w:trPr>
          <w:trHeight w:val="283"/>
        </w:trPr>
        <w:tc>
          <w:tcPr>
            <w:tcW w:w="900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w:t>
            </w:r>
          </w:p>
        </w:tc>
      </w:tr>
      <w:tr>
        <w:trPr>
          <w:trHeight w:val="250"/>
        </w:trPr>
        <w:tc>
          <w:tcPr>
            <w:tcW w:w="900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9,311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6,370</w:t>
            </w:r>
          </w:p>
        </w:tc>
      </w:tr>
      <w:tr>
        <w:trPr>
          <w:trHeight w:val="453"/>
        </w:trPr>
        <w:tc>
          <w:tcPr>
            <w:tcW w:w="900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9000" w:type="dxa"/>
            <w:vAlign w:val="bottom"/>
          </w:tcPr>
          <w:p>
            <w:pPr>
              <w:ind w:left="120"/>
              <w:spacing w:after="0"/>
              <w:rPr>
                <w:sz w:val="20"/>
                <w:szCs w:val="20"/>
                <w:color w:val="auto"/>
              </w:rPr>
            </w:pPr>
            <w:r>
              <w:rPr>
                <w:rFonts w:ascii="Arial" w:cs="Arial" w:eastAsia="Arial" w:hAnsi="Arial"/>
                <w:sz w:val="16"/>
                <w:szCs w:val="16"/>
                <w:color w:val="auto"/>
              </w:rPr>
              <w:t>Program cash</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115</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Vehicles, net</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12,177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11,474</w:t>
            </w:r>
          </w:p>
        </w:tc>
      </w:tr>
      <w:tr>
        <w:trPr>
          <w:trHeight w:val="270"/>
        </w:trPr>
        <w:tc>
          <w:tcPr>
            <w:tcW w:w="9000" w:type="dxa"/>
            <w:vAlign w:val="bottom"/>
          </w:tcPr>
          <w:p>
            <w:pPr>
              <w:ind w:left="120"/>
              <w:spacing w:after="0"/>
              <w:rPr>
                <w:sz w:val="20"/>
                <w:szCs w:val="20"/>
                <w:color w:val="auto"/>
              </w:rPr>
            </w:pPr>
            <w:r>
              <w:rPr>
                <w:rFonts w:ascii="Arial" w:cs="Arial" w:eastAsia="Arial" w:hAnsi="Arial"/>
                <w:sz w:val="16"/>
                <w:szCs w:val="16"/>
                <w:color w:val="auto"/>
              </w:rPr>
              <w:t>Receivables from vehicle manufacturers and other</w:t>
            </w:r>
          </w:p>
        </w:tc>
        <w:tc>
          <w:tcPr>
            <w:tcW w:w="2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631</w:t>
            </w:r>
          </w:p>
        </w:tc>
      </w:tr>
      <w:tr>
        <w:trPr>
          <w:trHeight w:val="283"/>
        </w:trPr>
        <w:tc>
          <w:tcPr>
            <w:tcW w:w="9000" w:type="dxa"/>
            <w:vAlign w:val="bottom"/>
          </w:tcPr>
          <w:p>
            <w:pPr>
              <w:ind w:left="120"/>
              <w:spacing w:after="0"/>
              <w:rPr>
                <w:sz w:val="20"/>
                <w:szCs w:val="20"/>
                <w:color w:val="auto"/>
              </w:rPr>
            </w:pPr>
            <w:r>
              <w:rPr>
                <w:rFonts w:ascii="Arial" w:cs="Arial" w:eastAsia="Arial" w:hAnsi="Arial"/>
                <w:sz w:val="16"/>
                <w:szCs w:val="16"/>
                <w:color w:val="auto"/>
              </w:rPr>
              <w:t>Investment in Avis Budget Rental Car Funding (AESOP) LLC—related party</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559</w:t>
            </w:r>
          </w:p>
        </w:tc>
      </w:tr>
      <w:tr>
        <w:trPr>
          <w:trHeight w:val="250"/>
        </w:trPr>
        <w:tc>
          <w:tcPr>
            <w:tcW w:w="9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13,815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12,779</w:t>
            </w:r>
          </w:p>
        </w:tc>
      </w:tr>
      <w:tr>
        <w:trPr>
          <w:trHeight w:val="237"/>
        </w:trPr>
        <w:tc>
          <w:tcPr>
            <w:tcW w:w="900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23,126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19,149</w:t>
            </w:r>
          </w:p>
        </w:tc>
      </w:tr>
      <w:tr>
        <w:trPr>
          <w:trHeight w:val="20"/>
        </w:trPr>
        <w:tc>
          <w:tcPr>
            <w:tcW w:w="9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0" w:gutter="0" w:footer="0" w:header="0"/>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Accounts payable and other current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Short-term debt and current portion of 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current liabilities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operating lease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liabilities exclusive of liabilities under vehicle programs</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Liabilities under vehicle programs: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Debt due to Avis Budget Rental Car Funding (AESOP) LLC—related party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60" w:val="left"/>
          <w:tab w:leader="none" w:pos="1220" w:val="left"/>
          <w:tab w:leader="none" w:pos="1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2,206</w:t>
        <w:tab/>
        <w:t>$</w:t>
      </w:r>
      <w:r>
        <w:rPr>
          <w:sz w:val="20"/>
          <w:szCs w:val="20"/>
          <w:color w:val="auto"/>
        </w:rPr>
        <w:tab/>
      </w:r>
      <w:r>
        <w:rPr>
          <w:rFonts w:ascii="Arial" w:cs="Arial" w:eastAsia="Arial" w:hAnsi="Arial"/>
          <w:sz w:val="16"/>
          <w:szCs w:val="16"/>
          <w:color w:val="auto"/>
        </w:rPr>
        <w:t>1,693</w:t>
      </w:r>
    </w:p>
    <w:p>
      <w:pPr>
        <w:spacing w:after="0" w:line="86" w:lineRule="exact"/>
        <w:rPr>
          <w:sz w:val="20"/>
          <w:szCs w:val="20"/>
          <w:color w:val="auto"/>
        </w:rPr>
      </w:pPr>
    </w:p>
    <w:p>
      <w:pPr>
        <w:ind w:left="2060" w:hanging="1251"/>
        <w:spacing w:after="0"/>
        <w:tabs>
          <w:tab w:leader="none" w:pos="2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23</w:t>
      </w:r>
    </w:p>
    <w:p>
      <w:pPr>
        <w:spacing w:after="0" w:line="8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2,2251,716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9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3,416</w:t>
      </w:r>
      <w:r>
        <w:rPr>
          <w:sz w:val="20"/>
          <w:szCs w:val="20"/>
          <w:color w:val="auto"/>
        </w:rPr>
        <w:tab/>
      </w:r>
      <w:r>
        <w:rPr>
          <w:rFonts w:ascii="Arial" w:cs="Arial" w:eastAsia="Arial" w:hAnsi="Arial"/>
          <w:sz w:val="16"/>
          <w:szCs w:val="16"/>
          <w:color w:val="auto"/>
        </w:rPr>
        <w:t>3,528</w:t>
      </w:r>
    </w:p>
    <w:p>
      <w:pPr>
        <w:spacing w:after="0" w:line="86" w:lineRule="exact"/>
        <w:rPr>
          <w:sz w:val="20"/>
          <w:szCs w:val="20"/>
          <w:color w:val="auto"/>
        </w:rPr>
      </w:pPr>
    </w:p>
    <w:p>
      <w:pPr>
        <w:jc w:val="both"/>
        <w:ind w:left="580"/>
        <w:spacing w:after="0"/>
        <w:tabs>
          <w:tab w:leader="none" w:pos="2040" w:val="left"/>
        </w:tabs>
        <w:rPr>
          <w:sz w:val="20"/>
          <w:szCs w:val="20"/>
          <w:color w:val="auto"/>
        </w:rPr>
      </w:pPr>
      <w:r>
        <w:rPr>
          <w:rFonts w:ascii="Arial" w:cs="Arial" w:eastAsia="Arial" w:hAnsi="Arial"/>
          <w:sz w:val="16"/>
          <w:szCs w:val="16"/>
          <w:color w:val="auto"/>
        </w:rPr>
        <w:t>2,140</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1960" w:hanging="1241"/>
        <w:spacing w:after="0"/>
        <w:tabs>
          <w:tab w:leader="none" w:pos="1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767</w:t>
      </w:r>
    </w:p>
    <w:p>
      <w:pPr>
        <w:spacing w:after="0" w:line="8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8,5386,011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3,132</w:t>
      </w:r>
      <w:r>
        <w:rPr>
          <w:sz w:val="20"/>
          <w:szCs w:val="20"/>
          <w:color w:val="auto"/>
        </w:rPr>
        <w:tab/>
      </w:r>
      <w:r>
        <w:rPr>
          <w:rFonts w:ascii="Arial" w:cs="Arial" w:eastAsia="Arial" w:hAnsi="Arial"/>
          <w:sz w:val="16"/>
          <w:szCs w:val="16"/>
          <w:color w:val="auto"/>
        </w:rPr>
        <w:t>2,874</w:t>
      </w:r>
    </w:p>
    <w:p>
      <w:pPr>
        <w:spacing w:after="0" w:line="8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7,936</w:t>
      </w:r>
      <w:r>
        <w:rPr>
          <w:sz w:val="20"/>
          <w:szCs w:val="20"/>
          <w:color w:val="auto"/>
        </w:rPr>
        <w:tab/>
      </w:r>
      <w:r>
        <w:rPr>
          <w:rFonts w:ascii="Arial" w:cs="Arial" w:eastAsia="Arial" w:hAnsi="Arial"/>
          <w:sz w:val="16"/>
          <w:szCs w:val="16"/>
          <w:color w:val="auto"/>
        </w:rPr>
        <w:t>7,358</w:t>
      </w:r>
    </w:p>
    <w:p>
      <w:pPr>
        <w:spacing w:after="0" w:line="86" w:lineRule="exact"/>
        <w:rPr>
          <w:sz w:val="20"/>
          <w:szCs w:val="20"/>
          <w:color w:val="auto"/>
        </w:rPr>
      </w:pPr>
    </w:p>
    <w:p>
      <w:pPr>
        <w:jc w:val="both"/>
        <w:ind w:left="580"/>
        <w:spacing w:after="0"/>
        <w:tabs>
          <w:tab w:leader="none" w:pos="1800" w:val="left"/>
        </w:tabs>
        <w:rPr>
          <w:sz w:val="20"/>
          <w:szCs w:val="20"/>
          <w:color w:val="auto"/>
        </w:rPr>
      </w:pPr>
      <w:r>
        <w:rPr>
          <w:rFonts w:ascii="Arial" w:cs="Arial" w:eastAsia="Arial" w:hAnsi="Arial"/>
          <w:sz w:val="16"/>
          <w:szCs w:val="16"/>
          <w:color w:val="auto"/>
        </w:rPr>
        <w:t>2,189</w:t>
      </w:r>
      <w:r>
        <w:rPr>
          <w:sz w:val="20"/>
          <w:szCs w:val="20"/>
          <w:color w:val="auto"/>
        </w:rPr>
        <w:tab/>
      </w:r>
      <w:r>
        <w:rPr>
          <w:rFonts w:ascii="Arial" w:cs="Arial" w:eastAsia="Arial" w:hAnsi="Arial"/>
          <w:sz w:val="16"/>
          <w:szCs w:val="16"/>
          <w:color w:val="auto"/>
        </w:rPr>
        <w:t>1,961</w:t>
      </w:r>
    </w:p>
    <w:p>
      <w:pPr>
        <w:spacing w:after="0" w:line="86" w:lineRule="exact"/>
        <w:rPr>
          <w:sz w:val="20"/>
          <w:szCs w:val="20"/>
          <w:color w:val="auto"/>
        </w:rPr>
      </w:pPr>
    </w:p>
    <w:p>
      <w:pPr>
        <w:ind w:left="1960" w:hanging="1241"/>
        <w:spacing w:after="0"/>
        <w:tabs>
          <w:tab w:leader="none" w:pos="1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531</w:t>
      </w:r>
    </w:p>
    <w:p>
      <w:pPr>
        <w:spacing w:after="0" w:line="8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13,93212,724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-151765</wp:posOffset>
            </wp:positionV>
            <wp:extent cx="15093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340"/>
          </w:cols>
          <w:pgMar w:left="240" w:top="140" w:right="239" w:bottom="0" w:gutter="0" w:footer="0" w:header="0"/>
          <w:type w:val="continuous"/>
        </w:sectPr>
      </w:pPr>
    </w:p>
    <w:p>
      <w:pPr>
        <w:spacing w:after="0" w:line="1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15)</w:t>
      </w:r>
    </w:p>
    <w:p>
      <w:pPr>
        <w:sectPr>
          <w:pgSz w:w="11900" w:h="16838" w:orient="portrait"/>
          <w:cols w:equalWidth="0" w:num="1">
            <w:col w:w="11420"/>
          </w:cols>
          <w:pgMar w:left="240" w:top="140" w:right="239" w:bottom="0" w:gutter="0" w:footer="0" w:header="0"/>
          <w:type w:val="continuous"/>
        </w:sect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Preferred stock, $.01 par value—authorized 10 shares; none issued and outstanding</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Common stock, $.01 par value—authorized 250 shares; issued 137 shares, respectively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Treasury stock, at cost—63 and 61 shares, respectively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stockholders’ equity</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580" w:type="dxa"/>
        <w:tblCellMar>
          <w:top w:w="0" w:type="dxa"/>
          <w:left w:w="0" w:type="dxa"/>
          <w:bottom w:w="0" w:type="dxa"/>
          <w:right w:w="0" w:type="dxa"/>
        </w:tblCellMar>
      </w:tblPr>
      <w:tr>
        <w:trPr>
          <w:trHeight w:val="195"/>
        </w:trPr>
        <w:tc>
          <w:tcPr>
            <w:tcW w:w="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820" w:type="dxa"/>
            <w:vAlign w:val="bottom"/>
          </w:tcPr>
          <w:p>
            <w:pPr>
              <w:jc w:val="right"/>
              <w:ind w:right="339"/>
              <w:spacing w:after="0"/>
              <w:rPr>
                <w:sz w:val="20"/>
                <w:szCs w:val="20"/>
                <w:color w:val="auto"/>
              </w:rPr>
            </w:pPr>
            <w:r>
              <w:rPr>
                <w:rFonts w:ascii="Arial" w:cs="Arial" w:eastAsia="Arial" w:hAnsi="Arial"/>
                <w:sz w:val="16"/>
                <w:szCs w:val="16"/>
                <w:color w:val="auto"/>
                <w:w w:val="94"/>
              </w:rPr>
              <w:t>6,741</w:t>
            </w:r>
          </w:p>
        </w:tc>
        <w:tc>
          <w:tcPr>
            <w:tcW w:w="840" w:type="dxa"/>
            <w:vAlign w:val="bottom"/>
          </w:tcPr>
          <w:p>
            <w:pPr>
              <w:jc w:val="right"/>
              <w:spacing w:after="0"/>
              <w:rPr>
                <w:sz w:val="20"/>
                <w:szCs w:val="20"/>
                <w:color w:val="auto"/>
              </w:rPr>
            </w:pPr>
            <w:r>
              <w:rPr>
                <w:rFonts w:ascii="Arial" w:cs="Arial" w:eastAsia="Arial" w:hAnsi="Arial"/>
                <w:sz w:val="16"/>
                <w:szCs w:val="16"/>
                <w:color w:val="auto"/>
              </w:rPr>
              <w:t>6,771</w:t>
            </w:r>
          </w:p>
        </w:tc>
      </w:tr>
    </w:tbl>
    <w:p>
      <w:pPr>
        <w:spacing w:after="0" w:line="75" w:lineRule="exact"/>
        <w:rPr>
          <w:sz w:val="20"/>
          <w:szCs w:val="20"/>
          <w:color w:val="auto"/>
        </w:rPr>
      </w:pPr>
    </w:p>
    <w:p>
      <w:pPr>
        <w:ind w:left="1780" w:hanging="1115"/>
        <w:spacing w:after="0"/>
        <w:tabs>
          <w:tab w:leader="none" w:pos="17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(1,091)</w:t>
      </w:r>
    </w:p>
    <w:p>
      <w:pPr>
        <w:spacing w:after="0" w:line="98" w:lineRule="exact"/>
        <w:rPr>
          <w:sz w:val="20"/>
          <w:szCs w:val="20"/>
          <w:color w:val="auto"/>
        </w:rPr>
      </w:pPr>
    </w:p>
    <w:p>
      <w:pPr>
        <w:ind w:left="1900" w:hanging="1235"/>
        <w:spacing w:after="0"/>
        <w:tabs>
          <w:tab w:leader="none" w:pos="1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(133)</w:t>
      </w:r>
    </w:p>
    <w:p>
      <w:pPr>
        <w:spacing w:after="0" w:line="86" w:lineRule="exact"/>
        <w:rPr>
          <w:sz w:val="20"/>
          <w:szCs w:val="20"/>
          <w:color w:val="auto"/>
        </w:rPr>
      </w:pPr>
    </w:p>
    <w:p>
      <w:pPr>
        <w:jc w:val="both"/>
        <w:ind w:left="540"/>
        <w:spacing w:after="0"/>
        <w:tabs>
          <w:tab w:leader="none" w:pos="1760" w:val="left"/>
        </w:tabs>
        <w:rPr>
          <w:sz w:val="20"/>
          <w:szCs w:val="20"/>
          <w:color w:val="auto"/>
        </w:rPr>
      </w:pPr>
      <w:r>
        <w:rPr>
          <w:rFonts w:ascii="Arial" w:cs="Arial" w:eastAsia="Arial" w:hAnsi="Arial"/>
          <w:sz w:val="16"/>
          <w:szCs w:val="16"/>
          <w:color w:val="auto"/>
        </w:rPr>
        <w:t>(5,144)</w:t>
      </w:r>
      <w:r>
        <w:rPr>
          <w:sz w:val="20"/>
          <w:szCs w:val="20"/>
          <w:color w:val="auto"/>
        </w:rPr>
        <w:tab/>
      </w:r>
      <w:r>
        <w:rPr>
          <w:rFonts w:ascii="Arial" w:cs="Arial" w:eastAsia="Arial" w:hAnsi="Arial"/>
          <w:sz w:val="16"/>
          <w:szCs w:val="16"/>
          <w:color w:val="auto"/>
        </w:rPr>
        <w:t>(5,134)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66" w:lineRule="exact"/>
        <w:rPr>
          <w:sz w:val="20"/>
          <w:szCs w:val="20"/>
          <w:color w:val="auto"/>
        </w:rPr>
      </w:pPr>
    </w:p>
    <w:p>
      <w:pPr>
        <w:ind w:left="1960" w:hanging="1241"/>
        <w:spacing w:after="0"/>
        <w:tabs>
          <w:tab w:leader="none" w:pos="1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414</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$23,126   $19,149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19050</wp:posOffset>
            </wp:positionV>
            <wp:extent cx="150939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09395" cy="2603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-142875</wp:posOffset>
            </wp:positionV>
            <wp:extent cx="15093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340"/>
          </w:cols>
          <w:pgMar w:left="240" w:top="140" w:right="239" w:bottom="0" w:gutter="0" w:footer="0" w:header="0"/>
          <w:type w:val="continuous"/>
        </w:sectPr>
      </w:pP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11420"/>
          </w:cols>
          <w:pgMar w:left="240" w:top="140" w:right="239" w:bottom="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9019"/>
          </w:cols>
          <w:pgMar w:left="1440" w:top="140" w:right="1440"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Borders>
              <w:bottom w:val="single" w:sz="8" w:color="auto"/>
            </w:tcBorders>
          </w:tcPr>
          <w:p>
            <w:pPr>
              <w:spacing w:after="0"/>
              <w:rPr>
                <w:sz w:val="19"/>
                <w:szCs w:val="19"/>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11"/>
        </w:trPr>
        <w:tc>
          <w:tcPr>
            <w:tcW w:w="778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43"/>
        </w:trPr>
        <w:tc>
          <w:tcPr>
            <w:tcW w:w="778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97"/>
        </w:trPr>
        <w:tc>
          <w:tcPr>
            <w:tcW w:w="7780" w:type="dxa"/>
            <w:vAlign w:val="bottom"/>
          </w:tcPr>
          <w:p>
            <w:pPr>
              <w:ind w:left="100"/>
              <w:spacing w:after="0"/>
              <w:rPr>
                <w:sz w:val="20"/>
                <w:szCs w:val="20"/>
                <w:color w:val="auto"/>
              </w:rPr>
            </w:pPr>
            <w:r>
              <w:rPr>
                <w:rFonts w:ascii="Arial" w:cs="Arial" w:eastAsia="Arial" w:hAnsi="Arial"/>
                <w:sz w:val="16"/>
                <w:szCs w:val="16"/>
                <w:color w:val="auto"/>
              </w:rPr>
              <w:t>Vehicle depreciation</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1,890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1,974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1,947</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Amortization of right-of-use assets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(Gain) loss on sale of vehicles, net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Amortization of debt financing fees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Early extinguishment of debt costs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7780" w:type="dxa"/>
            <w:vAlign w:val="bottom"/>
          </w:tcPr>
          <w:p>
            <w:pPr>
              <w:ind w:left="100"/>
              <w:spacing w:after="0"/>
              <w:rPr>
                <w:sz w:val="20"/>
                <w:szCs w:val="20"/>
                <w:color w:val="auto"/>
              </w:rPr>
            </w:pPr>
            <w:r>
              <w:rPr>
                <w:rFonts w:ascii="Arial" w:cs="Arial" w:eastAsia="Arial" w:hAnsi="Arial"/>
                <w:sz w:val="16"/>
                <w:szCs w:val="16"/>
                <w:color w:val="auto"/>
              </w:rPr>
              <w:t>Net change in assets and liabilities: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97"/>
        </w:trPr>
        <w:tc>
          <w:tcPr>
            <w:tcW w:w="7780" w:type="dxa"/>
            <w:vAlign w:val="bottom"/>
          </w:tcPr>
          <w:p>
            <w:pPr>
              <w:ind w:left="300"/>
              <w:spacing w:after="0"/>
              <w:rPr>
                <w:sz w:val="20"/>
                <w:szCs w:val="20"/>
                <w:color w:val="auto"/>
              </w:rPr>
            </w:pPr>
            <w:r>
              <w:rPr>
                <w:rFonts w:ascii="Arial" w:cs="Arial" w:eastAsia="Arial" w:hAnsi="Arial"/>
                <w:sz w:val="16"/>
                <w:szCs w:val="16"/>
                <w:color w:val="auto"/>
              </w:rPr>
              <w:t>Receivables</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70"/>
        </w:trPr>
        <w:tc>
          <w:tcPr>
            <w:tcW w:w="7780" w:type="dxa"/>
            <w:vAlign w:val="bottom"/>
          </w:tcPr>
          <w:p>
            <w:pPr>
              <w:ind w:left="30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0"/>
        </w:trPr>
        <w:tc>
          <w:tcPr>
            <w:tcW w:w="7780" w:type="dxa"/>
            <w:vAlign w:val="bottom"/>
          </w:tcPr>
          <w:p>
            <w:pPr>
              <w:ind w:left="300"/>
              <w:spacing w:after="0"/>
              <w:rPr>
                <w:sz w:val="20"/>
                <w:szCs w:val="20"/>
                <w:color w:val="auto"/>
              </w:rPr>
            </w:pPr>
            <w:r>
              <w:rPr>
                <w:rFonts w:ascii="Arial" w:cs="Arial" w:eastAsia="Arial" w:hAnsi="Arial"/>
                <w:sz w:val="16"/>
                <w:szCs w:val="16"/>
                <w:color w:val="auto"/>
              </w:rPr>
              <w:t>Accounts payable and other current liabilities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778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2,648</w:t>
            </w:r>
          </w:p>
        </w:tc>
      </w:tr>
      <w:tr>
        <w:trPr>
          <w:trHeight w:val="494"/>
        </w:trPr>
        <w:tc>
          <w:tcPr>
            <w:tcW w:w="77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Arial" w:cs="Arial" w:eastAsia="Arial" w:hAnsi="Arial"/>
                <w:sz w:val="16"/>
                <w:szCs w:val="16"/>
                <w:color w:val="auto"/>
              </w:rPr>
              <w:t>Property and equipment additions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Proceeds received on asset sales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Net assets acquired (net of cash acquired)</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83"/>
        </w:trPr>
        <w:tc>
          <w:tcPr>
            <w:tcW w:w="7780" w:type="dxa"/>
            <w:vAlign w:val="bottom"/>
          </w:tcPr>
          <w:p>
            <w:pPr>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 exclusive of vehicle programs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r>
      <w:tr>
        <w:trPr>
          <w:trHeight w:val="494"/>
        </w:trPr>
        <w:tc>
          <w:tcPr>
            <w:tcW w:w="778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7780" w:type="dxa"/>
            <w:vAlign w:val="bottom"/>
          </w:tcPr>
          <w:p>
            <w:pPr>
              <w:ind w:left="100"/>
              <w:spacing w:after="0"/>
              <w:rPr>
                <w:sz w:val="20"/>
                <w:szCs w:val="20"/>
                <w:color w:val="auto"/>
              </w:rPr>
            </w:pPr>
            <w:r>
              <w:rPr>
                <w:rFonts w:ascii="Arial" w:cs="Arial" w:eastAsia="Arial" w:hAnsi="Arial"/>
                <w:sz w:val="16"/>
                <w:szCs w:val="16"/>
                <w:color w:val="auto"/>
              </w:rPr>
              <w:t>Investment in vehicles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(12,887)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(12,589)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(11,538)</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Proceeds received on disposition of vehicles</w:t>
            </w:r>
          </w:p>
        </w:tc>
        <w:tc>
          <w:tcPr>
            <w:tcW w:w="2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10,460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9,648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9,600</w:t>
            </w:r>
          </w:p>
        </w:tc>
      </w:tr>
      <w:tr>
        <w:trPr>
          <w:trHeight w:val="270"/>
        </w:trPr>
        <w:tc>
          <w:tcPr>
            <w:tcW w:w="7780" w:type="dxa"/>
            <w:vAlign w:val="bottom"/>
          </w:tcPr>
          <w:p>
            <w:pPr>
              <w:ind w:left="100"/>
              <w:spacing w:after="0"/>
              <w:rPr>
                <w:sz w:val="20"/>
                <w:szCs w:val="20"/>
                <w:color w:val="auto"/>
              </w:rPr>
            </w:pPr>
            <w:r>
              <w:rPr>
                <w:rFonts w:ascii="Arial" w:cs="Arial" w:eastAsia="Arial" w:hAnsi="Arial"/>
                <w:sz w:val="16"/>
                <w:szCs w:val="16"/>
                <w:color w:val="auto"/>
              </w:rPr>
              <w:t>Investment in debt securities of Avis Budget Rental Car Funding (AESOP)—related party</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83"/>
        </w:trPr>
        <w:tc>
          <w:tcPr>
            <w:tcW w:w="7780" w:type="dxa"/>
            <w:vAlign w:val="bottom"/>
          </w:tcPr>
          <w:p>
            <w:pPr>
              <w:ind w:left="100"/>
              <w:spacing w:after="0"/>
              <w:rPr>
                <w:sz w:val="20"/>
                <w:szCs w:val="20"/>
                <w:color w:val="auto"/>
              </w:rPr>
            </w:pPr>
            <w:r>
              <w:rPr>
                <w:rFonts w:ascii="Arial" w:cs="Arial" w:eastAsia="Arial" w:hAnsi="Arial"/>
                <w:sz w:val="16"/>
                <w:szCs w:val="16"/>
                <w:color w:val="auto"/>
              </w:rPr>
              <w:t>Proceeds from debt securities of Avis Budget Rental Car Funding (AESOP)—related party</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7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(3,077)</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(2,204)</w:t>
            </w:r>
          </w:p>
        </w:tc>
      </w:tr>
      <w:tr>
        <w:trPr>
          <w:trHeight w:val="494"/>
        </w:trPr>
        <w:tc>
          <w:tcPr>
            <w:tcW w:w="77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7780" w:type="dxa"/>
            <w:vAlign w:val="bottom"/>
          </w:tcPr>
          <w:p>
            <w:pPr>
              <w:spacing w:after="0"/>
              <w:rPr>
                <w:sz w:val="20"/>
                <w:szCs w:val="20"/>
                <w:color w:val="auto"/>
              </w:rPr>
            </w:pPr>
            <w:r>
              <w:rPr>
                <w:rFonts w:ascii="Arial" w:cs="Arial" w:eastAsia="Arial" w:hAnsi="Arial"/>
                <w:sz w:val="16"/>
                <w:szCs w:val="16"/>
                <w:color w:val="auto"/>
              </w:rPr>
              <w:t>Proceeds from long-term borrowings</w:t>
            </w:r>
          </w:p>
        </w:tc>
        <w:tc>
          <w:tcPr>
            <w:tcW w:w="2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Payments on long-term borrowings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Net change in short-term borrowings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Debt financing fees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83"/>
        </w:trPr>
        <w:tc>
          <w:tcPr>
            <w:tcW w:w="7780" w:type="dxa"/>
            <w:vAlign w:val="bottom"/>
          </w:tcPr>
          <w:p>
            <w:pPr>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0"/>
        </w:trPr>
        <w:tc>
          <w:tcPr>
            <w:tcW w:w="7780" w:type="dxa"/>
            <w:vAlign w:val="bottom"/>
          </w:tcPr>
          <w:p>
            <w:pPr>
              <w:spacing w:after="0"/>
              <w:rPr>
                <w:sz w:val="20"/>
                <w:szCs w:val="20"/>
                <w:color w:val="auto"/>
              </w:rPr>
            </w:pPr>
            <w:r>
              <w:rPr>
                <w:rFonts w:ascii="Arial" w:cs="Arial" w:eastAsia="Arial" w:hAnsi="Arial"/>
                <w:sz w:val="16"/>
                <w:szCs w:val="16"/>
                <w:b w:val="1"/>
                <w:bCs w:val="1"/>
                <w:color w:val="auto"/>
              </w:rPr>
              <w:t>Net cash used in financing activities exclusive of vehicle programs</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w:t>
            </w:r>
          </w:p>
        </w:tc>
      </w:tr>
    </w:tbl>
    <w:p>
      <w:pPr>
        <w:spacing w:after="0" w:line="200" w:lineRule="exact"/>
        <w:rPr>
          <w:sz w:val="20"/>
          <w:szCs w:val="20"/>
          <w:color w:val="auto"/>
        </w:rPr>
      </w:pPr>
    </w:p>
    <w:p>
      <w:pPr>
        <w:sectPr>
          <w:pgSz w:w="11900" w:h="16838" w:orient="portrait"/>
          <w:cols w:equalWidth="0" w:num="1">
            <w:col w:w="11420"/>
          </w:cols>
          <w:pgMar w:left="240" w:top="140" w:right="239" w:bottom="5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140" w:right="239" w:bottom="597"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7760" w:type="dxa"/>
            <w:vAlign w:val="bottom"/>
          </w:tcPr>
          <w:p>
            <w:pPr>
              <w:ind w:left="100"/>
              <w:spacing w:after="0"/>
              <w:rPr>
                <w:sz w:val="20"/>
                <w:szCs w:val="20"/>
                <w:color w:val="auto"/>
              </w:rPr>
            </w:pPr>
            <w:r>
              <w:rPr>
                <w:rFonts w:ascii="Arial" w:cs="Arial" w:eastAsia="Arial" w:hAnsi="Arial"/>
                <w:sz w:val="16"/>
                <w:szCs w:val="16"/>
                <w:color w:val="auto"/>
              </w:rPr>
              <w:t>Proceeds from borrowings</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19,869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17,339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17,212</w:t>
            </w:r>
          </w:p>
        </w:tc>
        <w:tc>
          <w:tcPr>
            <w:tcW w:w="0" w:type="dxa"/>
            <w:vAlign w:val="bottom"/>
          </w:tcPr>
          <w:p>
            <w:pPr>
              <w:spacing w:after="0"/>
              <w:rPr>
                <w:sz w:val="1"/>
                <w:szCs w:val="1"/>
                <w:color w:val="auto"/>
              </w:rPr>
            </w:pPr>
          </w:p>
        </w:tc>
      </w:tr>
      <w:tr>
        <w:trPr>
          <w:trHeight w:val="270"/>
        </w:trPr>
        <w:tc>
          <w:tcPr>
            <w:tcW w:w="7760" w:type="dxa"/>
            <w:vAlign w:val="bottom"/>
          </w:tcPr>
          <w:p>
            <w:pPr>
              <w:ind w:left="100"/>
              <w:spacing w:after="0"/>
              <w:rPr>
                <w:sz w:val="20"/>
                <w:szCs w:val="20"/>
                <w:color w:val="auto"/>
              </w:rPr>
            </w:pPr>
            <w:r>
              <w:rPr>
                <w:rFonts w:ascii="Arial" w:cs="Arial" w:eastAsia="Arial" w:hAnsi="Arial"/>
                <w:sz w:val="16"/>
                <w:szCs w:val="16"/>
                <w:color w:val="auto"/>
              </w:rPr>
              <w:t>Payments on borrowings</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(16,385)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(17,269)</w:t>
            </w:r>
          </w:p>
        </w:tc>
        <w:tc>
          <w:tcPr>
            <w:tcW w:w="0" w:type="dxa"/>
            <w:vAlign w:val="bottom"/>
          </w:tcPr>
          <w:p>
            <w:pPr>
              <w:spacing w:after="0"/>
              <w:rPr>
                <w:sz w:val="1"/>
                <w:szCs w:val="1"/>
                <w:color w:val="auto"/>
              </w:rPr>
            </w:pPr>
          </w:p>
        </w:tc>
      </w:tr>
      <w:tr>
        <w:trPr>
          <w:trHeight w:val="283"/>
        </w:trPr>
        <w:tc>
          <w:tcPr>
            <w:tcW w:w="7760" w:type="dxa"/>
            <w:vAlign w:val="bottom"/>
          </w:tcPr>
          <w:p>
            <w:pPr>
              <w:ind w:left="100"/>
              <w:spacing w:after="0"/>
              <w:rPr>
                <w:sz w:val="20"/>
                <w:szCs w:val="20"/>
                <w:color w:val="auto"/>
              </w:rPr>
            </w:pPr>
            <w:r>
              <w:rPr>
                <w:rFonts w:ascii="Arial" w:cs="Arial" w:eastAsia="Arial" w:hAnsi="Arial"/>
                <w:sz w:val="16"/>
                <w:szCs w:val="16"/>
                <w:color w:val="auto"/>
              </w:rPr>
              <w:t>Debt financing fees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5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534"/>
        </w:trPr>
        <w:tc>
          <w:tcPr>
            <w:tcW w:w="776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521"/>
        </w:trPr>
        <w:tc>
          <w:tcPr>
            <w:tcW w:w="7760" w:type="dxa"/>
            <w:vAlign w:val="bottom"/>
          </w:tcPr>
          <w:p>
            <w:pPr>
              <w:spacing w:after="0"/>
              <w:rPr>
                <w:sz w:val="20"/>
                <w:szCs w:val="20"/>
                <w:color w:val="auto"/>
              </w:rPr>
            </w:pPr>
            <w:r>
              <w:rPr>
                <w:rFonts w:ascii="Arial" w:cs="Arial" w:eastAsia="Arial" w:hAnsi="Arial"/>
                <w:sz w:val="16"/>
                <w:szCs w:val="16"/>
                <w:color w:val="auto"/>
              </w:rPr>
              <w:t>Net increase (decrease) in cash and cash equivalents, program and restricted cash</w:t>
            </w: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83"/>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r>
              <w:rPr>
                <w:rFonts w:ascii="Arial" w:cs="Arial" w:eastAsia="Arial" w:hAnsi="Arial"/>
                <w:sz w:val="16"/>
                <w:szCs w:val="16"/>
                <w:b w:val="1"/>
                <w:bCs w:val="1"/>
                <w:color w:val="auto"/>
              </w:rPr>
              <w:t>Cash and cash equivalents, program and restricted cash,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7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60" w:type="dxa"/>
            <w:vAlign w:val="bottom"/>
          </w:tcPr>
          <w:p>
            <w:pPr>
              <w:spacing w:after="0"/>
              <w:rPr>
                <w:sz w:val="20"/>
                <w:szCs w:val="20"/>
                <w:color w:val="auto"/>
              </w:rPr>
            </w:pPr>
            <w:r>
              <w:rPr>
                <w:rFonts w:ascii="Arial" w:cs="Arial" w:eastAsia="Arial" w:hAnsi="Arial"/>
                <w:sz w:val="16"/>
                <w:szCs w:val="16"/>
                <w:color w:val="auto"/>
              </w:rPr>
              <w:t>Interest payments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6"/>
                <w:szCs w:val="16"/>
                <w:color w:val="auto"/>
              </w:rPr>
              <w:t>Income tax payments, net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January 1, 2017</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Cumulative effect of accounting change</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3"/>
          <w:szCs w:val="13"/>
          <w:color w:val="auto"/>
        </w:rPr>
        <w:t>Non-controlling interest</w:t>
      </w:r>
    </w:p>
    <w:p>
      <w:pPr>
        <w:spacing w:after="0" w:line="121" w:lineRule="exact"/>
        <w:rPr>
          <w:sz w:val="20"/>
          <w:szCs w:val="20"/>
          <w:color w:val="auto"/>
        </w:rPr>
      </w:pPr>
    </w:p>
    <w:p>
      <w:pPr>
        <w:ind w:left="40" w:right="60"/>
        <w:spacing w:after="0" w:line="433" w:lineRule="auto"/>
        <w:rPr>
          <w:sz w:val="20"/>
          <w:szCs w:val="20"/>
          <w:color w:val="auto"/>
        </w:rPr>
      </w:pPr>
      <w:r>
        <w:rPr>
          <w:rFonts w:ascii="Arial" w:cs="Arial" w:eastAsia="Arial" w:hAnsi="Arial"/>
          <w:sz w:val="13"/>
          <w:szCs w:val="13"/>
          <w:color w:val="auto"/>
        </w:rPr>
        <w:t>Net activity related to restricted stock units Exercise of stock options</w:t>
      </w:r>
    </w:p>
    <w:p>
      <w:pPr>
        <w:spacing w:after="0" w:line="1"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2017</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Cumulative effect of accounting change</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258" w:lineRule="exact"/>
        <w:rPr>
          <w:sz w:val="20"/>
          <w:szCs w:val="20"/>
          <w:color w:val="auto"/>
        </w:rPr>
      </w:pPr>
    </w:p>
    <w:p>
      <w:pPr>
        <w:ind w:left="40" w:right="60"/>
        <w:spacing w:after="0" w:line="433" w:lineRule="auto"/>
        <w:rPr>
          <w:sz w:val="20"/>
          <w:szCs w:val="20"/>
          <w:color w:val="auto"/>
        </w:rPr>
      </w:pPr>
      <w:r>
        <w:rPr>
          <w:rFonts w:ascii="Arial" w:cs="Arial" w:eastAsia="Arial" w:hAnsi="Arial"/>
          <w:sz w:val="13"/>
          <w:szCs w:val="13"/>
          <w:color w:val="auto"/>
        </w:rPr>
        <w:t>Net activity related to restricted stock units Exercise of stock options</w:t>
      </w:r>
    </w:p>
    <w:p>
      <w:pPr>
        <w:spacing w:after="0" w:line="1"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2018</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Cumulative effect of accounting change</w:t>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comprehensive income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Net activity related to restricted stock units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Activity related to employee stock purchase plan</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 of common stock</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8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Accumulated Other</w:t>
            </w:r>
          </w:p>
        </w:tc>
        <w:tc>
          <w:tcPr>
            <w:tcW w:w="1680" w:type="dxa"/>
            <w:vAlign w:val="bottom"/>
            <w:gridSpan w:val="5"/>
          </w:tcPr>
          <w:p>
            <w:pPr>
              <w:ind w:left="340"/>
              <w:spacing w:after="0"/>
              <w:rPr>
                <w:sz w:val="20"/>
                <w:szCs w:val="20"/>
                <w:color w:val="auto"/>
              </w:rPr>
            </w:pPr>
            <w:r>
              <w:rPr>
                <w:rFonts w:ascii="Arial" w:cs="Arial" w:eastAsia="Arial" w:hAnsi="Arial"/>
                <w:sz w:val="13"/>
                <w:szCs w:val="13"/>
                <w:b w:val="1"/>
                <w:bCs w:val="1"/>
                <w:color w:val="auto"/>
              </w:rPr>
              <w:t>Treasury Stock</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Additional Paid-in</w:t>
            </w:r>
          </w:p>
        </w:tc>
        <w:tc>
          <w:tcPr>
            <w:tcW w:w="160" w:type="dxa"/>
            <w:vAlign w:val="bottom"/>
          </w:tcPr>
          <w:p>
            <w:pPr>
              <w:spacing w:after="0"/>
              <w:rPr>
                <w:sz w:val="3"/>
                <w:szCs w:val="3"/>
                <w:color w:val="auto"/>
              </w:rPr>
            </w:pPr>
          </w:p>
        </w:tc>
        <w:tc>
          <w:tcPr>
            <w:tcW w:w="11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3"/>
                <w:szCs w:val="3"/>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w w:val="97"/>
              </w:rPr>
              <w:t>Total Stockholders’</w:t>
            </w:r>
          </w:p>
        </w:tc>
        <w:tc>
          <w:tcPr>
            <w:tcW w:w="0" w:type="dxa"/>
            <w:vAlign w:val="bottom"/>
          </w:tcPr>
          <w:p>
            <w:pPr>
              <w:spacing w:after="0"/>
              <w:rPr>
                <w:sz w:val="1"/>
                <w:szCs w:val="1"/>
                <w:color w:val="auto"/>
              </w:rPr>
            </w:pPr>
          </w:p>
        </w:tc>
      </w:tr>
      <w:tr>
        <w:trPr>
          <w:trHeight w:val="80"/>
        </w:trPr>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Income (Loss)</w:t>
            </w: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5"/>
                <w:szCs w:val="15"/>
                <w:color w:val="auto"/>
              </w:rPr>
            </w:pPr>
          </w:p>
        </w:tc>
        <w:tc>
          <w:tcPr>
            <w:tcW w:w="980" w:type="dxa"/>
            <w:vAlign w:val="bottom"/>
          </w:tcPr>
          <w:p>
            <w:pPr>
              <w:jc w:val="right"/>
              <w:ind w:right="3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41"/>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6,918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(1,639)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(4,905)</w:t>
            </w:r>
          </w:p>
        </w:tc>
        <w:tc>
          <w:tcPr>
            <w:tcW w:w="1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66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376"/>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6,820</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(1,222)</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(5,002)</w:t>
            </w:r>
          </w:p>
        </w:tc>
        <w:tc>
          <w:tcPr>
            <w:tcW w:w="120" w:type="dxa"/>
            <w:vAlign w:val="bottom"/>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66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376"/>
        </w:trPr>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6,771</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(61.5)</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(5,134)</w:t>
            </w:r>
          </w:p>
        </w:tc>
        <w:tc>
          <w:tcPr>
            <w:tcW w:w="120" w:type="dxa"/>
            <w:vAlign w:val="bottom"/>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392"/>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716"/>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38"/>
        </w:trPr>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6,741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(5,144)</w:t>
            </w:r>
          </w:p>
        </w:tc>
        <w:tc>
          <w:tcPr>
            <w:tcW w:w="12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460" w:space="180"/>
            <w:col w:w="878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40"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93" w:lineRule="exact"/>
        <w:rPr>
          <w:rFonts w:ascii="Arial" w:cs="Arial" w:eastAsia="Arial" w:hAnsi="Arial"/>
          <w:sz w:val="18"/>
          <w:szCs w:val="18"/>
          <w:b w:val="1"/>
          <w:bCs w:val="1"/>
          <w:color w:val="auto"/>
        </w:rPr>
      </w:pPr>
    </w:p>
    <w:p>
      <w:pPr>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mobility solutions to businesses and consumers worldwide. The accompanying Consolidated Financial Statements include the accounts and transactions of Avis Budget Group, Inc. and its subsidiaries, as well as entities in which Avis Budget Group, Inc. directly or indirectly has a controlling financial interest (collectively, the “Company”).</w:t>
      </w:r>
    </w:p>
    <w:p>
      <w:pPr>
        <w:spacing w:after="0" w:line="1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260" w:hanging="482"/>
        <w:spacing w:after="0" w:line="269"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68" w:lineRule="exact"/>
        <w:rPr>
          <w:rFonts w:ascii="Arial" w:cs="Arial" w:eastAsia="Arial" w:hAnsi="Arial"/>
          <w:sz w:val="18"/>
          <w:szCs w:val="18"/>
          <w:color w:val="auto"/>
        </w:rPr>
      </w:pPr>
    </w:p>
    <w:p>
      <w:pPr>
        <w:ind w:left="1300" w:right="160" w:hanging="482"/>
        <w:spacing w:after="0" w:line="269"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 (ii)</w:t>
      </w:r>
      <w:r>
        <w:rPr>
          <w:rFonts w:ascii="Arial" w:cs="Arial" w:eastAsia="Arial" w:hAnsi="Arial"/>
          <w:sz w:val="18"/>
          <w:szCs w:val="18"/>
          <w:b w:val="1"/>
          <w:bCs w:val="1"/>
          <w:color w:val="auto"/>
        </w:rPr>
        <w:t xml:space="preserve"> </w:t>
      </w:r>
      <w:r>
        <w:rPr>
          <w:rFonts w:ascii="Arial" w:cs="Arial" w:eastAsia="Arial" w:hAnsi="Arial"/>
          <w:sz w:val="18"/>
          <w:szCs w:val="18"/>
          <w:color w:val="auto"/>
        </w:rPr>
        <w:t>car sharing operations in certain of these markets, and (iii) licensees in the areas in which the Company does not operate directly.</w:t>
      </w:r>
    </w:p>
    <w:p>
      <w:pPr>
        <w:spacing w:after="0" w:line="190" w:lineRule="exact"/>
        <w:rPr>
          <w:sz w:val="20"/>
          <w:szCs w:val="20"/>
          <w:color w:val="auto"/>
        </w:rPr>
      </w:pPr>
    </w:p>
    <w:p>
      <w:pPr>
        <w:ind w:left="500" w:right="160"/>
        <w:spacing w:after="0" w:line="262" w:lineRule="auto"/>
        <w:rPr>
          <w:sz w:val="20"/>
          <w:szCs w:val="20"/>
          <w:color w:val="auto"/>
        </w:rPr>
      </w:pPr>
      <w:r>
        <w:rPr>
          <w:rFonts w:ascii="Arial" w:cs="Arial" w:eastAsia="Arial" w:hAnsi="Arial"/>
          <w:sz w:val="18"/>
          <w:szCs w:val="18"/>
          <w:color w:val="auto"/>
        </w:rPr>
        <w:t>The Company has completed the business acquisitions discussed in Note 6 to these Consolidated Financial Statements. The operating results of the acquired businesses are included in the accompanying Consolidated Financial Statements from the dates of acquisition.</w:t>
      </w:r>
    </w:p>
    <w:p>
      <w:pPr>
        <w:spacing w:after="0" w:line="142"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The Company presents separately the financial data of its vehicle programs. These programs are distinct from the 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7" w:lineRule="exact"/>
        <w:rPr>
          <w:sz w:val="20"/>
          <w:szCs w:val="20"/>
          <w:color w:val="auto"/>
        </w:rPr>
      </w:pPr>
    </w:p>
    <w:p>
      <w:pPr>
        <w:ind w:left="500" w:right="7140" w:hanging="492"/>
        <w:spacing w:after="0" w:line="451" w:lineRule="auto"/>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ind w:left="500" w:right="2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and include the accounts of the Company and all entities in which it has a direct or indirect controlling financial interest and variable interest entities for which the Company has determined it is the primary beneficiary. Intercompany transactions have been eliminated in consolidation.</w:t>
      </w:r>
    </w:p>
    <w:p>
      <w:pPr>
        <w:spacing w:after="0" w:line="12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 and Assumptions</w:t>
      </w:r>
    </w:p>
    <w:p>
      <w:pPr>
        <w:spacing w:after="0" w:line="193" w:lineRule="exact"/>
        <w:rPr>
          <w:rFonts w:ascii="Arial" w:cs="Arial" w:eastAsia="Arial" w:hAnsi="Arial"/>
          <w:sz w:val="18"/>
          <w:szCs w:val="18"/>
          <w:b w:val="1"/>
          <w:bCs w:val="1"/>
          <w:color w:val="auto"/>
        </w:rPr>
      </w:pPr>
    </w:p>
    <w:p>
      <w:pPr>
        <w:ind w:left="50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use of estimates and assumptions as determined by management is required in the preparation of the Consolidated Financial Statements in conformity with GAAP. These estimates are based on management’s evaluation of historical trends and other information available when the Consolidated Financial Statements are prepared and may affect the amounts reported and related disclosures. Actual results could differ from those estimates.</w:t>
      </w:r>
    </w:p>
    <w:p>
      <w:pPr>
        <w:spacing w:after="0" w:line="12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47" w:lineRule="exact"/>
        <w:rPr>
          <w:rFonts w:ascii="Arial" w:cs="Arial" w:eastAsia="Arial" w:hAnsi="Arial"/>
          <w:sz w:val="18"/>
          <w:szCs w:val="18"/>
          <w:b w:val="1"/>
          <w:bCs w:val="1"/>
          <w:color w:val="auto"/>
        </w:rPr>
      </w:pPr>
    </w:p>
    <w:p>
      <w:pPr>
        <w:ind w:left="50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derives revenues primarily by providing vehicle rentals and other related products and mobility services to commercial and leisure customers, as well as through licensing of its rental brands. Other related products and mobility services include sales of collision and loss damage waivers under which a customer is relieved from financial responsibility arising from vehicle damage incurred during the rental; products and services for driving convenience such as fuel service options, chauffeur drive services, roadside safety net, electronic toll collection, tablet rentals, access to satellite radio, portable navigation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40"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500" w:right="260"/>
        <w:spacing w:after="0" w:line="254" w:lineRule="auto"/>
        <w:rPr>
          <w:sz w:val="20"/>
          <w:szCs w:val="20"/>
          <w:color w:val="auto"/>
        </w:rPr>
      </w:pPr>
      <w:r>
        <w:rPr>
          <w:rFonts w:ascii="Arial" w:cs="Arial" w:eastAsia="Arial" w:hAnsi="Arial"/>
          <w:sz w:val="18"/>
          <w:szCs w:val="18"/>
          <w:color w:val="auto"/>
        </w:rPr>
        <w:t>units and child safety seat rentals; and rentals of other supplemental items including automobile towing equipment and other moving accessories and supplies. The Company also receives payment from customers for certain operating expenses that it incurs, including airport concession fees that are paid by the Company in exchange for the right to operate at airports and other locations, as well as vehicle licensing fees. In addition, the Company collects membership fees in connection with its car sharing business.</w:t>
      </w:r>
    </w:p>
    <w:p>
      <w:pPr>
        <w:spacing w:after="0" w:line="204"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Prior to January 1, 2018, the Company recognized revenue when persuasive evidence of an arrangement existed, the services had been rendered to the customer, the pricing was fixed and determinable and collection was reasonably assured. Vehicle and rental-related revenue was recognized over the period the vehicle was rented.</w:t>
      </w:r>
    </w:p>
    <w:p>
      <w:pPr>
        <w:spacing w:after="0" w:line="202"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Beginning January 1, 2018, the Company recognized revenue when obligations under the terms of a contract with the customer were satisfied; generally this occurred evenly over the contract (over time); when control of the promised products or services was transferred to the customer. Revenue was measured as the amount of consideration the Company expected to be entitled to receive in exchange for transferring products or services. Certain customers may have received cash-based rebates, which were accounted for as variable consideration. The Company estimated these rebates based on the expected amount to be provided to customers and reduced revenue recognized. Vehicle rental and rental-related revenues were recognized evenly over the period of rental.</w:t>
      </w:r>
    </w:p>
    <w:p>
      <w:pPr>
        <w:spacing w:after="0" w:line="209"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Beginning January 1, 2019, the Company combines all lease and nonlease components of its vehicle rental contracts for which the timing and pattern of transfer are the same and the lease component meets the classification of an operating lease. Vehicle rentals and other related products and mobility services are recognized evenly over the period of rental, which is on average four days. (See Note 3– Leases).</w:t>
      </w:r>
    </w:p>
    <w:p>
      <w:pPr>
        <w:spacing w:after="0" w:line="204"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Licensing revenues principally consist of royalties paid by the Company’s licensees and are recorded as the licensees’ revenues are earned (over the rental period). The Company renews license agreements in the normal course of business and occasionally terminates, purchases or sells license agreements. In connection with ongoing fees that the Company receives from its licensees pursuant to license agreements, the Company is required to provide certain services, such as training, marketing and the operation of reservation systems.</w:t>
      </w:r>
    </w:p>
    <w:p>
      <w:pPr>
        <w:spacing w:after="0" w:line="204"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Company excludes from the measurement of its transaction price any tax assessed by a governmental authority that is both imposed on and concurrent with a specific revenue-producing transaction and collected from a customer. As a result, revenue is recorded net of such taxes collected. Revenues and expenses associated with gasoline, airport concessions and vehicle licensing are recorded on a gross basis within revenues and operating expenses. Membership fees related to the Company’s car sharing business are generally nonrefundable, are deferred and recognized ratably over the period of membership.</w:t>
      </w:r>
    </w:p>
    <w:p>
      <w:pPr>
        <w:spacing w:after="0" w:line="206" w:lineRule="exact"/>
        <w:rPr>
          <w:sz w:val="20"/>
          <w:szCs w:val="20"/>
          <w:color w:val="auto"/>
        </w:rPr>
      </w:pPr>
    </w:p>
    <w:p>
      <w:pPr>
        <w:ind w:left="500" w:right="220"/>
        <w:spacing w:after="0" w:line="254" w:lineRule="auto"/>
        <w:rPr>
          <w:sz w:val="20"/>
          <w:szCs w:val="20"/>
          <w:color w:val="auto"/>
        </w:rPr>
      </w:pPr>
      <w:r>
        <w:rPr>
          <w:rFonts w:ascii="Arial" w:cs="Arial" w:eastAsia="Arial" w:hAnsi="Arial"/>
          <w:sz w:val="18"/>
          <w:szCs w:val="18"/>
          <w:color w:val="auto"/>
        </w:rPr>
        <w:t>For year ended December 31, 2018, the Company’s revenues were recognized in accordance with ASU 2014-09, “Revenue from Contracts with Customers (Topic 606).” Effective January 1, 2019, revenues are recognized under ASU 2016-02, “Leases (Topic 842),” with the exception of royalty fee revenue derived from the Company licensees and revenue related to the Company’s customer loyalty program, which were approximately $144 million for the year ended December 31, 2019.</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geography.</w:t>
      </w:r>
    </w:p>
    <w:p>
      <w:pPr>
        <w:spacing w:after="0" w:line="163" w:lineRule="exact"/>
        <w:rPr>
          <w:sz w:val="20"/>
          <w:szCs w:val="20"/>
          <w:color w:val="auto"/>
        </w:rPr>
      </w:pPr>
    </w:p>
    <w:tbl>
      <w:tblPr>
        <w:tblLayout w:type="fixed"/>
        <w:tblInd w:w="780" w:type="dxa"/>
        <w:tblCellMar>
          <w:top w:w="0" w:type="dxa"/>
          <w:left w:w="0" w:type="dxa"/>
          <w:bottom w:w="0" w:type="dxa"/>
          <w:right w:w="0" w:type="dxa"/>
        </w:tblCellMar>
      </w:tblPr>
      <w:tr>
        <w:trPr>
          <w:trHeight w:val="246"/>
        </w:trPr>
        <w:tc>
          <w:tcPr>
            <w:tcW w:w="36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Borders>
              <w:bottom w:val="single" w:sz="8" w:color="auto"/>
            </w:tcBorders>
          </w:tcPr>
          <w:p>
            <w:pPr>
              <w:spacing w:after="0"/>
              <w:rPr>
                <w:sz w:val="21"/>
                <w:szCs w:val="21"/>
                <w:color w:val="auto"/>
              </w:rPr>
            </w:pPr>
          </w:p>
        </w:tc>
      </w:tr>
      <w:tr>
        <w:trPr>
          <w:trHeight w:val="264"/>
        </w:trPr>
        <w:tc>
          <w:tcPr>
            <w:tcW w:w="36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22"/>
                <w:szCs w:val="22"/>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Americas</w:t>
            </w:r>
          </w:p>
        </w:tc>
        <w:tc>
          <w:tcPr>
            <w:tcW w:w="43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6,186</w:t>
            </w: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3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2,314</w:t>
            </w:r>
          </w:p>
        </w:tc>
      </w:tr>
      <w:tr>
        <w:trPr>
          <w:trHeight w:val="277"/>
        </w:trPr>
        <w:tc>
          <w:tcPr>
            <w:tcW w:w="3620" w:type="dxa"/>
            <w:vAlign w:val="bottom"/>
          </w:tcPr>
          <w:p>
            <w:pPr>
              <w:spacing w:after="0"/>
              <w:rPr>
                <w:sz w:val="20"/>
                <w:szCs w:val="20"/>
                <w:color w:val="auto"/>
              </w:rPr>
            </w:pPr>
            <w:r>
              <w:rPr>
                <w:rFonts w:ascii="Arial" w:cs="Arial" w:eastAsia="Arial" w:hAnsi="Arial"/>
                <w:sz w:val="18"/>
                <w:szCs w:val="18"/>
                <w:color w:val="auto"/>
              </w:rPr>
              <w:t>Asia and Australasia</w:t>
            </w:r>
          </w:p>
        </w:tc>
        <w:tc>
          <w:tcPr>
            <w:tcW w:w="33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Total revenues</w:t>
            </w:r>
          </w:p>
        </w:tc>
        <w:tc>
          <w:tcPr>
            <w:tcW w:w="43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9,172</w:t>
            </w:r>
          </w:p>
        </w:tc>
        <w:tc>
          <w:tcPr>
            <w:tcW w:w="100" w:type="dxa"/>
            <w:vAlign w:val="bottom"/>
          </w:tcPr>
          <w:p>
            <w:pPr>
              <w:spacing w:after="0"/>
              <w:rPr>
                <w:sz w:val="22"/>
                <w:szCs w:val="22"/>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9,124</w:t>
            </w:r>
          </w:p>
        </w:tc>
      </w:tr>
      <w:tr>
        <w:trPr>
          <w:trHeight w:val="20"/>
        </w:trPr>
        <w:tc>
          <w:tcPr>
            <w:tcW w:w="36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3620" w:type="dxa"/>
            <w:vAlign w:val="bottom"/>
          </w:tcPr>
          <w:p>
            <w:pPr>
              <w:spacing w:after="0"/>
              <w:rPr>
                <w:sz w:val="24"/>
                <w:szCs w:val="24"/>
                <w:color w:val="auto"/>
              </w:rPr>
            </w:pPr>
          </w:p>
        </w:tc>
        <w:tc>
          <w:tcPr>
            <w:tcW w:w="4380" w:type="dxa"/>
            <w:vAlign w:val="bottom"/>
            <w:gridSpan w:val="2"/>
          </w:tcPr>
          <w:p>
            <w:pPr>
              <w:jc w:val="right"/>
              <w:ind w:right="2790"/>
              <w:spacing w:after="0"/>
              <w:rPr>
                <w:sz w:val="20"/>
                <w:szCs w:val="20"/>
                <w:color w:val="auto"/>
              </w:rPr>
            </w:pPr>
            <w:r>
              <w:rPr>
                <w:rFonts w:ascii="Arial" w:cs="Arial" w:eastAsia="Arial" w:hAnsi="Arial"/>
                <w:sz w:val="18"/>
                <w:szCs w:val="18"/>
                <w:color w:val="auto"/>
              </w:rPr>
              <w:t>F-12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669"/>
        </w:trPr>
        <w:tc>
          <w:tcPr>
            <w:tcW w:w="7700" w:type="dxa"/>
            <w:vAlign w:val="bottom"/>
            <w:gridSpan w:val="2"/>
          </w:tcPr>
          <w:p>
            <w:pPr>
              <w:ind w:left="500"/>
              <w:spacing w:after="0"/>
              <w:rPr>
                <w:sz w:val="20"/>
                <w:szCs w:val="20"/>
                <w:color w:val="auto"/>
              </w:rPr>
            </w:pPr>
            <w:r>
              <w:rPr>
                <w:rFonts w:ascii="Arial" w:cs="Arial" w:eastAsia="Arial" w:hAnsi="Arial"/>
                <w:sz w:val="18"/>
                <w:szCs w:val="18"/>
                <w:color w:val="auto"/>
              </w:rPr>
              <w:t>The following table presents the Company’s revenues disaggregated by brand.</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22"/>
                <w:szCs w:val="22"/>
                <w:color w:val="auto"/>
              </w:rPr>
            </w:pPr>
          </w:p>
        </w:tc>
      </w:tr>
      <w:tr>
        <w:trPr>
          <w:trHeight w:val="243"/>
        </w:trPr>
        <w:tc>
          <w:tcPr>
            <w:tcW w:w="7700" w:type="dxa"/>
            <w:vAlign w:val="bottom"/>
            <w:gridSpan w:val="2"/>
          </w:tcPr>
          <w:p>
            <w:pPr>
              <w:ind w:left="780"/>
              <w:spacing w:after="0"/>
              <w:rPr>
                <w:sz w:val="20"/>
                <w:szCs w:val="20"/>
                <w:color w:val="auto"/>
              </w:rPr>
            </w:pPr>
            <w:r>
              <w:rPr>
                <w:rFonts w:ascii="Arial" w:cs="Arial" w:eastAsia="Arial" w:hAnsi="Arial"/>
                <w:sz w:val="18"/>
                <w:szCs w:val="18"/>
                <w:color w:val="auto"/>
              </w:rPr>
              <w:t>Avis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5,266</w:t>
            </w:r>
          </w:p>
        </w:tc>
      </w:tr>
      <w:tr>
        <w:trPr>
          <w:trHeight w:val="270"/>
        </w:trPr>
        <w:tc>
          <w:tcPr>
            <w:tcW w:w="7700" w:type="dxa"/>
            <w:vAlign w:val="bottom"/>
            <w:gridSpan w:val="2"/>
          </w:tcPr>
          <w:p>
            <w:pPr>
              <w:ind w:left="780"/>
              <w:spacing w:after="0"/>
              <w:rPr>
                <w:sz w:val="20"/>
                <w:szCs w:val="20"/>
                <w:color w:val="auto"/>
              </w:rPr>
            </w:pPr>
            <w:r>
              <w:rPr>
                <w:rFonts w:ascii="Arial" w:cs="Arial" w:eastAsia="Arial" w:hAnsi="Arial"/>
                <w:sz w:val="18"/>
                <w:szCs w:val="18"/>
                <w:color w:val="auto"/>
              </w:rPr>
              <w:t>Budget</w:t>
            </w:r>
          </w:p>
        </w:tc>
        <w:tc>
          <w:tcPr>
            <w:tcW w:w="10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3,057</w:t>
            </w:r>
          </w:p>
        </w:tc>
      </w:tr>
      <w:tr>
        <w:trPr>
          <w:trHeight w:val="277"/>
        </w:trPr>
        <w:tc>
          <w:tcPr>
            <w:tcW w:w="7700" w:type="dxa"/>
            <w:vAlign w:val="bottom"/>
            <w:gridSpan w:val="2"/>
          </w:tcPr>
          <w:p>
            <w:pPr>
              <w:ind w:left="7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801</w:t>
            </w:r>
          </w:p>
        </w:tc>
      </w:tr>
      <w:tr>
        <w:trPr>
          <w:trHeight w:val="257"/>
        </w:trPr>
        <w:tc>
          <w:tcPr>
            <w:tcW w:w="7700" w:type="dxa"/>
            <w:vAlign w:val="bottom"/>
            <w:gridSpan w:val="2"/>
          </w:tcPr>
          <w:p>
            <w:pPr>
              <w:ind w:left="780"/>
              <w:spacing w:after="0"/>
              <w:rPr>
                <w:sz w:val="20"/>
                <w:szCs w:val="20"/>
                <w:color w:val="auto"/>
              </w:rPr>
            </w:pPr>
            <w:r>
              <w:rPr>
                <w:rFonts w:ascii="Arial" w:cs="Arial" w:eastAsia="Arial" w:hAnsi="Arial"/>
                <w:sz w:val="18"/>
                <w:szCs w:val="18"/>
                <w:color w:val="auto"/>
              </w:rPr>
              <w:t>Total revenues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9,172</w:t>
            </w:r>
          </w:p>
        </w:tc>
        <w:tc>
          <w:tcPr>
            <w:tcW w:w="100" w:type="dxa"/>
            <w:vAlign w:val="bottom"/>
          </w:tcPr>
          <w:p>
            <w:pPr>
              <w:spacing w:after="0"/>
              <w:rPr>
                <w:sz w:val="22"/>
                <w:szCs w:val="22"/>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0</wp:posOffset>
            </wp:positionV>
            <wp:extent cx="221234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12340" cy="26035"/>
                    </a:xfrm>
                    <a:prstGeom prst="rect">
                      <a:avLst/>
                    </a:prstGeom>
                    <a:noFill/>
                  </pic:spPr>
                </pic:pic>
              </a:graphicData>
            </a:graphic>
          </wp:anchor>
        </w:drawing>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47" w:lineRule="exact"/>
        <w:rPr>
          <w:sz w:val="20"/>
          <w:szCs w:val="20"/>
          <w:color w:val="auto"/>
        </w:rPr>
      </w:pPr>
    </w:p>
    <w:p>
      <w:pPr>
        <w:ind w:left="500" w:right="120"/>
        <w:spacing w:after="0" w:line="252" w:lineRule="auto"/>
        <w:rPr>
          <w:sz w:val="20"/>
          <w:szCs w:val="20"/>
          <w:color w:val="auto"/>
        </w:rPr>
      </w:pPr>
      <w:r>
        <w:rPr>
          <w:rFonts w:ascii="Arial" w:cs="Arial" w:eastAsia="Arial" w:hAnsi="Arial"/>
          <w:sz w:val="18"/>
          <w:szCs w:val="18"/>
          <w:color w:val="auto"/>
        </w:rPr>
        <w:t>The Company records deferred revenues when cash payments are received in advance of satisfying its performance obligations, including amounts that are refundable. In addition, certain customers earn loyalty points on rentals, for which the Company defers a portion of its rental revenues generally equivalent to the estimated retail value of points expected to be redeemed. The Company estimates points that will never be redeemed based upon actual redemption and expiration patterns. Currently loyalty points expire after 12 months of member inactivity. Future changes to expiration assumptions or expiration policy, or to program rules, may result in changes to deferred revenue as well as recognized revenues from the program.</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changes in deferred revenue associated with the Company’s customer loyalty program.</w:t>
      </w:r>
    </w:p>
    <w:p>
      <w:pPr>
        <w:spacing w:after="0" w:line="365" w:lineRule="exact"/>
        <w:rPr>
          <w:sz w:val="20"/>
          <w:szCs w:val="20"/>
          <w:color w:val="auto"/>
        </w:rPr>
      </w:pPr>
    </w:p>
    <w:tbl>
      <w:tblPr>
        <w:tblLayout w:type="fixed"/>
        <w:tblInd w:w="780" w:type="dxa"/>
        <w:tblCellMar>
          <w:top w:w="0" w:type="dxa"/>
          <w:left w:w="0" w:type="dxa"/>
          <w:bottom w:w="0" w:type="dxa"/>
          <w:right w:w="0" w:type="dxa"/>
        </w:tblCellMar>
      </w:tblPr>
      <w:tr>
        <w:trPr>
          <w:trHeight w:val="239"/>
        </w:trPr>
        <w:tc>
          <w:tcPr>
            <w:tcW w:w="6920" w:type="dxa"/>
            <w:vAlign w:val="bottom"/>
          </w:tcPr>
          <w:p>
            <w:pPr>
              <w:spacing w:after="0"/>
              <w:rPr>
                <w:sz w:val="20"/>
                <w:szCs w:val="20"/>
                <w:color w:val="auto"/>
              </w:rPr>
            </w:pPr>
          </w:p>
        </w:tc>
        <w:tc>
          <w:tcPr>
            <w:tcW w:w="29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0"/>
                <w:szCs w:val="20"/>
                <w:color w:val="auto"/>
              </w:rPr>
            </w:pPr>
          </w:p>
        </w:tc>
      </w:tr>
      <w:tr>
        <w:trPr>
          <w:trHeight w:val="27"/>
        </w:trPr>
        <w:tc>
          <w:tcPr>
            <w:tcW w:w="69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6920" w:type="dxa"/>
            <w:vAlign w:val="bottom"/>
          </w:tcPr>
          <w:p>
            <w:pPr>
              <w:spacing w:after="0"/>
              <w:rPr>
                <w:sz w:val="22"/>
                <w:szCs w:val="22"/>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Balance, January 1</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0"/>
        </w:trPr>
        <w:tc>
          <w:tcPr>
            <w:tcW w:w="6920" w:type="dxa"/>
            <w:vAlign w:val="bottom"/>
          </w:tcPr>
          <w:p>
            <w:pPr>
              <w:ind w:left="240"/>
              <w:spacing w:after="0"/>
              <w:rPr>
                <w:sz w:val="20"/>
                <w:szCs w:val="20"/>
                <w:color w:val="auto"/>
              </w:rPr>
            </w:pPr>
            <w:r>
              <w:rPr>
                <w:rFonts w:ascii="Arial" w:cs="Arial" w:eastAsia="Arial" w:hAnsi="Arial"/>
                <w:sz w:val="18"/>
                <w:szCs w:val="18"/>
                <w:color w:val="auto"/>
              </w:rPr>
              <w:t>Revenue deferred</w:t>
            </w:r>
          </w:p>
        </w:tc>
        <w:tc>
          <w:tcPr>
            <w:tcW w:w="11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7"/>
        </w:trPr>
        <w:tc>
          <w:tcPr>
            <w:tcW w:w="6920" w:type="dxa"/>
            <w:vAlign w:val="bottom"/>
          </w:tcPr>
          <w:p>
            <w:pPr>
              <w:ind w:left="240"/>
              <w:spacing w:after="0"/>
              <w:rPr>
                <w:sz w:val="20"/>
                <w:szCs w:val="20"/>
                <w:color w:val="auto"/>
              </w:rPr>
            </w:pPr>
            <w:r>
              <w:rPr>
                <w:rFonts w:ascii="Arial" w:cs="Arial" w:eastAsia="Arial" w:hAnsi="Arial"/>
                <w:sz w:val="18"/>
                <w:szCs w:val="18"/>
                <w:color w:val="auto"/>
              </w:rPr>
              <w:t>Revenue recognized</w:t>
            </w:r>
          </w:p>
        </w:tc>
        <w:tc>
          <w:tcPr>
            <w:tcW w:w="1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6920" w:type="dxa"/>
            <w:vAlign w:val="bottom"/>
          </w:tcPr>
          <w:p>
            <w:pPr>
              <w:spacing w:after="0"/>
              <w:rPr>
                <w:sz w:val="20"/>
                <w:szCs w:val="20"/>
                <w:color w:val="auto"/>
              </w:rPr>
            </w:pPr>
            <w:r>
              <w:rPr>
                <w:rFonts w:ascii="Arial" w:cs="Arial" w:eastAsia="Arial" w:hAnsi="Arial"/>
                <w:sz w:val="18"/>
                <w:szCs w:val="18"/>
                <w:color w:val="auto"/>
              </w:rPr>
              <w:t>Balance, December 31</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0</wp:posOffset>
            </wp:positionV>
            <wp:extent cx="221234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12340" cy="26035"/>
                    </a:xfrm>
                    <a:prstGeom prst="rect">
                      <a:avLst/>
                    </a:prstGeom>
                    <a:noFill/>
                  </pic:spPr>
                </pic:pic>
              </a:graphicData>
            </a:graphic>
          </wp:anchor>
        </w:drawing>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w:t>
      </w:r>
    </w:p>
    <w:p>
      <w:pPr>
        <w:spacing w:after="0" w:line="15" w:lineRule="exact"/>
        <w:rPr>
          <w:sz w:val="20"/>
          <w:szCs w:val="20"/>
          <w:color w:val="auto"/>
        </w:rPr>
      </w:pPr>
    </w:p>
    <w:p>
      <w:pPr>
        <w:jc w:val="both"/>
        <w:ind w:left="500" w:right="220"/>
        <w:spacing w:after="0" w:line="258" w:lineRule="auto"/>
        <w:rPr>
          <w:sz w:val="20"/>
          <w:szCs w:val="20"/>
          <w:color w:val="auto"/>
        </w:rPr>
      </w:pPr>
      <w:r>
        <w:rPr>
          <w:rFonts w:ascii="Arial" w:cs="Arial" w:eastAsia="Arial" w:hAnsi="Arial"/>
          <w:sz w:val="14"/>
          <w:szCs w:val="14"/>
          <w:color w:val="auto"/>
        </w:rPr>
        <w:t>At December 31, 2019 and 2018, $22 million and $18 million was included in accounts payable and other current liabilities, respectively, and $37 million and $46 million, respectively, in other non-current liabilities. Non-current amounts are expected to be recognized as revenue within two to three years.</w:t>
      </w:r>
    </w:p>
    <w:p>
      <w:pPr>
        <w:spacing w:after="0" w:line="188"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At January 1, 2018, the Company’s prepaid rentals and membership fees related to its car sharing business were $125 million. During the year ended December 31, 2018, additional revenues of $1,968 million were deferred and revenues of $1,970 million were recognized. At December 31, 2018, the ending prepaid rentals and car sharing membership fees were $123 million, of which $122 million was included in accounts payable and other current liabilities and $1 million was included in other non-current liabilities.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193" w:lineRule="exact"/>
        <w:rPr>
          <w:sz w:val="20"/>
          <w:szCs w:val="20"/>
          <w:color w:val="auto"/>
        </w:rPr>
      </w:pPr>
    </w:p>
    <w:p>
      <w:pPr>
        <w:ind w:left="500" w:right="160"/>
        <w:spacing w:after="0" w:line="252" w:lineRule="auto"/>
        <w:rPr>
          <w:sz w:val="20"/>
          <w:szCs w:val="20"/>
          <w:color w:val="auto"/>
        </w:rPr>
      </w:pPr>
      <w:r>
        <w:rPr>
          <w:rFonts w:ascii="Arial" w:cs="Arial" w:eastAsia="Arial" w:hAnsi="Arial"/>
          <w:sz w:val="18"/>
          <w:szCs w:val="18"/>
          <w:color w:val="auto"/>
        </w:rPr>
        <w:t>Assets and liabilities of foreign operations are translated at the rate of exchange in effect on the balance sheet date; income and expenses are translated at the prevailing monthly average rate of exchange. The related translation adjustments are reflected in accumulated other comprehensive income (loss) in the stockholders’ equity section of the Consolidated Balance Sheets and in the Consolidated Statements of Comprehensive Income. The accumulated currency translation adjustment as of December 31, 2019 and 2018 was a gain of $9 million and a loss of $3 million, respectively. The Company has designated its euro-denominated Notes as a hedge of its investment in euro-denominated foreign operations and, accordingly, records the effective portion of gains or losses on this net investment hedge in accumulated other comprehensive income (loss) as part of currency translation adjustments.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108"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 Program Cash and Restricted Cash</w:t>
      </w:r>
    </w:p>
    <w:p>
      <w:pPr>
        <w:spacing w:after="0" w:line="193" w:lineRule="exact"/>
        <w:rPr>
          <w:sz w:val="20"/>
          <w:szCs w:val="20"/>
          <w:color w:val="auto"/>
        </w:rPr>
      </w:pPr>
    </w:p>
    <w:p>
      <w:pPr>
        <w:ind w:left="500" w:right="320"/>
        <w:spacing w:after="0" w:line="253" w:lineRule="auto"/>
        <w:rPr>
          <w:sz w:val="20"/>
          <w:szCs w:val="20"/>
          <w:color w:val="auto"/>
        </w:rPr>
      </w:pPr>
      <w:r>
        <w:rPr>
          <w:rFonts w:ascii="Arial" w:cs="Arial" w:eastAsia="Arial" w:hAnsi="Arial"/>
          <w:sz w:val="18"/>
          <w:szCs w:val="18"/>
          <w:color w:val="auto"/>
        </w:rPr>
        <w:t>The Company considers highly liquid investments purchased with an original maturity of three months or less to be cash equivalents. Program cash primarily represents amounts specifically designated to purchase assets under vehicle programs and/or to repay the related debt, as such the Company considers it a restricted cash equivalent. The following table provides a detail of cash and cash equivalents, program and restricted cash reported within the Consolidated Balance Sheets to the amounts shown in the Consolidated Statements of Cash Flows:</w:t>
      </w:r>
    </w:p>
    <w:p>
      <w:pPr>
        <w:spacing w:after="0" w:line="305" w:lineRule="exact"/>
        <w:rPr>
          <w:sz w:val="20"/>
          <w:szCs w:val="20"/>
          <w:color w:val="auto"/>
        </w:rPr>
      </w:pPr>
    </w:p>
    <w:tbl>
      <w:tblPr>
        <w:tblLayout w:type="fixed"/>
        <w:tblInd w:w="780" w:type="dxa"/>
        <w:tblCellMar>
          <w:top w:w="0" w:type="dxa"/>
          <w:left w:w="0" w:type="dxa"/>
          <w:bottom w:w="0" w:type="dxa"/>
          <w:right w:w="0" w:type="dxa"/>
        </w:tblCellMar>
      </w:tblPr>
      <w:tr>
        <w:trPr>
          <w:trHeight w:val="246"/>
        </w:trPr>
        <w:tc>
          <w:tcPr>
            <w:tcW w:w="6920" w:type="dxa"/>
            <w:vAlign w:val="bottom"/>
          </w:tcPr>
          <w:p>
            <w:pPr>
              <w:spacing w:after="0"/>
              <w:rPr>
                <w:sz w:val="21"/>
                <w:szCs w:val="21"/>
                <w:color w:val="auto"/>
              </w:rPr>
            </w:pPr>
          </w:p>
        </w:tc>
        <w:tc>
          <w:tcPr>
            <w:tcW w:w="29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520" w:type="dxa"/>
            <w:vAlign w:val="bottom"/>
            <w:tcBorders>
              <w:bottom w:val="single" w:sz="8" w:color="auto"/>
            </w:tcBorders>
          </w:tcPr>
          <w:p>
            <w:pPr>
              <w:spacing w:after="0"/>
              <w:rPr>
                <w:sz w:val="21"/>
                <w:szCs w:val="21"/>
                <w:color w:val="auto"/>
              </w:rPr>
            </w:pPr>
          </w:p>
        </w:tc>
      </w:tr>
      <w:tr>
        <w:trPr>
          <w:trHeight w:val="264"/>
        </w:trPr>
        <w:tc>
          <w:tcPr>
            <w:tcW w:w="6920" w:type="dxa"/>
            <w:vAlign w:val="bottom"/>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615</w:t>
            </w:r>
          </w:p>
        </w:tc>
      </w:tr>
      <w:tr>
        <w:trPr>
          <w:trHeight w:val="270"/>
        </w:trPr>
        <w:tc>
          <w:tcPr>
            <w:tcW w:w="6920" w:type="dxa"/>
            <w:vAlign w:val="bottom"/>
          </w:tcPr>
          <w:p>
            <w:pPr>
              <w:spacing w:after="0"/>
              <w:rPr>
                <w:sz w:val="20"/>
                <w:szCs w:val="20"/>
                <w:color w:val="auto"/>
              </w:rPr>
            </w:pPr>
            <w:r>
              <w:rPr>
                <w:rFonts w:ascii="Arial" w:cs="Arial" w:eastAsia="Arial" w:hAnsi="Arial"/>
                <w:sz w:val="18"/>
                <w:szCs w:val="18"/>
                <w:color w:val="auto"/>
              </w:rPr>
              <w:t>Program cash</w:t>
            </w:r>
          </w:p>
        </w:tc>
        <w:tc>
          <w:tcPr>
            <w:tcW w:w="116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84"/>
        </w:trPr>
        <w:tc>
          <w:tcPr>
            <w:tcW w:w="692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vertAlign w:val="superscript"/>
              </w:rPr>
              <w:t>(a)</w:t>
            </w: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8890</wp:posOffset>
            </wp:positionV>
            <wp:extent cx="221234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12340"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209"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(including leasehold improvements) are stated at cost, net of accumulated depreciation and amortization.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(non-vehicle related) is computed utilizing the straight-line method over the estimated useful lives of the related assets.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Leasehold improvements are amortized over the shorter of the term of the lease or the estimated useful lives of the improvements.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Useful lives are as follows:</w:t>
      </w:r>
    </w:p>
    <w:p>
      <w:pPr>
        <w:sectPr>
          <w:pgSz w:w="11900" w:h="16838" w:orient="portrait"/>
          <w:cols w:equalWidth="0" w:num="1">
            <w:col w:w="11420"/>
          </w:cols>
          <w:pgMar w:left="240" w:top="140" w:right="239" w:bottom="1440" w:gutter="0" w:footer="0" w:header="0"/>
        </w:sectPr>
      </w:pP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Buildings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4800"/>
        <w:spacing w:after="0"/>
        <w:rPr>
          <w:sz w:val="20"/>
          <w:szCs w:val="20"/>
          <w:color w:val="auto"/>
        </w:rPr>
      </w:pPr>
      <w:r>
        <w:rPr>
          <w:rFonts w:ascii="Arial" w:cs="Arial" w:eastAsia="Arial" w:hAnsi="Arial"/>
          <w:sz w:val="17"/>
          <w:szCs w:val="17"/>
          <w:color w:val="auto"/>
        </w:rPr>
        <w:t>30 years</w:t>
      </w:r>
    </w:p>
    <w:p>
      <w:pPr>
        <w:spacing w:after="0" w:line="61" w:lineRule="exact"/>
        <w:rPr>
          <w:sz w:val="20"/>
          <w:szCs w:val="20"/>
          <w:color w:val="auto"/>
        </w:rPr>
      </w:pPr>
    </w:p>
    <w:p>
      <w:pPr>
        <w:sectPr>
          <w:pgSz w:w="11900" w:h="16838" w:orient="portrait"/>
          <w:cols w:equalWidth="0" w:num="2">
            <w:col w:w="5220" w:space="720"/>
            <w:col w:w="5480"/>
          </w:cols>
          <w:pgMar w:left="240" w:top="140"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Furniture, fixtures &amp;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10 years</w:t>
      </w:r>
    </w:p>
    <w:p>
      <w:pPr>
        <w:spacing w:after="0" w:line="61" w:lineRule="exact"/>
        <w:rPr>
          <w:sz w:val="20"/>
          <w:szCs w:val="20"/>
          <w:color w:val="auto"/>
        </w:rPr>
      </w:pPr>
    </w:p>
    <w:p>
      <w:pPr>
        <w:sectPr>
          <w:pgSz w:w="11900" w:h="16838" w:orient="portrait"/>
          <w:cols w:equalWidth="0" w:num="2">
            <w:col w:w="5220" w:space="720"/>
            <w:col w:w="5480"/>
          </w:cols>
          <w:pgMar w:left="240" w:top="140"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Capitalized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7 years</w:t>
      </w:r>
    </w:p>
    <w:p>
      <w:pPr>
        <w:spacing w:after="0" w:line="61" w:lineRule="exact"/>
        <w:rPr>
          <w:sz w:val="20"/>
          <w:szCs w:val="20"/>
          <w:color w:val="auto"/>
        </w:rPr>
      </w:pPr>
    </w:p>
    <w:p>
      <w:pPr>
        <w:sectPr>
          <w:pgSz w:w="11900" w:h="16838" w:orient="portrait"/>
          <w:cols w:equalWidth="0" w:num="2">
            <w:col w:w="5220" w:space="720"/>
            <w:col w:w="5480"/>
          </w:cols>
          <w:pgMar w:left="240" w:top="140"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Buses and support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4 to 15 years</w:t>
      </w:r>
    </w:p>
    <w:p>
      <w:pPr>
        <w:spacing w:after="0" w:line="200" w:lineRule="exact"/>
        <w:rPr>
          <w:sz w:val="20"/>
          <w:szCs w:val="20"/>
          <w:color w:val="auto"/>
        </w:rPr>
      </w:pPr>
    </w:p>
    <w:p>
      <w:pPr>
        <w:sectPr>
          <w:pgSz w:w="11900" w:h="16838" w:orient="portrait"/>
          <w:cols w:equalWidth="0" w:num="2">
            <w:col w:w="5220" w:space="720"/>
            <w:col w:w="5480"/>
          </w:cols>
          <w:pgMar w:left="240" w:top="140" w:right="239" w:bottom="1440" w:gutter="0" w:footer="0" w:header="0"/>
          <w:type w:val="continuous"/>
        </w:sectPr>
      </w:pPr>
    </w:p>
    <w:p>
      <w:pPr>
        <w:spacing w:after="0" w:line="212" w:lineRule="exact"/>
        <w:rPr>
          <w:sz w:val="20"/>
          <w:szCs w:val="20"/>
          <w:color w:val="auto"/>
        </w:rPr>
      </w:pPr>
    </w:p>
    <w:p>
      <w:pPr>
        <w:ind w:left="500" w:right="140"/>
        <w:spacing w:after="0" w:line="253" w:lineRule="auto"/>
        <w:rPr>
          <w:sz w:val="20"/>
          <w:szCs w:val="20"/>
          <w:color w:val="auto"/>
        </w:rPr>
      </w:pPr>
      <w:r>
        <w:rPr>
          <w:rFonts w:ascii="Arial" w:cs="Arial" w:eastAsia="Arial" w:hAnsi="Arial"/>
          <w:sz w:val="18"/>
          <w:szCs w:val="18"/>
          <w:color w:val="auto"/>
        </w:rPr>
        <w:t>The Company capitalizes the costs of software developed for internal use when the preliminary project stage is completed and management (i) commits to funding the project and (ii) believes it is probable that the project will be completed and the software will be used to perform the function intended. The software developed or obtained for internal use is amortized on a straight-line basis commencing when such software is ready for its intended use. The net carrying value of software developed or obtained for internal use was $261 million and $188 million as of December 31, 2019 and 2018, respectively.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4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Goodwill represents the excess, if any, of the fair value of the consideration transferred by the acquirer and the fair value of any non-controlling interest remaining in the acquiree, if any, over the fair values of the identifiable net assets acquired. The Company does not amortize goodwill, but assesses it for impairment at least annually and whenever events or changes in circumstances indicate that the carrying amounts of their respective reporting units exceed their fair values. The Company performs its annual impairment assessment in the fourth quarter of each year at the reporting unit level. The Company assesses goodwill for such impairment by comparing the carrying value of each reporting unit to its fair value using the present value of expected future cash flows. When appropriate, comparative market multiples and other factors are used to corroborate the discounted cash flow results.</w:t>
      </w:r>
    </w:p>
    <w:p>
      <w:pPr>
        <w:spacing w:after="0" w:line="153" w:lineRule="exact"/>
        <w:rPr>
          <w:sz w:val="20"/>
          <w:szCs w:val="20"/>
          <w:color w:val="auto"/>
        </w:rPr>
      </w:pPr>
    </w:p>
    <w:p>
      <w:pPr>
        <w:ind w:left="500" w:right="220"/>
        <w:spacing w:after="0" w:line="253" w:lineRule="auto"/>
        <w:rPr>
          <w:sz w:val="20"/>
          <w:szCs w:val="20"/>
          <w:color w:val="auto"/>
        </w:rPr>
      </w:pPr>
      <w:r>
        <w:rPr>
          <w:rFonts w:ascii="Arial" w:cs="Arial" w:eastAsia="Arial" w:hAnsi="Arial"/>
          <w:sz w:val="18"/>
          <w:szCs w:val="18"/>
          <w:color w:val="auto"/>
        </w:rPr>
        <w:t>Other intangible assets, primarily trademarks, with indefinite lives are not amortized but are evaluated annually for impairment and whenever events or changes in circumstances indicate that the carrying amount of this asset may exceed its fair value. If the carrying value of an other intangible asset exceeds its fair value, an impairment loss is recognized in an amount equal to that excess. Other intangible assets with finite lives are amortized over their estimated useful lives and are evaluated each reporting period to determine if circumstances warrant a revision to these lives.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40"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ind w:left="500" w:right="200"/>
        <w:spacing w:after="0" w:line="254" w:lineRule="auto"/>
        <w:rPr>
          <w:sz w:val="20"/>
          <w:szCs w:val="20"/>
          <w:color w:val="auto"/>
        </w:rPr>
      </w:pPr>
      <w:r>
        <w:rPr>
          <w:rFonts w:ascii="Arial" w:cs="Arial" w:eastAsia="Arial" w:hAnsi="Arial"/>
          <w:sz w:val="18"/>
          <w:szCs w:val="18"/>
          <w:color w:val="auto"/>
        </w:rPr>
        <w:t>The Company is required to assess long-lived assets for impairment whenever circumstances indicate impairment may have occurred. This analysis is performed by comparing the respective carrying values of the assets to the undiscounted expected future cash flows to be generated from such assets. Property and equipment is evaluated separately at the lowest level of identifiable cash flows. If such analysis indicates that the carrying value of these assets is not recoverable, the carrying value of such assets is reduced to fair value.</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Vehicles</w:t>
      </w:r>
    </w:p>
    <w:p>
      <w:pPr>
        <w:spacing w:after="0" w:line="193"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Vehicles are stated at cost, net of accumulated depreciation. The initial cost of the vehicles is recorded net of incentives and allowances from manufacturers. The Company acquires a portion of its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The Company depreciates vehicles such that the net book value on the date of return to the manufacturers is intended to equal the contractual guaranteed residual values, thereby minimizing any gain or loss.</w:t>
      </w:r>
    </w:p>
    <w:p>
      <w:pPr>
        <w:spacing w:after="0" w:line="155" w:lineRule="exact"/>
        <w:rPr>
          <w:sz w:val="20"/>
          <w:szCs w:val="20"/>
          <w:color w:val="auto"/>
        </w:rPr>
      </w:pPr>
    </w:p>
    <w:p>
      <w:pPr>
        <w:jc w:val="both"/>
        <w:ind w:left="500" w:right="220"/>
        <w:spacing w:after="0" w:line="256" w:lineRule="auto"/>
        <w:rPr>
          <w:sz w:val="20"/>
          <w:szCs w:val="20"/>
          <w:color w:val="auto"/>
        </w:rPr>
      </w:pPr>
      <w:r>
        <w:rPr>
          <w:rFonts w:ascii="Arial" w:cs="Arial" w:eastAsia="Arial" w:hAnsi="Arial"/>
          <w:sz w:val="18"/>
          <w:szCs w:val="18"/>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 Any adjustments to depreciation are made prospectively.</w:t>
      </w:r>
    </w:p>
    <w:p>
      <w:pPr>
        <w:spacing w:after="0" w:line="148"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The estimation of residual values requires the Company to make assumptions regarding the age and mileage of the car at the time of disposal, as well as expected used vehicle auction market conditions. The Company regularly evaluates estimated residual values and adjusts depreciation rates as appropriate. Differences between actual residual values and those estimated result in a gain or loss on disposal and are recorded as part of vehicle depreciation at the time of sale. Vehicle-related interest expense amounts are net of vehicle-related interest income of $15 million, $15 million and $8 million for 2019, 2018 and 2017, respectively.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93"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Advertising costs are generally expensed in the period incurred and are recorded within selling, general and administrative expense in the Company’s Consolidated Statements of Operations. During 2019, 2018 and 2017, advertising costs were approximately $121 million, $116 million and $111 million, respectively.</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Taxes</w:t>
      </w:r>
    </w:p>
    <w:p>
      <w:pPr>
        <w:spacing w:after="0" w:line="19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For information regarding the accounting for the effects of the Tax Cuts and Jobs Act (the “Tax Act”), see Note 9-Income Taxes. As a result of the provisions of the Tax Act, the Company accounts for Global Intangible Low-Taxed Income (“GILTI”) as a component of current period income tax expense in the year incurred.</w:t>
      </w:r>
    </w:p>
    <w:p>
      <w:pPr>
        <w:spacing w:after="0" w:line="152" w:lineRule="exact"/>
        <w:rPr>
          <w:sz w:val="20"/>
          <w:szCs w:val="20"/>
          <w:color w:val="auto"/>
        </w:rPr>
      </w:pPr>
    </w:p>
    <w:p>
      <w:pPr>
        <w:ind w:left="500" w:right="200"/>
        <w:spacing w:after="0" w:line="253" w:lineRule="auto"/>
        <w:rPr>
          <w:sz w:val="20"/>
          <w:szCs w:val="20"/>
          <w:color w:val="auto"/>
        </w:rPr>
      </w:pPr>
      <w:r>
        <w:rPr>
          <w:rFonts w:ascii="Arial" w:cs="Arial" w:eastAsia="Arial" w:hAnsi="Arial"/>
          <w:sz w:val="18"/>
          <w:szCs w:val="18"/>
          <w:color w:val="auto"/>
        </w:rPr>
        <w:t>The Company records net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In the event the Company were to determine that it would be able to realize the deferred income tax assets in the future in excess of their net recorded amount, the Company would adjust the valuation allowance, which would reduce the provision for income taxes.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40"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The Company measures the fair value of assets and liabilities and discloses the source for such fair value measurements. Financial assets and liabilities are classified as follows: Level 1, which refers to assets and liabilities valued using quoted prices from active markets for identical assets or liabilities; Level 2, which refers to assets and liabilities for which significant other observable market inputs are readily available; and Level 3, which are valued based on significant unobservable inputs.</w:t>
      </w:r>
    </w:p>
    <w:p>
      <w:pPr>
        <w:spacing w:after="0" w:line="150" w:lineRule="exact"/>
        <w:rPr>
          <w:sz w:val="20"/>
          <w:szCs w:val="20"/>
          <w:color w:val="auto"/>
        </w:rPr>
      </w:pPr>
    </w:p>
    <w:p>
      <w:pPr>
        <w:ind w:left="500" w:right="180"/>
        <w:spacing w:after="0" w:line="252" w:lineRule="auto"/>
        <w:rPr>
          <w:sz w:val="20"/>
          <w:szCs w:val="20"/>
          <w:color w:val="auto"/>
        </w:rPr>
      </w:pPr>
      <w:r>
        <w:rPr>
          <w:rFonts w:ascii="Arial" w:cs="Arial" w:eastAsia="Arial" w:hAnsi="Arial"/>
          <w:sz w:val="18"/>
          <w:szCs w:val="18"/>
          <w:color w:val="auto"/>
        </w:rPr>
        <w:t>The fair value of the Company’s financial instruments is generally determined by reference to market values resulting from trading on a national securities exchange or in an over-the-counter market (Level 1 inputs). In some cases where quoted market prices are not available, prices are derived by considering the yield of the benchmark security that was issued to initially price the instruments and adjusting this rate by the credit spread that market participants would demand for the instruments as of the measurement date (Level 2 inputs). In situations where long-term borrowings are part of a conduit facility backed by short-term floating rate debt, the Company has determined that its carrying value approximates the fair value of this debt (Level 2 inputs). The carrying amounts of cash and cash equivalents, available-for-sale securities, accounts receivable, program cash and accounts payable and accrued liabilities approximate fair value due to the short-term maturities of these assets and liabilities.</w:t>
      </w:r>
    </w:p>
    <w:p>
      <w:pPr>
        <w:spacing w:after="0" w:line="15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Company’s derivative assets and liabilities consist principally of currency exchange contracts, interest rate swaps, interest rate caps and commodity contracts, and are carried at fair value based on significant observable inputs (Level 2 inputs). Derivatives entered into by the Company are typically executed over-the-counter and are valued using internal valuation techniques, as no quoted market prices exist for such instruments. The valuation technique and inputs depend on the type of derivative and the nature of the underlying exposure. The Company principally uses discounted cash flows to value these instruments. These models take into account a variety of factors including, where applicable, maturity, currency exchange rates, interest rate yield curves of the Company and counterparties, credit curves, counterparty creditworthiness and commodity prices. These factors are applied on a consistent basis and are based upon observable inputs where available.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93" w:lineRule="exact"/>
        <w:rPr>
          <w:sz w:val="20"/>
          <w:szCs w:val="20"/>
          <w:color w:val="auto"/>
        </w:rPr>
      </w:pPr>
    </w:p>
    <w:p>
      <w:pPr>
        <w:ind w:left="500" w:right="300"/>
        <w:spacing w:after="0" w:line="256" w:lineRule="auto"/>
        <w:rPr>
          <w:sz w:val="20"/>
          <w:szCs w:val="20"/>
          <w:color w:val="auto"/>
        </w:rPr>
      </w:pPr>
      <w:r>
        <w:rPr>
          <w:rFonts w:ascii="Arial" w:cs="Arial" w:eastAsia="Arial" w:hAnsi="Arial"/>
          <w:sz w:val="18"/>
          <w:szCs w:val="18"/>
          <w:color w:val="auto"/>
        </w:rPr>
        <w:t>Derivative instruments are used as part of the Company’s overall strategy to manage exposure to market risks associated with fluctuations in currency exchange rates, interest rates and gasoline costs. As a matter of policy, derivatives are not used for trading or speculative purposes.</w:t>
      </w:r>
    </w:p>
    <w:p>
      <w:pPr>
        <w:spacing w:after="0" w:line="148" w:lineRule="exact"/>
        <w:rPr>
          <w:sz w:val="20"/>
          <w:szCs w:val="20"/>
          <w:color w:val="auto"/>
        </w:rPr>
      </w:pPr>
    </w:p>
    <w:p>
      <w:pPr>
        <w:ind w:left="500" w:right="180"/>
        <w:spacing w:after="0" w:line="252" w:lineRule="auto"/>
        <w:rPr>
          <w:sz w:val="20"/>
          <w:szCs w:val="20"/>
          <w:color w:val="auto"/>
        </w:rPr>
      </w:pPr>
      <w:r>
        <w:rPr>
          <w:rFonts w:ascii="Arial" w:cs="Arial" w:eastAsia="Arial" w:hAnsi="Arial"/>
          <w:sz w:val="18"/>
          <w:szCs w:val="18"/>
          <w:color w:val="auto"/>
        </w:rPr>
        <w:t>All derivatives are recorded at fair value either as assets or liabilities. Changes in fair value of derivatives not designated as hedging instruments are recognized currently in earnings within the same line item as the hedged item. The changes in fair value of a derivative that is designated as either a cash flow or net investment hedge is recorded as a component of accumulated other comprehensive income (loss) and reclassified into earnings in the same period or periods during which the hedged transaction affects earnings and is presented in the same income statement line item as the earnings effect of the hedged item. Amounts related to our derivative instruments are recognized in the Consolidated Statements of Cash Flows consistent with the nature of the hedged item (principally operating activities).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Transactions</w:t>
      </w:r>
    </w:p>
    <w:p>
      <w:pPr>
        <w:spacing w:after="0" w:line="193"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Currency gains and losses resulting from foreign currency transactions are generally included in operating expenses within the Consolidated Statements of Operations; however, the net gain or loss of currency transactions on intercompany loans and the unrealized gain or loss on intercompany loan hedges are included within interest expense related to corporate debt, net.</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93"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The Consolidated Balance Sheets include $ 441 million and $421 million of liabilities associated with retained risks of liability to third parties as of December 31, 2019 and 2018, respectively. Such liabilities relate primarily to public liability and third-party property damage claims, as well as claims arising from the sale of ancillary insurance products including, but not limited to, supplemental liability, personal effects protection and personal accident insurance. These obligations represent an estimate for both reported claims not yet paid and claims incurred but not yet reported. The estimated reserve requirements for such claims are recorded on an undiscounted basis utilizing actuarial methodologies and various assumptions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40"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which include, but are not limited to, the Company’s historical loss experience and projected loss development factors. The required liability is also subject to adjustment in the future based upon changes in claims experience, including changes in the number of incidents for which the Company is ultimately liable and changes in the cost per incident. These amounts are included within accounts payable and other current liabilities and other non-current liabilities.</w:t>
      </w:r>
    </w:p>
    <w:p>
      <w:pPr>
        <w:spacing w:after="0" w:line="150"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Consolidated Balance Sheets also include liabilities of approximately $56 million and $60 million as of December 31, 2019 and 2018, respectively, related to workers’ compensation, health and welfare and other employee benefit programs. The liabilities represent an estimate for both reported claims not yet paid and claims incurred but not yet reported, utilizing actuarial methodologies similar to those described above. These amounts are included within accounts payable and other current liabilities and other non-current liabilities.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4"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on a straight-line basis over the vesting period. The Company’s policy is to record compensation expense for stock options, and restricted stock units that are time- and performance-based, for the portion of the award that vests. Compensation expense related to market-based restricted stock units is recognized provided that the requisite service is rendered, regardless of when, if ever, the market condition is satisfied. We estimate the fair value of restricted stock units using the market price of the Company’s common stock on the date of grant. We estimate the fair value of stock-based and cash unit awards containing a market condition using a Monte Carlo simulation model. Key inputs and assumptions used in the Monte Carlo simulation model include the stock price of the award on the grant date, the expected term, the risk-free interest rate over the expected term, the expected annual dividend yield and the expected stock price volatility. The expected volatility is based on a combination of the historical and implied volatility of the Company’s publicly traded, near-the-money stock options, and the valuation period is based on the vesting period of the awards. The risk-free interest rate is derived from the U.S. Treasury yield curve in effect at the time of grant and, since the Company does not currently pay or plan to pay a dividend on its common stock, the expected dividend yield was zero.</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3"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The Company uses the acquisition method of accounting for business combinations, which requires that the assets acquired and liabilities assumed be recorded at their respective fair values at the date of acquisition. Assets acquired and liabilities assumed in a business combination that arise from contingencies are recognized if fair value can be reasonably estimated at the acquisition date. The excess, if any, of (i) the fair value of the consideration transferred by the acquirer and the fair value of any non-controlling interest remaining in the acquiree, over (ii) the fair values of the identifiable net assets acquired is recorded as goodwill. Gains and losses on the re-acquisition of license agreements are recorded in the Consolidated Statements of Operations within transaction-related costs, net, upon completion of the respective acquisition. Costs incurred to effect a business combination are expensed as incurred, except for the cost to issue debt related to the acquisition.</w:t>
      </w:r>
    </w:p>
    <w:p>
      <w:pPr>
        <w:spacing w:after="0" w:line="152"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The Company records contingent consideration resulting from a business combination at its fair value on the acquisition date. The fair value of the contingent consideration is generally estimated by utilizing a Monte Carlo simulation technique, based on a range of possible future results (Level 3). Any changes in contingent consideration are recorded in transaction-related costs, net.</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Transaction-related Costs, net</w:t>
      </w:r>
    </w:p>
    <w:p>
      <w:pPr>
        <w:spacing w:after="0" w:line="193" w:lineRule="exact"/>
        <w:rPr>
          <w:sz w:val="20"/>
          <w:szCs w:val="20"/>
          <w:color w:val="auto"/>
        </w:rPr>
      </w:pPr>
    </w:p>
    <w:p>
      <w:pPr>
        <w:ind w:left="500" w:right="240"/>
        <w:spacing w:after="0" w:line="253" w:lineRule="auto"/>
        <w:rPr>
          <w:sz w:val="20"/>
          <w:szCs w:val="20"/>
          <w:color w:val="auto"/>
        </w:rPr>
      </w:pPr>
      <w:r>
        <w:rPr>
          <w:rFonts w:ascii="Arial" w:cs="Arial" w:eastAsia="Arial" w:hAnsi="Arial"/>
          <w:sz w:val="18"/>
          <w:szCs w:val="18"/>
          <w:color w:val="auto"/>
        </w:rPr>
        <w:t>Transaction-related costs, net are classified separately in the Consolidated Statements of Operations. These costs are comprised of expenses related to acquisition-related activities such as due-diligence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Investments</w:t>
      </w:r>
    </w:p>
    <w:p>
      <w:pPr>
        <w:spacing w:after="0" w:line="19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Joint venture investments are typically accounted for under the equity method of accounting. Under this method, the Company records its proportional share of the joint venture’s net income or loss within operating expenses in the Consolidated Statements of Operations. The Company assesses equity method investments for impairment whenever events or changes in circumstances indicate that the carrying amounts of such investments may not be recoverable. Any difference between the carrying value of the equity method investment and its estimated fair value is recognized as an impairment charge if the loss in value is deemed other than temporary. As of December 31, 2019 and 2018, the Company had investments in joint ventures with a carrying value of $56 million and $48 million, respectively, recorded within other non-current assets on the Consolidated Balance Sheets.</w:t>
      </w:r>
    </w:p>
    <w:p>
      <w:pPr>
        <w:spacing w:after="0" w:line="153"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In March 2018, the Company made an initial equity investment of €16 million ($20 million) in its licensee in Greece (“Greece”), for a 20% ownership stake. In June 2018, the Company purchased an additional 20% equity investment for €17 million ($19 million), including an acceleration premium, and as of June 30, 2018, had a 40% ownership stake in Greece.</w:t>
      </w:r>
    </w:p>
    <w:p>
      <w:pPr>
        <w:spacing w:after="0" w:line="148" w:lineRule="exact"/>
        <w:rPr>
          <w:sz w:val="20"/>
          <w:szCs w:val="20"/>
          <w:color w:val="auto"/>
        </w:rPr>
      </w:pPr>
    </w:p>
    <w:p>
      <w:pPr>
        <w:ind w:left="500" w:right="220"/>
        <w:spacing w:after="0" w:line="256" w:lineRule="auto"/>
        <w:rPr>
          <w:sz w:val="20"/>
          <w:szCs w:val="20"/>
          <w:color w:val="auto"/>
        </w:rPr>
      </w:pPr>
      <w:r>
        <w:rPr>
          <w:rFonts w:ascii="Arial" w:cs="Arial" w:eastAsia="Arial" w:hAnsi="Arial"/>
          <w:sz w:val="18"/>
          <w:szCs w:val="18"/>
          <w:color w:val="auto"/>
        </w:rPr>
        <w:t>Aggregate realized gains and losses on equity investments and dividend income are recorded within operating expenses on the Consolidated Statements of Operations. During 2019 and 2018, the amounts realized from the sale of equity investments and dividend income was $10 million and $5 million, respectively, and during 2017, the amounts were not material.</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Divestitures</w:t>
      </w:r>
    </w:p>
    <w:p>
      <w:pPr>
        <w:spacing w:after="0" w:line="193"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Company classifies long-lived assets and liabilities to be disposed of as held for sale in the period in which they are available for immediate sale in their present condition and the sale is probable and expected to be completed within one year. The Company initially measures assets and liabilities held for sale at the lower of their carrying value or fair value less costs to sell and assesses their fair value each reporting period until disposed. When the divestiture represents a strategic shift that has, or will have, a major effect on the Company’s operations and financial results, the disposal is presented as a discontinued operation.</w:t>
      </w:r>
    </w:p>
    <w:p>
      <w:pPr>
        <w:spacing w:after="0" w:line="152" w:lineRule="exact"/>
        <w:rPr>
          <w:sz w:val="20"/>
          <w:szCs w:val="20"/>
          <w:color w:val="auto"/>
        </w:rPr>
      </w:pPr>
    </w:p>
    <w:p>
      <w:pPr>
        <w:ind w:left="500" w:right="140"/>
        <w:spacing w:after="0" w:line="253" w:lineRule="auto"/>
        <w:rPr>
          <w:sz w:val="20"/>
          <w:szCs w:val="20"/>
          <w:color w:val="auto"/>
        </w:rPr>
      </w:pPr>
      <w:r>
        <w:rPr>
          <w:rFonts w:ascii="Arial" w:cs="Arial" w:eastAsia="Arial" w:hAnsi="Arial"/>
          <w:sz w:val="18"/>
          <w:szCs w:val="18"/>
          <w:color w:val="auto"/>
        </w:rPr>
        <w:t>During 2018, the Company entered into a definitive stock purchase agreement to sell the Company’s 50% equity method investment in Anji Car Rental &amp; Leasing Company Limited (“China”), located in China, to Shanghai Automotive Industry Sales Company, Ltd., a 50% owner of China. Upon receiving clearance from applicable regulatory authorities in China during 2019, the Company completed the sale for $64 million, net of cross-border withholding taxes and recorded a $44 million gain within operating expenses. China’s operations are reported within the Company’s International segment.</w:t>
      </w:r>
    </w:p>
    <w:p>
      <w:pPr>
        <w:spacing w:after="0" w:line="152" w:lineRule="exact"/>
        <w:rPr>
          <w:sz w:val="20"/>
          <w:szCs w:val="20"/>
          <w:color w:val="auto"/>
        </w:rPr>
      </w:pPr>
    </w:p>
    <w:p>
      <w:pPr>
        <w:ind w:left="500" w:right="220"/>
        <w:spacing w:after="0" w:line="262" w:lineRule="auto"/>
        <w:rPr>
          <w:sz w:val="20"/>
          <w:szCs w:val="20"/>
          <w:color w:val="auto"/>
        </w:rPr>
      </w:pPr>
      <w:r>
        <w:rPr>
          <w:rFonts w:ascii="Arial" w:cs="Arial" w:eastAsia="Arial" w:hAnsi="Arial"/>
          <w:sz w:val="18"/>
          <w:szCs w:val="18"/>
          <w:color w:val="auto"/>
        </w:rPr>
        <w:t>During 2018, as a result of the sale of a non-core business, the Company recognized a gain of $4 million within operating expenses on the Consolidated Statements of Operations.</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193" w:lineRule="exact"/>
        <w:rPr>
          <w:sz w:val="20"/>
          <w:szCs w:val="20"/>
          <w:color w:val="auto"/>
        </w:rPr>
      </w:pPr>
    </w:p>
    <w:p>
      <w:pPr>
        <w:ind w:left="500" w:right="40"/>
        <w:spacing w:after="0" w:line="251" w:lineRule="auto"/>
        <w:rPr>
          <w:sz w:val="20"/>
          <w:szCs w:val="20"/>
          <w:color w:val="auto"/>
        </w:rPr>
      </w:pPr>
      <w:r>
        <w:rPr>
          <w:rFonts w:ascii="Arial" w:cs="Arial" w:eastAsia="Arial" w:hAnsi="Arial"/>
          <w:sz w:val="18"/>
          <w:szCs w:val="18"/>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The Company applies the measurement alternative, which allows these investments to be recorded at cost, less impairment, if any, and subsequently adjust for observable price changes of identical or similar investments of the same issuer. Any changes in value are recorded within operating expenses. As of December 31, 2019 and 2018, the Company had investments in nonmarketable equity securities recorded within other non-current assets with a carrying value of $ 8 million in each period. The Company realized a $12 million gain from the sale of a nonmarketable equity security during the year ended December 31, 2019. There were no material adjustments made to the carrying amounts of nonmarketable equity securities during the years ended December 31, 2019 and 2018.</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Nonemployee Share-Based Payment Accounting</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January 1, 2019, as a result of a new accounting pronouncement, the Company adopted Accounting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40"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Standards Update (“ASU”) 2018-07, “Stock Compensation (Topic 718): Improvements to Nonemployee Share-Based Payment Accounting,” which simplifies the accounting for share-based payments granted to nonemployees for goods and services and aligns most of the guidance on such payments to nonemployees with the requirements for share-based payments granted to employees. The adoption of this accounting pronouncement did not have an impact on the Company's Consolidated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Hedging Activities</w:t>
      </w:r>
    </w:p>
    <w:p>
      <w:pPr>
        <w:spacing w:after="0" w:line="243"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On January 1, 2019, as the result of a new accounting pronouncement, the Company adopted ASU 2017-12, “Derivatives and Hedging (Topic 815): Targeted Improvements to Accounting for Hedging Activities,” which amends the existing guidance to allow companies to more accurately present the economic results of an entity’s risk management activities in the financial statements. The adoption of this standard did not have a material impact on the Company’s Consolidated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Leases</w:t>
      </w:r>
    </w:p>
    <w:p>
      <w:pPr>
        <w:spacing w:after="0" w:line="243"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On January 1, 2019, as the result of a new accounting pronouncement, the Company adopted Topic 842 along with related updates, which require a lessee to recognize all long-term leases on its balance sheet as a liability for its lease obligation, measured at the present value of lease payments not yet paid, and a corresponding asset representing its right to use the underlying asset over the lease term and expands disclosure of key information about leasing arrangements. Topic 842 does not significantly change a lessee’s recognition, measurement and presentation of expenses. Additionally, Topic 842 aligns key aspects of lessor accounting with the revenue recognition guidance in Topic 606.</w:t>
      </w:r>
    </w:p>
    <w:p>
      <w:pPr>
        <w:spacing w:after="0" w:line="209"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elected available practical expedients for existing or expired contracts of lessees and lessors wherein the Company is not required to reassess whether such contracts contain leases, the lease classification or the initial direct costs. The Company is not utilizing the practical expedient which allows the use of hindsight by lessees and lessors in determining the lease term and in assessing impairment of its right-of-use (“ROU”) assets. Additionally, the Company elected as accounting policies to not recognize ROU assets or lease liabilities for short-term property leases (i.e., those with a term of 12 months or less at lease commencement) and, by class of underlying asset, to combine lease and nonlease components in the contract. The Company utilized the transition method allowing entities to only apply the new lease standard in the year of adoption.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Lessor</w:t>
      </w:r>
    </w:p>
    <w:p>
      <w:pPr>
        <w:spacing w:after="0" w:line="27"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The Company has determined that revenues derived by providing vehicle rentals and other related products and mobility services to customers are within the scope of the accounting guidance contained in Topic 842 with the exception of royalty fee revenue derived from the Company’s licensees and revenue related to the Company’s customer loyalty program. The Company’s rental related revenues have been accounted for under the revenue accounting standard Topic 606, until the adoption of Topic 842.</w:t>
      </w:r>
    </w:p>
    <w:p>
      <w:pPr>
        <w:spacing w:after="0" w:line="204"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Company excludes from the measurement of its lease revenues any tax assessed by a governmental authority that is both imposed on and concurrent with a specific revenue-producing transaction and collected from a customer. As a result, lease revenues exclude such taxes collected. Fees collected from customers for which the Company is the primary obligor such as airport concessions and vehicle licensing are recorded within revenues and corresponding remittances of these fees by the Company are recorded within operating expenses.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Lessee</w:t>
      </w:r>
    </w:p>
    <w:p>
      <w:pPr>
        <w:spacing w:after="0" w:line="27" w:lineRule="exact"/>
        <w:rPr>
          <w:sz w:val="20"/>
          <w:szCs w:val="20"/>
          <w:color w:val="auto"/>
        </w:rPr>
      </w:pPr>
    </w:p>
    <w:p>
      <w:pPr>
        <w:ind w:left="500" w:right="200"/>
        <w:spacing w:after="0" w:line="253" w:lineRule="auto"/>
        <w:rPr>
          <w:sz w:val="20"/>
          <w:szCs w:val="20"/>
          <w:color w:val="auto"/>
        </w:rPr>
      </w:pPr>
      <w:r>
        <w:rPr>
          <w:rFonts w:ascii="Arial" w:cs="Arial" w:eastAsia="Arial" w:hAnsi="Arial"/>
          <w:sz w:val="18"/>
          <w:szCs w:val="18"/>
          <w:color w:val="auto"/>
        </w:rPr>
        <w:t>The Company determines if an arrangement is a lease at inception. Operating leases, other than those associated with the Company’s vehicle rental programs, are included in operating lease ROU assets, accounts payable and other current liabilities, and long-term operating lease liabilities in the Company’s Consolidated Balance Sheets. Finance leases, other than those associated with the Company’s vehicle rental programs, are included in property and equipment, net, short-term debt and current portion of long-term debt, and long-term debt in the Company’s Consolidated Balance Sheets.</w:t>
      </w:r>
    </w:p>
    <w:p>
      <w:pPr>
        <w:spacing w:after="0" w:line="206" w:lineRule="exact"/>
        <w:rPr>
          <w:sz w:val="20"/>
          <w:szCs w:val="20"/>
          <w:color w:val="auto"/>
        </w:rPr>
      </w:pPr>
    </w:p>
    <w:p>
      <w:pPr>
        <w:ind w:left="500" w:right="280"/>
        <w:spacing w:after="0" w:line="262"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 obligation to make lease payments arising from the lease. ROU assets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40"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and liabilities are recognized at commencement date based on the present value of lease payments over the expected lease term. As most of the Company’s leases do not provide an implicit rate, the Company uses its incremental borrowing rate based on information available at commencement date in determining the present value of lease payments. The operating lease ROU assets are reduced by any lease incentives. The Company’s lease terms may include options to extend or terminate the lease, which are included in the calculation of ROU assets when it is reasonably certain that the Company will exercise those options. Lease expense for lease payments is usually recognized on a straight-line basis over the lease term.</w:t>
      </w:r>
    </w:p>
    <w:p>
      <w:pPr>
        <w:spacing w:after="0" w:line="209"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The Company has lease agreements with lease and nonlease components, which are generally not accounted for separately. Additionally, for certain leases, the Company applies a portfolio approach to account for the operating lease ROU assets and liabilities as the leases are similar in nature and have nearly identical contract provisions.</w:t>
      </w:r>
    </w:p>
    <w:p>
      <w:pPr>
        <w:spacing w:after="0" w:line="202" w:lineRule="exact"/>
        <w:rPr>
          <w:sz w:val="20"/>
          <w:szCs w:val="20"/>
          <w:color w:val="auto"/>
        </w:rPr>
      </w:pPr>
    </w:p>
    <w:p>
      <w:pPr>
        <w:ind w:left="500" w:right="80"/>
        <w:spacing w:after="0" w:line="254" w:lineRule="auto"/>
        <w:rPr>
          <w:sz w:val="20"/>
          <w:szCs w:val="20"/>
          <w:color w:val="auto"/>
        </w:rPr>
      </w:pPr>
      <w:r>
        <w:rPr>
          <w:rFonts w:ascii="Arial" w:cs="Arial" w:eastAsia="Arial" w:hAnsi="Arial"/>
          <w:sz w:val="18"/>
          <w:szCs w:val="18"/>
          <w:color w:val="auto"/>
        </w:rPr>
        <w:t>Adoption of this standard resulted in most of the Company’s operating lease commitments being recognized as operating lease liabilities and right-of-use assets, which increased total assets and total liabilities by approximately $2,811 million related to property operating leases and $183 million related to vehicle operating leases. The Company recorded a beginning accumulated deficit adjustment of $5 million, net of tax, related to the adoption of this standard.</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Intangibles—Goodwill and Other—Internal-Use Software</w:t>
      </w:r>
    </w:p>
    <w:p>
      <w:pPr>
        <w:spacing w:after="0" w:line="243" w:lineRule="exact"/>
        <w:rPr>
          <w:sz w:val="20"/>
          <w:szCs w:val="20"/>
          <w:color w:val="auto"/>
        </w:rPr>
      </w:pPr>
    </w:p>
    <w:p>
      <w:pPr>
        <w:ind w:left="500" w:right="40"/>
        <w:spacing w:after="0" w:line="251" w:lineRule="auto"/>
        <w:rPr>
          <w:sz w:val="20"/>
          <w:szCs w:val="20"/>
          <w:color w:val="auto"/>
        </w:rPr>
      </w:pPr>
      <w:r>
        <w:rPr>
          <w:rFonts w:ascii="Arial" w:cs="Arial" w:eastAsia="Arial" w:hAnsi="Arial"/>
          <w:sz w:val="18"/>
          <w:szCs w:val="18"/>
          <w:color w:val="auto"/>
        </w:rPr>
        <w:t>On January 1, 2020, as the result of a new accounting pronouncement, the Company adopted ASU 2018-15 “Customer’s Accounting for Fees Paid in a Cloud Computing Arrangement That Is a Service Contract,” which provides guidance for determining when the arrangement includes a software license. The amendments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amendments in this Update also require the entity to expense the capitalized implementation costs of a hosting arrangement that is a service contract over the term of the hosting arrangement, to present the expense in the same line in its statement of income as the fees associated with the hosting element (service) of the arrangement and classify payments for capitalized implementation costs in its statement of cash flows in the same manner as payments made for fees associated with the hosting element. The entity is also required to present the capitalized implementation costs in its balance sheet in the same line that a prepayment for the fees of the associated hosting arrangement would be presented. The adoption of this accounting pronouncement will not have a material impact on the Company's Consolidated Financial Statements.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Fair Value Measurement</w:t>
      </w:r>
    </w:p>
    <w:p>
      <w:pPr>
        <w:spacing w:after="0" w:line="243" w:lineRule="exact"/>
        <w:rPr>
          <w:sz w:val="20"/>
          <w:szCs w:val="20"/>
          <w:color w:val="auto"/>
        </w:rPr>
      </w:pPr>
    </w:p>
    <w:p>
      <w:pPr>
        <w:ind w:left="500" w:right="160"/>
        <w:spacing w:after="0" w:line="254" w:lineRule="auto"/>
        <w:rPr>
          <w:sz w:val="20"/>
          <w:szCs w:val="20"/>
          <w:color w:val="auto"/>
        </w:rPr>
      </w:pPr>
      <w:r>
        <w:rPr>
          <w:rFonts w:ascii="Arial" w:cs="Arial" w:eastAsia="Arial" w:hAnsi="Arial"/>
          <w:sz w:val="18"/>
          <w:szCs w:val="18"/>
          <w:color w:val="auto"/>
        </w:rPr>
        <w:t>On January 1, 2020, as the result of a new accounting pronouncement, the Company adopted ASU 2018-13, “Disclosure Framework— Changes to the Disclosure Requirements for Fair Value Measurement,” which adds, removes, and modifies disclosure requirements related to fair value measurements. The adoption of this accounting pronouncement will not have a material impact on the Company's Consolidated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43"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On January 1, 2020, as the result of a new accounting pronouncement, the Company adopted ASU 2016-13, “Financial Instruments— Credit Losses (Topic 326): Measurement of Credit Losses on Financial Instruments,” and related updates which sets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 losses that are expected to occur over the remaining life of a financial asset. The adoption of this accounting pronouncement will not have a material impact on the Company's Consolidated Financial Statements.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40"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243" w:lineRule="exact"/>
        <w:rPr>
          <w:sz w:val="20"/>
          <w:szCs w:val="20"/>
          <w:color w:val="auto"/>
        </w:rPr>
      </w:pPr>
    </w:p>
    <w:p>
      <w:pPr>
        <w:ind w:left="500" w:right="80"/>
        <w:spacing w:after="0" w:line="254" w:lineRule="auto"/>
        <w:rPr>
          <w:sz w:val="20"/>
          <w:szCs w:val="20"/>
          <w:color w:val="auto"/>
        </w:rPr>
      </w:pPr>
      <w:r>
        <w:rPr>
          <w:rFonts w:ascii="Arial" w:cs="Arial" w:eastAsia="Arial" w:hAnsi="Arial"/>
          <w:sz w:val="18"/>
          <w:szCs w:val="18"/>
          <w:color w:val="auto"/>
        </w:rPr>
        <w:t>In December 2019, the FASB issued 2019-12, “Simplifying the Accounting for Income Taxes,” which simplifies the accounting for income taxes by removing certain exceptions and improving the application of existing guidance. ASU 2019-12 becomes effective for the Company on January 1, 2021. Early adoption is permitted. The Company is currently evaluating the impact of this accounting pronouncement on its Consolidated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Compensation—Retirement Benefits—Defined Benefit Plans</w:t>
      </w:r>
    </w:p>
    <w:p>
      <w:pPr>
        <w:spacing w:after="0" w:line="243" w:lineRule="exact"/>
        <w:rPr>
          <w:sz w:val="20"/>
          <w:szCs w:val="20"/>
          <w:color w:val="auto"/>
        </w:rPr>
      </w:pPr>
    </w:p>
    <w:p>
      <w:pPr>
        <w:ind w:left="500" w:right="180"/>
        <w:spacing w:after="0" w:line="252" w:lineRule="auto"/>
        <w:rPr>
          <w:sz w:val="20"/>
          <w:szCs w:val="20"/>
          <w:color w:val="auto"/>
        </w:rPr>
      </w:pPr>
      <w:r>
        <w:rPr>
          <w:rFonts w:ascii="Arial" w:cs="Arial" w:eastAsia="Arial" w:hAnsi="Arial"/>
          <w:sz w:val="18"/>
          <w:szCs w:val="18"/>
          <w:color w:val="auto"/>
        </w:rPr>
        <w:t>In August 2018, the FASB issued ASU 2018-14, “Disclosure Framework—Changes to the Disclosure Requirements for Defined Benefit Plans,” which adds, removes, and clarifies disclosure requirements related to defined benefit pension and other postretirement plans. These changes are part of the FASB’s disclosure framework project, which the Board launched in 2014 to improve the effectiveness of disclosures in notes to financial statements. ASU 2018-14 becomes effective for the Company on January 1, 2021. Early adoption is permitted. The adoption of this accounting pronouncement is not expected to have a material impact on the Company's Consolidated Financial Statements.</w:t>
      </w:r>
    </w:p>
    <w:p>
      <w:pPr>
        <w:spacing w:after="0" w:line="187" w:lineRule="exact"/>
        <w:rPr>
          <w:sz w:val="20"/>
          <w:szCs w:val="20"/>
          <w:color w:val="auto"/>
        </w:rPr>
      </w:pPr>
    </w:p>
    <w:p>
      <w:pPr>
        <w:jc w:val="both"/>
        <w:ind w:left="500" w:right="10300" w:hanging="492"/>
        <w:spacing w:after="0" w:line="544" w:lineRule="auto"/>
        <w:tabs>
          <w:tab w:leader="none" w:pos="50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presents the Company’s lease revenues disaggregated by geography.</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46"/>
        </w:trPr>
        <w:tc>
          <w:tcPr>
            <w:tcW w:w="82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Americas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70"/>
        </w:trPr>
        <w:tc>
          <w:tcPr>
            <w:tcW w:w="8240" w:type="dxa"/>
            <w:vAlign w:val="bottom"/>
          </w:tcPr>
          <w:p>
            <w:pPr>
              <w:ind w:left="320"/>
              <w:spacing w:after="0"/>
              <w:rPr>
                <w:sz w:val="20"/>
                <w:szCs w:val="20"/>
                <w:color w:val="auto"/>
              </w:rPr>
            </w:pPr>
            <w:r>
              <w:rPr>
                <w:rFonts w:ascii="Arial" w:cs="Arial" w:eastAsia="Arial" w:hAnsi="Arial"/>
                <w:sz w:val="18"/>
                <w:szCs w:val="18"/>
                <w:color w:val="auto"/>
              </w:rPr>
              <w:t>Europe, Middle East and Africa</w:t>
            </w:r>
          </w:p>
        </w:tc>
        <w:tc>
          <w:tcPr>
            <w:tcW w:w="56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7"/>
        </w:trPr>
        <w:tc>
          <w:tcPr>
            <w:tcW w:w="8240" w:type="dxa"/>
            <w:vAlign w:val="bottom"/>
          </w:tcPr>
          <w:p>
            <w:pPr>
              <w:ind w:left="320"/>
              <w:spacing w:after="0"/>
              <w:rPr>
                <w:sz w:val="20"/>
                <w:szCs w:val="20"/>
                <w:color w:val="auto"/>
              </w:rPr>
            </w:pPr>
            <w:r>
              <w:rPr>
                <w:rFonts w:ascii="Arial" w:cs="Arial" w:eastAsia="Arial" w:hAnsi="Arial"/>
                <w:sz w:val="18"/>
                <w:szCs w:val="18"/>
                <w:color w:val="auto"/>
              </w:rPr>
              <w:t>Asia and Australasia</w:t>
            </w:r>
          </w:p>
        </w:tc>
        <w:tc>
          <w:tcPr>
            <w:tcW w:w="5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7"/>
        </w:trPr>
        <w:tc>
          <w:tcPr>
            <w:tcW w:w="8240" w:type="dxa"/>
            <w:vAlign w:val="bottom"/>
          </w:tcPr>
          <w:p>
            <w:pPr>
              <w:ind w:left="320"/>
              <w:spacing w:after="0"/>
              <w:rPr>
                <w:sz w:val="20"/>
                <w:szCs w:val="20"/>
                <w:color w:val="auto"/>
              </w:rPr>
            </w:pPr>
            <w:r>
              <w:rPr>
                <w:rFonts w:ascii="Arial" w:cs="Arial" w:eastAsia="Arial" w:hAnsi="Arial"/>
                <w:sz w:val="18"/>
                <w:szCs w:val="18"/>
                <w:color w:val="auto"/>
              </w:rPr>
              <w:t>Total lease revenues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The following table presents the Company’s lease revenues disaggregated by brand.</w:t>
            </w: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2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240" w:type="dxa"/>
            <w:vAlign w:val="bottom"/>
          </w:tcPr>
          <w:p>
            <w:pPr>
              <w:spacing w:after="0"/>
              <w:rPr>
                <w:sz w:val="24"/>
                <w:szCs w:val="24"/>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46"/>
        </w:trPr>
        <w:tc>
          <w:tcPr>
            <w:tcW w:w="82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Avis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70"/>
        </w:trPr>
        <w:tc>
          <w:tcPr>
            <w:tcW w:w="8240" w:type="dxa"/>
            <w:vAlign w:val="bottom"/>
          </w:tcPr>
          <w:p>
            <w:pPr>
              <w:ind w:left="320"/>
              <w:spacing w:after="0"/>
              <w:rPr>
                <w:sz w:val="20"/>
                <w:szCs w:val="20"/>
                <w:color w:val="auto"/>
              </w:rPr>
            </w:pPr>
            <w:r>
              <w:rPr>
                <w:rFonts w:ascii="Arial" w:cs="Arial" w:eastAsia="Arial" w:hAnsi="Arial"/>
                <w:sz w:val="18"/>
                <w:szCs w:val="18"/>
                <w:color w:val="auto"/>
              </w:rPr>
              <w:t>Budget</w:t>
            </w:r>
          </w:p>
        </w:tc>
        <w:tc>
          <w:tcPr>
            <w:tcW w:w="56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77"/>
        </w:trPr>
        <w:tc>
          <w:tcPr>
            <w:tcW w:w="8240" w:type="dxa"/>
            <w:vAlign w:val="bottom"/>
          </w:tcPr>
          <w:p>
            <w:pPr>
              <w:ind w:left="32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57"/>
        </w:trPr>
        <w:tc>
          <w:tcPr>
            <w:tcW w:w="8240" w:type="dxa"/>
            <w:vAlign w:val="bottom"/>
          </w:tcPr>
          <w:p>
            <w:pPr>
              <w:ind w:left="320"/>
              <w:spacing w:after="0"/>
              <w:rPr>
                <w:sz w:val="20"/>
                <w:szCs w:val="20"/>
                <w:color w:val="auto"/>
              </w:rPr>
            </w:pPr>
            <w:r>
              <w:rPr>
                <w:rFonts w:ascii="Arial" w:cs="Arial" w:eastAsia="Arial" w:hAnsi="Arial"/>
                <w:sz w:val="18"/>
                <w:szCs w:val="18"/>
                <w:color w:val="auto"/>
              </w:rPr>
              <w:t>Total lease revenues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240" w:type="dxa"/>
            <w:vAlign w:val="bottom"/>
          </w:tcPr>
          <w:p>
            <w:pPr>
              <w:spacing w:after="0"/>
              <w:rPr>
                <w:sz w:val="20"/>
                <w:szCs w:val="20"/>
                <w:color w:val="auto"/>
              </w:rPr>
            </w:pPr>
            <w:r>
              <w:rPr>
                <w:rFonts w:ascii="Arial" w:cs="Arial" w:eastAsia="Arial" w:hAnsi="Arial"/>
                <w:sz w:val="14"/>
                <w:szCs w:val="14"/>
                <w:color w:val="auto"/>
              </w:rPr>
              <w:t>Other includes Zipcar and other operating brands.</w:t>
            </w: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47" w:lineRule="exact"/>
        <w:rPr>
          <w:sz w:val="20"/>
          <w:szCs w:val="20"/>
          <w:color w:val="auto"/>
        </w:rPr>
      </w:pPr>
    </w:p>
    <w:p>
      <w:pPr>
        <w:ind w:left="500" w:right="160"/>
        <w:spacing w:after="0" w:line="252" w:lineRule="auto"/>
        <w:rPr>
          <w:sz w:val="20"/>
          <w:szCs w:val="20"/>
          <w:color w:val="auto"/>
        </w:rPr>
      </w:pPr>
      <w:r>
        <w:rPr>
          <w:rFonts w:ascii="Arial" w:cs="Arial" w:eastAsia="Arial" w:hAnsi="Arial"/>
          <w:sz w:val="18"/>
          <w:szCs w:val="18"/>
          <w:color w:val="auto"/>
        </w:rPr>
        <w:t>The Company has operating and finance leases for rental locations, corporate offices, vehicle rental fleet and equipment. Many of the Company’s operating leases for rental locations contain concession agreements with various airport authorities that allow the Company to conduct its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ROU assets and operating lease liabilities, and are recorded as variable lease expense as incurred. The Company’s operating leases for rental locations often also require the Company to pay or reimburse operating expenses.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leases a portion of its vehicles under operating leases. As of December 31, 2019, the Company has guaranteed up to</w:t>
      </w:r>
    </w:p>
    <w:p>
      <w:pPr>
        <w:spacing w:after="0" w:line="9"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$314 million of residual values for these vehicles at the end of their respective lease terms. The Company believes that, based on current market conditions, the net proceeds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140"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from the sale of these vehicles at the end of their lease terms will equal or exceed their net book values and therefore has not recorded a liability related to guaranteed residual values.</w:t>
      </w:r>
    </w:p>
    <w:p>
      <w:pPr>
        <w:sectPr>
          <w:pgSz w:w="11900" w:h="16838" w:orient="portrait"/>
          <w:cols w:equalWidth="0" w:num="1">
            <w:col w:w="11380"/>
          </w:cols>
          <w:pgMar w:left="240" w:top="140" w:right="279" w:bottom="262" w:gutter="0" w:footer="0" w:header="0"/>
        </w:sectPr>
      </w:pP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18"/>
          <w:szCs w:val="18"/>
          <w:b w:val="1"/>
          <w:bCs w:val="1"/>
          <w:color w:val="auto"/>
          <w:vertAlign w:val="superscript"/>
        </w:rPr>
        <w:t>(a)</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lease expense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Variable lease expense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Sublease income</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Total property lease expense</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Vehicle leases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Finance lease expense:</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Amortization of ROU assets </w:t>
      </w:r>
      <w:r>
        <w:rPr>
          <w:rFonts w:ascii="Arial" w:cs="Arial" w:eastAsia="Arial" w:hAnsi="Arial"/>
          <w:sz w:val="18"/>
          <w:szCs w:val="18"/>
          <w:color w:val="auto"/>
          <w:vertAlign w:val="superscript"/>
        </w:rPr>
        <w:t>(b)</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Interest on lease liabilities </w:t>
      </w:r>
      <w:r>
        <w:rPr>
          <w:rFonts w:ascii="Arial" w:cs="Arial" w:eastAsia="Arial" w:hAnsi="Arial"/>
          <w:sz w:val="18"/>
          <w:szCs w:val="18"/>
          <w:color w:val="auto"/>
          <w:vertAlign w:val="superscript"/>
        </w:rPr>
        <w:t>(c)</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18"/>
          <w:szCs w:val="18"/>
          <w:color w:val="auto"/>
          <w:vertAlign w:val="superscript"/>
        </w:rPr>
        <w:t>(b)</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Total vehicle lease expense</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Primarily included in operating expenses.</w:t>
      </w:r>
    </w:p>
    <w:p>
      <w:pPr>
        <w:ind w:left="820" w:hanging="326"/>
        <w:spacing w:after="0" w:line="187" w:lineRule="auto"/>
        <w:tabs>
          <w:tab w:leader="none" w:pos="8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Included in vehicle depreciation and lease charges, net.</w:t>
      </w:r>
    </w:p>
    <w:p>
      <w:pPr>
        <w:ind w:left="820" w:hanging="326"/>
        <w:spacing w:after="0" w:line="199" w:lineRule="auto"/>
        <w:tabs>
          <w:tab w:leader="none" w:pos="8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Included in vehicle interest, net.</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Supplemental balance sheet information related to leases is as follows: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Property leases</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Operating lease ROU assets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18"/>
          <w:szCs w:val="18"/>
          <w:color w:val="auto"/>
          <w:vertAlign w:val="superscript"/>
        </w:rPr>
        <w:t>(a)</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Long-term operating lease liabilities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Operating lease liabilities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remaining lease term</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discount rate</w:t>
      </w: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Vehicle leases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Finance</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Finance lease ROU assets, gross</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Accumulated amortization</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Finance lease ROU assets, net </w:t>
      </w:r>
      <w:r>
        <w:rPr>
          <w:rFonts w:ascii="Arial" w:cs="Arial" w:eastAsia="Arial" w:hAnsi="Arial"/>
          <w:sz w:val="18"/>
          <w:szCs w:val="18"/>
          <w:color w:val="auto"/>
          <w:vertAlign w:val="superscript"/>
        </w:rPr>
        <w:t>(b)</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Short-term vehicle finance lease liabilities</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Long-term vehicle finance lease liabilities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Vehicle finance lease liabilities </w:t>
      </w:r>
      <w:r>
        <w:rPr>
          <w:rFonts w:ascii="Arial" w:cs="Arial" w:eastAsia="Arial" w:hAnsi="Arial"/>
          <w:sz w:val="18"/>
          <w:szCs w:val="18"/>
          <w:color w:val="auto"/>
          <w:vertAlign w:val="superscript"/>
        </w:rPr>
        <w:t>(c)</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remaining lease term</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discount rate</w:t>
      </w:r>
    </w:p>
    <w:p>
      <w:pPr>
        <w:spacing w:after="0" w:line="31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Operating</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Vehicle operating lease ROU assets </w:t>
      </w:r>
      <w:r>
        <w:rPr>
          <w:rFonts w:ascii="Arial" w:cs="Arial" w:eastAsia="Arial" w:hAnsi="Arial"/>
          <w:sz w:val="18"/>
          <w:szCs w:val="18"/>
          <w:color w:val="auto"/>
          <w:vertAlign w:val="superscript"/>
        </w:rPr>
        <w:t>(d)</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Short-term vehicle operating lease liabilities</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Long-term vehicle operating lease liabilities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Vehicle operating lease liabilities </w:t>
      </w:r>
      <w:r>
        <w:rPr>
          <w:rFonts w:ascii="Arial" w:cs="Arial" w:eastAsia="Arial" w:hAnsi="Arial"/>
          <w:sz w:val="18"/>
          <w:szCs w:val="18"/>
          <w:color w:val="auto"/>
          <w:vertAlign w:val="superscript"/>
        </w:rPr>
        <w:t>(e)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remaining lease term</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discount rate</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820" w:hanging="326"/>
        <w:spacing w:after="0" w:line="216" w:lineRule="auto"/>
        <w:tabs>
          <w:tab w:leader="none" w:pos="8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Included in Accounts payable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Year Ended December 31,</w:t>
      </w:r>
    </w:p>
    <w:p>
      <w:pPr>
        <w:spacing w:after="0" w:line="18"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517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0"/>
        </w:trPr>
        <w:tc>
          <w:tcPr>
            <w:tcW w:w="10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7"/>
        </w:trPr>
        <w:tc>
          <w:tcPr>
            <w:tcW w:w="10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0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10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50"/>
        </w:trPr>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180" w:type="dxa"/>
            <w:vAlign w:val="bottom"/>
          </w:tcPr>
          <w:p>
            <w:pPr>
              <w:jc w:val="right"/>
              <w:ind w:right="930"/>
              <w:spacing w:after="0"/>
              <w:rPr>
                <w:sz w:val="20"/>
                <w:szCs w:val="20"/>
                <w:color w:val="auto"/>
              </w:rPr>
            </w:pPr>
            <w:r>
              <w:rPr>
                <w:rFonts w:ascii="Arial" w:cs="Arial" w:eastAsia="Arial" w:hAnsi="Arial"/>
                <w:sz w:val="18"/>
                <w:szCs w:val="18"/>
                <w:b w:val="1"/>
                <w:bCs w:val="1"/>
                <w:color w:val="auto"/>
              </w:rPr>
              <w:t>As of</w:t>
            </w:r>
          </w:p>
        </w:tc>
      </w:tr>
      <w:tr>
        <w:trPr>
          <w:trHeight w:val="246"/>
        </w:trPr>
        <w:tc>
          <w:tcPr>
            <w:tcW w:w="2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December 31, 2019</w:t>
            </w:r>
          </w:p>
        </w:tc>
      </w:tr>
      <w:tr>
        <w:trPr>
          <w:trHeight w:val="51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2,596</w:t>
            </w:r>
          </w:p>
        </w:tc>
      </w:tr>
      <w:tr>
        <w:trPr>
          <w:trHeight w:val="41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479</w:t>
            </w:r>
          </w:p>
        </w:tc>
      </w:tr>
      <w:tr>
        <w:trPr>
          <w:trHeight w:val="264"/>
        </w:trPr>
        <w:tc>
          <w:tcPr>
            <w:tcW w:w="2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2,140</w:t>
            </w:r>
          </w:p>
        </w:tc>
      </w:tr>
      <w:tr>
        <w:trPr>
          <w:trHeight w:val="250"/>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2,619</w:t>
            </w:r>
          </w:p>
        </w:tc>
      </w:tr>
      <w:tr>
        <w:trPr>
          <w:trHeight w:val="419"/>
        </w:trPr>
        <w:tc>
          <w:tcPr>
            <w:tcW w:w="280" w:type="dxa"/>
            <w:vAlign w:val="bottom"/>
          </w:tcPr>
          <w:p>
            <w:pPr>
              <w:spacing w:after="0"/>
              <w:rPr>
                <w:sz w:val="24"/>
                <w:szCs w:val="24"/>
                <w:color w:val="auto"/>
              </w:rPr>
            </w:pP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8.9 years</w:t>
            </w:r>
          </w:p>
        </w:tc>
      </w:tr>
      <w:tr>
        <w:trPr>
          <w:trHeight w:val="257"/>
        </w:trPr>
        <w:tc>
          <w:tcPr>
            <w:tcW w:w="280" w:type="dxa"/>
            <w:vAlign w:val="bottom"/>
          </w:tcPr>
          <w:p>
            <w:pPr>
              <w:spacing w:after="0"/>
              <w:rPr>
                <w:sz w:val="22"/>
                <w:szCs w:val="22"/>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106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337</w:t>
            </w:r>
          </w:p>
        </w:tc>
      </w:tr>
      <w:tr>
        <w:trPr>
          <w:trHeight w:val="264"/>
        </w:trPr>
        <w:tc>
          <w:tcPr>
            <w:tcW w:w="2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r>
      <w:tr>
        <w:trPr>
          <w:trHeight w:val="250"/>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281</w:t>
            </w:r>
          </w:p>
        </w:tc>
      </w:tr>
      <w:tr>
        <w:trPr>
          <w:trHeight w:val="419"/>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95</w:t>
            </w:r>
          </w:p>
        </w:tc>
      </w:tr>
      <w:tr>
        <w:trPr>
          <w:trHeight w:val="264"/>
        </w:trPr>
        <w:tc>
          <w:tcPr>
            <w:tcW w:w="2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157</w:t>
            </w:r>
          </w:p>
        </w:tc>
      </w:tr>
      <w:tr>
        <w:trPr>
          <w:trHeight w:val="250"/>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252</w:t>
            </w:r>
          </w:p>
        </w:tc>
      </w:tr>
      <w:tr>
        <w:trPr>
          <w:trHeight w:val="432"/>
        </w:trPr>
        <w:tc>
          <w:tcPr>
            <w:tcW w:w="280" w:type="dxa"/>
            <w:vAlign w:val="bottom"/>
          </w:tcPr>
          <w:p>
            <w:pPr>
              <w:spacing w:after="0"/>
              <w:rPr>
                <w:sz w:val="24"/>
                <w:szCs w:val="24"/>
                <w:color w:val="auto"/>
              </w:rPr>
            </w:pP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2.0 years</w:t>
            </w:r>
          </w:p>
        </w:tc>
      </w:tr>
      <w:tr>
        <w:trPr>
          <w:trHeight w:val="257"/>
        </w:trPr>
        <w:tc>
          <w:tcPr>
            <w:tcW w:w="280" w:type="dxa"/>
            <w:vAlign w:val="bottom"/>
          </w:tcPr>
          <w:p>
            <w:pPr>
              <w:spacing w:after="0"/>
              <w:rPr>
                <w:sz w:val="22"/>
                <w:szCs w:val="22"/>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79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195</w:t>
            </w:r>
          </w:p>
        </w:tc>
      </w:tr>
      <w:tr>
        <w:trPr>
          <w:trHeight w:val="446"/>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124</w:t>
            </w:r>
          </w:p>
        </w:tc>
      </w:tr>
      <w:tr>
        <w:trPr>
          <w:trHeight w:val="264"/>
        </w:trPr>
        <w:tc>
          <w:tcPr>
            <w:tcW w:w="2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w:t>
            </w:r>
          </w:p>
        </w:tc>
      </w:tr>
      <w:tr>
        <w:trPr>
          <w:trHeight w:val="250"/>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195</w:t>
            </w:r>
          </w:p>
        </w:tc>
      </w:tr>
    </w:tbl>
    <w:p>
      <w:pPr>
        <w:spacing w:after="0" w:line="21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1.8 years</w:t>
      </w:r>
    </w:p>
    <w:p>
      <w:pPr>
        <w:spacing w:after="0" w:line="5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3.08%</w:t>
      </w:r>
    </w:p>
    <w:p>
      <w:pPr>
        <w:spacing w:after="0" w:line="831" w:lineRule="exact"/>
        <w:rPr>
          <w:sz w:val="20"/>
          <w:szCs w:val="20"/>
          <w:color w:val="auto"/>
        </w:rPr>
      </w:pPr>
    </w:p>
    <w:p>
      <w:pPr>
        <w:sectPr>
          <w:pgSz w:w="11900" w:h="16838" w:orient="portrait"/>
          <w:cols w:equalWidth="0" w:num="2">
            <w:col w:w="7640" w:space="720"/>
            <w:col w:w="3020"/>
          </w:cols>
          <w:pgMar w:left="240" w:top="140" w:right="279" w:bottom="262" w:gutter="0" w:footer="0" w:header="0"/>
          <w:type w:val="continuous"/>
        </w:sectPr>
      </w:pP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140" w:right="279" w:bottom="262"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107"/>
        </w:trPr>
        <w:tc>
          <w:tcPr>
            <w:tcW w:w="180" w:type="dxa"/>
            <w:vAlign w:val="bottom"/>
          </w:tcPr>
          <w:p>
            <w:pPr>
              <w:spacing w:after="0"/>
              <w:rPr>
                <w:sz w:val="20"/>
                <w:szCs w:val="20"/>
                <w:color w:val="auto"/>
              </w:rPr>
            </w:pPr>
            <w:r>
              <w:rPr>
                <w:rFonts w:ascii="Arial" w:cs="Arial" w:eastAsia="Arial" w:hAnsi="Arial"/>
                <w:sz w:val="9"/>
                <w:szCs w:val="9"/>
                <w:color w:val="auto"/>
              </w:rPr>
              <w:t>(b)</w:t>
            </w:r>
          </w:p>
        </w:tc>
        <w:tc>
          <w:tcPr>
            <w:tcW w:w="5620" w:type="dxa"/>
            <w:vAlign w:val="bottom"/>
            <w:vMerge w:val="restart"/>
          </w:tcPr>
          <w:p>
            <w:pPr>
              <w:ind w:left="140"/>
              <w:spacing w:after="0"/>
              <w:rPr>
                <w:sz w:val="20"/>
                <w:szCs w:val="20"/>
                <w:color w:val="auto"/>
              </w:rPr>
            </w:pPr>
            <w:r>
              <w:rPr>
                <w:rFonts w:ascii="Arial" w:cs="Arial" w:eastAsia="Arial" w:hAnsi="Arial"/>
                <w:sz w:val="14"/>
                <w:szCs w:val="14"/>
                <w:color w:val="auto"/>
              </w:rPr>
              <w:t>Included in Vehicles, net within Assets under vehicle programs.</w:t>
            </w: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80" w:type="dxa"/>
            <w:vAlign w:val="bottom"/>
            <w:vMerge w:val="restart"/>
          </w:tcPr>
          <w:p>
            <w:pPr>
              <w:spacing w:after="0"/>
              <w:rPr>
                <w:sz w:val="20"/>
                <w:szCs w:val="20"/>
                <w:color w:val="auto"/>
              </w:rPr>
            </w:pPr>
            <w:r>
              <w:rPr>
                <w:rFonts w:ascii="Arial" w:cs="Arial" w:eastAsia="Arial" w:hAnsi="Arial"/>
                <w:sz w:val="9"/>
                <w:szCs w:val="9"/>
                <w:color w:val="auto"/>
              </w:rPr>
              <w:t>(c)</w:t>
            </w:r>
          </w:p>
        </w:tc>
        <w:tc>
          <w:tcPr>
            <w:tcW w:w="5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80" w:type="dxa"/>
            <w:vAlign w:val="bottom"/>
            <w:vMerge w:val="continue"/>
          </w:tcPr>
          <w:p>
            <w:pPr>
              <w:spacing w:after="0"/>
              <w:rPr>
                <w:sz w:val="8"/>
                <w:szCs w:val="8"/>
                <w:color w:val="auto"/>
              </w:rPr>
            </w:pPr>
          </w:p>
        </w:tc>
        <w:tc>
          <w:tcPr>
            <w:tcW w:w="5620" w:type="dxa"/>
            <w:vAlign w:val="bottom"/>
            <w:vMerge w:val="restart"/>
          </w:tcPr>
          <w:p>
            <w:pPr>
              <w:ind w:left="140"/>
              <w:spacing w:after="0"/>
              <w:rPr>
                <w:sz w:val="20"/>
                <w:szCs w:val="20"/>
                <w:color w:val="auto"/>
              </w:rPr>
            </w:pPr>
            <w:r>
              <w:rPr>
                <w:rFonts w:ascii="Arial" w:cs="Arial" w:eastAsia="Arial" w:hAnsi="Arial"/>
                <w:sz w:val="14"/>
                <w:szCs w:val="14"/>
                <w:color w:val="auto"/>
              </w:rPr>
              <w:t>Included in Debt within Liabilities under vehicle programs.</w:t>
            </w: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80" w:type="dxa"/>
            <w:vAlign w:val="bottom"/>
            <w:vMerge w:val="restart"/>
          </w:tcPr>
          <w:p>
            <w:pPr>
              <w:spacing w:after="0"/>
              <w:rPr>
                <w:sz w:val="20"/>
                <w:szCs w:val="20"/>
                <w:color w:val="auto"/>
              </w:rPr>
            </w:pPr>
            <w:r>
              <w:rPr>
                <w:rFonts w:ascii="Arial" w:cs="Arial" w:eastAsia="Arial" w:hAnsi="Arial"/>
                <w:sz w:val="9"/>
                <w:szCs w:val="9"/>
                <w:color w:val="auto"/>
              </w:rPr>
              <w:t>(d)</w:t>
            </w:r>
          </w:p>
        </w:tc>
        <w:tc>
          <w:tcPr>
            <w:tcW w:w="5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80" w:type="dxa"/>
            <w:vAlign w:val="bottom"/>
            <w:vMerge w:val="continue"/>
          </w:tcPr>
          <w:p>
            <w:pPr>
              <w:spacing w:after="0"/>
              <w:rPr>
                <w:sz w:val="8"/>
                <w:szCs w:val="8"/>
                <w:color w:val="auto"/>
              </w:rPr>
            </w:pPr>
          </w:p>
        </w:tc>
        <w:tc>
          <w:tcPr>
            <w:tcW w:w="7200" w:type="dxa"/>
            <w:vAlign w:val="bottom"/>
            <w:gridSpan w:val="4"/>
            <w:vMerge w:val="restart"/>
          </w:tcPr>
          <w:p>
            <w:pPr>
              <w:ind w:left="140"/>
              <w:spacing w:after="0"/>
              <w:rPr>
                <w:sz w:val="20"/>
                <w:szCs w:val="20"/>
                <w:color w:val="auto"/>
              </w:rPr>
            </w:pPr>
            <w:r>
              <w:rPr>
                <w:rFonts w:ascii="Arial" w:cs="Arial" w:eastAsia="Arial" w:hAnsi="Arial"/>
                <w:sz w:val="14"/>
                <w:szCs w:val="14"/>
                <w:color w:val="auto"/>
              </w:rPr>
              <w:t>Included in Receivables from vehicle manufacturers and other within Assets under vehicle programs.</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80" w:type="dxa"/>
            <w:vAlign w:val="bottom"/>
            <w:vMerge w:val="restart"/>
          </w:tcPr>
          <w:p>
            <w:pPr>
              <w:spacing w:after="0"/>
              <w:rPr>
                <w:sz w:val="20"/>
                <w:szCs w:val="20"/>
                <w:color w:val="auto"/>
              </w:rPr>
            </w:pPr>
            <w:r>
              <w:rPr>
                <w:rFonts w:ascii="Arial" w:cs="Arial" w:eastAsia="Arial" w:hAnsi="Arial"/>
                <w:sz w:val="9"/>
                <w:szCs w:val="9"/>
                <w:color w:val="auto"/>
              </w:rPr>
              <w:t>(e)</w:t>
            </w:r>
          </w:p>
        </w:tc>
        <w:tc>
          <w:tcPr>
            <w:tcW w:w="720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80" w:type="dxa"/>
            <w:vAlign w:val="bottom"/>
            <w:vMerge w:val="continue"/>
          </w:tcPr>
          <w:p>
            <w:pPr>
              <w:spacing w:after="0"/>
              <w:rPr>
                <w:sz w:val="8"/>
                <w:szCs w:val="8"/>
                <w:color w:val="auto"/>
              </w:rPr>
            </w:pPr>
          </w:p>
        </w:tc>
        <w:tc>
          <w:tcPr>
            <w:tcW w:w="5620" w:type="dxa"/>
            <w:vAlign w:val="bottom"/>
            <w:vMerge w:val="restart"/>
          </w:tcPr>
          <w:p>
            <w:pPr>
              <w:ind w:left="140"/>
              <w:spacing w:after="0"/>
              <w:rPr>
                <w:sz w:val="20"/>
                <w:szCs w:val="20"/>
                <w:color w:val="auto"/>
              </w:rPr>
            </w:pPr>
            <w:r>
              <w:rPr>
                <w:rFonts w:ascii="Arial" w:cs="Arial" w:eastAsia="Arial" w:hAnsi="Arial"/>
                <w:sz w:val="14"/>
                <w:szCs w:val="14"/>
                <w:color w:val="auto"/>
              </w:rPr>
              <w:t>Included in Other within Liabilities under vehicle programs.</w:t>
            </w: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80" w:type="dxa"/>
            <w:vAlign w:val="bottom"/>
          </w:tcPr>
          <w:p>
            <w:pPr>
              <w:spacing w:after="0"/>
              <w:rPr>
                <w:sz w:val="6"/>
                <w:szCs w:val="6"/>
                <w:color w:val="auto"/>
              </w:rPr>
            </w:pPr>
          </w:p>
        </w:tc>
        <w:tc>
          <w:tcPr>
            <w:tcW w:w="5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7"/>
        </w:trPr>
        <w:tc>
          <w:tcPr>
            <w:tcW w:w="580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Cash payments for lease liabilities within operating activities: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Property operating leases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Vehicle operating leases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Vehicle finance leases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Cash payments for lease liabilities within financing activities: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Vehicle finance leases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80" w:type="dxa"/>
            <w:vAlign w:val="bottom"/>
            <w:gridSpan w:val="5"/>
          </w:tcPr>
          <w:p>
            <w:pPr>
              <w:ind w:left="20"/>
              <w:spacing w:after="0"/>
              <w:rPr>
                <w:sz w:val="20"/>
                <w:szCs w:val="20"/>
                <w:color w:val="auto"/>
              </w:rPr>
            </w:pPr>
            <w:r>
              <w:rPr>
                <w:rFonts w:ascii="Arial" w:cs="Arial" w:eastAsia="Arial" w:hAnsi="Arial"/>
                <w:sz w:val="18"/>
                <w:szCs w:val="18"/>
                <w:color w:val="auto"/>
              </w:rPr>
              <w:t>Non-cash activities - increase (decrease) in ROU assets in exchange for lease liabilities:</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 xml:space="preserve">Property operating leases </w:t>
            </w:r>
            <w:r>
              <w:rPr>
                <w:rFonts w:ascii="Arial" w:cs="Arial" w:eastAsia="Arial" w:hAnsi="Arial"/>
                <w:sz w:val="18"/>
                <w:szCs w:val="18"/>
                <w:color w:val="auto"/>
                <w:vertAlign w:val="superscript"/>
              </w:rPr>
              <w:t>(a)</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 xml:space="preserve">Vehicle operating leases </w:t>
            </w:r>
            <w:r>
              <w:rPr>
                <w:rFonts w:ascii="Arial" w:cs="Arial" w:eastAsia="Arial" w:hAnsi="Arial"/>
                <w:sz w:val="18"/>
                <w:szCs w:val="18"/>
                <w:color w:val="auto"/>
                <w:vertAlign w:val="superscript"/>
              </w:rPr>
              <w:t>(a)</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Vehicle finance leases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5800" w:type="dxa"/>
            <w:vAlign w:val="bottom"/>
            <w:gridSpan w:val="2"/>
          </w:tcPr>
          <w:p>
            <w:pPr>
              <w:spacing w:after="0"/>
              <w:rPr>
                <w:sz w:val="20"/>
                <w:szCs w:val="20"/>
                <w:color w:val="auto"/>
              </w:rPr>
            </w:pPr>
            <w:r>
              <w:rPr>
                <w:rFonts w:ascii="Arial" w:cs="Arial" w:eastAsia="Arial" w:hAnsi="Arial"/>
                <w:sz w:val="18"/>
                <w:szCs w:val="18"/>
                <w:color w:val="auto"/>
              </w:rPr>
              <w:t>_________</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20"/>
                <w:szCs w:val="20"/>
                <w:color w:val="auto"/>
              </w:rPr>
            </w:pPr>
            <w:r>
              <w:rPr>
                <w:rFonts w:ascii="Arial" w:cs="Arial" w:eastAsia="Arial" w:hAnsi="Arial"/>
                <w:sz w:val="9"/>
                <w:szCs w:val="9"/>
                <w:color w:val="auto"/>
              </w:rPr>
              <w:t>(a)</w:t>
            </w:r>
          </w:p>
        </w:tc>
        <w:tc>
          <w:tcPr>
            <w:tcW w:w="5620" w:type="dxa"/>
            <w:vAlign w:val="bottom"/>
            <w:vMerge w:val="restart"/>
          </w:tcPr>
          <w:p>
            <w:pPr>
              <w:ind w:left="140"/>
              <w:spacing w:after="0"/>
              <w:rPr>
                <w:sz w:val="20"/>
                <w:szCs w:val="20"/>
                <w:color w:val="auto"/>
              </w:rPr>
            </w:pPr>
            <w:r>
              <w:rPr>
                <w:rFonts w:ascii="Arial" w:cs="Arial" w:eastAsia="Arial" w:hAnsi="Arial"/>
                <w:sz w:val="14"/>
                <w:szCs w:val="14"/>
                <w:color w:val="auto"/>
              </w:rPr>
              <w:t>ROU assets obtained in exchange for lease liabilities since initial recognition.</w:t>
            </w: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80" w:type="dxa"/>
            <w:vAlign w:val="bottom"/>
          </w:tcPr>
          <w:p>
            <w:pPr>
              <w:spacing w:after="0"/>
              <w:rPr>
                <w:sz w:val="6"/>
                <w:szCs w:val="6"/>
                <w:color w:val="auto"/>
              </w:rPr>
            </w:pPr>
          </w:p>
        </w:tc>
        <w:tc>
          <w:tcPr>
            <w:tcW w:w="5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7"/>
        </w:trPr>
        <w:tc>
          <w:tcPr>
            <w:tcW w:w="580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December 31, 2019 are as follows: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Property</w:t>
            </w:r>
          </w:p>
        </w:tc>
        <w:tc>
          <w:tcPr>
            <w:tcW w:w="120" w:type="dxa"/>
            <w:vAlign w:val="bottom"/>
          </w:tcPr>
          <w:p>
            <w:pPr>
              <w:spacing w:after="0"/>
              <w:rPr>
                <w:sz w:val="24"/>
                <w:szCs w:val="24"/>
                <w:color w:val="auto"/>
              </w:rPr>
            </w:pPr>
          </w:p>
        </w:tc>
        <w:tc>
          <w:tcPr>
            <w:tcW w:w="136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w w:val="99"/>
              </w:rPr>
              <w:t>Vehicle Finance</w:t>
            </w:r>
          </w:p>
        </w:tc>
        <w:tc>
          <w:tcPr>
            <w:tcW w:w="100" w:type="dxa"/>
            <w:vAlign w:val="bottom"/>
          </w:tcPr>
          <w:p>
            <w:pPr>
              <w:spacing w:after="0"/>
              <w:rPr>
                <w:sz w:val="24"/>
                <w:szCs w:val="24"/>
                <w:color w:val="auto"/>
              </w:rPr>
            </w:pP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Vehicle Operating</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6"/>
                <w:szCs w:val="16"/>
                <w:b w:val="1"/>
                <w:bCs w:val="1"/>
                <w:color w:val="auto"/>
              </w:rPr>
              <w:t>Leases</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24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Within 1 year</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Between 1 and 2 years</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Between 2 and 3 years</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Between 3 and 4 years</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Between 4 and 5 years</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7"/>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252</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63"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28575</wp:posOffset>
            </wp:positionV>
            <wp:extent cx="23241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0940"/>
          </w:cols>
          <w:pgMar w:left="240" w:top="140" w:right="719" w:bottom="1440" w:gutter="0" w:footer="0" w:header="0"/>
        </w:sectPr>
      </w:pPr>
    </w:p>
    <w:p>
      <w:pPr>
        <w:spacing w:after="0" w:line="3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for basic and diluted EPS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Basic weighted average shares outstanding</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Options and non-vested stock</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Diluted weighted average shares outstanding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43"/>
        </w:trPr>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500"/>
        </w:trPr>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77"/>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40" w:space="720"/>
            <w:col w:w="3780"/>
          </w:cols>
          <w:pgMar w:left="240" w:top="140" w:right="719" w:bottom="1440" w:gutter="0" w:footer="0" w:header="0"/>
          <w:type w:val="continuous"/>
        </w:sectPr>
      </w:pPr>
    </w:p>
    <w:p>
      <w:pPr>
        <w:spacing w:after="0" w:line="38"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4120" w:type="dxa"/>
            <w:vAlign w:val="bottom"/>
          </w:tcPr>
          <w:p>
            <w:pPr>
              <w:spacing w:after="0"/>
              <w:rPr>
                <w:sz w:val="20"/>
                <w:szCs w:val="20"/>
                <w:color w:val="auto"/>
              </w:rPr>
            </w:pPr>
            <w:r>
              <w:rPr>
                <w:rFonts w:ascii="Arial" w:cs="Arial" w:eastAsia="Arial" w:hAnsi="Arial"/>
                <w:sz w:val="18"/>
                <w:szCs w:val="18"/>
                <w:i w:val="1"/>
                <w:iCs w:val="1"/>
                <w:color w:val="auto"/>
              </w:rPr>
              <w:t>Earnings per share:</w:t>
            </w:r>
          </w:p>
        </w:tc>
        <w:tc>
          <w:tcPr>
            <w:tcW w:w="2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84"/>
        </w:trPr>
        <w:tc>
          <w:tcPr>
            <w:tcW w:w="4120" w:type="dxa"/>
            <w:vAlign w:val="bottom"/>
          </w:tcPr>
          <w:p>
            <w:pPr>
              <w:ind w:left="280"/>
              <w:spacing w:after="0"/>
              <w:rPr>
                <w:sz w:val="20"/>
                <w:szCs w:val="20"/>
                <w:color w:val="auto"/>
              </w:rPr>
            </w:pPr>
            <w:r>
              <w:rPr>
                <w:rFonts w:ascii="Arial" w:cs="Arial" w:eastAsia="Arial" w:hAnsi="Arial"/>
                <w:sz w:val="18"/>
                <w:szCs w:val="18"/>
                <w:color w:val="auto"/>
              </w:rPr>
              <w:t>Basic</w:t>
            </w:r>
          </w:p>
        </w:tc>
        <w:tc>
          <w:tcPr>
            <w:tcW w:w="2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0"/>
        </w:trPr>
        <w:tc>
          <w:tcPr>
            <w:tcW w:w="41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4.25</w:t>
            </w:r>
          </w:p>
        </w:tc>
      </w:tr>
    </w:tbl>
    <w:p>
      <w:pPr>
        <w:spacing w:after="0" w:line="200" w:lineRule="exact"/>
        <w:rPr>
          <w:sz w:val="20"/>
          <w:szCs w:val="20"/>
          <w:color w:val="auto"/>
        </w:rPr>
      </w:pPr>
    </w:p>
    <w:p>
      <w:pPr>
        <w:sectPr>
          <w:pgSz w:w="11900" w:h="16838" w:orient="portrait"/>
          <w:cols w:equalWidth="0" w:num="1">
            <w:col w:w="10940"/>
          </w:cols>
          <w:pgMar w:left="240" w:top="140" w:right="719" w:bottom="1440" w:gutter="0" w:footer="0" w:header="0"/>
          <w:type w:val="continuous"/>
        </w:sectPr>
      </w:pPr>
    </w:p>
    <w:p>
      <w:pPr>
        <w:spacing w:after="0" w:line="24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0940"/>
          </w:cols>
          <w:pgMar w:left="240" w:top="140" w:right="71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500" w:right="360"/>
        <w:spacing w:after="0" w:line="262" w:lineRule="auto"/>
        <w:rPr>
          <w:sz w:val="20"/>
          <w:szCs w:val="20"/>
          <w:color w:val="auto"/>
        </w:rPr>
      </w:pPr>
      <w:r>
        <w:rPr>
          <w:rFonts w:ascii="Arial" w:cs="Arial" w:eastAsia="Arial" w:hAnsi="Arial"/>
          <w:sz w:val="18"/>
          <w:szCs w:val="18"/>
          <w:color w:val="auto"/>
        </w:rPr>
        <w:t>The following table summarizes the Company’s outstanding common stock equivalents that were anti-dilutive and therefore excluded from the computation of diluted EPS (shares in millions):</w:t>
      </w:r>
    </w:p>
    <w:p>
      <w:pPr>
        <w:spacing w:after="0" w:line="134"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28575</wp:posOffset>
            </wp:positionV>
            <wp:extent cx="22898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72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56"/>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 xml:space="preserve">Non-vested stock </w:t>
            </w:r>
            <w:r>
              <w:rPr>
                <w:rFonts w:ascii="Arial" w:cs="Arial" w:eastAsia="Arial" w:hAnsi="Arial"/>
                <w:sz w:val="21"/>
                <w:szCs w:val="21"/>
                <w:color w:val="auto"/>
                <w:vertAlign w:val="superscript"/>
              </w:rPr>
              <w:t>(a)</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0.5</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0.2</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4"/>
        </w:trPr>
        <w:tc>
          <w:tcPr>
            <w:tcW w:w="6720" w:type="dxa"/>
            <w:vAlign w:val="bottom"/>
          </w:tcPr>
          <w:p>
            <w:pPr>
              <w:spacing w:after="0"/>
              <w:rPr>
                <w:sz w:val="20"/>
                <w:szCs w:val="20"/>
                <w:color w:val="auto"/>
              </w:rPr>
            </w:pPr>
            <w:r>
              <w:rPr>
                <w:rFonts w:ascii="Arial" w:cs="Arial" w:eastAsia="Arial" w:hAnsi="Arial"/>
                <w:sz w:val="18"/>
                <w:szCs w:val="18"/>
                <w:color w:val="auto"/>
              </w:rPr>
              <w:t>__________</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820" w:hanging="326"/>
        <w:spacing w:after="0" w:line="189" w:lineRule="auto"/>
        <w:tabs>
          <w:tab w:leader="none" w:pos="820" w:val="left"/>
        </w:tabs>
        <w:numPr>
          <w:ilvl w:val="1"/>
          <w:numId w:val="44"/>
        </w:numPr>
        <w:rPr>
          <w:rFonts w:ascii="Arial" w:cs="Arial" w:eastAsia="Arial" w:hAnsi="Arial"/>
          <w:sz w:val="22"/>
          <w:szCs w:val="22"/>
          <w:color w:val="auto"/>
          <w:vertAlign w:val="superscript"/>
        </w:rPr>
      </w:pPr>
      <w:r>
        <w:rPr>
          <w:rFonts w:ascii="Arial" w:cs="Arial" w:eastAsia="Arial" w:hAnsi="Arial"/>
          <w:sz w:val="16"/>
          <w:szCs w:val="16"/>
          <w:color w:val="auto"/>
        </w:rPr>
        <w:t>The weighted average grant date fair value for anti-dilutive non-vested stock for 2019, 2018 and 2017 was $39.48, $48.66 and $38.40, respectively.</w:t>
      </w:r>
    </w:p>
    <w:p>
      <w:pPr>
        <w:spacing w:after="0" w:line="159"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Restructuring</w:t>
      </w:r>
    </w:p>
    <w:p>
      <w:pPr>
        <w:spacing w:after="0" w:line="247"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During third quarter 2019, the Company initiated a restructuring plan to exit its operations in Brazil by closing rental facilities, disposing of assets and terminating personnel (“Brazil”). As of December 31, 2019, the Company terminated the employment of approximately 195 employees. The Company expects further restructuring expense of approximately $8 million related to this initiative.</w:t>
      </w:r>
    </w:p>
    <w:p>
      <w:pPr>
        <w:spacing w:after="0" w:line="20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During first quarter 2019, the Company initiated a restructuring plan to drive global efficiency by improving processes and consolidating functions, and to create new objectives and strategies for its truck rental operations in the U.S. by reducing headcount, large vehicles and rental locations (“T19”). During the year ended December 31, 2019, as part of this process, the Company formally communicated the termination of employment to approximately 540 employees, and as of December 31, 2019, the Company had terminated approximately 440 of these employees. The Company expects no further restructuring expense related to this initiative. This initiative is substantially complete.</w:t>
      </w:r>
    </w:p>
    <w:p>
      <w:pPr>
        <w:spacing w:after="0" w:line="209"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During first quarter 2018, the Company initiated a strategic restructuring plan to improve processes and reduce headcount in response to its new workforce planning technology that allows more effective management of staff levels (“Workforce planning”). The costs associated with this initiative primarily represent severance, outplacement services and other costs associated with employee terminations, the majority of which have been or are expected to be settled in cash. This initiative is complete.</w:t>
      </w:r>
    </w:p>
    <w:p>
      <w:pPr>
        <w:spacing w:after="0" w:line="204"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During fourth quarter 2017, the Company initiated a strategic restructuring initiative to better position its truck rental operations in the U.S., in which it closed certain rental locations and reduced the size of the older rental fleet, with the intent to increase fleet utilization and reduce vehicle and overhead costs (“Truck initiative”). This initiative is complete.</w:t>
      </w:r>
    </w:p>
    <w:p>
      <w:pPr>
        <w:spacing w:after="0" w:line="202"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During first quarter 2017, the Company initiated a strategic restructuring initiative to drive operational efficiency throughout the organization by reducing headcount, improving processes and consolidating functions, closing certain rental locations and decreasing the size of its fleet (“T17”). The costs associated with this initiative primarily represent severance, outplacement services and other costs associated with employee terminations, the majority of which have been or are expected to be settled in cash. This initiative is complete.</w:t>
      </w:r>
    </w:p>
    <w:p>
      <w:pPr>
        <w:spacing w:after="0" w:line="204" w:lineRule="exact"/>
        <w:rPr>
          <w:sz w:val="20"/>
          <w:szCs w:val="20"/>
          <w:color w:val="auto"/>
        </w:rPr>
      </w:pPr>
    </w:p>
    <w:p>
      <w:pPr>
        <w:ind w:left="500" w:right="120"/>
        <w:spacing w:after="0" w:line="252" w:lineRule="auto"/>
        <w:rPr>
          <w:sz w:val="20"/>
          <w:szCs w:val="20"/>
          <w:color w:val="auto"/>
        </w:rPr>
      </w:pPr>
      <w:r>
        <w:rPr>
          <w:rFonts w:ascii="Arial" w:cs="Arial" w:eastAsia="Arial" w:hAnsi="Arial"/>
          <w:sz w:val="18"/>
          <w:szCs w:val="18"/>
          <w:color w:val="auto"/>
        </w:rPr>
        <w:t>In 2014, the Company committed to various strategic initiatives to identify best practices and drive efficiency throughout its organization, by reducing headcount, improving processes and consolidating functions (“T15”). In first quarter 2016, the Company expanded the T15 restructuring to take advantage of additional efficiency opportunities. The expanded T15 restructuring fits within the initiative’s focus areas to identify best practices and drive efficiency throughout the organization, including the consolidation of rental locations. The costs associated with this initiative primarily represent severance, outplacement services and other costs associated with employee terminations, the majority of which have been settled in cash. This initiative is complete.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40"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 to our restructuring-related liabilities and identifies the amounts recorded within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reporting segments for restructuring charges and corresponding payments and utilizations:</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Personnel</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2"/>
        </w:trPr>
        <w:tc>
          <w:tcPr>
            <w:tcW w:w="3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Related</w:t>
            </w:r>
          </w:p>
        </w:tc>
        <w:tc>
          <w:tcPr>
            <w:tcW w:w="120" w:type="dxa"/>
            <w:vAlign w:val="bottom"/>
          </w:tcPr>
          <w:p>
            <w:pPr>
              <w:spacing w:after="0"/>
              <w:rPr>
                <w:sz w:val="21"/>
                <w:szCs w:val="21"/>
                <w:color w:val="auto"/>
              </w:rPr>
            </w:pPr>
          </w:p>
        </w:tc>
        <w:tc>
          <w:tcPr>
            <w:tcW w:w="15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Facility Related</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1"/>
                <w:szCs w:val="21"/>
                <w:b w:val="1"/>
                <w:bCs w:val="1"/>
                <w:color w:val="auto"/>
                <w:vertAlign w:val="superscript"/>
              </w:rPr>
              <w:t>(a)</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Balance as of January 1, 2017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37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3740" w:type="dxa"/>
            <w:vAlign w:val="bottom"/>
          </w:tcPr>
          <w:p>
            <w:pPr>
              <w:ind w:left="240"/>
              <w:spacing w:after="0"/>
              <w:rPr>
                <w:sz w:val="20"/>
                <w:szCs w:val="20"/>
                <w:color w:val="auto"/>
              </w:rPr>
            </w:pPr>
            <w:r>
              <w:rPr>
                <w:rFonts w:ascii="Arial" w:cs="Arial" w:eastAsia="Arial" w:hAnsi="Arial"/>
                <w:sz w:val="18"/>
                <w:szCs w:val="18"/>
                <w:color w:val="auto"/>
              </w:rPr>
              <w:t>Truck initiative</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T17</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3740" w:type="dxa"/>
            <w:vAlign w:val="bottom"/>
          </w:tcPr>
          <w:p>
            <w:pPr>
              <w:ind w:left="140"/>
              <w:spacing w:after="0"/>
              <w:rPr>
                <w:sz w:val="20"/>
                <w:szCs w:val="20"/>
                <w:color w:val="auto"/>
              </w:rPr>
            </w:pPr>
            <w:r>
              <w:rPr>
                <w:rFonts w:ascii="Arial" w:cs="Arial" w:eastAsia="Arial" w:hAnsi="Arial"/>
                <w:sz w:val="18"/>
                <w:szCs w:val="18"/>
                <w:color w:val="auto"/>
              </w:rPr>
              <w:t>Restructuring payment/utilization:</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3740" w:type="dxa"/>
            <w:vAlign w:val="bottom"/>
          </w:tcPr>
          <w:p>
            <w:pPr>
              <w:ind w:left="240"/>
              <w:spacing w:after="0"/>
              <w:rPr>
                <w:sz w:val="20"/>
                <w:szCs w:val="20"/>
                <w:color w:val="auto"/>
              </w:rPr>
            </w:pPr>
            <w:r>
              <w:rPr>
                <w:rFonts w:ascii="Arial" w:cs="Arial" w:eastAsia="Arial" w:hAnsi="Arial"/>
                <w:sz w:val="18"/>
                <w:szCs w:val="18"/>
                <w:color w:val="auto"/>
              </w:rPr>
              <w:t>Truck initiative</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T17</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T15</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3740" w:type="dxa"/>
            <w:vAlign w:val="bottom"/>
          </w:tcPr>
          <w:p>
            <w:pPr>
              <w:ind w:left="240"/>
              <w:spacing w:after="0"/>
              <w:rPr>
                <w:sz w:val="20"/>
                <w:szCs w:val="20"/>
                <w:color w:val="auto"/>
              </w:rPr>
            </w:pPr>
            <w:r>
              <w:rPr>
                <w:rFonts w:ascii="Arial" w:cs="Arial" w:eastAsia="Arial" w:hAnsi="Arial"/>
                <w:sz w:val="18"/>
                <w:szCs w:val="18"/>
                <w:color w:val="auto"/>
              </w:rPr>
              <w:t>Acquisition integration</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Balance as of December 31, 2017</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37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3740" w:type="dxa"/>
            <w:vAlign w:val="bottom"/>
          </w:tcPr>
          <w:p>
            <w:pPr>
              <w:ind w:left="240"/>
              <w:spacing w:after="0"/>
              <w:rPr>
                <w:sz w:val="20"/>
                <w:szCs w:val="20"/>
                <w:color w:val="auto"/>
              </w:rPr>
            </w:pPr>
            <w:r>
              <w:rPr>
                <w:rFonts w:ascii="Arial" w:cs="Arial" w:eastAsia="Arial" w:hAnsi="Arial"/>
                <w:sz w:val="18"/>
                <w:szCs w:val="18"/>
                <w:color w:val="auto"/>
              </w:rPr>
              <w:t>Workforce planning</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Truck initiative</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T17</w:t>
            </w:r>
          </w:p>
        </w:tc>
        <w:tc>
          <w:tcPr>
            <w:tcW w:w="24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T15</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3740" w:type="dxa"/>
            <w:vAlign w:val="bottom"/>
          </w:tcPr>
          <w:p>
            <w:pPr>
              <w:ind w:left="140"/>
              <w:spacing w:after="0"/>
              <w:rPr>
                <w:sz w:val="20"/>
                <w:szCs w:val="20"/>
                <w:color w:val="auto"/>
              </w:rPr>
            </w:pPr>
            <w:r>
              <w:rPr>
                <w:rFonts w:ascii="Arial" w:cs="Arial" w:eastAsia="Arial" w:hAnsi="Arial"/>
                <w:sz w:val="18"/>
                <w:szCs w:val="18"/>
                <w:color w:val="auto"/>
              </w:rPr>
              <w:t>Restructuring payment/utilization:</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3740" w:type="dxa"/>
            <w:vAlign w:val="bottom"/>
          </w:tcPr>
          <w:p>
            <w:pPr>
              <w:ind w:left="240"/>
              <w:spacing w:after="0"/>
              <w:rPr>
                <w:sz w:val="20"/>
                <w:szCs w:val="20"/>
                <w:color w:val="auto"/>
              </w:rPr>
            </w:pPr>
            <w:r>
              <w:rPr>
                <w:rFonts w:ascii="Arial" w:cs="Arial" w:eastAsia="Arial" w:hAnsi="Arial"/>
                <w:sz w:val="18"/>
                <w:szCs w:val="18"/>
                <w:color w:val="auto"/>
              </w:rPr>
              <w:t>Workforce planning</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Truck initiative</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T17</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3740" w:type="dxa"/>
            <w:vAlign w:val="bottom"/>
          </w:tcPr>
          <w:p>
            <w:pPr>
              <w:ind w:left="240"/>
              <w:spacing w:after="0"/>
              <w:rPr>
                <w:sz w:val="20"/>
                <w:szCs w:val="20"/>
                <w:color w:val="auto"/>
              </w:rPr>
            </w:pPr>
            <w:r>
              <w:rPr>
                <w:rFonts w:ascii="Arial" w:cs="Arial" w:eastAsia="Arial" w:hAnsi="Arial"/>
                <w:sz w:val="18"/>
                <w:szCs w:val="18"/>
                <w:color w:val="auto"/>
              </w:rPr>
              <w:t>T15</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Balance as of December 31, 2018</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3740" w:type="dxa"/>
            <w:vAlign w:val="bottom"/>
          </w:tcPr>
          <w:p>
            <w:pPr>
              <w:ind w:left="14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3740" w:type="dxa"/>
            <w:vAlign w:val="bottom"/>
          </w:tcPr>
          <w:p>
            <w:pPr>
              <w:ind w:left="240"/>
              <w:spacing w:after="0"/>
              <w:rPr>
                <w:sz w:val="20"/>
                <w:szCs w:val="20"/>
                <w:color w:val="auto"/>
              </w:rPr>
            </w:pPr>
            <w:r>
              <w:rPr>
                <w:rFonts w:ascii="Arial" w:cs="Arial" w:eastAsia="Arial" w:hAnsi="Arial"/>
                <w:sz w:val="18"/>
                <w:szCs w:val="18"/>
                <w:color w:val="auto"/>
              </w:rPr>
              <w:t>T19</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Brazil</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3740" w:type="dxa"/>
            <w:vAlign w:val="bottom"/>
          </w:tcPr>
          <w:p>
            <w:pPr>
              <w:ind w:left="140"/>
              <w:spacing w:after="0"/>
              <w:rPr>
                <w:sz w:val="20"/>
                <w:szCs w:val="20"/>
                <w:color w:val="auto"/>
              </w:rPr>
            </w:pPr>
            <w:r>
              <w:rPr>
                <w:rFonts w:ascii="Arial" w:cs="Arial" w:eastAsia="Arial" w:hAnsi="Arial"/>
                <w:sz w:val="18"/>
                <w:szCs w:val="18"/>
                <w:color w:val="auto"/>
              </w:rPr>
              <w:t>Restructuring payment/utilization:</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3740" w:type="dxa"/>
            <w:vAlign w:val="bottom"/>
          </w:tcPr>
          <w:p>
            <w:pPr>
              <w:ind w:left="240"/>
              <w:spacing w:after="0"/>
              <w:rPr>
                <w:sz w:val="20"/>
                <w:szCs w:val="20"/>
                <w:color w:val="auto"/>
              </w:rPr>
            </w:pPr>
            <w:r>
              <w:rPr>
                <w:rFonts w:ascii="Arial" w:cs="Arial" w:eastAsia="Arial" w:hAnsi="Arial"/>
                <w:sz w:val="18"/>
                <w:szCs w:val="18"/>
                <w:color w:val="auto"/>
              </w:rPr>
              <w:t>T19</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3740" w:type="dxa"/>
            <w:vAlign w:val="bottom"/>
          </w:tcPr>
          <w:p>
            <w:pPr>
              <w:ind w:left="240"/>
              <w:spacing w:after="0"/>
              <w:rPr>
                <w:sz w:val="20"/>
                <w:szCs w:val="20"/>
                <w:color w:val="auto"/>
              </w:rPr>
            </w:pPr>
            <w:r>
              <w:rPr>
                <w:rFonts w:ascii="Arial" w:cs="Arial" w:eastAsia="Arial" w:hAnsi="Arial"/>
                <w:sz w:val="18"/>
                <w:szCs w:val="18"/>
                <w:color w:val="auto"/>
              </w:rPr>
              <w:t>Brazil</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3740" w:type="dxa"/>
            <w:vAlign w:val="bottom"/>
          </w:tcPr>
          <w:p>
            <w:pPr>
              <w:ind w:left="240"/>
              <w:spacing w:after="0"/>
              <w:rPr>
                <w:sz w:val="20"/>
                <w:szCs w:val="20"/>
                <w:color w:val="auto"/>
              </w:rPr>
            </w:pPr>
            <w:r>
              <w:rPr>
                <w:rFonts w:ascii="Arial" w:cs="Arial" w:eastAsia="Arial" w:hAnsi="Arial"/>
                <w:sz w:val="18"/>
                <w:szCs w:val="18"/>
                <w:color w:val="auto"/>
              </w:rPr>
              <w:t>Workforce planning</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8890</wp:posOffset>
            </wp:positionV>
            <wp:extent cx="416814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68140"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89" w:lineRule="auto"/>
        <w:tabs>
          <w:tab w:leader="none" w:pos="82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Includes expenses primarily related to the disposition of vehicles.</w:t>
      </w:r>
    </w:p>
    <w:p>
      <w:pPr>
        <w:spacing w:after="0" w:line="20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0820"/>
          </w:cols>
          <w:pgMar w:left="240" w:top="140" w:right="8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35"/>
        </w:trPr>
        <w:tc>
          <w:tcPr>
            <w:tcW w:w="1400" w:type="dxa"/>
            <w:vAlign w:val="bottom"/>
            <w:tcBorders>
              <w:top w:val="single" w:sz="8" w:color="0000EE"/>
            </w:tcBorders>
          </w:tcPr>
          <w:p>
            <w:pPr>
              <w:spacing w:after="0"/>
              <w:rPr>
                <w:sz w:val="24"/>
                <w:szCs w:val="24"/>
                <w:color w:val="auto"/>
              </w:rPr>
            </w:pPr>
          </w:p>
        </w:tc>
        <w:tc>
          <w:tcPr>
            <w:tcW w:w="45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Americas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360" w:type="dxa"/>
            <w:vAlign w:val="bottom"/>
          </w:tcPr>
          <w:p>
            <w:pPr>
              <w:spacing w:after="0"/>
              <w:rPr>
                <w:sz w:val="24"/>
                <w:szCs w:val="24"/>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43"/>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Balance as of January 1, 2017</w:t>
            </w:r>
          </w:p>
        </w:tc>
        <w:tc>
          <w:tcPr>
            <w:tcW w:w="122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5900" w:type="dxa"/>
            <w:vAlign w:val="bottom"/>
            <w:gridSpan w:val="2"/>
          </w:tcPr>
          <w:p>
            <w:pPr>
              <w:ind w:left="660"/>
              <w:spacing w:after="0"/>
              <w:rPr>
                <w:sz w:val="20"/>
                <w:szCs w:val="20"/>
                <w:color w:val="auto"/>
              </w:rPr>
            </w:pPr>
            <w:r>
              <w:rPr>
                <w:rFonts w:ascii="Arial" w:cs="Arial" w:eastAsia="Arial" w:hAnsi="Arial"/>
                <w:sz w:val="18"/>
                <w:szCs w:val="18"/>
                <w:color w:val="auto"/>
              </w:rPr>
              <w:t>Restructuring expense:</w:t>
            </w: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Truck initiative</w:t>
            </w:r>
          </w:p>
        </w:tc>
        <w:tc>
          <w:tcPr>
            <w:tcW w:w="122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T17</w:t>
            </w:r>
          </w:p>
        </w:tc>
        <w:tc>
          <w:tcPr>
            <w:tcW w:w="122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5900" w:type="dxa"/>
            <w:vAlign w:val="bottom"/>
            <w:gridSpan w:val="2"/>
          </w:tcPr>
          <w:p>
            <w:pPr>
              <w:ind w:left="660"/>
              <w:spacing w:after="0"/>
              <w:rPr>
                <w:sz w:val="20"/>
                <w:szCs w:val="20"/>
                <w:color w:val="auto"/>
              </w:rPr>
            </w:pPr>
            <w:r>
              <w:rPr>
                <w:rFonts w:ascii="Arial" w:cs="Arial" w:eastAsia="Arial" w:hAnsi="Arial"/>
                <w:sz w:val="18"/>
                <w:szCs w:val="18"/>
                <w:color w:val="auto"/>
              </w:rPr>
              <w:t>Restructuring payment/utilization:</w:t>
            </w: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Truck initiative</w:t>
            </w:r>
          </w:p>
        </w:tc>
        <w:tc>
          <w:tcPr>
            <w:tcW w:w="12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T17</w:t>
            </w:r>
          </w:p>
        </w:tc>
        <w:tc>
          <w:tcPr>
            <w:tcW w:w="12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T15</w:t>
            </w:r>
          </w:p>
        </w:tc>
        <w:tc>
          <w:tcPr>
            <w:tcW w:w="12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Acquisition integration</w:t>
            </w:r>
          </w:p>
        </w:tc>
        <w:tc>
          <w:tcPr>
            <w:tcW w:w="122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2017</w:t>
            </w:r>
          </w:p>
        </w:tc>
        <w:tc>
          <w:tcPr>
            <w:tcW w:w="12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5900" w:type="dxa"/>
            <w:vAlign w:val="bottom"/>
            <w:gridSpan w:val="2"/>
          </w:tcPr>
          <w:p>
            <w:pPr>
              <w:ind w:left="660"/>
              <w:spacing w:after="0"/>
              <w:rPr>
                <w:sz w:val="20"/>
                <w:szCs w:val="20"/>
                <w:color w:val="auto"/>
              </w:rPr>
            </w:pPr>
            <w:r>
              <w:rPr>
                <w:rFonts w:ascii="Arial" w:cs="Arial" w:eastAsia="Arial" w:hAnsi="Arial"/>
                <w:sz w:val="18"/>
                <w:szCs w:val="18"/>
                <w:color w:val="auto"/>
              </w:rPr>
              <w:t>Restructuring expense:</w:t>
            </w: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Workforce planning</w:t>
            </w:r>
          </w:p>
        </w:tc>
        <w:tc>
          <w:tcPr>
            <w:tcW w:w="122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Truck initiative</w:t>
            </w:r>
          </w:p>
        </w:tc>
        <w:tc>
          <w:tcPr>
            <w:tcW w:w="122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T17</w:t>
            </w:r>
          </w:p>
        </w:tc>
        <w:tc>
          <w:tcPr>
            <w:tcW w:w="122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T15</w:t>
            </w:r>
          </w:p>
        </w:tc>
        <w:tc>
          <w:tcPr>
            <w:tcW w:w="122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900" w:type="dxa"/>
            <w:vAlign w:val="bottom"/>
            <w:gridSpan w:val="2"/>
          </w:tcPr>
          <w:p>
            <w:pPr>
              <w:ind w:left="660"/>
              <w:spacing w:after="0"/>
              <w:rPr>
                <w:sz w:val="20"/>
                <w:szCs w:val="20"/>
                <w:color w:val="auto"/>
              </w:rPr>
            </w:pPr>
            <w:r>
              <w:rPr>
                <w:rFonts w:ascii="Arial" w:cs="Arial" w:eastAsia="Arial" w:hAnsi="Arial"/>
                <w:sz w:val="18"/>
                <w:szCs w:val="18"/>
                <w:color w:val="auto"/>
              </w:rPr>
              <w:t>Restructuring payment/utilization:</w:t>
            </w: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Workforce planning</w:t>
            </w:r>
          </w:p>
        </w:tc>
        <w:tc>
          <w:tcPr>
            <w:tcW w:w="12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Truck initiative</w:t>
            </w:r>
          </w:p>
        </w:tc>
        <w:tc>
          <w:tcPr>
            <w:tcW w:w="12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T17</w:t>
            </w:r>
          </w:p>
        </w:tc>
        <w:tc>
          <w:tcPr>
            <w:tcW w:w="12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T15</w:t>
            </w: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2018</w:t>
            </w:r>
          </w:p>
        </w:tc>
        <w:tc>
          <w:tcPr>
            <w:tcW w:w="122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5900" w:type="dxa"/>
            <w:vAlign w:val="bottom"/>
            <w:gridSpan w:val="2"/>
          </w:tcPr>
          <w:p>
            <w:pPr>
              <w:ind w:left="660"/>
              <w:spacing w:after="0"/>
              <w:rPr>
                <w:sz w:val="20"/>
                <w:szCs w:val="20"/>
                <w:color w:val="auto"/>
              </w:rPr>
            </w:pPr>
            <w:r>
              <w:rPr>
                <w:rFonts w:ascii="Arial" w:cs="Arial" w:eastAsia="Arial" w:hAnsi="Arial"/>
                <w:sz w:val="18"/>
                <w:szCs w:val="18"/>
                <w:color w:val="auto"/>
              </w:rPr>
              <w:t>Restructuring expense:</w:t>
            </w: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T19</w:t>
            </w:r>
          </w:p>
        </w:tc>
        <w:tc>
          <w:tcPr>
            <w:tcW w:w="122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Brazil</w:t>
            </w:r>
          </w:p>
        </w:tc>
        <w:tc>
          <w:tcPr>
            <w:tcW w:w="122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5900" w:type="dxa"/>
            <w:vAlign w:val="bottom"/>
            <w:gridSpan w:val="2"/>
          </w:tcPr>
          <w:p>
            <w:pPr>
              <w:ind w:left="660"/>
              <w:spacing w:after="0"/>
              <w:rPr>
                <w:sz w:val="20"/>
                <w:szCs w:val="20"/>
                <w:color w:val="auto"/>
              </w:rPr>
            </w:pPr>
            <w:r>
              <w:rPr>
                <w:rFonts w:ascii="Arial" w:cs="Arial" w:eastAsia="Arial" w:hAnsi="Arial"/>
                <w:sz w:val="18"/>
                <w:szCs w:val="18"/>
                <w:color w:val="auto"/>
              </w:rPr>
              <w:t>Restructuring payment/utilization:</w:t>
            </w: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4"/>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T19</w:t>
            </w:r>
          </w:p>
        </w:tc>
        <w:tc>
          <w:tcPr>
            <w:tcW w:w="12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Brazil</w:t>
            </w:r>
          </w:p>
        </w:tc>
        <w:tc>
          <w:tcPr>
            <w:tcW w:w="12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5900" w:type="dxa"/>
            <w:vAlign w:val="bottom"/>
            <w:gridSpan w:val="2"/>
          </w:tcPr>
          <w:p>
            <w:pPr>
              <w:ind w:left="760"/>
              <w:spacing w:after="0"/>
              <w:rPr>
                <w:sz w:val="20"/>
                <w:szCs w:val="20"/>
                <w:color w:val="auto"/>
              </w:rPr>
            </w:pPr>
            <w:r>
              <w:rPr>
                <w:rFonts w:ascii="Arial" w:cs="Arial" w:eastAsia="Arial" w:hAnsi="Arial"/>
                <w:sz w:val="18"/>
                <w:szCs w:val="18"/>
                <w:color w:val="auto"/>
              </w:rPr>
              <w:t>Workforce planning</w:t>
            </w:r>
          </w:p>
        </w:tc>
        <w:tc>
          <w:tcPr>
            <w:tcW w:w="122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590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2019</w:t>
            </w:r>
          </w:p>
        </w:tc>
        <w:tc>
          <w:tcPr>
            <w:tcW w:w="122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4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43"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In May 2019, the Company announced the resignation of Larry D. De Shon as the Company’s President and Chief Executive Officer. Mr. De Shon continued to serve in his role until a successor had been named and was employed by the Company through December 31, 2019. In connection with Mr. De Shon’s departure, the Company recorded other related charges of approximately $14 million, inclusive of accelerated stock-based compensation expense and executive search firm fees.</w:t>
      </w:r>
    </w:p>
    <w:p>
      <w:pPr>
        <w:spacing w:after="0" w:line="204" w:lineRule="exact"/>
        <w:rPr>
          <w:sz w:val="20"/>
          <w:szCs w:val="20"/>
          <w:color w:val="auto"/>
        </w:rPr>
      </w:pPr>
    </w:p>
    <w:p>
      <w:pPr>
        <w:ind w:left="500" w:right="140"/>
        <w:spacing w:after="0" w:line="256" w:lineRule="auto"/>
        <w:rPr>
          <w:sz w:val="20"/>
          <w:szCs w:val="20"/>
          <w:color w:val="auto"/>
        </w:rPr>
      </w:pPr>
      <w:r>
        <w:rPr>
          <w:rFonts w:ascii="Arial" w:cs="Arial" w:eastAsia="Arial" w:hAnsi="Arial"/>
          <w:sz w:val="18"/>
          <w:szCs w:val="18"/>
          <w:color w:val="auto"/>
        </w:rPr>
        <w:t>In March 2019, the Company announced the resignation of Mark J. Servodidio as the Company’s President, International effective June 14, 2019. In connection with Mr. Servodidio’s departure, the Company recorded other related charges of approximately $4 million, inclusive of accelerated stock-based compensation expense.</w:t>
      </w:r>
    </w:p>
    <w:p>
      <w:pPr>
        <w:spacing w:after="0" w:line="202"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On May 12, 2017, the Company announced the resignation of David B. Wyshner as the Company’s President and Chief Financial Officer. In connection with Mr. Wyshner’s departure, the Company recorded other related charges of $7 million during the year ended December 31, 2017, inclusive of accelerated stock-based compensation expense of $2 million.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Plans (“LVOP”)</w:t>
      </w:r>
    </w:p>
    <w:p>
      <w:pPr>
        <w:spacing w:after="0" w:line="243"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During 2017, the Company offered voluntary termination programs to certain employees in the Americas’ field operations, shared services, and general and administrative functions for a limited time. These employees, if qualified, elected resignation from employment in return for enhanced severance benefits to be settled in cash. During the year ended December 31, 2017, the Company recorded other related charges of $16 million in connection with LVOP.</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08"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00" w:right="10100" w:hanging="492"/>
        <w:spacing w:after="0" w:line="530" w:lineRule="auto"/>
        <w:tabs>
          <w:tab w:leader="none" w:pos="214"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b w:val="1"/>
          <w:bCs w:val="1"/>
          <w:u w:val="single" w:color="auto"/>
          <w:color w:val="auto"/>
        </w:rPr>
        <w:t>2019</w:t>
      </w: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Avis and Budget Licensees</w:t>
      </w:r>
    </w:p>
    <w:p>
      <w:pPr>
        <w:spacing w:after="0" w:line="247"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In 2019, the Company completed the acquisitions of various licensees primarily in North America, for approximately $55 million, plus $27 million for acquired fleet, of which $74 million was paid. The remaining $8 million of the purchase price will be paid primarily in 2020. These investments were in-line with the Company’s strategy to re-acquire licensees when advantageous to expand its footprint of Company-operated locations. The acquired fleet was financed under the Company’s existing financing arrangements. The excess of the purchase price over preliminary fair value of net assets acquired was allocated to goodwill, which was assigned to the Company’s Americas reportable segment. In connection with these acquisitions, approximately $21 million was recorded in goodwill, other intangibles of $24 million related to license agreements and $7 million related to customer relationships. The license agreements and customer relationships are being amortized over a weighted average useful life of approximately three years. The goodwill is expected to be deductible for tax purposes. The fair value of the assets acquired and liabilities assumed has not yet been finalized and is therefore subject to change.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2018</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Turiscar Group</w:t>
      </w:r>
    </w:p>
    <w:p>
      <w:pPr>
        <w:spacing w:after="0" w:line="247"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In October 2018, the Company completed the acquisition of Turiscar Group, a provider of vehicle rental services in Portugal, for €22 million (approximately $25 million), net of acquired cash, of which €23 million (approximately $26 million) was paid. The remaining € 4 million of the purchase price will be paid during the three months ended December 31, 2020. The investment enabled the Company to strengthen and expand its commitment in the Portuguese market. The excess of the purchase price over preliminary fair value of net assets acquired was allocated to goodwill, which was assigned to the Company’s International reportable segment. In connection with this acquisition, approximately $12 million was recorded in goodwill, and other intangibles of $10 million related to customer relationships and $2 million related to trademarks were recorded. The customer relationships and trademarks are being amortized over a weighted average useful life of approximately 11 years. The goodwill is not deductible for tax purposes. Differences between the preliminary allocation of purchase price and the final allocation were not material.</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Morini S.p.A.</w:t>
      </w:r>
    </w:p>
    <w:p>
      <w:pPr>
        <w:spacing w:after="0" w:line="247"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In July 2018, the Company completed the acquisition of Morini S.p.A. (”Morini”) for €35 million (approximately $40 million), net of acquired cash, plus potential earn-out payments of €5 million (approximately $6 million) based on Morini’s performance over the next two years. During the year ended December 31, 2018, the Company paid €28 million (approximately $32 million). The remaining €7 million of the purchase price will be paid during the three months ended March 31, 2020. The investment enabled the Company to expand its footprint of vehicle rental services in Northern Italy. The excess of the purchase price over preliminary fair value of net assets acquired was allocated to goodwill, which was assigned to the Company’s International reportable segment. In connection with this acquisition, approximately $42 million was recorded in goodwill, and other intangibles of $6 million related to customer relationships, $3 million related to trademarks and $2 million related to license agreements were recorded. The customer relationships, trademarks and license agreements are being amortized over a weighted average useful life of approximately six years. The goodwill is not deductible for tax purposes. Differences between the preliminary allocation of purchase price and the final allocation were not material.</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Avis and Budget Licensees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2018, the Company completed the acquisitions of various licensees in Europe and North America, for</w:t>
      </w:r>
    </w:p>
    <w:p>
      <w:pPr>
        <w:spacing w:after="0" w:line="9" w:lineRule="exact"/>
        <w:rPr>
          <w:sz w:val="20"/>
          <w:szCs w:val="20"/>
          <w:color w:val="auto"/>
        </w:rPr>
      </w:pPr>
    </w:p>
    <w:p>
      <w:pPr>
        <w:ind w:left="500" w:right="400"/>
        <w:spacing w:after="0" w:line="256" w:lineRule="auto"/>
        <w:rPr>
          <w:sz w:val="20"/>
          <w:szCs w:val="20"/>
          <w:color w:val="auto"/>
        </w:rPr>
      </w:pPr>
      <w:r>
        <w:rPr>
          <w:rFonts w:ascii="Arial" w:cs="Arial" w:eastAsia="Arial" w:hAnsi="Arial"/>
          <w:sz w:val="18"/>
          <w:szCs w:val="18"/>
          <w:color w:val="auto"/>
        </w:rPr>
        <w:t>approximately $38 million, net of acquired cash. These investments were in line with the Company’s strategy to re-acquire licensees when advantageous to expand its footprint of Company-operated locations. The acquired fleet was financed under the Company’s existing financing arrangements. In connection with</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140"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500" w:right="140"/>
        <w:spacing w:after="0" w:line="256" w:lineRule="auto"/>
        <w:rPr>
          <w:sz w:val="20"/>
          <w:szCs w:val="20"/>
          <w:color w:val="auto"/>
        </w:rPr>
      </w:pPr>
      <w:r>
        <w:rPr>
          <w:rFonts w:ascii="Arial" w:cs="Arial" w:eastAsia="Arial" w:hAnsi="Arial"/>
          <w:sz w:val="18"/>
          <w:szCs w:val="18"/>
          <w:color w:val="auto"/>
        </w:rPr>
        <w:t>these acquisitions, other intangibles of approximately $42 million related to license agreements was recorded. The license agreements are being amortized over a weighted average useful life of approximately two years. Differences between the preliminary allocation of purchase price and the final allocation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rPr>
              <w:t>As of December 31, 2019</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As of December 31, 2018</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Carrying</w:t>
            </w:r>
          </w:p>
        </w:tc>
        <w:tc>
          <w:tcPr>
            <w:tcW w:w="160" w:type="dxa"/>
            <w:vAlign w:val="bottom"/>
          </w:tcPr>
          <w:p>
            <w:pPr>
              <w:spacing w:after="0"/>
              <w:rPr>
                <w:sz w:val="16"/>
                <w:szCs w:val="16"/>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228"/>
        </w:trPr>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9"/>
                <w:szCs w:val="19"/>
                <w:color w:val="auto"/>
              </w:rPr>
            </w:pP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2920" w:type="dxa"/>
            <w:vAlign w:val="bottom"/>
          </w:tcPr>
          <w:p>
            <w:pPr>
              <w:ind w:left="20"/>
              <w:spacing w:after="0"/>
              <w:rPr>
                <w:sz w:val="20"/>
                <w:szCs w:val="20"/>
                <w:color w:val="auto"/>
              </w:rPr>
            </w:pPr>
            <w:r>
              <w:rPr>
                <w:rFonts w:ascii="Arial" w:cs="Arial" w:eastAsia="Arial" w:hAnsi="Arial"/>
                <w:sz w:val="16"/>
                <w:szCs w:val="16"/>
                <w:color w:val="auto"/>
              </w:rPr>
              <w:t xml:space="preserve">License agreements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241</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(b)</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9"/>
        </w:trPr>
        <w:tc>
          <w:tcPr>
            <w:tcW w:w="2920" w:type="dxa"/>
            <w:vAlign w:val="bottom"/>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546</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9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2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3 to 40 years with a weighted average life of 19 years.</w:t>
      </w:r>
    </w:p>
    <w:p>
      <w:pPr>
        <w:ind w:left="820" w:hanging="326"/>
        <w:spacing w:after="0" w:line="187" w:lineRule="auto"/>
        <w:tabs>
          <w:tab w:leader="none" w:pos="82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3 to 20 years with a weighted average life of 11 years.</w:t>
      </w:r>
    </w:p>
    <w:p>
      <w:pPr>
        <w:ind w:left="820" w:hanging="326"/>
        <w:spacing w:after="0" w:line="199" w:lineRule="auto"/>
        <w:tabs>
          <w:tab w:leader="none" w:pos="82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0 to 10 years with a weighted average life of 9 years.</w:t>
      </w:r>
    </w:p>
    <w:p>
      <w:pPr>
        <w:spacing w:after="0" w:line="147"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During 2017, the Company recorded an impairment related to the unamortized Zipcar trademark of $ 2 million based on a combination of observable and unobservable fair value inputs (Level 3), specifically the Income approach-relief from royalty method, which considers market inputs.</w:t>
      </w:r>
    </w:p>
    <w:p>
      <w:pPr>
        <w:spacing w:after="0" w:line="202"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Amortization expense relating to all intangible assets was as follows: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99"/>
        </w:trPr>
        <w:tc>
          <w:tcPr>
            <w:tcW w:w="57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r>
      <w:tr>
        <w:trPr>
          <w:trHeight w:val="264"/>
        </w:trPr>
        <w:tc>
          <w:tcPr>
            <w:tcW w:w="5740" w:type="dxa"/>
            <w:vAlign w:val="bottom"/>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License agreements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5740" w:type="dxa"/>
            <w:vAlign w:val="bottom"/>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5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left="500" w:right="220"/>
        <w:spacing w:after="0" w:line="256" w:lineRule="auto"/>
        <w:rPr>
          <w:sz w:val="20"/>
          <w:szCs w:val="20"/>
          <w:color w:val="auto"/>
        </w:rPr>
      </w:pPr>
      <w:r>
        <w:rPr>
          <w:rFonts w:ascii="Arial" w:cs="Arial" w:eastAsia="Arial" w:hAnsi="Arial"/>
          <w:sz w:val="18"/>
          <w:szCs w:val="18"/>
          <w:color w:val="auto"/>
        </w:rPr>
        <w:t>Based on the Company’s amortizable intangible assets at December 31, 2019, the Company expects related amortization expense of approximately $53 million for 2020, $43 million for 2021, $32 million for 2022, $24 million for 2023 and $22 million for 2024 excluding effects of currency exchange rates.</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The carrying amounts of goodwill and related changes are as follows: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9"/>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 Company</w:t>
            </w:r>
          </w:p>
        </w:tc>
      </w:tr>
      <w:tr>
        <w:trPr>
          <w:trHeight w:val="527"/>
        </w:trPr>
        <w:tc>
          <w:tcPr>
            <w:tcW w:w="5740" w:type="dxa"/>
            <w:vAlign w:val="bottom"/>
          </w:tcPr>
          <w:p>
            <w:pPr>
              <w:ind w:left="20"/>
              <w:spacing w:after="0"/>
              <w:rPr>
                <w:sz w:val="20"/>
                <w:szCs w:val="20"/>
                <w:color w:val="auto"/>
              </w:rPr>
            </w:pPr>
            <w:r>
              <w:rPr>
                <w:rFonts w:ascii="Arial" w:cs="Arial" w:eastAsia="Arial" w:hAnsi="Arial"/>
                <w:sz w:val="18"/>
                <w:szCs w:val="18"/>
                <w:color w:val="auto"/>
              </w:rPr>
              <w:t>Gross goodwill as of January 1, 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4"/>
                <w:szCs w:val="24"/>
                <w:color w:val="auto"/>
              </w:rPr>
            </w:pPr>
          </w:p>
        </w:tc>
        <w:tc>
          <w:tcPr>
            <w:tcW w:w="5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3,191</w:t>
            </w:r>
          </w:p>
        </w:tc>
      </w:tr>
      <w:tr>
        <w:trPr>
          <w:trHeight w:val="277"/>
        </w:trPr>
        <w:tc>
          <w:tcPr>
            <w:tcW w:w="5740" w:type="dxa"/>
            <w:vAlign w:val="bottom"/>
          </w:tcPr>
          <w:p>
            <w:pPr>
              <w:ind w:left="220"/>
              <w:spacing w:after="0"/>
              <w:rPr>
                <w:sz w:val="20"/>
                <w:szCs w:val="20"/>
                <w:color w:val="auto"/>
              </w:rPr>
            </w:pPr>
            <w:r>
              <w:rPr>
                <w:rFonts w:ascii="Arial" w:cs="Arial" w:eastAsia="Arial" w:hAnsi="Arial"/>
                <w:sz w:val="18"/>
                <w:szCs w:val="18"/>
                <w:color w:val="auto"/>
              </w:rPr>
              <w:t>Accumulated impairment losses as of January 1, 2018</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Goodwill as of January 1, 2018</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1,073</w:t>
            </w: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7"/>
        </w:trPr>
        <w:tc>
          <w:tcPr>
            <w:tcW w:w="5740" w:type="dxa"/>
            <w:vAlign w:val="bottom"/>
          </w:tcPr>
          <w:p>
            <w:pPr>
              <w:ind w:left="22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Goodwill as of December 31, 2018</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5740" w:type="dxa"/>
            <w:vAlign w:val="bottom"/>
          </w:tcPr>
          <w:p>
            <w:pPr>
              <w:ind w:left="22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Goodwill as of December 31, 2019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40"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20"/>
          </w:cols>
          <w:pgMar w:left="240" w:top="140"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53"/>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8. Vehicle Rental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7800" w:type="dxa"/>
            <w:vAlign w:val="bottom"/>
            <w:gridSpan w:val="2"/>
          </w:tcPr>
          <w:p>
            <w:pPr>
              <w:ind w:left="500"/>
              <w:spacing w:after="0"/>
              <w:rPr>
                <w:sz w:val="20"/>
                <w:szCs w:val="20"/>
                <w:color w:val="auto"/>
              </w:rPr>
            </w:pPr>
            <w:r>
              <w:rPr>
                <w:rFonts w:ascii="Arial" w:cs="Arial" w:eastAsia="Arial" w:hAnsi="Arial"/>
                <w:sz w:val="18"/>
                <w:szCs w:val="18"/>
                <w:color w:val="auto"/>
              </w:rPr>
              <w:t>The components of vehicles, net within assets under vehicle programs are as follows: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140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43"/>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Rental vehicles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13,461</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12,548</w:t>
            </w:r>
          </w:p>
        </w:tc>
      </w:tr>
      <w:tr>
        <w:trPr>
          <w:trHeight w:val="277"/>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r>
      <w:tr>
        <w:trPr>
          <w:trHeight w:val="243"/>
        </w:trPr>
        <w:tc>
          <w:tcPr>
            <w:tcW w:w="140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10,878</w:t>
            </w:r>
          </w:p>
        </w:tc>
      </w:tr>
      <w:tr>
        <w:trPr>
          <w:trHeight w:val="277"/>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Vehicles held for sale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50"/>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Vehicles,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12,177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w:t>
            </w:r>
          </w:p>
        </w:tc>
      </w:tr>
      <w:tr>
        <w:trPr>
          <w:trHeight w:val="20"/>
        </w:trPr>
        <w:tc>
          <w:tcPr>
            <w:tcW w:w="14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7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1"/>
                <w:szCs w:val="21"/>
                <w:color w:val="auto"/>
              </w:rPr>
            </w:pPr>
          </w:p>
        </w:tc>
      </w:tr>
      <w:tr>
        <w:trPr>
          <w:trHeight w:val="264"/>
        </w:trPr>
        <w:tc>
          <w:tcPr>
            <w:tcW w:w="57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Depreciation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1,947</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Lease charges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7"/>
        </w:trPr>
        <w:tc>
          <w:tcPr>
            <w:tcW w:w="572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right="160"/>
        <w:spacing w:after="0" w:line="278" w:lineRule="auto"/>
        <w:rPr>
          <w:sz w:val="20"/>
          <w:szCs w:val="20"/>
          <w:color w:val="auto"/>
        </w:rPr>
      </w:pPr>
      <w:r>
        <w:rPr>
          <w:rFonts w:ascii="Arial" w:cs="Arial" w:eastAsia="Arial" w:hAnsi="Arial"/>
          <w:sz w:val="17"/>
          <w:szCs w:val="17"/>
          <w:color w:val="auto"/>
        </w:rPr>
        <w:t>At December 31, 2019, 2018 and 2017, the Company had payables related to vehicle purchases included in liabilities under vehicle programs - other of $418 million, $472 million and $346 million, respectively, and receivables related to vehicle sales included in assets under vehicle programs - receivables from vehicle manufacturers and other of $576 million, $622 million and $545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47"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On December 22, 2017 the Tax Act made substantial changes to corporate income tax laws. Among the key provisions were a U.S. corporate tax rate reduction from 35% to 21% effective for tax years beginning January 1, 2018 and a one-time transition tax on the deemed repatriation of cumulative earnings from foreign subsidiaries and changes to U.S. taxation of foreign earnings from a worldwide to a territorial tax system effective for tax years beginning January 1, 2018. The Company recognized the effects of the Tax Act in its Consolidated Financial Statements in accordance with Staff Accounting Bulletin No. 118, which provides SEC staff guidance for the application of FASB Accounting Standards Codification Topic 740, Income Taxes, in the reporting period that the Tax Act was signed into law.</w:t>
      </w:r>
    </w:p>
    <w:p>
      <w:pPr>
        <w:spacing w:after="0" w:line="167" w:lineRule="exact"/>
        <w:rPr>
          <w:sz w:val="20"/>
          <w:szCs w:val="20"/>
          <w:color w:val="auto"/>
        </w:rPr>
      </w:pPr>
    </w:p>
    <w:p>
      <w:pPr>
        <w:jc w:val="both"/>
        <w:ind w:left="500" w:right="40"/>
        <w:spacing w:after="0" w:line="256" w:lineRule="auto"/>
        <w:rPr>
          <w:sz w:val="20"/>
          <w:szCs w:val="20"/>
          <w:color w:val="auto"/>
        </w:rPr>
      </w:pPr>
      <w:r>
        <w:rPr>
          <w:rFonts w:ascii="Arial" w:cs="Arial" w:eastAsia="Arial" w:hAnsi="Arial"/>
          <w:sz w:val="18"/>
          <w:szCs w:val="18"/>
          <w:color w:val="auto"/>
        </w:rPr>
        <w:t>In 2017 the Company recorded a provisional income tax benefit of $317 million related to the remeasurement of its net deferred income tax liabilities as a result of the reduced corporate tax rate, and a provisional tax expense of $104 million for the one-time transition tax on the deemed repatriation of cumulative foreign subsidiary earnings.</w:t>
      </w:r>
    </w:p>
    <w:p>
      <w:pPr>
        <w:spacing w:after="0" w:line="161"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Company completed the accounting for the effects of the Tax Act during 2018 and recorded an additional income tax expense of $30 million for the one-time transition tax on the deemed repatriation of foreign earnings.</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108" w:right="2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615"/>
        </w:trPr>
        <w:tc>
          <w:tcPr>
            <w:tcW w:w="6260" w:type="dxa"/>
            <w:vAlign w:val="bottom"/>
            <w:gridSpan w:val="2"/>
          </w:tcPr>
          <w:p>
            <w:pPr>
              <w:ind w:left="500"/>
              <w:spacing w:after="0"/>
              <w:rPr>
                <w:sz w:val="20"/>
                <w:szCs w:val="20"/>
                <w:color w:val="auto"/>
              </w:rPr>
            </w:pPr>
            <w:r>
              <w:rPr>
                <w:rFonts w:ascii="Arial" w:cs="Arial" w:eastAsia="Arial" w:hAnsi="Arial"/>
                <w:sz w:val="18"/>
                <w:szCs w:val="18"/>
                <w:color w:val="auto"/>
              </w:rPr>
              <w:t>The provision for (benefit from) income taxes consists of the following:</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30"/>
        </w:trPr>
        <w:tc>
          <w:tcPr>
            <w:tcW w:w="6260" w:type="dxa"/>
            <w:vAlign w:val="bottom"/>
            <w:gridSpan w:val="2"/>
          </w:tcPr>
          <w:p>
            <w:pPr>
              <w:ind w:left="520"/>
              <w:spacing w:after="0"/>
              <w:rPr>
                <w:sz w:val="20"/>
                <w:szCs w:val="20"/>
                <w:color w:val="auto"/>
              </w:rPr>
            </w:pPr>
            <w:r>
              <w:rPr>
                <w:rFonts w:ascii="Arial" w:cs="Arial" w:eastAsia="Arial" w:hAnsi="Arial"/>
                <w:sz w:val="18"/>
                <w:szCs w:val="18"/>
                <w:b w:val="1"/>
                <w:bCs w:val="1"/>
                <w:color w:val="auto"/>
              </w:rPr>
              <w:t>Current</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7"/>
        </w:trPr>
        <w:tc>
          <w:tcPr>
            <w:tcW w:w="6260" w:type="dxa"/>
            <w:vAlign w:val="bottom"/>
            <w:gridSpan w:val="2"/>
          </w:tcPr>
          <w:p>
            <w:pPr>
              <w:ind w:left="62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260" w:type="dxa"/>
            <w:vAlign w:val="bottom"/>
            <w:gridSpan w:val="2"/>
          </w:tcPr>
          <w:p>
            <w:pPr>
              <w:ind w:left="62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6260" w:type="dxa"/>
            <w:vAlign w:val="bottom"/>
            <w:gridSpan w:val="2"/>
          </w:tcPr>
          <w:p>
            <w:pPr>
              <w:ind w:left="6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50"/>
        </w:trPr>
        <w:tc>
          <w:tcPr>
            <w:tcW w:w="6260" w:type="dxa"/>
            <w:vAlign w:val="bottom"/>
            <w:gridSpan w:val="2"/>
          </w:tcPr>
          <w:p>
            <w:pPr>
              <w:ind w:left="620"/>
              <w:spacing w:after="0"/>
              <w:rPr>
                <w:sz w:val="20"/>
                <w:szCs w:val="20"/>
                <w:color w:val="auto"/>
              </w:rPr>
            </w:pPr>
            <w:r>
              <w:rPr>
                <w:rFonts w:ascii="Arial" w:cs="Arial" w:eastAsia="Arial" w:hAnsi="Arial"/>
                <w:sz w:val="18"/>
                <w:szCs w:val="18"/>
                <w:color w:val="auto"/>
              </w:rPr>
              <w:t>Current income tax provision</w:t>
            </w:r>
          </w:p>
        </w:tc>
        <w:tc>
          <w:tcPr>
            <w:tcW w:w="9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513"/>
        </w:trPr>
        <w:tc>
          <w:tcPr>
            <w:tcW w:w="6260" w:type="dxa"/>
            <w:vAlign w:val="bottom"/>
            <w:gridSpan w:val="2"/>
          </w:tcPr>
          <w:p>
            <w:pPr>
              <w:ind w:left="520"/>
              <w:spacing w:after="0"/>
              <w:rPr>
                <w:sz w:val="20"/>
                <w:szCs w:val="20"/>
                <w:color w:val="auto"/>
              </w:rPr>
            </w:pPr>
            <w:r>
              <w:rPr>
                <w:rFonts w:ascii="Arial" w:cs="Arial" w:eastAsia="Arial" w:hAnsi="Arial"/>
                <w:sz w:val="18"/>
                <w:szCs w:val="18"/>
                <w:b w:val="1"/>
                <w:bCs w:val="1"/>
                <w:color w:val="auto"/>
              </w:rPr>
              <w:t>Deferred</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6260" w:type="dxa"/>
            <w:vAlign w:val="bottom"/>
            <w:gridSpan w:val="2"/>
          </w:tcPr>
          <w:p>
            <w:pPr>
              <w:ind w:left="620"/>
              <w:spacing w:after="0"/>
              <w:rPr>
                <w:sz w:val="20"/>
                <w:szCs w:val="20"/>
                <w:color w:val="auto"/>
              </w:rPr>
            </w:pPr>
            <w:r>
              <w:rPr>
                <w:rFonts w:ascii="Arial" w:cs="Arial" w:eastAsia="Arial" w:hAnsi="Arial"/>
                <w:sz w:val="18"/>
                <w:szCs w:val="18"/>
                <w:color w:val="auto"/>
              </w:rPr>
              <w:t>Federal</w:t>
            </w: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0"/>
        </w:trPr>
        <w:tc>
          <w:tcPr>
            <w:tcW w:w="6260" w:type="dxa"/>
            <w:vAlign w:val="bottom"/>
            <w:gridSpan w:val="2"/>
          </w:tcPr>
          <w:p>
            <w:pPr>
              <w:ind w:left="62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6260" w:type="dxa"/>
            <w:vAlign w:val="bottom"/>
            <w:gridSpan w:val="2"/>
          </w:tcPr>
          <w:p>
            <w:pPr>
              <w:ind w:left="6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6260" w:type="dxa"/>
            <w:vAlign w:val="bottom"/>
            <w:gridSpan w:val="2"/>
          </w:tcPr>
          <w:p>
            <w:pPr>
              <w:ind w:left="620"/>
              <w:spacing w:after="0"/>
              <w:rPr>
                <w:sz w:val="20"/>
                <w:szCs w:val="20"/>
                <w:color w:val="auto"/>
              </w:rPr>
            </w:pPr>
            <w:r>
              <w:rPr>
                <w:rFonts w:ascii="Arial" w:cs="Arial" w:eastAsia="Arial" w:hAnsi="Arial"/>
                <w:sz w:val="18"/>
                <w:szCs w:val="18"/>
                <w:color w:val="auto"/>
              </w:rPr>
              <w:t>Deferred income tax provision</w:t>
            </w:r>
          </w:p>
        </w:tc>
        <w:tc>
          <w:tcPr>
            <w:tcW w:w="9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50"/>
        </w:trPr>
        <w:tc>
          <w:tcPr>
            <w:tcW w:w="6260" w:type="dxa"/>
            <w:vAlign w:val="bottom"/>
            <w:gridSpan w:val="2"/>
          </w:tcPr>
          <w:p>
            <w:pPr>
              <w:ind w:left="520"/>
              <w:spacing w:after="0"/>
              <w:rPr>
                <w:sz w:val="20"/>
                <w:szCs w:val="20"/>
                <w:color w:val="auto"/>
              </w:rPr>
            </w:pPr>
            <w:r>
              <w:rPr>
                <w:rFonts w:ascii="Arial" w:cs="Arial" w:eastAsia="Arial" w:hAnsi="Arial"/>
                <w:sz w:val="18"/>
                <w:szCs w:val="18"/>
                <w:color w:val="auto"/>
              </w:rPr>
              <w:t>Provision for (benefit from) income taxes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14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Pretax income for domestic and foreign operations consists of the following:</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7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1"/>
                <w:szCs w:val="21"/>
                <w:color w:val="auto"/>
              </w:rPr>
            </w:pPr>
          </w:p>
        </w:tc>
      </w:tr>
      <w:tr>
        <w:trPr>
          <w:trHeight w:val="264"/>
        </w:trPr>
        <w:tc>
          <w:tcPr>
            <w:tcW w:w="57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United States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7"/>
        </w:trPr>
        <w:tc>
          <w:tcPr>
            <w:tcW w:w="5720" w:type="dxa"/>
            <w:vAlign w:val="bottom"/>
          </w:tcPr>
          <w:p>
            <w:pPr>
              <w:spacing w:after="0"/>
              <w:rPr>
                <w:sz w:val="20"/>
                <w:szCs w:val="20"/>
                <w:color w:val="auto"/>
              </w:rPr>
            </w:pPr>
            <w:r>
              <w:rPr>
                <w:rFonts w:ascii="Arial" w:cs="Arial" w:eastAsia="Arial" w:hAnsi="Arial"/>
                <w:sz w:val="18"/>
                <w:szCs w:val="18"/>
                <w:color w:val="auto"/>
              </w:rPr>
              <w:t>Foreign</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Pretax income</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5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assets and liabilities are comprised of the following:</w:t>
      </w:r>
    </w:p>
    <w:p>
      <w:pPr>
        <w:spacing w:after="0" w:line="16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28575</wp:posOffset>
            </wp:positionV>
            <wp:extent cx="19208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ind w:left="8320"/>
        <w:spacing w:after="0"/>
        <w:tabs>
          <w:tab w:leader="none" w:pos="98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28575</wp:posOffset>
            </wp:positionV>
            <wp:extent cx="19208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ectPr>
          <w:pgSz w:w="11900" w:h="16838" w:orient="portrait"/>
          <w:cols w:equalWidth="0" w:num="1">
            <w:col w:w="11300"/>
          </w:cols>
          <w:pgMar w:left="240" w:top="108" w:right="359" w:bottom="1440" w:gutter="0" w:footer="0" w:header="0"/>
        </w:sectPr>
      </w:pP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Deferred income tax assets: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Net tax loss carryforwards</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Long-term operating lease liabilities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Accrued liabilities and deferred revenue</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Tax credits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Provision for doubtful accounts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w:t>
      </w:r>
    </w:p>
    <w:p>
      <w:pPr>
        <w:spacing w:after="0" w:line="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21"/>
          <w:szCs w:val="21"/>
          <w:color w:val="auto"/>
          <w:vertAlign w:val="superscript"/>
        </w:rPr>
        <w:t>(a)</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income tax assets</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8"/>
                <w:szCs w:val="18"/>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70"/>
        </w:trPr>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0"/>
        </w:trPr>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250"/>
        </w:trPr>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r>
    </w:tbl>
    <w:p>
      <w:pPr>
        <w:spacing w:after="0" w:line="200" w:lineRule="exact"/>
        <w:rPr>
          <w:sz w:val="20"/>
          <w:szCs w:val="20"/>
          <w:color w:val="auto"/>
        </w:rPr>
      </w:pPr>
    </w:p>
    <w:p>
      <w:pPr>
        <w:sectPr>
          <w:pgSz w:w="11900" w:h="16838" w:orient="portrait"/>
          <w:cols w:equalWidth="0" w:num="2">
            <w:col w:w="7080" w:space="720"/>
            <w:col w:w="3500"/>
          </w:cols>
          <w:pgMar w:left="240" w:top="108" w:right="359" w:bottom="1440" w:gutter="0" w:footer="0" w:header="0"/>
          <w:type w:val="continuous"/>
        </w:sectPr>
      </w:pPr>
    </w:p>
    <w:p>
      <w:pPr>
        <w:spacing w:after="0" w:line="38"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80" w:type="dxa"/>
            <w:vAlign w:val="bottom"/>
          </w:tcPr>
          <w:p>
            <w:pPr>
              <w:spacing w:after="0"/>
              <w:rPr>
                <w:sz w:val="20"/>
                <w:szCs w:val="20"/>
                <w:color w:val="auto"/>
              </w:rPr>
            </w:pPr>
            <w:r>
              <w:rPr>
                <w:rFonts w:ascii="Arial" w:cs="Arial" w:eastAsia="Arial" w:hAnsi="Arial"/>
                <w:sz w:val="18"/>
                <w:szCs w:val="18"/>
                <w:i w:val="1"/>
                <w:iCs w:val="1"/>
                <w:color w:val="auto"/>
              </w:rPr>
              <w:t>Deferred income tax liabilities:</w:t>
            </w: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4"/>
        </w:trPr>
        <w:tc>
          <w:tcPr>
            <w:tcW w:w="7280" w:type="dxa"/>
            <w:vAlign w:val="bottom"/>
          </w:tcPr>
          <w:p>
            <w:pPr>
              <w:ind w:left="100"/>
              <w:spacing w:after="0"/>
              <w:rPr>
                <w:sz w:val="20"/>
                <w:szCs w:val="20"/>
                <w:color w:val="auto"/>
              </w:rPr>
            </w:pPr>
            <w:r>
              <w:rPr>
                <w:rFonts w:ascii="Arial" w:cs="Arial" w:eastAsia="Arial" w:hAnsi="Arial"/>
                <w:sz w:val="18"/>
                <w:szCs w:val="18"/>
                <w:color w:val="auto"/>
              </w:rPr>
              <w:t>Operating lease right-of-use assets</w:t>
            </w:r>
          </w:p>
        </w:tc>
        <w:tc>
          <w:tcPr>
            <w:tcW w:w="5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2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7280" w:type="dxa"/>
            <w:vAlign w:val="bottom"/>
          </w:tcPr>
          <w:p>
            <w:pPr>
              <w:ind w:left="100"/>
              <w:spacing w:after="0"/>
              <w:rPr>
                <w:sz w:val="20"/>
                <w:szCs w:val="20"/>
                <w:color w:val="auto"/>
              </w:rPr>
            </w:pPr>
            <w:r>
              <w:rPr>
                <w:rFonts w:ascii="Arial" w:cs="Arial" w:eastAsia="Arial" w:hAnsi="Arial"/>
                <w:sz w:val="18"/>
                <w:szCs w:val="18"/>
                <w:color w:val="auto"/>
              </w:rPr>
              <w:t>Prepaid expenses</w:t>
            </w:r>
          </w:p>
        </w:tc>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7280" w:type="dxa"/>
            <w:vAlign w:val="bottom"/>
          </w:tcPr>
          <w:p>
            <w:pPr>
              <w:ind w:left="10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7280" w:type="dxa"/>
            <w:vAlign w:val="bottom"/>
          </w:tcPr>
          <w:p>
            <w:pPr>
              <w:spacing w:after="0"/>
              <w:rPr>
                <w:sz w:val="20"/>
                <w:szCs w:val="20"/>
                <w:color w:val="auto"/>
              </w:rPr>
            </w:pPr>
            <w:r>
              <w:rPr>
                <w:rFonts w:ascii="Arial" w:cs="Arial" w:eastAsia="Arial" w:hAnsi="Arial"/>
                <w:sz w:val="18"/>
                <w:szCs w:val="18"/>
                <w:b w:val="1"/>
                <w:bCs w:val="1"/>
                <w:color w:val="auto"/>
              </w:rPr>
              <w:t>Deferred income tax assets, net</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r>
      <w:tr>
        <w:trPr>
          <w:trHeight w:val="20"/>
        </w:trPr>
        <w:tc>
          <w:tcPr>
            <w:tcW w:w="7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9" w:lineRule="exact"/>
        <w:rPr>
          <w:sz w:val="20"/>
          <w:szCs w:val="20"/>
          <w:color w:val="auto"/>
        </w:rPr>
      </w:pPr>
    </w:p>
    <w:p>
      <w:pPr>
        <w:ind w:left="820" w:hanging="326"/>
        <w:spacing w:after="0" w:line="230" w:lineRule="auto"/>
        <w:tabs>
          <w:tab w:leader="none" w:pos="82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The valuation allowance of $214 million at December 31, 2019 relates to tax loss carryforwards and certain deferred tax assets of $192 million and $22 million, respectively. The valuation allowance will be reduced when and if the Company determines it is more likely than not that the related deferred income tax assets will be realized. The valuation allowance of $311 million at December 31, 2018 relates to tax loss carryforwards and certain deferred tax assets of $283 million and $28 million, respectively. The valuation allowance will be reduced when and if the Company determines it is more likely than not that the related deferred income tax assets will be realized.</w:t>
      </w:r>
    </w:p>
    <w:p>
      <w:pPr>
        <w:sectPr>
          <w:pgSz w:w="11900" w:h="16838" w:orient="portrait"/>
          <w:cols w:equalWidth="0" w:num="1">
            <w:col w:w="11300"/>
          </w:cols>
          <w:pgMar w:left="240" w:top="108" w:right="359" w:bottom="1440" w:gutter="0" w:footer="0" w:header="0"/>
          <w:type w:val="continuous"/>
        </w:sect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00"/>
          </w:cols>
          <w:pgMar w:left="240" w:top="108" w:right="35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assets and liabilities related to vehicle programs are comprised of the following:</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7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7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30"/>
        </w:trPr>
        <w:tc>
          <w:tcPr>
            <w:tcW w:w="7280" w:type="dxa"/>
            <w:vAlign w:val="bottom"/>
          </w:tcPr>
          <w:p>
            <w:pPr>
              <w:spacing w:after="0"/>
              <w:rPr>
                <w:sz w:val="20"/>
                <w:szCs w:val="20"/>
                <w:color w:val="auto"/>
              </w:rPr>
            </w:pPr>
            <w:r>
              <w:rPr>
                <w:rFonts w:ascii="Arial" w:cs="Arial" w:eastAsia="Arial" w:hAnsi="Arial"/>
                <w:sz w:val="18"/>
                <w:szCs w:val="18"/>
                <w:i w:val="1"/>
                <w:iCs w:val="1"/>
                <w:color w:val="auto"/>
              </w:rPr>
              <w:t>Deferred income tax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97"/>
        </w:trPr>
        <w:tc>
          <w:tcPr>
            <w:tcW w:w="72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7"/>
        </w:trPr>
        <w:tc>
          <w:tcPr>
            <w:tcW w:w="728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Deferred income tax assets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513"/>
        </w:trPr>
        <w:tc>
          <w:tcPr>
            <w:tcW w:w="7280" w:type="dxa"/>
            <w:vAlign w:val="bottom"/>
          </w:tcPr>
          <w:p>
            <w:pPr>
              <w:spacing w:after="0"/>
              <w:rPr>
                <w:sz w:val="20"/>
                <w:szCs w:val="20"/>
                <w:color w:val="auto"/>
              </w:rPr>
            </w:pPr>
            <w:r>
              <w:rPr>
                <w:rFonts w:ascii="Arial" w:cs="Arial" w:eastAsia="Arial" w:hAnsi="Arial"/>
                <w:sz w:val="18"/>
                <w:szCs w:val="18"/>
                <w:i w:val="1"/>
                <w:iCs w:val="1"/>
                <w:color w:val="auto"/>
              </w:rPr>
              <w:t>Deferred income tax liabilities: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4"/>
        </w:trPr>
        <w:tc>
          <w:tcPr>
            <w:tcW w:w="72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277"/>
        </w:trPr>
        <w:tc>
          <w:tcPr>
            <w:tcW w:w="728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r>
      <w:tr>
        <w:trPr>
          <w:trHeight w:val="250"/>
        </w:trPr>
        <w:tc>
          <w:tcPr>
            <w:tcW w:w="7280" w:type="dxa"/>
            <w:vAlign w:val="bottom"/>
          </w:tcPr>
          <w:p>
            <w:pPr>
              <w:spacing w:after="0"/>
              <w:rPr>
                <w:sz w:val="20"/>
                <w:szCs w:val="20"/>
                <w:color w:val="auto"/>
              </w:rPr>
            </w:pPr>
            <w:r>
              <w:rPr>
                <w:rFonts w:ascii="Arial" w:cs="Arial" w:eastAsia="Arial" w:hAnsi="Arial"/>
                <w:sz w:val="18"/>
                <w:szCs w:val="18"/>
                <w:b w:val="1"/>
                <w:bCs w:val="1"/>
                <w:color w:val="auto"/>
              </w:rPr>
              <w:t>Deferred income tax liabilities under vehicle programs,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At December 31, 2019, the Company had U.S. federal net operating loss carryforwards of approximately $6.0 billion. The majority of the net operating loss carryforwards expire by 2031 and a significant remaining portion has an indefinite utilization period pursuant to the Tax Act. Such net operating loss carryforwards are primarily related to accelerated depreciation of the Company’s U.S. vehicles. Currently, the Company does not record valuation allowances on the majority of its U.S. federal tax loss carryforwards as there are adequate deferred tax liabilities that could be realized within the carryforward period. At December 31, 2019, the Company had foreign net operating loss carryforwards of approximately $981 million with an indefinite utilization period.</w:t>
      </w:r>
    </w:p>
    <w:p>
      <w:pPr>
        <w:spacing w:after="0" w:line="155" w:lineRule="exact"/>
        <w:rPr>
          <w:sz w:val="20"/>
          <w:szCs w:val="20"/>
          <w:color w:val="auto"/>
        </w:rPr>
      </w:pPr>
    </w:p>
    <w:p>
      <w:pPr>
        <w:ind w:left="500" w:right="320"/>
        <w:spacing w:after="0" w:line="256" w:lineRule="auto"/>
        <w:rPr>
          <w:sz w:val="20"/>
          <w:szCs w:val="20"/>
          <w:color w:val="auto"/>
        </w:rPr>
      </w:pPr>
      <w:r>
        <w:rPr>
          <w:rFonts w:ascii="Arial" w:cs="Arial" w:eastAsia="Arial" w:hAnsi="Arial"/>
          <w:sz w:val="18"/>
          <w:szCs w:val="18"/>
          <w:color w:val="auto"/>
        </w:rPr>
        <w:t>At December 31, 2019, we have undistributed earnings of certain foreign subsidiaries of approximately $811 million that we have indefinitely reinvested, and on which we have not recognized deferred taxes. Estimating the amount of potential tax is not practicable because of the complexity and variety of assumptions necessary to compute the tax.</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reconciliation between the U.S. federal income tax statutory rate and the Company’s effective income tax rate is as follows:</w:t>
      </w:r>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 federal statutory rate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Adjustments to reconcile to the effective rate:</w:t>
      </w:r>
    </w:p>
    <w:p>
      <w:pPr>
        <w:spacing w:after="0" w:line="63" w:lineRule="exact"/>
        <w:rPr>
          <w:sz w:val="20"/>
          <w:szCs w:val="20"/>
          <w:color w:val="auto"/>
        </w:rPr>
      </w:pPr>
    </w:p>
    <w:p>
      <w:pPr>
        <w:ind w:left="620" w:right="660"/>
        <w:spacing w:after="0" w:line="313" w:lineRule="auto"/>
        <w:rPr>
          <w:sz w:val="20"/>
          <w:szCs w:val="20"/>
          <w:color w:val="auto"/>
        </w:rPr>
      </w:pPr>
      <w:r>
        <w:rPr>
          <w:rFonts w:ascii="Arial" w:cs="Arial" w:eastAsia="Arial" w:hAnsi="Arial"/>
          <w:sz w:val="18"/>
          <w:szCs w:val="18"/>
          <w:color w:val="auto"/>
        </w:rPr>
        <w:t>State and local income taxes, net of federal tax benefits Changes in valuation allowances</w:t>
      </w:r>
    </w:p>
    <w:p>
      <w:pPr>
        <w:ind w:left="800" w:hanging="161"/>
        <w:spacing w:after="0" w:line="246" w:lineRule="auto"/>
        <w:rPr>
          <w:sz w:val="20"/>
          <w:szCs w:val="20"/>
          <w:color w:val="auto"/>
        </w:rPr>
      </w:pPr>
      <w:r>
        <w:rPr>
          <w:rFonts w:ascii="Arial" w:cs="Arial" w:eastAsia="Arial" w:hAnsi="Arial"/>
          <w:sz w:val="18"/>
          <w:szCs w:val="18"/>
          <w:color w:val="auto"/>
        </w:rPr>
        <w:t>Taxes on foreign operations at rates different than statutory U.S. federal rates</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Tax Act (benefit) expense</w:t>
      </w:r>
    </w:p>
    <w:p>
      <w:pPr>
        <w:spacing w:after="0" w:line="63" w:lineRule="exact"/>
        <w:rPr>
          <w:sz w:val="20"/>
          <w:szCs w:val="20"/>
          <w:color w:val="auto"/>
        </w:rPr>
      </w:pPr>
    </w:p>
    <w:p>
      <w:pPr>
        <w:ind w:left="620" w:right="1820"/>
        <w:spacing w:after="0" w:line="324" w:lineRule="auto"/>
        <w:rPr>
          <w:sz w:val="20"/>
          <w:szCs w:val="20"/>
          <w:color w:val="auto"/>
        </w:rPr>
      </w:pPr>
      <w:r>
        <w:rPr>
          <w:rFonts w:ascii="Arial" w:cs="Arial" w:eastAsia="Arial" w:hAnsi="Arial"/>
          <w:sz w:val="18"/>
          <w:szCs w:val="18"/>
          <w:color w:val="auto"/>
        </w:rPr>
        <w:t>Other non-deductible (non-taxable) items Other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0441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43"/>
        </w:trPr>
        <w:tc>
          <w:tcPr>
            <w:tcW w:w="15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540"/>
        </w:trPr>
        <w:tc>
          <w:tcPr>
            <w:tcW w:w="152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3.8</w:t>
            </w:r>
          </w:p>
        </w:tc>
      </w:tr>
      <w:tr>
        <w:trPr>
          <w:trHeight w:val="270"/>
        </w:trPr>
        <w:tc>
          <w:tcPr>
            <w:tcW w:w="1520" w:type="dxa"/>
            <w:vAlign w:val="bottom"/>
          </w:tcPr>
          <w:p>
            <w:pPr>
              <w:jc w:val="right"/>
              <w:ind w:right="1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3"/>
                <w:szCs w:val="23"/>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(4.7)</w:t>
            </w:r>
          </w:p>
        </w:tc>
      </w:tr>
      <w:tr>
        <w:trPr>
          <w:trHeight w:val="459"/>
        </w:trPr>
        <w:tc>
          <w:tcPr>
            <w:tcW w:w="152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(3.6)</w:t>
            </w:r>
          </w:p>
        </w:tc>
      </w:tr>
      <w:tr>
        <w:trPr>
          <w:trHeight w:val="270"/>
        </w:trPr>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(3.4)</w:t>
            </w:r>
          </w:p>
        </w:tc>
      </w:tr>
      <w:tr>
        <w:trPr>
          <w:trHeight w:val="270"/>
        </w:trPr>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(100.8)</w:t>
            </w:r>
          </w:p>
        </w:tc>
      </w:tr>
      <w:tr>
        <w:trPr>
          <w:trHeight w:val="270"/>
        </w:trPr>
        <w:tc>
          <w:tcPr>
            <w:tcW w:w="152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2.2</w:t>
            </w:r>
          </w:p>
        </w:tc>
      </w:tr>
      <w:tr>
        <w:trPr>
          <w:trHeight w:val="277"/>
        </w:trPr>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4"/>
                <w:szCs w:val="24"/>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0.4</w:t>
            </w:r>
          </w:p>
        </w:tc>
      </w:tr>
      <w:tr>
        <w:trPr>
          <w:trHeight w:val="250"/>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38.2 %</w:t>
            </w:r>
          </w:p>
        </w:tc>
        <w:tc>
          <w:tcPr>
            <w:tcW w:w="10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20" w:space="320"/>
            <w:col w:w="5340"/>
          </w:cols>
          <w:pgMar w:left="240" w:top="140" w:right="279" w:bottom="1440" w:gutter="0" w:footer="0" w:header="0"/>
          <w:type w:val="continuous"/>
        </w:sectPr>
      </w:pPr>
    </w:p>
    <w:p>
      <w:pPr>
        <w:spacing w:after="0" w:line="2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tabular reconciliation of the gross amount of unrecognized tax benefits for the year:</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760" w:type="dxa"/>
            <w:vAlign w:val="bottom"/>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43"/>
        </w:trPr>
        <w:tc>
          <w:tcPr>
            <w:tcW w:w="5760" w:type="dxa"/>
            <w:vAlign w:val="bottom"/>
          </w:tcPr>
          <w:p>
            <w:pPr>
              <w:spacing w:after="0"/>
              <w:rPr>
                <w:sz w:val="20"/>
                <w:szCs w:val="20"/>
                <w:color w:val="auto"/>
              </w:rPr>
            </w:pPr>
            <w:r>
              <w:rPr>
                <w:rFonts w:ascii="Arial" w:cs="Arial" w:eastAsia="Arial" w:hAnsi="Arial"/>
                <w:sz w:val="18"/>
                <w:szCs w:val="18"/>
                <w:color w:val="auto"/>
              </w:rPr>
              <w:t>Balance, January 1</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04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5760" w:type="dxa"/>
            <w:vAlign w:val="bottom"/>
          </w:tcPr>
          <w:p>
            <w:pPr>
              <w:ind w:left="100"/>
              <w:spacing w:after="0"/>
              <w:rPr>
                <w:sz w:val="20"/>
                <w:szCs w:val="20"/>
                <w:color w:val="auto"/>
              </w:rPr>
            </w:pPr>
            <w:r>
              <w:rPr>
                <w:rFonts w:ascii="Arial" w:cs="Arial" w:eastAsia="Arial" w:hAnsi="Arial"/>
                <w:sz w:val="18"/>
                <w:szCs w:val="18"/>
                <w:color w:val="auto"/>
              </w:rPr>
              <w:t>Additions for tax positions related to current year</w:t>
            </w:r>
          </w:p>
        </w:tc>
        <w:tc>
          <w:tcPr>
            <w:tcW w:w="104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5760" w:type="dxa"/>
            <w:vAlign w:val="bottom"/>
          </w:tcPr>
          <w:p>
            <w:pPr>
              <w:ind w:left="100"/>
              <w:spacing w:after="0"/>
              <w:rPr>
                <w:sz w:val="20"/>
                <w:szCs w:val="20"/>
                <w:color w:val="auto"/>
              </w:rPr>
            </w:pPr>
            <w:r>
              <w:rPr>
                <w:rFonts w:ascii="Arial" w:cs="Arial" w:eastAsia="Arial" w:hAnsi="Arial"/>
                <w:sz w:val="18"/>
                <w:szCs w:val="18"/>
                <w:color w:val="auto"/>
              </w:rPr>
              <w:t>Additions for tax positions for prior years</w:t>
            </w:r>
          </w:p>
        </w:tc>
        <w:tc>
          <w:tcPr>
            <w:tcW w:w="1040" w:type="dxa"/>
            <w:vAlign w:val="bottom"/>
          </w:tcPr>
          <w:p>
            <w:pPr>
              <w:spacing w:after="0"/>
              <w:rPr>
                <w:sz w:val="23"/>
                <w:szCs w:val="2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5760" w:type="dxa"/>
            <w:vAlign w:val="bottom"/>
          </w:tcPr>
          <w:p>
            <w:pPr>
              <w:ind w:left="100"/>
              <w:spacing w:after="0"/>
              <w:rPr>
                <w:sz w:val="20"/>
                <w:szCs w:val="20"/>
                <w:color w:val="auto"/>
              </w:rPr>
            </w:pPr>
            <w:r>
              <w:rPr>
                <w:rFonts w:ascii="Arial" w:cs="Arial" w:eastAsia="Arial" w:hAnsi="Arial"/>
                <w:sz w:val="18"/>
                <w:szCs w:val="18"/>
                <w:color w:val="auto"/>
              </w:rPr>
              <w:t>Reductions for tax positions for prior years</w:t>
            </w:r>
          </w:p>
        </w:tc>
        <w:tc>
          <w:tcPr>
            <w:tcW w:w="10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5760" w:type="dxa"/>
            <w:vAlign w:val="bottom"/>
          </w:tcPr>
          <w:p>
            <w:pPr>
              <w:ind w:left="100"/>
              <w:spacing w:after="0"/>
              <w:rPr>
                <w:sz w:val="20"/>
                <w:szCs w:val="20"/>
                <w:color w:val="auto"/>
              </w:rPr>
            </w:pPr>
            <w:r>
              <w:rPr>
                <w:rFonts w:ascii="Arial" w:cs="Arial" w:eastAsia="Arial" w:hAnsi="Arial"/>
                <w:sz w:val="18"/>
                <w:szCs w:val="18"/>
                <w:color w:val="auto"/>
              </w:rPr>
              <w:t>Settlements</w:t>
            </w:r>
          </w:p>
        </w:tc>
        <w:tc>
          <w:tcPr>
            <w:tcW w:w="10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760" w:type="dxa"/>
            <w:vAlign w:val="bottom"/>
          </w:tcPr>
          <w:p>
            <w:pPr>
              <w:ind w:left="100"/>
              <w:spacing w:after="0"/>
              <w:rPr>
                <w:sz w:val="20"/>
                <w:szCs w:val="20"/>
                <w:color w:val="auto"/>
              </w:rPr>
            </w:pPr>
            <w:r>
              <w:rPr>
                <w:rFonts w:ascii="Arial" w:cs="Arial" w:eastAsia="Arial" w:hAnsi="Arial"/>
                <w:sz w:val="18"/>
                <w:szCs w:val="18"/>
                <w:color w:val="auto"/>
              </w:rPr>
              <w:t>Statute of limitations</w:t>
            </w: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5760" w:type="dxa"/>
            <w:vAlign w:val="bottom"/>
          </w:tcPr>
          <w:p>
            <w:pPr>
              <w:spacing w:after="0"/>
              <w:rPr>
                <w:sz w:val="20"/>
                <w:szCs w:val="20"/>
                <w:color w:val="auto"/>
              </w:rPr>
            </w:pPr>
            <w:r>
              <w:rPr>
                <w:rFonts w:ascii="Arial" w:cs="Arial" w:eastAsia="Arial" w:hAnsi="Arial"/>
                <w:sz w:val="18"/>
                <w:szCs w:val="18"/>
                <w:color w:val="auto"/>
              </w:rPr>
              <w:t>Balance, December 31</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5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anticipate that total unrecognized tax benefits will change significantly in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140" w:right="27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The Company is subject to taxation in the United States and various foreign jurisdictions. As of December 31, 2019, the 2016 through 2018 tax years generally remain subject to examination by the federal tax authorities. The 2013 through 2018 tax years generally remain subject to examination by various state tax authorities. In significant foreign jurisdictions, the 2012 through 2018 tax years generally remain subject to examination by their respective tax authorities.</w:t>
      </w:r>
    </w:p>
    <w:p>
      <w:pPr>
        <w:spacing w:after="0" w:line="150"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Substantially all of the gross amount of the unrecognized tax benefits at December 31, 2019, 2018 and 2017, if recognized, would affect the Company’s provision for, or benefit from, income taxes. As of December 31, 2019, the Company’s unrecognized tax benefits were offset by an immaterial tax loss carryforward.</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300" w:type="dxa"/>
            <w:vAlign w:val="bottom"/>
          </w:tcPr>
          <w:p>
            <w:pPr>
              <w:spacing w:after="0"/>
              <w:rPr>
                <w:sz w:val="20"/>
                <w:szCs w:val="20"/>
                <w:color w:val="auto"/>
              </w:rPr>
            </w:pPr>
            <w:r>
              <w:rPr>
                <w:rFonts w:ascii="Arial" w:cs="Arial" w:eastAsia="Arial" w:hAnsi="Arial"/>
                <w:sz w:val="18"/>
                <w:szCs w:val="18"/>
                <w:color w:val="auto"/>
              </w:rPr>
              <w:t>The following table presents unrecognized tax benefits: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99"/>
        </w:trPr>
        <w:tc>
          <w:tcPr>
            <w:tcW w:w="730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As of December 31,</w:t>
            </w:r>
          </w:p>
        </w:tc>
        <w:tc>
          <w:tcPr>
            <w:tcW w:w="400" w:type="dxa"/>
            <w:vAlign w:val="bottom"/>
            <w:tcBorders>
              <w:bottom w:val="single" w:sz="8" w:color="auto"/>
            </w:tcBorders>
          </w:tcPr>
          <w:p>
            <w:pPr>
              <w:spacing w:after="0"/>
              <w:rPr>
                <w:sz w:val="24"/>
                <w:szCs w:val="24"/>
                <w:color w:val="auto"/>
              </w:rPr>
            </w:pPr>
          </w:p>
        </w:tc>
      </w:tr>
      <w:tr>
        <w:trPr>
          <w:trHeight w:val="264"/>
        </w:trPr>
        <w:tc>
          <w:tcPr>
            <w:tcW w:w="7300" w:type="dxa"/>
            <w:vAlign w:val="bottom"/>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2"/>
                <w:szCs w:val="22"/>
                <w:color w:val="auto"/>
              </w:rPr>
            </w:pPr>
          </w:p>
        </w:tc>
      </w:tr>
      <w:tr>
        <w:trPr>
          <w:trHeight w:val="294"/>
        </w:trPr>
        <w:tc>
          <w:tcPr>
            <w:tcW w:w="7300" w:type="dxa"/>
            <w:vAlign w:val="bottom"/>
          </w:tcPr>
          <w:p>
            <w:pPr>
              <w:ind w:left="20"/>
              <w:spacing w:after="0"/>
              <w:rPr>
                <w:sz w:val="20"/>
                <w:szCs w:val="20"/>
                <w:color w:val="auto"/>
              </w:rPr>
            </w:pPr>
            <w:r>
              <w:rPr>
                <w:rFonts w:ascii="Arial" w:cs="Arial" w:eastAsia="Arial" w:hAnsi="Arial"/>
                <w:sz w:val="18"/>
                <w:szCs w:val="18"/>
                <w:color w:val="auto"/>
              </w:rPr>
              <w:t xml:space="preserve">Unrecognized tax benefit in non-current income taxes payable </w:t>
            </w:r>
            <w:r>
              <w:rPr>
                <w:rFonts w:ascii="Arial" w:cs="Arial" w:eastAsia="Arial" w:hAnsi="Arial"/>
                <w:sz w:val="21"/>
                <w:szCs w:val="21"/>
                <w:color w:val="auto"/>
                <w:vertAlign w:val="superscript"/>
              </w:rPr>
              <w:t>(a)</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0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6"/>
        </w:trPr>
        <w:tc>
          <w:tcPr>
            <w:tcW w:w="7300" w:type="dxa"/>
            <w:vAlign w:val="bottom"/>
          </w:tcPr>
          <w:p>
            <w:pPr>
              <w:ind w:left="20"/>
              <w:spacing w:after="0"/>
              <w:rPr>
                <w:sz w:val="20"/>
                <w:szCs w:val="20"/>
                <w:color w:val="auto"/>
              </w:rPr>
            </w:pPr>
            <w:r>
              <w:rPr>
                <w:rFonts w:ascii="Arial" w:cs="Arial" w:eastAsia="Arial" w:hAnsi="Arial"/>
                <w:sz w:val="18"/>
                <w:szCs w:val="18"/>
                <w:color w:val="auto"/>
              </w:rPr>
              <w:t xml:space="preserve">Accrued interest payable on potential tax liabilities </w:t>
            </w:r>
            <w:r>
              <w:rPr>
                <w:rFonts w:ascii="Arial" w:cs="Arial" w:eastAsia="Arial" w:hAnsi="Arial"/>
                <w:sz w:val="21"/>
                <w:szCs w:val="21"/>
                <w:color w:val="auto"/>
                <w:vertAlign w:val="superscript"/>
              </w:rPr>
              <w:t>(b)</w:t>
            </w:r>
          </w:p>
        </w:tc>
        <w:tc>
          <w:tcPr>
            <w:tcW w:w="104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820" w:right="320" w:hanging="326"/>
        <w:spacing w:after="0" w:line="219" w:lineRule="auto"/>
        <w:tabs>
          <w:tab w:leader="none" w:pos="820" w:val="left"/>
        </w:tabs>
        <w:numPr>
          <w:ilvl w:val="1"/>
          <w:numId w:val="50"/>
        </w:numPr>
        <w:rPr>
          <w:rFonts w:ascii="Arial" w:cs="Arial" w:eastAsia="Arial" w:hAnsi="Arial"/>
          <w:sz w:val="22"/>
          <w:szCs w:val="22"/>
          <w:color w:val="auto"/>
          <w:vertAlign w:val="superscript"/>
        </w:rPr>
      </w:pPr>
      <w:r>
        <w:rPr>
          <w:rFonts w:ascii="Arial" w:cs="Arial" w:eastAsia="Arial" w:hAnsi="Arial"/>
          <w:sz w:val="16"/>
          <w:szCs w:val="16"/>
          <w:color w:val="auto"/>
        </w:rPr>
        <w:t>Pursuant to the agreements governing the disposition of certain subsidiaries in 2006, the Company is entitled to indemnification for certain pre-disposition tax contingencies. As of December 31, 2019 and 2018, $13 million, respectively, of unrecognized tax benefits are related to tax contingencies for which the Company believes it is entitled to indemnification.</w:t>
      </w:r>
    </w:p>
    <w:p>
      <w:pPr>
        <w:ind w:left="820" w:right="180" w:hanging="326"/>
        <w:spacing w:after="0" w:line="221" w:lineRule="auto"/>
        <w:tabs>
          <w:tab w:leader="none" w:pos="820" w:val="left"/>
        </w:tabs>
        <w:numPr>
          <w:ilvl w:val="1"/>
          <w:numId w:val="50"/>
        </w:numPr>
        <w:rPr>
          <w:rFonts w:ascii="Arial" w:cs="Arial" w:eastAsia="Arial" w:hAnsi="Arial"/>
          <w:sz w:val="22"/>
          <w:szCs w:val="22"/>
          <w:color w:val="auto"/>
          <w:vertAlign w:val="superscript"/>
        </w:rPr>
      </w:pPr>
      <w:r>
        <w:rPr>
          <w:rFonts w:ascii="Arial" w:cs="Arial" w:eastAsia="Arial" w:hAnsi="Arial"/>
          <w:sz w:val="16"/>
          <w:szCs w:val="16"/>
          <w:color w:val="auto"/>
        </w:rPr>
        <w:t>The Company recognizes potential interest related to unrecognized tax benefits within interest expense related to corporate debt, net on the accompanying Consolidated Statements of Operations. Penalties incurred during the years ended December 31, 2019, 2018 and 2017, were not significant and were recognized as a component of the provision for income taxes.</w:t>
      </w:r>
    </w:p>
    <w:p>
      <w:pPr>
        <w:spacing w:after="0" w:line="186"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assets consisted of:</w:t>
      </w:r>
    </w:p>
    <w:p>
      <w:pPr>
        <w:spacing w:after="0" w:line="16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28575</wp:posOffset>
            </wp:positionV>
            <wp:extent cx="19208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ind w:left="8320"/>
        <w:spacing w:after="0"/>
        <w:tabs>
          <w:tab w:leader="none" w:pos="98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28575</wp:posOffset>
            </wp:positionV>
            <wp:extent cx="19208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and use taxes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assets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and Equipment, net</w:t>
      </w:r>
    </w:p>
    <w:p>
      <w:pPr>
        <w:spacing w:after="0" w:line="193"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Property and equipment, net consisted of:</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0"/>
        </w:trPr>
        <w:tc>
          <w:tcPr>
            <w:tcW w:w="6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7"/>
        </w:trPr>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50"/>
        </w:trPr>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19208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p>
      <w:pPr>
        <w:ind w:left="520"/>
        <w:spacing w:after="0"/>
        <w:tabs>
          <w:tab w:leader="none" w:pos="20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32" w:lineRule="exact"/>
        <w:rPr>
          <w:sz w:val="20"/>
          <w:szCs w:val="20"/>
          <w:color w:val="auto"/>
        </w:rPr>
      </w:pPr>
    </w:p>
    <w:p>
      <w:pPr>
        <w:sectPr>
          <w:pgSz w:w="11900" w:h="16838" w:orient="portrait"/>
          <w:cols w:equalWidth="0" w:num="2">
            <w:col w:w="7080" w:space="720"/>
            <w:col w:w="3560"/>
          </w:cols>
          <w:pgMar w:left="240" w:top="140" w:right="299" w:bottom="1440" w:gutter="0" w:footer="0" w:header="0"/>
          <w:type w:val="continuous"/>
        </w:sectPr>
      </w:pPr>
    </w:p>
    <w:tbl>
      <w:tblPr>
        <w:tblLayout w:type="fixed"/>
        <w:tblInd w:w="520" w:type="dxa"/>
        <w:tblCellMar>
          <w:top w:w="0" w:type="dxa"/>
          <w:left w:w="0" w:type="dxa"/>
          <w:bottom w:w="0" w:type="dxa"/>
          <w:right w:w="0" w:type="dxa"/>
        </w:tblCellMar>
      </w:tblP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Land</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5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Capitalized software</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Projects in process</w:t>
            </w:r>
          </w:p>
        </w:tc>
        <w:tc>
          <w:tcPr>
            <w:tcW w:w="5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Buses and support vehicles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7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1,962</w:t>
            </w: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r>
      <w:tr>
        <w:trPr>
          <w:trHeight w:val="20"/>
        </w:trPr>
        <w:tc>
          <w:tcPr>
            <w:tcW w:w="7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Depreciation and amortization expense relating to property and equipment during 2019, 2018 and 2017 was $ 204 million, $191 million and $197 million, respectively (including $109 million, $92 million and $95 million, respectively, of amortization expense relating to capitalized software). At December 31, 2019, the Company had payables related to property and equipment included in accounts payable and other current liabilities and in other non-current liabilities of $ 16 million and $12 million, respectively. At December 31, 2018 and 2017, the Company had payables related to property and equipment included in accounts payable and other current liabilities of $15 million and $16 million, respectively.</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60"/>
          </w:cols>
          <w:pgMar w:left="240" w:top="140" w:right="29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69"/>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12. Accounts Payable and Other Current Liabilities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7800" w:type="dxa"/>
            <w:vAlign w:val="bottom"/>
            <w:gridSpan w:val="2"/>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140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43"/>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Short-term operating lease liabilities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0"/>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Accrued sales and use taxes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0"/>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Accrued payroll and related</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Accrued advertising and marketing</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0"/>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Deferred lease revenues – current</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7"/>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50"/>
        </w:trPr>
        <w:tc>
          <w:tcPr>
            <w:tcW w:w="7800" w:type="dxa"/>
            <w:vAlign w:val="bottom"/>
            <w:gridSpan w:val="2"/>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r>
      <w:tr>
        <w:trPr>
          <w:trHeight w:val="20"/>
        </w:trPr>
        <w:tc>
          <w:tcPr>
            <w:tcW w:w="14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500" w:right="5820" w:hanging="492"/>
        <w:spacing w:after="0" w:line="483" w:lineRule="auto"/>
        <w:tabs>
          <w:tab w:leader="none" w:pos="314"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Corporate Debt and Borrowing Arrangements </w:t>
      </w:r>
      <w:r>
        <w:rPr>
          <w:rFonts w:ascii="Arial" w:cs="Arial" w:eastAsia="Arial" w:hAnsi="Arial"/>
          <w:sz w:val="17"/>
          <w:szCs w:val="17"/>
          <w:color w:val="auto"/>
        </w:rPr>
        <w:t>Long-term debt and other borrowing arrangements consisted of:</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174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Maturity</w:t>
            </w:r>
          </w:p>
        </w:tc>
        <w:tc>
          <w:tcPr>
            <w:tcW w:w="3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36"/>
        </w:trPr>
        <w:tc>
          <w:tcPr>
            <w:tcW w:w="558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580" w:type="dxa"/>
            <w:vAlign w:val="bottom"/>
          </w:tcPr>
          <w:p>
            <w:pPr>
              <w:spacing w:after="0"/>
              <w:rPr>
                <w:sz w:val="19"/>
                <w:szCs w:val="19"/>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6⅜%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4⅛% euro-denominated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19"/>
        </w:trPr>
        <w:tc>
          <w:tcPr>
            <w:tcW w:w="558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2025</w:t>
            </w: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22"/>
        </w:trPr>
        <w:tc>
          <w:tcPr>
            <w:tcW w:w="5580" w:type="dxa"/>
            <w:vAlign w:val="bottom"/>
          </w:tcPr>
          <w:p>
            <w:pPr>
              <w:ind w:left="20"/>
              <w:spacing w:after="0"/>
              <w:rPr>
                <w:sz w:val="20"/>
                <w:szCs w:val="20"/>
                <w:color w:val="auto"/>
              </w:rPr>
            </w:pPr>
            <w:r>
              <w:rPr>
                <w:rFonts w:ascii="Arial" w:cs="Arial" w:eastAsia="Arial" w:hAnsi="Arial"/>
                <w:sz w:val="16"/>
                <w:szCs w:val="16"/>
                <w:color w:val="auto"/>
              </w:rPr>
              <w:t>5¼%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4½% euro-denominated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4¾% euro-denominated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70"/>
        </w:trPr>
        <w:tc>
          <w:tcPr>
            <w:tcW w:w="5580" w:type="dxa"/>
            <w:vAlign w:val="bottom"/>
          </w:tcPr>
          <w:p>
            <w:pPr>
              <w:ind w:left="20"/>
              <w:spacing w:after="0"/>
              <w:rPr>
                <w:sz w:val="20"/>
                <w:szCs w:val="20"/>
                <w:color w:val="auto"/>
              </w:rPr>
            </w:pPr>
            <w:r>
              <w:rPr>
                <w:rFonts w:ascii="Arial" w:cs="Arial" w:eastAsia="Arial" w:hAnsi="Arial"/>
                <w:sz w:val="16"/>
                <w:szCs w:val="16"/>
                <w:color w:val="auto"/>
              </w:rPr>
              <w:t>5¾% Senior Notes</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9"/>
        </w:trPr>
        <w:tc>
          <w:tcPr>
            <w:tcW w:w="558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5"/>
        </w:trPr>
        <w:tc>
          <w:tcPr>
            <w:tcW w:w="5580" w:type="dxa"/>
            <w:vAlign w:val="bottom"/>
          </w:tcPr>
          <w:p>
            <w:pPr>
              <w:ind w:left="20"/>
              <w:spacing w:after="0"/>
              <w:rPr>
                <w:sz w:val="20"/>
                <w:szCs w:val="20"/>
                <w:color w:val="auto"/>
              </w:rPr>
            </w:pPr>
            <w:r>
              <w:rPr>
                <w:rFonts w:ascii="Arial" w:cs="Arial" w:eastAsia="Arial" w:hAnsi="Arial"/>
                <w:sz w:val="16"/>
                <w:szCs w:val="16"/>
                <w:color w:val="auto"/>
              </w:rPr>
              <w:t>Deferred financing fees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3,551</w:t>
            </w:r>
          </w:p>
        </w:tc>
        <w:tc>
          <w:tcPr>
            <w:tcW w:w="0" w:type="dxa"/>
            <w:vAlign w:val="bottom"/>
          </w:tcPr>
          <w:p>
            <w:pPr>
              <w:spacing w:after="0"/>
              <w:rPr>
                <w:sz w:val="1"/>
                <w:szCs w:val="1"/>
                <w:color w:val="auto"/>
              </w:rPr>
            </w:pPr>
          </w:p>
        </w:tc>
      </w:tr>
      <w:tr>
        <w:trPr>
          <w:trHeight w:val="283"/>
        </w:trPr>
        <w:tc>
          <w:tcPr>
            <w:tcW w:w="558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3,416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60" w:hanging="326"/>
        <w:spacing w:after="0" w:line="211" w:lineRule="auto"/>
        <w:tabs>
          <w:tab w:leader="none" w:pos="82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w:t>
      </w:r>
    </w:p>
    <w:p>
      <w:pPr>
        <w:ind w:left="820" w:hanging="326"/>
        <w:spacing w:after="0" w:line="199" w:lineRule="auto"/>
        <w:tabs>
          <w:tab w:leader="none" w:pos="82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w:t>
      </w:r>
    </w:p>
    <w:p>
      <w:pPr>
        <w:spacing w:after="0" w:line="175" w:lineRule="exact"/>
        <w:rPr>
          <w:sz w:val="20"/>
          <w:szCs w:val="20"/>
          <w:color w:val="auto"/>
        </w:rPr>
      </w:pPr>
    </w:p>
    <w:p>
      <w:pPr>
        <w:ind w:left="500" w:right="260"/>
        <w:spacing w:after="0" w:line="261" w:lineRule="auto"/>
        <w:rPr>
          <w:sz w:val="20"/>
          <w:szCs w:val="20"/>
          <w:color w:val="auto"/>
        </w:rPr>
      </w:pPr>
      <w:r>
        <w:rPr>
          <w:rFonts w:ascii="Arial" w:cs="Arial" w:eastAsia="Arial" w:hAnsi="Arial"/>
          <w:sz w:val="18"/>
          <w:szCs w:val="18"/>
          <w:i w:val="1"/>
          <w:iCs w:val="1"/>
          <w:color w:val="auto"/>
        </w:rPr>
        <w:t xml:space="preserve">Floating Rate Term Loan due 2025. </w:t>
      </w:r>
      <w:r>
        <w:rPr>
          <w:rFonts w:ascii="Arial" w:cs="Arial" w:eastAsia="Arial" w:hAnsi="Arial"/>
          <w:sz w:val="18"/>
          <w:szCs w:val="18"/>
          <w:color w:val="auto"/>
        </w:rPr>
        <w:t>In February 2018, the Company amended its Floating Rate Term Loan and extended its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term to 2025. As of December 31, 2019, the loan bears interest at one-month LIBOR plus 2.00%, for an aggregate rate of 3.80%; however, the Company entered into an interest rate swap to hedge $700 million of its interest rate exposure related to the floating rate term loan at an aggregate rate of 3.67%.</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Notes</w:t>
      </w:r>
    </w:p>
    <w:p>
      <w:pPr>
        <w:spacing w:after="0" w:line="229" w:lineRule="exact"/>
        <w:rPr>
          <w:sz w:val="20"/>
          <w:szCs w:val="20"/>
          <w:color w:val="auto"/>
        </w:rPr>
      </w:pPr>
    </w:p>
    <w:p>
      <w:pPr>
        <w:ind w:left="500" w:right="120"/>
        <w:spacing w:after="0" w:line="266" w:lineRule="auto"/>
        <w:rPr>
          <w:sz w:val="20"/>
          <w:szCs w:val="20"/>
          <w:color w:val="auto"/>
        </w:rPr>
      </w:pPr>
      <w:r>
        <w:rPr>
          <w:rFonts w:ascii="Arial" w:cs="Arial" w:eastAsia="Arial" w:hAnsi="Arial"/>
          <w:sz w:val="18"/>
          <w:szCs w:val="18"/>
          <w:i w:val="1"/>
          <w:iCs w:val="1"/>
          <w:color w:val="auto"/>
        </w:rPr>
        <w:t xml:space="preserve">5½% Senior Notes due 2023. </w:t>
      </w:r>
      <w:r>
        <w:rPr>
          <w:rFonts w:ascii="Arial" w:cs="Arial" w:eastAsia="Arial" w:hAnsi="Arial"/>
          <w:sz w:val="18"/>
          <w:szCs w:val="18"/>
          <w:color w:val="auto"/>
        </w:rPr>
        <w:t>In April 2013, the Company completed an offering of $500 million of 5½% Senior Notes due April 2023.</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were issued at par, with interest payable semi-annually. The Company has the right to redeem these notes in whole or in part on or after April 1, 2018 at specified redemption prices plus accrued interest.</w:t>
      </w:r>
    </w:p>
    <w:p>
      <w:pPr>
        <w:spacing w:after="0" w:line="194"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November 2014, the Company issued $175 million of additional 5½% Senior Notes due 2023 at 99.625% of their face value, with interest payable semi-annually. The Company has the right to redeem these notes in whole or in part on or after April 1, 2018 at specified redemption prices plus accrued interest. The Company used the proceeds from the issuance to partially fund the acquisition of its Budget licensee for</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108"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Southern California and Las Vegas.</w:t>
      </w:r>
    </w:p>
    <w:p>
      <w:pPr>
        <w:spacing w:after="0" w:line="225" w:lineRule="exact"/>
        <w:rPr>
          <w:sz w:val="20"/>
          <w:szCs w:val="20"/>
          <w:color w:val="auto"/>
        </w:rPr>
      </w:pPr>
    </w:p>
    <w:p>
      <w:pPr>
        <w:ind w:left="500" w:right="740"/>
        <w:spacing w:after="0" w:line="262" w:lineRule="auto"/>
        <w:rPr>
          <w:sz w:val="20"/>
          <w:szCs w:val="20"/>
          <w:color w:val="auto"/>
        </w:rPr>
      </w:pPr>
      <w:r>
        <w:rPr>
          <w:rFonts w:ascii="Arial" w:cs="Arial" w:eastAsia="Arial" w:hAnsi="Arial"/>
          <w:sz w:val="18"/>
          <w:szCs w:val="18"/>
          <w:color w:val="auto"/>
        </w:rPr>
        <w:t>In July 2019, the Company redeemed $400 million principal amount for $407 million plus accrued interest. In October 2019, the Company redeemed $75 million principal amount for $76 million plus accrued interest.</w:t>
      </w:r>
    </w:p>
    <w:p>
      <w:pPr>
        <w:spacing w:after="0" w:line="178" w:lineRule="exact"/>
        <w:rPr>
          <w:sz w:val="20"/>
          <w:szCs w:val="20"/>
          <w:color w:val="auto"/>
        </w:rPr>
      </w:pPr>
    </w:p>
    <w:p>
      <w:pPr>
        <w:ind w:left="500" w:right="180"/>
        <w:spacing w:after="0" w:line="261" w:lineRule="auto"/>
        <w:rPr>
          <w:sz w:val="20"/>
          <w:szCs w:val="20"/>
          <w:color w:val="auto"/>
        </w:rPr>
      </w:pPr>
      <w:r>
        <w:rPr>
          <w:rFonts w:ascii="Arial" w:cs="Arial" w:eastAsia="Arial" w:hAnsi="Arial"/>
          <w:sz w:val="18"/>
          <w:szCs w:val="18"/>
          <w:i w:val="1"/>
          <w:iCs w:val="1"/>
          <w:color w:val="auto"/>
        </w:rPr>
        <w:t>6⅜% Senior Notes due 2024</w:t>
      </w:r>
      <w:r>
        <w:rPr>
          <w:rFonts w:ascii="Arial" w:cs="Arial" w:eastAsia="Arial" w:hAnsi="Arial"/>
          <w:sz w:val="18"/>
          <w:szCs w:val="18"/>
          <w:color w:val="auto"/>
        </w:rPr>
        <w:t>. In March 2016, the Company issued $ 350 million of 6⅜% Senior Notes due 2024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The Company has the right to redeem these notes in whole or in part at any time on or after April 1, 2019 at specified redemption prices plus accrued interest. In May 2016, the Company used the net proceeds from the offering to redeem $300 million principal amount of its previous 4⅞% Senior Notes and for general corporate purposes.</w:t>
      </w:r>
    </w:p>
    <w:p>
      <w:pPr>
        <w:spacing w:after="0" w:line="180"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i w:val="1"/>
          <w:iCs w:val="1"/>
          <w:color w:val="auto"/>
        </w:rPr>
        <w:t xml:space="preserve">4⅛% euro-denominated Senior Notes due 2024. </w:t>
      </w:r>
      <w:r>
        <w:rPr>
          <w:rFonts w:ascii="Arial" w:cs="Arial" w:eastAsia="Arial" w:hAnsi="Arial"/>
          <w:sz w:val="18"/>
          <w:szCs w:val="18"/>
          <w:color w:val="auto"/>
        </w:rPr>
        <w:t>In September 2016, the Company issued €300 million of 4⅛% euro-denominated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due 2024 at par, with interest payable semi-annually. The Company has the right to redeem these notes in whole or in part at any time on or after November 15, 2019 at specified redemption prices plus accrued interest. In October 2016, the Company used the net proceeds from the offering primarily to redeem €275 million of its outstanding 6% euro-denominated Senior Notes due 2021.</w:t>
      </w:r>
    </w:p>
    <w:p>
      <w:pPr>
        <w:spacing w:after="0" w:line="180" w:lineRule="exact"/>
        <w:rPr>
          <w:sz w:val="20"/>
          <w:szCs w:val="20"/>
          <w:color w:val="auto"/>
        </w:rPr>
      </w:pPr>
    </w:p>
    <w:p>
      <w:pPr>
        <w:ind w:left="500" w:right="180"/>
        <w:spacing w:after="0" w:line="261" w:lineRule="auto"/>
        <w:rPr>
          <w:sz w:val="20"/>
          <w:szCs w:val="20"/>
          <w:color w:val="auto"/>
        </w:rPr>
      </w:pPr>
      <w:r>
        <w:rPr>
          <w:rFonts w:ascii="Arial" w:cs="Arial" w:eastAsia="Arial" w:hAnsi="Arial"/>
          <w:sz w:val="18"/>
          <w:szCs w:val="18"/>
          <w:i w:val="1"/>
          <w:iCs w:val="1"/>
          <w:color w:val="auto"/>
        </w:rPr>
        <w:t xml:space="preserve">5¼% Senior Notes due 2025. </w:t>
      </w:r>
      <w:r>
        <w:rPr>
          <w:rFonts w:ascii="Arial" w:cs="Arial" w:eastAsia="Arial" w:hAnsi="Arial"/>
          <w:sz w:val="18"/>
          <w:szCs w:val="18"/>
          <w:color w:val="auto"/>
        </w:rPr>
        <w:t>In</w:t>
      </w:r>
      <w:r>
        <w:rPr>
          <w:rFonts w:ascii="Arial" w:cs="Arial" w:eastAsia="Arial" w:hAnsi="Arial"/>
          <w:sz w:val="18"/>
          <w:szCs w:val="18"/>
          <w:i w:val="1"/>
          <w:iCs w:val="1"/>
          <w:color w:val="auto"/>
        </w:rPr>
        <w:t xml:space="preserve"> Mar</w:t>
      </w:r>
      <w:r>
        <w:rPr>
          <w:rFonts w:ascii="Arial" w:cs="Arial" w:eastAsia="Arial" w:hAnsi="Arial"/>
          <w:sz w:val="18"/>
          <w:szCs w:val="18"/>
          <w:color w:val="auto"/>
        </w:rPr>
        <w:t>ch 2015, the Company issued $ 375 million of 5¼% Senior Notes due 2025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The Company has the right to redeem these notes in whole or in part at any time on or after March 15, 2020 at specified redemption prices plus accrued interest. In April 2015, the Company used net proceeds from the offering to redeem the remaining $223 million principal amount of its 9¾% Senior Notes and to partially fund the acquisition of Maggiore.</w:t>
      </w:r>
    </w:p>
    <w:p>
      <w:pPr>
        <w:spacing w:after="0" w:line="180" w:lineRule="exact"/>
        <w:rPr>
          <w:sz w:val="20"/>
          <w:szCs w:val="20"/>
          <w:color w:val="auto"/>
        </w:rPr>
      </w:pPr>
    </w:p>
    <w:p>
      <w:pPr>
        <w:ind w:left="500" w:right="100"/>
        <w:spacing w:after="0" w:line="257" w:lineRule="auto"/>
        <w:rPr>
          <w:sz w:val="20"/>
          <w:szCs w:val="20"/>
          <w:color w:val="auto"/>
        </w:rPr>
      </w:pPr>
      <w:r>
        <w:rPr>
          <w:rFonts w:ascii="Arial" w:cs="Arial" w:eastAsia="Arial" w:hAnsi="Arial"/>
          <w:sz w:val="18"/>
          <w:szCs w:val="18"/>
          <w:i w:val="1"/>
          <w:iCs w:val="1"/>
          <w:color w:val="auto"/>
        </w:rPr>
        <w:t xml:space="preserve">4½% euro-denominated Senior Notes due 2025. </w:t>
      </w:r>
      <w:r>
        <w:rPr>
          <w:rFonts w:ascii="Arial" w:cs="Arial" w:eastAsia="Arial" w:hAnsi="Arial"/>
          <w:sz w:val="18"/>
          <w:szCs w:val="18"/>
          <w:color w:val="auto"/>
        </w:rPr>
        <w:t>In March 2017, the Company issued €250 million of 4½%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2025, at par, with interest payable semi-annually. The Company has the right to redeem these notes in whole or in part on or after May 15, 2020 at specified redemption prices plus accrued interest. In April 2017, the Company used the net proceeds from the offering to redeem its outstanding € 175 million principal amount of 6% euro-denominated Senior Notes due 2021 for €180 million plus accrued interest. In June 2017, the Company used the remaining proceeds to redeem a portion of its Floating Rate Senior Notes due 2017.</w:t>
      </w:r>
    </w:p>
    <w:p>
      <w:pPr>
        <w:spacing w:after="0" w:line="183" w:lineRule="exact"/>
        <w:rPr>
          <w:sz w:val="20"/>
          <w:szCs w:val="20"/>
          <w:color w:val="auto"/>
        </w:rPr>
      </w:pPr>
    </w:p>
    <w:p>
      <w:pPr>
        <w:ind w:left="500" w:right="100"/>
        <w:spacing w:after="0" w:line="261" w:lineRule="auto"/>
        <w:rPr>
          <w:sz w:val="20"/>
          <w:szCs w:val="20"/>
          <w:color w:val="auto"/>
        </w:rPr>
      </w:pPr>
      <w:r>
        <w:rPr>
          <w:rFonts w:ascii="Arial" w:cs="Arial" w:eastAsia="Arial" w:hAnsi="Arial"/>
          <w:sz w:val="18"/>
          <w:szCs w:val="18"/>
          <w:i w:val="1"/>
          <w:iCs w:val="1"/>
          <w:color w:val="auto"/>
        </w:rPr>
        <w:t xml:space="preserve">4¾% euro-denominated Senior Notes due 2026. </w:t>
      </w:r>
      <w:r>
        <w:rPr>
          <w:rFonts w:ascii="Arial" w:cs="Arial" w:eastAsia="Arial" w:hAnsi="Arial"/>
          <w:sz w:val="18"/>
          <w:szCs w:val="18"/>
          <w:color w:val="auto"/>
        </w:rPr>
        <w:t>In October 2018, the Company issued €350 million of 4¾%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2026, at par, with interest payable semi-annually. The Company has the right to redeem these notes in whole or in part on or after September 30, 2021 at specified redemption prices plus accrued interest. In October 2018, the Company used the net proceeds from the offering to redeem its 5⅛% Senior Notes due June 2022 for $410 million plus accrued interest.</w:t>
      </w:r>
    </w:p>
    <w:p>
      <w:pPr>
        <w:spacing w:after="0" w:line="180" w:lineRule="exact"/>
        <w:rPr>
          <w:sz w:val="20"/>
          <w:szCs w:val="20"/>
          <w:color w:val="auto"/>
        </w:rPr>
      </w:pPr>
    </w:p>
    <w:p>
      <w:pPr>
        <w:ind w:left="500" w:right="20"/>
        <w:spacing w:after="0" w:line="282" w:lineRule="auto"/>
        <w:rPr>
          <w:sz w:val="20"/>
          <w:szCs w:val="20"/>
          <w:color w:val="auto"/>
        </w:rPr>
      </w:pPr>
      <w:r>
        <w:rPr>
          <w:rFonts w:ascii="Arial" w:cs="Arial" w:eastAsia="Arial" w:hAnsi="Arial"/>
          <w:sz w:val="18"/>
          <w:szCs w:val="18"/>
          <w:i w:val="1"/>
          <w:iCs w:val="1"/>
          <w:color w:val="auto"/>
        </w:rPr>
        <w:t xml:space="preserve">5¾% Senior Notes due 2027. </w:t>
      </w:r>
      <w:r>
        <w:rPr>
          <w:rFonts w:ascii="Arial" w:cs="Arial" w:eastAsia="Arial" w:hAnsi="Arial"/>
          <w:sz w:val="18"/>
          <w:szCs w:val="18"/>
          <w:color w:val="auto"/>
        </w:rPr>
        <w:t>In July 2019, the Company issued $400 million of 5¾% Senior Notes due July 2027, at par.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used the net proceeds from the offering to redeem $400 million principal amount of its 5½% Senior Notes due April 2023.</w:t>
      </w:r>
    </w:p>
    <w:p>
      <w:pPr>
        <w:spacing w:after="0" w:line="180" w:lineRule="exact"/>
        <w:rPr>
          <w:sz w:val="20"/>
          <w:szCs w:val="20"/>
          <w:color w:val="auto"/>
        </w:rPr>
      </w:pPr>
    </w:p>
    <w:p>
      <w:pPr>
        <w:jc w:val="both"/>
        <w:ind w:left="500" w:right="120"/>
        <w:spacing w:after="0" w:line="256" w:lineRule="auto"/>
        <w:rPr>
          <w:sz w:val="20"/>
          <w:szCs w:val="20"/>
          <w:color w:val="auto"/>
        </w:rPr>
      </w:pPr>
      <w:r>
        <w:rPr>
          <w:rFonts w:ascii="Arial" w:cs="Arial" w:eastAsia="Arial" w:hAnsi="Arial"/>
          <w:sz w:val="18"/>
          <w:szCs w:val="18"/>
          <w:color w:val="auto"/>
        </w:rPr>
        <w:t>The 5½% Senior Notes, 6⅜% Senior Notes, the 5¼% Senior Notes and the 5¾% Senior Notes are senior unsecured obligations of the Company’s Avis Budget Car Rental, LLC (“ABCR”) subsidiary, are guaranteed by the Company and certain of its domestic subsidiaries and rank equally in right of payment with all of the Company’s existing and future senior unsecured indebtedness.</w:t>
      </w:r>
    </w:p>
    <w:p>
      <w:pPr>
        <w:spacing w:after="0" w:line="202" w:lineRule="exact"/>
        <w:rPr>
          <w:sz w:val="20"/>
          <w:szCs w:val="20"/>
          <w:color w:val="auto"/>
        </w:rPr>
      </w:pPr>
    </w:p>
    <w:p>
      <w:pPr>
        <w:ind w:left="500" w:right="380"/>
        <w:spacing w:after="0" w:line="256" w:lineRule="auto"/>
        <w:rPr>
          <w:sz w:val="20"/>
          <w:szCs w:val="20"/>
          <w:color w:val="auto"/>
        </w:rPr>
      </w:pPr>
      <w:r>
        <w:rPr>
          <w:rFonts w:ascii="Arial" w:cs="Arial" w:eastAsia="Arial" w:hAnsi="Arial"/>
          <w:sz w:val="18"/>
          <w:szCs w:val="18"/>
          <w:color w:val="auto"/>
        </w:rPr>
        <w:t>The 4⅛% euro-denominated Senior Notes, 4½% euro-denominated Senior Notes and 4¾% euro-denominated Senior Notes are unsecured obligations of the Company’s Avis Budget Finance plc subsidiary, are guaranteed on a senior basis by the Company and certain of its domestic subsidiaries and rank equally with all of the Company’s existing senior unsecured debt.</w:t>
      </w:r>
    </w:p>
    <w:p>
      <w:pPr>
        <w:spacing w:after="0" w:line="202" w:lineRule="exact"/>
        <w:rPr>
          <w:sz w:val="20"/>
          <w:szCs w:val="20"/>
          <w:color w:val="auto"/>
        </w:rPr>
      </w:pPr>
    </w:p>
    <w:p>
      <w:pPr>
        <w:ind w:left="500" w:right="560"/>
        <w:spacing w:after="0" w:line="262" w:lineRule="auto"/>
        <w:rPr>
          <w:sz w:val="20"/>
          <w:szCs w:val="20"/>
          <w:color w:val="auto"/>
        </w:rPr>
      </w:pPr>
      <w:r>
        <w:rPr>
          <w:rFonts w:ascii="Arial" w:cs="Arial" w:eastAsia="Arial" w:hAnsi="Arial"/>
          <w:sz w:val="18"/>
          <w:szCs w:val="18"/>
          <w:color w:val="auto"/>
        </w:rPr>
        <w:t>In connection with the debt amendments and repayments for the years ended December 31, 2019, 2018 and 2017, the Company recorded $12 million, $19 million and $3 million in early extinguishment of debt costs, respectively.</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40"/>
          </w:cols>
          <w:pgMar w:left="240" w:top="140"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93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615"/>
        </w:trPr>
        <w:tc>
          <w:tcPr>
            <w:tcW w:w="9360" w:type="dxa"/>
            <w:vAlign w:val="bottom"/>
            <w:gridSpan w:val="2"/>
          </w:tcPr>
          <w:p>
            <w:pPr>
              <w:ind w:left="500"/>
              <w:spacing w:after="0"/>
              <w:rPr>
                <w:sz w:val="20"/>
                <w:szCs w:val="20"/>
                <w:color w:val="auto"/>
              </w:rPr>
            </w:pPr>
            <w:r>
              <w:rPr>
                <w:rFonts w:ascii="Arial" w:cs="Arial" w:eastAsia="Arial" w:hAnsi="Arial"/>
                <w:sz w:val="18"/>
                <w:szCs w:val="18"/>
                <w:b w:val="1"/>
                <w:bCs w:val="1"/>
                <w:color w:val="auto"/>
              </w:rPr>
              <w:t>Debt Maturities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9360" w:type="dxa"/>
            <w:vAlign w:val="bottom"/>
            <w:gridSpan w:val="2"/>
          </w:tcPr>
          <w:p>
            <w:pPr>
              <w:ind w:left="500"/>
              <w:spacing w:after="0"/>
              <w:rPr>
                <w:sz w:val="20"/>
                <w:szCs w:val="20"/>
                <w:color w:val="auto"/>
              </w:rPr>
            </w:pPr>
            <w:r>
              <w:rPr>
                <w:rFonts w:ascii="Arial" w:cs="Arial" w:eastAsia="Arial" w:hAnsi="Arial"/>
                <w:sz w:val="18"/>
                <w:szCs w:val="18"/>
                <w:color w:val="auto"/>
              </w:rPr>
              <w:t>The following table provides contractual maturities of the Company’s corporate debt at December 31, 2019:</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85"/>
        </w:trPr>
        <w:tc>
          <w:tcPr>
            <w:tcW w:w="9360" w:type="dxa"/>
            <w:vAlign w:val="bottom"/>
            <w:gridSpan w:val="2"/>
          </w:tcPr>
          <w:p>
            <w:pPr>
              <w:ind w:left="520"/>
              <w:spacing w:after="0"/>
              <w:rPr>
                <w:sz w:val="20"/>
                <w:szCs w:val="20"/>
                <w:color w:val="auto"/>
              </w:rPr>
            </w:pPr>
            <w:r>
              <w:rPr>
                <w:rFonts w:ascii="Arial" w:cs="Arial" w:eastAsia="Arial" w:hAnsi="Arial"/>
                <w:sz w:val="18"/>
                <w:szCs w:val="18"/>
                <w:b w:val="1"/>
                <w:bCs w:val="1"/>
                <w:color w:val="auto"/>
              </w:rPr>
              <w:t>Year</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43"/>
        </w:trPr>
        <w:tc>
          <w:tcPr>
            <w:tcW w:w="1400" w:type="dxa"/>
            <w:vAlign w:val="bottom"/>
          </w:tcPr>
          <w:p>
            <w:pPr>
              <w:ind w:left="520"/>
              <w:spacing w:after="0"/>
              <w:rPr>
                <w:sz w:val="20"/>
                <w:szCs w:val="20"/>
                <w:color w:val="auto"/>
              </w:rPr>
            </w:pPr>
            <w:r>
              <w:rPr>
                <w:rFonts w:ascii="Arial" w:cs="Arial" w:eastAsia="Arial" w:hAnsi="Arial"/>
                <w:sz w:val="18"/>
                <w:szCs w:val="18"/>
                <w:color w:val="auto"/>
              </w:rPr>
              <w:t>2020</w:t>
            </w:r>
          </w:p>
        </w:tc>
        <w:tc>
          <w:tcPr>
            <w:tcW w:w="796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2021</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2022</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2023</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57"/>
        </w:trPr>
        <w:tc>
          <w:tcPr>
            <w:tcW w:w="1400" w:type="dxa"/>
            <w:vAlign w:val="bottom"/>
          </w:tcPr>
          <w:p>
            <w:pPr>
              <w:ind w:left="520"/>
              <w:spacing w:after="0"/>
              <w:rPr>
                <w:sz w:val="20"/>
                <w:szCs w:val="20"/>
                <w:color w:val="auto"/>
              </w:rPr>
            </w:pPr>
            <w:r>
              <w:rPr>
                <w:rFonts w:ascii="Arial" w:cs="Arial" w:eastAsia="Arial" w:hAnsi="Arial"/>
                <w:sz w:val="18"/>
                <w:szCs w:val="18"/>
                <w:color w:val="auto"/>
              </w:rPr>
              <w:t>2024</w:t>
            </w:r>
          </w:p>
        </w:tc>
        <w:tc>
          <w:tcPr>
            <w:tcW w:w="7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64"/>
        </w:trPr>
        <w:tc>
          <w:tcPr>
            <w:tcW w:w="9360" w:type="dxa"/>
            <w:vAlign w:val="bottom"/>
            <w:gridSpan w:val="2"/>
          </w:tcPr>
          <w:p>
            <w:pPr>
              <w:ind w:left="5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r>
      <w:tr>
        <w:trPr>
          <w:trHeight w:val="250"/>
        </w:trPr>
        <w:tc>
          <w:tcPr>
            <w:tcW w:w="140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3,474</w:t>
            </w:r>
          </w:p>
        </w:tc>
      </w:tr>
      <w:tr>
        <w:trPr>
          <w:trHeight w:val="20"/>
        </w:trPr>
        <w:tc>
          <w:tcPr>
            <w:tcW w:w="14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2019,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15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Letters of Credit</w:t>
            </w:r>
          </w:p>
        </w:tc>
        <w:tc>
          <w:tcPr>
            <w:tcW w:w="24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 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310"/>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2023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217"/>
        </w:trPr>
        <w:tc>
          <w:tcPr>
            <w:tcW w:w="4220" w:type="dxa"/>
            <w:vAlign w:val="bottom"/>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5" w:lineRule="exact"/>
        <w:rPr>
          <w:sz w:val="20"/>
          <w:szCs w:val="20"/>
          <w:color w:val="auto"/>
        </w:rPr>
      </w:pPr>
    </w:p>
    <w:p>
      <w:pPr>
        <w:ind w:left="820" w:right="40" w:hanging="326"/>
        <w:spacing w:after="0"/>
        <w:tabs>
          <w:tab w:leader="none" w:pos="82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3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February 2018, the Company amended the terms of its Senior revolving credit facility maturing 2021 and extended its maturity to 2023.</w:t>
      </w:r>
    </w:p>
    <w:p>
      <w:pPr>
        <w:spacing w:after="0" w:line="225" w:lineRule="exact"/>
        <w:rPr>
          <w:sz w:val="20"/>
          <w:szCs w:val="20"/>
          <w:color w:val="auto"/>
        </w:rPr>
      </w:pPr>
    </w:p>
    <w:p>
      <w:pPr>
        <w:ind w:left="500" w:right="120"/>
        <w:spacing w:after="0" w:line="262" w:lineRule="auto"/>
        <w:rPr>
          <w:sz w:val="20"/>
          <w:szCs w:val="20"/>
          <w:color w:val="auto"/>
        </w:rPr>
      </w:pPr>
      <w:r>
        <w:rPr>
          <w:rFonts w:ascii="Arial" w:cs="Arial" w:eastAsia="Arial" w:hAnsi="Arial"/>
          <w:sz w:val="18"/>
          <w:szCs w:val="18"/>
          <w:color w:val="auto"/>
        </w:rPr>
        <w:t>At December 31, 2018, the Company had various uncommitted credit facilities available, which bear interest at rates of 0.74% to 6.60%, under which it had drawn approximately $1 million.</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47" w:lineRule="exact"/>
        <w:rPr>
          <w:sz w:val="20"/>
          <w:szCs w:val="20"/>
          <w:color w:val="auto"/>
        </w:rPr>
      </w:pPr>
    </w:p>
    <w:p>
      <w:pPr>
        <w:ind w:left="500" w:right="20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December 31, 2019, the Company was in compliance with the financial covenants governing its indebtedness.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 under Vehicle Programs and Borrowing Arrangements</w:t>
      </w:r>
    </w:p>
    <w:p>
      <w:pPr>
        <w:spacing w:after="0" w:line="193" w:lineRule="exact"/>
        <w:rPr>
          <w:sz w:val="20"/>
          <w:szCs w:val="20"/>
          <w:color w:val="auto"/>
        </w:rPr>
      </w:pPr>
    </w:p>
    <w:p>
      <w:pPr>
        <w:ind w:left="500" w:right="320"/>
        <w:spacing w:after="0" w:line="262" w:lineRule="auto"/>
        <w:rPr>
          <w:sz w:val="20"/>
          <w:szCs w:val="20"/>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7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64"/>
        </w:trPr>
        <w:tc>
          <w:tcPr>
            <w:tcW w:w="7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94"/>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2"/>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7"/>
        </w:trPr>
        <w:tc>
          <w:tcPr>
            <w:tcW w:w="7240" w:type="dxa"/>
            <w:vAlign w:val="bottom"/>
          </w:tcPr>
          <w:p>
            <w:pPr>
              <w:ind w:left="20"/>
              <w:spacing w:after="0"/>
              <w:rPr>
                <w:sz w:val="20"/>
                <w:szCs w:val="20"/>
                <w:color w:val="auto"/>
              </w:rPr>
            </w:pPr>
            <w:r>
              <w:rPr>
                <w:rFonts w:ascii="Arial" w:cs="Arial" w:eastAsia="Arial" w:hAnsi="Arial"/>
                <w:sz w:val="18"/>
                <w:szCs w:val="18"/>
                <w:color w:val="auto"/>
              </w:rPr>
              <w:t>International – Finance leases</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4"/>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11,068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increases in the Company's car rental fleet.</w:t>
      </w:r>
    </w:p>
    <w:p>
      <w:pPr>
        <w:ind w:left="820" w:right="540" w:hanging="326"/>
        <w:spacing w:after="0" w:line="210" w:lineRule="auto"/>
        <w:tabs>
          <w:tab w:leader="none" w:pos="820"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Deferred financing fees related to Debt due to Avis Budget Rental Car Funding as of December 31, 2019 and 2018 were $40 million and $35 million, respectively.</w:t>
      </w:r>
    </w:p>
    <w:p>
      <w:pPr>
        <w:sectPr>
          <w:pgSz w:w="11900" w:h="16838" w:orient="portrait"/>
          <w:cols w:equalWidth="0" w:num="1">
            <w:col w:w="11420"/>
          </w:cols>
          <w:pgMar w:left="240" w:top="108" w:right="2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08"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Americas</w:t>
      </w:r>
    </w:p>
    <w:p>
      <w:pPr>
        <w:spacing w:after="0" w:line="229"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i w:val="1"/>
          <w:iCs w:val="1"/>
          <w:color w:val="auto"/>
        </w:rPr>
        <w:t>Debt due to Avis Budget Rental Car Funding</w:t>
      </w:r>
      <w:r>
        <w:rPr>
          <w:rFonts w:ascii="Arial" w:cs="Arial" w:eastAsia="Arial" w:hAnsi="Arial"/>
          <w:sz w:val="18"/>
          <w:szCs w:val="18"/>
          <w:color w:val="auto"/>
        </w:rPr>
        <w:t>. Avis Budget Rental Car Funding, an unconsolidated bankruptcy remote qualifying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limited liability company, issues privately placed notes to investors as well as to banks and bank-sponsored conduit entities. Avis Budget Rental Car Funding uses the proceeds from its note issuances to make loans to a wholly-owned subsidiary of the Company, AESOP Leasing LP (“AESOP Leasing”), on a continuing basis. AESOP Leasing is required to use the proceeds of such loans to acquire or finance the acquisition of vehicles used in the Company’s rental car operations. By issuing debt through the Avis Budget Rental Car Funding program, the Company pays a lower rate of interest than if it had issued debt directly to third parties. Avis Budget Rental Car Funding is not consolidated, as the Company is not the “primary beneficiary” of Avis Budget Rental Car Funding. The Company determined that it is not the primary beneficiary because the Company does not have the obligation to absorb the potential losses or receive the benefits of Avis Budget Rental Car Funding’s activities since the Company’s only significant source of variability in the earnings, losses or cash flows of Avis Budget Rental Car Funding is exposure to its own creditworthiness, due to its loan from Avis Budget Rental Car Funding. Because Avis Budget Rental Car Funding is not consolidated, AESOP Leasing’s loan obligations to Avis Budget Rental Car Funding are reflected as related party debt on the Company’s Consolidated Balance Sheets. The Company also has an asset within Assets under vehicle programs on its Consolidated Balance Sheets which represents securities issued to the Company by Avis Budget Rental Car Funding. AESOP Leasing is consolidated, as the Company is the “primary beneficiary” of AESOP Leasing; as a result, the vehicles purchased by AESOP Leasing remain on the Company’s Consolidated Balance Sheets. The Company determined it is the primary beneficiary of AESOP Leasing, as it has the ability to direct its activities, an obligation to absorb a majority of its expected losses and the right to receive the benefits of AESOP Leasing’s activities. AESOP Leasing’s vehicles and related assets, which as of December 31, 2019, approximate $10.2 billion and some of which are subject to manufacturer repurchase and guaranteed depreciation agreements, collateralize the debt issued by Avis Budget Rental Car Funding. The assets and liabilities of AESOP Leasing are presented on the Company’s Consolidated Balance Sheets within Assets under vehicle programs and Liabilities under vehicle programs, respectively. The assets of AESOP Leasing, included within assets under vehicle programs (excluding the investment in Avis Budget Rental Car Funding (AESOP) LLC—related party) are restricted. Such assets may be used only to repay the respective AESOP Leasing liabilities, included within Liabilities under vehicle programs, and to purchase new vehicles, although if certain collateral coverage requirements are met, AESOP Leasing may pay dividends from excess cash. The creditors of AESOP Leasing and Avis Budget Rental Car Funding have no recourse to the general credit of the Company. The Company periodically provides Avis Budget Rental Car Funding with non-contractually required support, in the form of equity and loans, to serve as additional collateral for the debt issued by Avis Budget Rental Car Funding.</w:t>
      </w:r>
    </w:p>
    <w:p>
      <w:pPr>
        <w:spacing w:after="0" w:line="170"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business activities of Avis Budget Rental Car Funding are limited primarily to issuing indebtedness and using the proceeds thereof to make loans to AESOP Leasing for the purpose of acquiring or financing the acquisition of vehicles to be leased to the Company’s rental car subsidiaries and pledging its assets to secure the indebtedness. Because Avis Budget Rental Car Funding is not consolidated by the Company, its results of operations and cash flows are not reflected within the Company’s financial statements.</w:t>
      </w:r>
    </w:p>
    <w:p>
      <w:pPr>
        <w:spacing w:after="0" w:line="150" w:lineRule="exact"/>
        <w:rPr>
          <w:sz w:val="20"/>
          <w:szCs w:val="20"/>
          <w:color w:val="auto"/>
        </w:rPr>
      </w:pPr>
    </w:p>
    <w:p>
      <w:pPr>
        <w:ind w:left="500" w:right="180"/>
        <w:spacing w:after="0" w:line="252" w:lineRule="auto"/>
        <w:rPr>
          <w:sz w:val="20"/>
          <w:szCs w:val="20"/>
          <w:color w:val="auto"/>
        </w:rPr>
      </w:pPr>
      <w:r>
        <w:rPr>
          <w:rFonts w:ascii="Arial" w:cs="Arial" w:eastAsia="Arial" w:hAnsi="Arial"/>
          <w:sz w:val="18"/>
          <w:szCs w:val="18"/>
          <w:color w:val="auto"/>
        </w:rPr>
        <w:t>During April 2018 and October 2018, Avis Budget Rental Car Funding issued approximately $400 million in asset-backed notes with an expected final payment date of September 2023 and approximately $550 million in asset-backed notes with an expected final payment date of March 2024, respectively. During February 2019, April 2019 and August 2019, Avis Budget Rental Car Funding issued approximately $600 million, $650 million and $650 million, respectively, in asset-backed notes with an expected final payment date of March 2022, September 2024 and March 2025, respectively. The Company used the proceeds from these borrowings to fund the repayment of maturing vehicle-backed debt and the acquisition of rental cars in the United States. Borrowings under the Avis Budget Rental Car Funding program primarily represent fixed rate notes and had a weighted average interest rate of 3.16% and 3.20% as of December 31, 2019 and 2018 respectively.</w:t>
      </w:r>
    </w:p>
    <w:p>
      <w:pPr>
        <w:spacing w:after="0" w:line="134" w:lineRule="exact"/>
        <w:rPr>
          <w:sz w:val="20"/>
          <w:szCs w:val="20"/>
          <w:color w:val="auto"/>
        </w:rPr>
      </w:pPr>
    </w:p>
    <w:p>
      <w:pPr>
        <w:ind w:left="500" w:right="100"/>
        <w:spacing w:after="0" w:line="281" w:lineRule="auto"/>
        <w:rPr>
          <w:sz w:val="20"/>
          <w:szCs w:val="20"/>
          <w:color w:val="auto"/>
        </w:rPr>
      </w:pPr>
      <w:r>
        <w:rPr>
          <w:rFonts w:ascii="Arial" w:cs="Arial" w:eastAsia="Arial" w:hAnsi="Arial"/>
          <w:sz w:val="17"/>
          <w:szCs w:val="17"/>
          <w:i w:val="1"/>
          <w:iCs w:val="1"/>
          <w:color w:val="auto"/>
        </w:rPr>
        <w:t>Debt borrowings</w:t>
      </w:r>
      <w:r>
        <w:rPr>
          <w:rFonts w:ascii="Arial" w:cs="Arial" w:eastAsia="Arial" w:hAnsi="Arial"/>
          <w:sz w:val="17"/>
          <w:szCs w:val="17"/>
          <w:color w:val="auto"/>
        </w:rPr>
        <w:t>. The Company finances the acquisition of vehicles used in its Canadian rental operations through a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bankruptcy remote special-purpose entity, which issues privately placed notes to investors and bank-sponsored conduits. The Company finances the acquisition of fleet for its truck rental operations in the United States through a combination of debt facilities and leases. These debt borrowings represent a mix of fixed and floating rate debt and had a weighted average interest rate of 2.87% and 3.33%</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140"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and 2018 respectively.</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International</w:t>
      </w:r>
    </w:p>
    <w:p>
      <w:pPr>
        <w:spacing w:after="0" w:line="175"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In 2013, the Company entered into a three-year, €500 million (approximately $687 million) European rental fleet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securitization program, which is used to finance fleet purchases for certain of the Company’s European operations. Since 2013, the Company increased its capacity by € 1.3 billion (approximately $1.5 billion), and extended the securitization maturity to 2021. The Company finances the acquisition of vehicles used in its International rental car operations through this and other consolidated, bankruptcy remote special-purpose entities, which issue privately placed notes to banks and bank-sponsored conduits. The International borrowings primarily represent floating rate notes and had a weighted average interest rate of 1.87% and 2.02% as of December 31, 2019 and 2018 respectively.</w:t>
      </w:r>
    </w:p>
    <w:p>
      <w:pPr>
        <w:spacing w:after="0" w:line="189" w:lineRule="exact"/>
        <w:rPr>
          <w:sz w:val="20"/>
          <w:szCs w:val="20"/>
          <w:color w:val="auto"/>
        </w:rPr>
      </w:pPr>
    </w:p>
    <w:p>
      <w:pPr>
        <w:jc w:val="both"/>
        <w:ind w:left="500" w:right="260"/>
        <w:spacing w:after="0" w:line="266" w:lineRule="auto"/>
        <w:rPr>
          <w:sz w:val="20"/>
          <w:szCs w:val="20"/>
          <w:color w:val="auto"/>
        </w:rPr>
      </w:pPr>
      <w:r>
        <w:rPr>
          <w:rFonts w:ascii="Arial" w:cs="Arial" w:eastAsia="Arial" w:hAnsi="Arial"/>
          <w:sz w:val="18"/>
          <w:szCs w:val="18"/>
          <w:i w:val="1"/>
          <w:iCs w:val="1"/>
          <w:color w:val="auto"/>
        </w:rPr>
        <w:t xml:space="preserve">Finance leases. </w:t>
      </w:r>
      <w:r>
        <w:rPr>
          <w:rFonts w:ascii="Arial" w:cs="Arial" w:eastAsia="Arial" w:hAnsi="Arial"/>
          <w:sz w:val="18"/>
          <w:szCs w:val="18"/>
          <w:color w:val="auto"/>
        </w:rPr>
        <w:t>The Company obtained a portion of its International vehicles under finance lease arrangements.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and 2018, the weighted average interest rate on these borrowings was 1.25% and 1.17% respectively. All finance leases are on a fixed repayment basis and interest rates are fixed at the contract date.</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the contractual maturities of the Company’s debt under vehicle programs, including related party debt due to</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Avis Budget Rental Car Funding, at December 31, 2019:</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Debt under</w:t>
            </w:r>
          </w:p>
        </w:tc>
      </w:tr>
      <w:tr>
        <w:trPr>
          <w:trHeight w:val="203"/>
        </w:trPr>
        <w:tc>
          <w:tcPr>
            <w:tcW w:w="8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8"/>
              </w:rPr>
              <w:t>Vehicle</w:t>
            </w:r>
          </w:p>
        </w:tc>
      </w:tr>
      <w:tr>
        <w:trPr>
          <w:trHeight w:val="252"/>
        </w:trPr>
        <w:tc>
          <w:tcPr>
            <w:tcW w:w="87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6"/>
              </w:rPr>
              <w:t xml:space="preserve">Programs </w:t>
            </w:r>
            <w:r>
              <w:rPr>
                <w:rFonts w:ascii="Arial" w:cs="Arial" w:eastAsia="Arial" w:hAnsi="Arial"/>
                <w:sz w:val="21"/>
                <w:szCs w:val="21"/>
                <w:color w:val="auto"/>
                <w:w w:val="96"/>
                <w:vertAlign w:val="superscript"/>
              </w:rPr>
              <w:t>(a)</w:t>
            </w:r>
          </w:p>
        </w:tc>
      </w:tr>
      <w:tr>
        <w:trPr>
          <w:trHeight w:val="237"/>
        </w:trPr>
        <w:tc>
          <w:tcPr>
            <w:tcW w:w="876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1,753</w:t>
            </w:r>
          </w:p>
        </w:tc>
      </w:tr>
      <w:tr>
        <w:trPr>
          <w:trHeight w:val="294"/>
        </w:trPr>
        <w:tc>
          <w:tcPr>
            <w:tcW w:w="8760" w:type="dxa"/>
            <w:vAlign w:val="bottom"/>
          </w:tcPr>
          <w:p>
            <w:pPr>
              <w:spacing w:after="0"/>
              <w:rPr>
                <w:sz w:val="20"/>
                <w:szCs w:val="20"/>
                <w:color w:val="auto"/>
              </w:rPr>
            </w:pPr>
            <w:r>
              <w:rPr>
                <w:rFonts w:ascii="Arial" w:cs="Arial" w:eastAsia="Arial" w:hAnsi="Arial"/>
                <w:sz w:val="18"/>
                <w:szCs w:val="18"/>
                <w:color w:val="auto"/>
              </w:rPr>
              <w:t xml:space="preserve">2021 </w:t>
            </w:r>
            <w:r>
              <w:rPr>
                <w:rFonts w:ascii="Arial" w:cs="Arial" w:eastAsia="Arial" w:hAnsi="Arial"/>
                <w:sz w:val="21"/>
                <w:szCs w:val="21"/>
                <w:color w:val="auto"/>
                <w:vertAlign w:val="superscript"/>
              </w:rPr>
              <w:t>(b)</w:t>
            </w:r>
          </w:p>
        </w:tc>
        <w:tc>
          <w:tcPr>
            <w:tcW w:w="18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3,225</w:t>
            </w:r>
          </w:p>
        </w:tc>
      </w:tr>
      <w:tr>
        <w:trPr>
          <w:trHeight w:val="259"/>
        </w:trPr>
        <w:tc>
          <w:tcPr>
            <w:tcW w:w="8760" w:type="dxa"/>
            <w:vAlign w:val="bottom"/>
          </w:tcPr>
          <w:p>
            <w:pPr>
              <w:spacing w:after="0"/>
              <w:rPr>
                <w:sz w:val="20"/>
                <w:szCs w:val="20"/>
                <w:color w:val="auto"/>
              </w:rPr>
            </w:pPr>
            <w:r>
              <w:rPr>
                <w:rFonts w:ascii="Arial" w:cs="Arial" w:eastAsia="Arial" w:hAnsi="Arial"/>
                <w:sz w:val="18"/>
                <w:szCs w:val="18"/>
                <w:color w:val="auto"/>
              </w:rPr>
              <w:t xml:space="preserve">2022 </w:t>
            </w:r>
            <w:r>
              <w:rPr>
                <w:rFonts w:ascii="Arial" w:cs="Arial" w:eastAsia="Arial" w:hAnsi="Arial"/>
                <w:sz w:val="21"/>
                <w:szCs w:val="21"/>
                <w:color w:val="auto"/>
                <w:vertAlign w:val="superscript"/>
              </w:rPr>
              <w:t>(c)</w:t>
            </w:r>
          </w:p>
        </w:tc>
        <w:tc>
          <w:tcPr>
            <w:tcW w:w="18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3,032</w:t>
            </w:r>
          </w:p>
        </w:tc>
      </w:tr>
      <w:tr>
        <w:trPr>
          <w:trHeight w:val="217"/>
        </w:trPr>
        <w:tc>
          <w:tcPr>
            <w:tcW w:w="876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1,097</w:t>
            </w:r>
          </w:p>
        </w:tc>
      </w:tr>
      <w:tr>
        <w:trPr>
          <w:trHeight w:val="257"/>
        </w:trPr>
        <w:tc>
          <w:tcPr>
            <w:tcW w:w="876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1,471</w:t>
            </w:r>
          </w:p>
        </w:tc>
      </w:tr>
      <w:tr>
        <w:trPr>
          <w:trHeight w:val="264"/>
        </w:trPr>
        <w:tc>
          <w:tcPr>
            <w:tcW w:w="876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w:t>
            </w:r>
          </w:p>
        </w:tc>
      </w:tr>
      <w:tr>
        <w:trPr>
          <w:trHeight w:val="250"/>
        </w:trPr>
        <w:tc>
          <w:tcPr>
            <w:tcW w:w="87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11,117</w:t>
            </w:r>
          </w:p>
        </w:tc>
      </w:tr>
      <w:tr>
        <w:trPr>
          <w:trHeight w:val="20"/>
        </w:trPr>
        <w:tc>
          <w:tcPr>
            <w:tcW w:w="8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7" w:lineRule="auto"/>
        <w:tabs>
          <w:tab w:leader="none" w:pos="82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Vehicle-backed debt primarily represents asset-backed securities.</w:t>
      </w:r>
    </w:p>
    <w:p>
      <w:pPr>
        <w:ind w:left="820" w:hanging="326"/>
        <w:spacing w:after="0" w:line="181" w:lineRule="auto"/>
        <w:tabs>
          <w:tab w:leader="none" w:pos="82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Includes $1.9 billion of bank and bank-sponsored facilities.</w:t>
      </w:r>
    </w:p>
    <w:p>
      <w:pPr>
        <w:ind w:left="820" w:hanging="326"/>
        <w:spacing w:after="0" w:line="206" w:lineRule="auto"/>
        <w:tabs>
          <w:tab w:leader="none" w:pos="8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Includes $1.7 billion of bank and bank-sponsored facilities.</w:t>
      </w:r>
    </w:p>
    <w:p>
      <w:pPr>
        <w:spacing w:after="0" w:line="34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The following table presents available funding under the Company’s debt arrangements related to its vehicle programs, including related party debt due to Avis Budget Rental Car Funding, at December 31, 2019:</w:t>
      </w:r>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 w:right="600"/>
        <w:spacing w:after="0" w:line="352" w:lineRule="auto"/>
        <w:rPr>
          <w:sz w:val="20"/>
          <w:szCs w:val="20"/>
          <w:color w:val="auto"/>
        </w:rPr>
      </w:pPr>
      <w:r>
        <w:rPr>
          <w:rFonts w:ascii="Arial" w:cs="Arial" w:eastAsia="Arial" w:hAnsi="Arial"/>
          <w:sz w:val="16"/>
          <w:szCs w:val="16"/>
          <w:color w:val="auto"/>
        </w:rPr>
        <w:t>Americas – Debt due to Avis Budget Rental Car Funding Americas – Debt borrowings International – Debt borrowings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International – Finance leases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xml:space="preserve">Total Capacity </w:t>
            </w:r>
            <w:r>
              <w:rPr>
                <w:rFonts w:ascii="Arial" w:cs="Arial" w:eastAsia="Arial" w:hAnsi="Arial"/>
                <w:sz w:val="17"/>
                <w:szCs w:val="17"/>
                <w:color w:val="auto"/>
                <w:vertAlign w:val="superscript"/>
              </w:rPr>
              <w:t>(a)</w:t>
            </w:r>
          </w:p>
        </w:tc>
        <w:tc>
          <w:tcPr>
            <w:tcW w:w="180" w:type="dxa"/>
            <w:vAlign w:val="bottom"/>
          </w:tcPr>
          <w:p>
            <w:pPr>
              <w:spacing w:after="0"/>
              <w:rPr>
                <w:sz w:val="21"/>
                <w:szCs w:val="21"/>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 xml:space="preserve">Borrowings </w:t>
            </w:r>
            <w:r>
              <w:rPr>
                <w:rFonts w:ascii="Arial" w:cs="Arial" w:eastAsia="Arial" w:hAnsi="Arial"/>
                <w:sz w:val="17"/>
                <w:szCs w:val="17"/>
                <w:color w:val="auto"/>
                <w:w w:val="98"/>
                <w:vertAlign w:val="superscript"/>
              </w:rPr>
              <w:t>(b)</w:t>
            </w:r>
          </w:p>
        </w:tc>
        <w:tc>
          <w:tcPr>
            <w:tcW w:w="15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Available Capacity</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7,975</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1,786</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3,003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2,100</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83"/>
        </w:trPr>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14,010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11,117</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2,893</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2">
            <w:col w:w="5180" w:space="720"/>
            <w:col w:w="5480"/>
          </w:cols>
          <w:pgMar w:left="240" w:top="140" w:right="279" w:bottom="1440" w:gutter="0" w:footer="0" w:header="0"/>
          <w:type w:val="continuous"/>
        </w:sectPr>
      </w:pPr>
    </w:p>
    <w:p>
      <w:pPr>
        <w:ind w:left="820" w:hanging="326"/>
        <w:spacing w:after="0" w:line="197" w:lineRule="auto"/>
        <w:tabs>
          <w:tab w:leader="none" w:pos="82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right="540" w:hanging="326"/>
        <w:spacing w:after="0" w:line="218" w:lineRule="auto"/>
        <w:tabs>
          <w:tab w:leader="none" w:pos="82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vehicles and related assets of $9.3 billion for Americas - Debt due to Avis Budget Rental Car Funding; $1.0 billion for Americas - Debt borrowings; $2.6 billion for International - Debt borrowings; and $0.2 billion for International - Finance leases.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193"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140" w:right="27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500" w:right="300"/>
        <w:spacing w:after="0" w:line="256" w:lineRule="auto"/>
        <w:rPr>
          <w:sz w:val="20"/>
          <w:szCs w:val="20"/>
          <w:color w:val="auto"/>
        </w:rPr>
      </w:pPr>
      <w:r>
        <w:rPr>
          <w:rFonts w:ascii="Arial" w:cs="Arial" w:eastAsia="Arial" w:hAnsi="Arial"/>
          <w:sz w:val="18"/>
          <w:szCs w:val="18"/>
          <w:color w:val="auto"/>
        </w:rPr>
        <w:t>require compliance with certain financial requirements. As of December 31, 2019, the Company is not aware of any instances of non-compliance with any of the financial or restrictive covenants contained in the debt agreements under its vehicle-backed funding programs.</w:t>
      </w:r>
    </w:p>
    <w:p>
      <w:pPr>
        <w:spacing w:after="0" w:line="180" w:lineRule="exact"/>
        <w:rPr>
          <w:sz w:val="20"/>
          <w:szCs w:val="20"/>
          <w:color w:val="auto"/>
        </w:rPr>
      </w:pPr>
    </w:p>
    <w:p>
      <w:pPr>
        <w:ind w:left="500" w:right="8220" w:hanging="492"/>
        <w:spacing w:after="0" w:line="475" w:lineRule="auto"/>
        <w:tabs>
          <w:tab w:leader="none" w:pos="31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3" w:lineRule="exact"/>
        <w:rPr>
          <w:sz w:val="20"/>
          <w:szCs w:val="20"/>
          <w:color w:val="auto"/>
        </w:rPr>
      </w:pPr>
    </w:p>
    <w:p>
      <w:pPr>
        <w:ind w:left="500" w:right="40"/>
        <w:spacing w:after="0" w:line="271" w:lineRule="auto"/>
        <w:rPr>
          <w:sz w:val="20"/>
          <w:szCs w:val="20"/>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193" w:lineRule="exact"/>
        <w:rPr>
          <w:sz w:val="20"/>
          <w:szCs w:val="20"/>
          <w:color w:val="auto"/>
        </w:rPr>
      </w:pPr>
    </w:p>
    <w:p>
      <w:pPr>
        <w:ind w:left="500" w:right="200"/>
        <w:spacing w:after="0" w:line="271" w:lineRule="auto"/>
        <w:rPr>
          <w:sz w:val="20"/>
          <w:szCs w:val="20"/>
          <w:color w:val="auto"/>
        </w:rPr>
      </w:pPr>
      <w:r>
        <w:rPr>
          <w:rFonts w:ascii="Arial" w:cs="Arial" w:eastAsia="Arial" w:hAnsi="Arial"/>
          <w:sz w:val="17"/>
          <w:szCs w:val="17"/>
          <w:color w:val="auto"/>
        </w:rPr>
        <w:t>In first quarter 2017, following a state court trial in Georgia, a jury found the Company liable for damages in cases brought by plaintiffs who were injured in a vehicle accident allegedly caused by an employee of an independent contractor of the Company who was acting outside of the scope of employment. In fourth quarter 2019, the Company appealed both verdicts resulting in a reversal of the opinions rendered. The plaintiffs filed a petition to have the Georgia Supreme Court review the state appellate court’s reversal of opinion. The Company has recognized a liability related to these cases, net of recoverable insurance proceeds, of approximately $12 million.</w:t>
      </w:r>
    </w:p>
    <w:p>
      <w:pPr>
        <w:spacing w:after="0" w:line="193"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The Company is involved in claims, legal proceedings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legal proceedings in which it is reasonably possible that a loss may be incurred could, in the aggregate, be up to approximately $30 million in excess of amounts accrued as of December 31, 2019; however, the Company does not believe that the impact should result in a material liability to the Company in relation to its consolidated financial condition or results of operations.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193"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$7.7 billion of vehicles from manufacturers over the next 12 months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193"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In the normal course of business, the Company makes various commitments to purchase other goods or services from specific suppliers, including those related to marketing, advertising, computer services and capital expenditures. As of December 31, 2019, the Company had approximately $136 million of purchase obligations, which extend through 2025.</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193"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Concentrations of credit risk at December 31, 2019, include (i) risks related to the Company’s repurchase and guaranteed depreciation agreements with domestic and foreign car manufacturers, including Ford, Fiat Chrysler and General Motors, and primarily with respect to receivables for program cars that have been disposed but for which the Company has not yet received payment from the manufacturers and (ii) risks related to Realogy and Wyndham, including receivables of $24 million and $14 million, respectively, related to certain contingent, income tax and other corporate liabilities assumed by Realogy and Wyndham in connection with their disposition.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140"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93"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Company maintains a liability for asset retirement obligations. An asset retirement obligation is a legal obligation to perform certain activities in connection with the retirement, disposal or abandonment of assets. The Company’s asset retirement obligations, which are measured at discounted fair values, are primarily related to the removal of underground gasoline storage tanks at its rental facilities. The liability accrued for asset retirement obligations was $27 million and $22 million at December 31, 2019 and 2018, respectively.</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Standard Guarantees/Indemnifications</w:t>
      </w:r>
    </w:p>
    <w:p>
      <w:pPr>
        <w:spacing w:after="0" w:line="193" w:lineRule="exact"/>
        <w:rPr>
          <w:sz w:val="20"/>
          <w:szCs w:val="20"/>
          <w:color w:val="auto"/>
        </w:rPr>
      </w:pPr>
    </w:p>
    <w:p>
      <w:pPr>
        <w:ind w:left="500" w:right="100"/>
        <w:spacing w:after="0" w:line="265" w:lineRule="auto"/>
        <w:rPr>
          <w:sz w:val="20"/>
          <w:szCs w:val="20"/>
          <w:color w:val="auto"/>
        </w:rPr>
      </w:pPr>
      <w:r>
        <w:rPr>
          <w:rFonts w:ascii="Arial" w:cs="Arial" w:eastAsia="Arial" w:hAnsi="Arial"/>
          <w:sz w:val="17"/>
          <w:szCs w:val="17"/>
          <w:color w:val="auto"/>
        </w:rPr>
        <w:t>In the ordinary course of business, the Company enters into numerous agreements that contain standard guarantees and indemnities whereby the Company agrees to indemnify another party, among other things, for performance under contracts and any breaches of representations and warranties thereunder. In addition, many of these parties are also indemnified against any third-party claim resulting from the transaction that is contemplated in the underlying agreement. Such guarantees or indemnifications are granted under various agreements, including those governing (i) purchases, sales or outsourcing of assets, businesses or activities, (ii) leases of real estate,</w:t>
      </w:r>
    </w:p>
    <w:p>
      <w:pPr>
        <w:spacing w:after="0" w:line="1" w:lineRule="exact"/>
        <w:rPr>
          <w:sz w:val="20"/>
          <w:szCs w:val="20"/>
          <w:color w:val="auto"/>
        </w:rPr>
      </w:pPr>
    </w:p>
    <w:p>
      <w:pPr>
        <w:jc w:val="both"/>
        <w:ind w:left="500" w:right="620" w:hanging="6"/>
        <w:spacing w:after="0" w:line="265" w:lineRule="auto"/>
        <w:tabs>
          <w:tab w:leader="none" w:pos="790" w:val="left"/>
        </w:tabs>
        <w:numPr>
          <w:ilvl w:val="1"/>
          <w:numId w:val="60"/>
        </w:numPr>
        <w:rPr>
          <w:rFonts w:ascii="Arial" w:cs="Arial" w:eastAsia="Arial" w:hAnsi="Arial"/>
          <w:sz w:val="17"/>
          <w:szCs w:val="17"/>
          <w:color w:val="auto"/>
        </w:rPr>
      </w:pPr>
      <w:r>
        <w:rPr>
          <w:rFonts w:ascii="Arial" w:cs="Arial" w:eastAsia="Arial" w:hAnsi="Arial"/>
          <w:sz w:val="17"/>
          <w:szCs w:val="17"/>
          <w:color w:val="auto"/>
        </w:rPr>
        <w:t>licensing of trademarks, (iv) access to credit facilities and use of derivatives and (v) issuances of debt or equity securities. The guarantees or indemnifications issued are for the benefit of the (i) buyers in sale agreements and sellers in purchase agreements,</w:t>
      </w:r>
    </w:p>
    <w:p>
      <w:pPr>
        <w:ind w:left="500" w:right="20" w:hanging="6"/>
        <w:spacing w:after="0" w:line="251" w:lineRule="auto"/>
        <w:tabs>
          <w:tab w:leader="none" w:pos="750" w:val="left"/>
        </w:tabs>
        <w:numPr>
          <w:ilvl w:val="1"/>
          <w:numId w:val="61"/>
        </w:numPr>
        <w:rPr>
          <w:rFonts w:ascii="Arial" w:cs="Arial" w:eastAsia="Arial" w:hAnsi="Arial"/>
          <w:sz w:val="18"/>
          <w:szCs w:val="18"/>
          <w:color w:val="auto"/>
        </w:rPr>
      </w:pPr>
      <w:r>
        <w:rPr>
          <w:rFonts w:ascii="Arial" w:cs="Arial" w:eastAsia="Arial" w:hAnsi="Arial"/>
          <w:sz w:val="18"/>
          <w:szCs w:val="18"/>
          <w:color w:val="auto"/>
        </w:rPr>
        <w:t>landlords in lease contracts, (iii) licensees under licensing agreements, (iv) financial institutions in credit facility arrangements and derivative contracts and (v) underwriters and placement agents in debt or equity security issuances. While some of these guarantees extend only for the duration of the underlying agreement, many may survive the expiration of the term of the agreement or extend into perpetuity (unless subject to a legal statute of limitations). There are no specific limitations on the maximum potential amount of future payments that the Company could be required to make under these guarantees, nor is the Company able to develop an estimate of the maximum potential amount of future payments to be made under these guarantees as the triggering events are not subject to predictability. With respect to certain of the aforementioned guarantees, such as indemnifications provided to landlords against third-party claims for the use of real estate property leased by the Company, the Company maintains insurance coverage that mitigates its potential exposure.</w:t>
      </w:r>
    </w:p>
    <w:p>
      <w:pPr>
        <w:spacing w:after="0" w:line="190" w:lineRule="exact"/>
        <w:rPr>
          <w:rFonts w:ascii="Arial" w:cs="Arial" w:eastAsia="Arial" w:hAnsi="Arial"/>
          <w:sz w:val="18"/>
          <w:szCs w:val="18"/>
          <w:color w:val="auto"/>
        </w:rPr>
      </w:pPr>
    </w:p>
    <w:p>
      <w:pPr>
        <w:ind w:left="300" w:hanging="292"/>
        <w:spacing w:after="0"/>
        <w:tabs>
          <w:tab w:leader="none" w:pos="3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Dividend Payments</w:t>
      </w:r>
    </w:p>
    <w:p>
      <w:pPr>
        <w:spacing w:after="0" w:line="193"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During 2019, 2018 and 2017, the Company did not declare or pay any cash dividends. The Company’s ability to pay dividends to holders of its common stock is limited by the Company’s senior credit facility, the indentures governing its senior notes and its vehicle financing programs.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3" w:lineRule="exact"/>
        <w:rPr>
          <w:sz w:val="20"/>
          <w:szCs w:val="20"/>
          <w:color w:val="auto"/>
        </w:rPr>
      </w:pPr>
    </w:p>
    <w:p>
      <w:pPr>
        <w:ind w:left="500" w:right="260"/>
        <w:spacing w:after="0" w:line="274" w:lineRule="auto"/>
        <w:rPr>
          <w:sz w:val="20"/>
          <w:szCs w:val="20"/>
          <w:color w:val="auto"/>
        </w:rPr>
      </w:pPr>
      <w:r>
        <w:rPr>
          <w:rFonts w:ascii="Arial" w:cs="Arial" w:eastAsia="Arial" w:hAnsi="Arial"/>
          <w:sz w:val="17"/>
          <w:szCs w:val="17"/>
          <w:color w:val="262626"/>
        </w:rPr>
        <w:t xml:space="preserve">The Company’s Board of Directors has authorized the repurchase of up to approximately $1.8 billion of its common stock under a plan originally approved in 2013 and subsequently expanded, most recently in August 2019. </w:t>
      </w:r>
      <w:r>
        <w:rPr>
          <w:rFonts w:ascii="Arial" w:cs="Arial" w:eastAsia="Arial" w:hAnsi="Arial"/>
          <w:sz w:val="17"/>
          <w:szCs w:val="17"/>
          <w:color w:val="000000"/>
        </w:rPr>
        <w:t>During 2019, 2018 and 2017, the Company</w:t>
      </w:r>
      <w:r>
        <w:rPr>
          <w:rFonts w:ascii="Arial" w:cs="Arial" w:eastAsia="Arial" w:hAnsi="Arial"/>
          <w:sz w:val="17"/>
          <w:szCs w:val="17"/>
          <w:color w:val="262626"/>
        </w:rPr>
        <w:t xml:space="preserve"> </w:t>
      </w:r>
      <w:r>
        <w:rPr>
          <w:rFonts w:ascii="Arial" w:cs="Arial" w:eastAsia="Arial" w:hAnsi="Arial"/>
          <w:sz w:val="17"/>
          <w:szCs w:val="17"/>
          <w:color w:val="000000"/>
        </w:rPr>
        <w:t>repurchased approximately 14 million shares of common stock at a cost of approximately $462 million under the program. As of December 31, 2019, approximately $189 million of authorization remained available to repurchase common stock under this plan.</w:t>
      </w:r>
    </w:p>
    <w:p>
      <w:pPr>
        <w:spacing w:after="0" w:line="188"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In June 2019, as part of its share repurchase program, the Company entered into a structured repurchase agreement involving the use of capped call options for the purchase of its common stock. The Company paid a fixed sum upon the execution of the agreement in exchange for the right to receive either a pre-determined amount of cash or stock. The Company paid net premiums of $16 million to enter into this agreement, which was recorded as a reduction of additional paid in capital. In September 2019, the capped call options expired and all outstanding options settled for 0.6 million shares.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40"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accumulated other comprehensive income (loss) are as follows: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January 1, 2017</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2017</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Cumulative effect of accounting change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January 1, 2018</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2018</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Cumulative effect of accounting change </w:t>
      </w:r>
      <w:r>
        <w:rPr>
          <w:rFonts w:ascii="Arial" w:cs="Arial" w:eastAsia="Arial" w:hAnsi="Arial"/>
          <w:sz w:val="7"/>
          <w:szCs w:val="7"/>
          <w:color w:val="auto"/>
        </w:rPr>
        <w:t>(c)</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January 1, 2019</w:t>
      </w:r>
    </w:p>
    <w:p>
      <w:pPr>
        <w:spacing w:after="0" w:line="121" w:lineRule="exact"/>
        <w:rPr>
          <w:sz w:val="20"/>
          <w:szCs w:val="20"/>
          <w:color w:val="auto"/>
        </w:rPr>
      </w:pPr>
    </w:p>
    <w:p>
      <w:pPr>
        <w:ind w:left="840" w:hanging="161"/>
        <w:spacing w:after="0" w:line="230" w:lineRule="auto"/>
        <w:rPr>
          <w:sz w:val="20"/>
          <w:szCs w:val="20"/>
          <w:color w:val="auto"/>
        </w:rPr>
      </w:pPr>
      <w:r>
        <w:rPr>
          <w:rFonts w:ascii="Arial" w:cs="Arial" w:eastAsia="Arial" w:hAnsi="Arial"/>
          <w:sz w:val="13"/>
          <w:szCs w:val="13"/>
          <w:color w:val="auto"/>
        </w:rPr>
        <w:t>Other comprehensive income (loss) before reclassifications</w:t>
      </w:r>
    </w:p>
    <w:p>
      <w:pPr>
        <w:spacing w:after="0" w:line="38" w:lineRule="exact"/>
        <w:rPr>
          <w:sz w:val="20"/>
          <w:szCs w:val="20"/>
          <w:color w:val="auto"/>
        </w:rPr>
      </w:pPr>
    </w:p>
    <w:p>
      <w:pPr>
        <w:ind w:left="840" w:right="180" w:hanging="161"/>
        <w:spacing w:after="0" w:line="259" w:lineRule="auto"/>
        <w:rPr>
          <w:sz w:val="20"/>
          <w:szCs w:val="20"/>
          <w:color w:val="auto"/>
        </w:rPr>
      </w:pPr>
      <w:r>
        <w:rPr>
          <w:rFonts w:ascii="Arial" w:cs="Arial" w:eastAsia="Arial" w:hAnsi="Arial"/>
          <w:sz w:val="12"/>
          <w:szCs w:val="12"/>
          <w:color w:val="auto"/>
        </w:rPr>
        <w:t>Amounts reclassified from accumulated other comprehensive income (loss)</w:t>
      </w:r>
    </w:p>
    <w:p>
      <w:pPr>
        <w:spacing w:after="0" w:line="26" w:lineRule="exact"/>
        <w:rPr>
          <w:sz w:val="20"/>
          <w:szCs w:val="20"/>
          <w:color w:val="auto"/>
        </w:rPr>
      </w:pPr>
    </w:p>
    <w:p>
      <w:pPr>
        <w:ind w:left="680" w:right="320" w:hanging="161"/>
        <w:spacing w:after="0" w:line="230" w:lineRule="auto"/>
        <w:rPr>
          <w:sz w:val="20"/>
          <w:szCs w:val="20"/>
          <w:color w:val="auto"/>
        </w:rPr>
      </w:pPr>
      <w:r>
        <w:rPr>
          <w:rFonts w:ascii="Arial" w:cs="Arial" w:eastAsia="Arial" w:hAnsi="Arial"/>
          <w:sz w:val="13"/>
          <w:szCs w:val="13"/>
          <w:color w:val="auto"/>
        </w:rPr>
        <w:t>Net current-period other comprehensive income (loss)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Balance, December 31, 2019</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15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Net Unrealized Gains</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Minimum Pension</w:t>
            </w:r>
          </w:p>
        </w:tc>
        <w:tc>
          <w:tcPr>
            <w:tcW w:w="120" w:type="dxa"/>
            <w:vAlign w:val="bottom"/>
          </w:tcPr>
          <w:p>
            <w:pPr>
              <w:spacing w:after="0"/>
              <w:rPr>
                <w:sz w:val="13"/>
                <w:szCs w:val="13"/>
                <w:color w:val="auto"/>
              </w:rPr>
            </w:pPr>
          </w:p>
        </w:tc>
        <w:tc>
          <w:tcPr>
            <w:tcW w:w="1300" w:type="dxa"/>
            <w:vAlign w:val="bottom"/>
          </w:tcPr>
          <w:p>
            <w:pPr>
              <w:jc w:val="center"/>
              <w:ind w:right="57"/>
              <w:spacing w:after="0"/>
              <w:rPr>
                <w:sz w:val="20"/>
                <w:szCs w:val="20"/>
                <w:color w:val="auto"/>
              </w:rPr>
            </w:pPr>
            <w:r>
              <w:rPr>
                <w:rFonts w:ascii="Arial" w:cs="Arial" w:eastAsia="Arial" w:hAnsi="Arial"/>
                <w:sz w:val="13"/>
                <w:szCs w:val="13"/>
                <w:b w:val="1"/>
                <w:bCs w:val="1"/>
                <w:color w:val="auto"/>
                <w:w w:val="98"/>
              </w:rPr>
              <w:t>Accumulated Other</w:t>
            </w:r>
          </w:p>
        </w:tc>
      </w:tr>
      <w:tr>
        <w:trPr>
          <w:trHeight w:val="135"/>
        </w:trPr>
        <w:tc>
          <w:tcPr>
            <w:tcW w:w="100" w:type="dxa"/>
            <w:vAlign w:val="bottom"/>
          </w:tcPr>
          <w:p>
            <w:pPr>
              <w:spacing w:after="0"/>
              <w:rPr>
                <w:sz w:val="11"/>
                <w:szCs w:val="11"/>
                <w:color w:val="auto"/>
              </w:rPr>
            </w:pP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Currency Translation</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(Losses) on Available-</w:t>
            </w: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Liability</w:t>
            </w:r>
          </w:p>
        </w:tc>
        <w:tc>
          <w:tcPr>
            <w:tcW w:w="120" w:type="dxa"/>
            <w:vAlign w:val="bottom"/>
          </w:tcPr>
          <w:p>
            <w:pPr>
              <w:spacing w:after="0"/>
              <w:rPr>
                <w:sz w:val="11"/>
                <w:szCs w:val="11"/>
                <w:color w:val="auto"/>
              </w:rPr>
            </w:pPr>
          </w:p>
        </w:tc>
        <w:tc>
          <w:tcPr>
            <w:tcW w:w="13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Comprehensive</w:t>
            </w:r>
          </w:p>
        </w:tc>
      </w:tr>
      <w:tr>
        <w:trPr>
          <w:trHeight w:val="178"/>
        </w:trPr>
        <w:tc>
          <w:tcPr>
            <w:tcW w:w="100" w:type="dxa"/>
            <w:vAlign w:val="bottom"/>
          </w:tcPr>
          <w:p>
            <w:pPr>
              <w:spacing w:after="0"/>
              <w:rPr>
                <w:sz w:val="15"/>
                <w:szCs w:val="15"/>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Adjustments</w:t>
            </w:r>
          </w:p>
        </w:tc>
        <w:tc>
          <w:tcPr>
            <w:tcW w:w="15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 xml:space="preserve">Cash Flow Hedges </w:t>
            </w:r>
            <w:r>
              <w:rPr>
                <w:rFonts w:ascii="Arial" w:cs="Arial" w:eastAsia="Arial" w:hAnsi="Arial"/>
                <w:sz w:val="8"/>
                <w:szCs w:val="8"/>
                <w:b w:val="1"/>
                <w:bCs w:val="1"/>
                <w:color w:val="auto"/>
                <w:w w:val="97"/>
              </w:rPr>
              <w:t>(a)</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For-Sale Securities</w:t>
            </w: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 xml:space="preserve">Adjustment </w:t>
            </w:r>
            <w:r>
              <w:rPr>
                <w:rFonts w:ascii="Arial" w:cs="Arial" w:eastAsia="Arial" w:hAnsi="Arial"/>
                <w:sz w:val="8"/>
                <w:szCs w:val="8"/>
                <w:b w:val="1"/>
                <w:bCs w:val="1"/>
                <w:color w:val="auto"/>
              </w:rPr>
              <w:t>(b)</w:t>
            </w:r>
          </w:p>
        </w:tc>
        <w:tc>
          <w:tcPr>
            <w:tcW w:w="120" w:type="dxa"/>
            <w:vAlign w:val="bottom"/>
          </w:tcPr>
          <w:p>
            <w:pPr>
              <w:spacing w:after="0"/>
              <w:rPr>
                <w:sz w:val="15"/>
                <w:szCs w:val="15"/>
                <w:color w:val="auto"/>
              </w:rPr>
            </w:pPr>
          </w:p>
        </w:tc>
        <w:tc>
          <w:tcPr>
            <w:tcW w:w="130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Income (Loss)</w:t>
            </w:r>
          </w:p>
        </w:tc>
      </w:tr>
      <w:tr>
        <w:trPr>
          <w:trHeight w:val="25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123</w:t>
            </w:r>
          </w:p>
        </w:tc>
      </w:tr>
      <w:tr>
        <w:trPr>
          <w:trHeight w:val="334"/>
        </w:trPr>
        <w:tc>
          <w:tcPr>
            <w:tcW w:w="10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7</w:t>
            </w:r>
          </w:p>
        </w:tc>
      </w:tr>
      <w:tr>
        <w:trPr>
          <w:trHeight w:val="304"/>
        </w:trPr>
        <w:tc>
          <w:tcPr>
            <w:tcW w:w="10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130</w:t>
            </w:r>
          </w:p>
        </w:tc>
      </w:tr>
      <w:tr>
        <w:trPr>
          <w:trHeight w:val="250"/>
        </w:trPr>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250"/>
        </w:trPr>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250"/>
        </w:trPr>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1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(106)</w:t>
            </w:r>
          </w:p>
        </w:tc>
      </w:tr>
      <w:tr>
        <w:trPr>
          <w:trHeight w:val="334"/>
        </w:trPr>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r>
      <w:tr>
        <w:trPr>
          <w:trHeight w:val="304"/>
        </w:trPr>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w:t>
            </w:r>
          </w:p>
        </w:tc>
      </w:tr>
      <w:tr>
        <w:trPr>
          <w:trHeight w:val="250"/>
        </w:trPr>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r>
      <w:tr>
        <w:trPr>
          <w:trHeight w:val="250"/>
        </w:trPr>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r>
      <w:tr>
        <w:trPr>
          <w:trHeight w:val="250"/>
        </w:trPr>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r>
      <w:tr>
        <w:trPr>
          <w:trHeight w:val="295"/>
        </w:trPr>
        <w:tc>
          <w:tcPr>
            <w:tcW w:w="100" w:type="dxa"/>
            <w:vAlign w:val="bottom"/>
          </w:tcPr>
          <w:p>
            <w:pPr>
              <w:spacing w:after="0"/>
              <w:rPr>
                <w:sz w:val="24"/>
                <w:szCs w:val="24"/>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334"/>
        </w:trPr>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r>
      <w:tr>
        <w:trPr>
          <w:trHeight w:val="304"/>
        </w:trPr>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r>
      <w:tr>
        <w:trPr>
          <w:trHeight w:val="237"/>
        </w:trPr>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(157)</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060" w:space="120"/>
            <w:col w:w="8240"/>
          </w:cols>
          <w:pgMar w:left="240" w:top="140" w:right="239" w:bottom="1440" w:gutter="0" w:footer="0" w:header="0"/>
          <w:type w:val="continuous"/>
        </w:sectPr>
      </w:pPr>
    </w:p>
    <w:p>
      <w:pPr>
        <w:spacing w:after="0" w:line="8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500" w:right="2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(see Note 9-Income Taxes for impacts of the Tax Act) and include a $81 million gain, net of tax, related to the Company’s hedge of its investment in euro-denominated foreign operations (See Note 19-Financial Instruments).</w:t>
      </w:r>
    </w:p>
    <w:p>
      <w:pPr>
        <w:ind w:left="820" w:right="440" w:hanging="326"/>
        <w:spacing w:after="0" w:line="281" w:lineRule="auto"/>
        <w:tabs>
          <w:tab w:leader="none" w:pos="820" w:val="left"/>
        </w:tabs>
        <w:numPr>
          <w:ilvl w:val="1"/>
          <w:numId w:val="63"/>
        </w:numPr>
        <w:rPr>
          <w:rFonts w:ascii="Arial" w:cs="Arial" w:eastAsia="Arial" w:hAnsi="Arial"/>
          <w:sz w:val="18"/>
          <w:szCs w:val="18"/>
          <w:color w:val="auto"/>
          <w:vertAlign w:val="superscript"/>
        </w:rPr>
      </w:pPr>
      <w:r>
        <w:rPr>
          <w:rFonts w:ascii="Arial" w:cs="Arial" w:eastAsia="Arial" w:hAnsi="Arial"/>
          <w:sz w:val="14"/>
          <w:szCs w:val="14"/>
          <w:color w:val="auto"/>
        </w:rPr>
        <w:t>For the years ended December 31, 2019</w:t>
      </w:r>
      <w:r>
        <w:rPr>
          <w:rFonts w:ascii="Arial" w:cs="Arial" w:eastAsia="Arial" w:hAnsi="Arial"/>
          <w:sz w:val="18"/>
          <w:szCs w:val="18"/>
          <w:color w:val="auto"/>
        </w:rPr>
        <w:t>,</w:t>
      </w:r>
      <w:r>
        <w:rPr>
          <w:rFonts w:ascii="Arial" w:cs="Arial" w:eastAsia="Arial" w:hAnsi="Arial"/>
          <w:sz w:val="14"/>
          <w:szCs w:val="14"/>
          <w:color w:val="auto"/>
        </w:rPr>
        <w:t xml:space="preserve"> 2018 and 2017, the amounts reclassified from accumulated other comprehensive income (loss) into corporate interest expense were $4 million ($3 million, net of tax), $3 million ($2 million, net of tax) and $4 million ($2 million, net of tax), respectively.</w:t>
      </w:r>
    </w:p>
    <w:p>
      <w:pPr>
        <w:spacing w:after="0" w:line="6" w:lineRule="exact"/>
        <w:rPr>
          <w:rFonts w:ascii="Arial" w:cs="Arial" w:eastAsia="Arial" w:hAnsi="Arial"/>
          <w:sz w:val="18"/>
          <w:szCs w:val="18"/>
          <w:color w:val="auto"/>
          <w:vertAlign w:val="superscript"/>
        </w:rPr>
      </w:pPr>
    </w:p>
    <w:p>
      <w:pPr>
        <w:ind w:left="820" w:right="560" w:hanging="326"/>
        <w:spacing w:after="0" w:line="211" w:lineRule="auto"/>
        <w:tabs>
          <w:tab w:leader="none" w:pos="820" w:val="left"/>
        </w:tabs>
        <w:numPr>
          <w:ilvl w:val="1"/>
          <w:numId w:val="63"/>
        </w:numPr>
        <w:rPr>
          <w:rFonts w:ascii="Arial" w:cs="Arial" w:eastAsia="Arial" w:hAnsi="Arial"/>
          <w:sz w:val="18"/>
          <w:szCs w:val="18"/>
          <w:color w:val="auto"/>
          <w:vertAlign w:val="superscript"/>
        </w:rPr>
      </w:pPr>
      <w:r>
        <w:rPr>
          <w:rFonts w:ascii="Arial" w:cs="Arial" w:eastAsia="Arial" w:hAnsi="Arial"/>
          <w:sz w:val="14"/>
          <w:szCs w:val="14"/>
          <w:color w:val="auto"/>
        </w:rPr>
        <w:t>For the years ended December 31, 2019, 2018 and 2017, amounts reclassified from accumulated other comprehensive income (loss) into selling, general and administrative expenses were $8 million ($6 million, net of tax), $7 million ($5 million, net of tax) and $8 million ($5 million, net of tax), respectively.</w:t>
      </w:r>
    </w:p>
    <w:p>
      <w:pPr>
        <w:ind w:left="820" w:hanging="326"/>
        <w:spacing w:after="0" w:line="199" w:lineRule="auto"/>
        <w:tabs>
          <w:tab w:leader="none" w:pos="820" w:val="left"/>
        </w:tabs>
        <w:numPr>
          <w:ilvl w:val="1"/>
          <w:numId w:val="63"/>
        </w:numPr>
        <w:rPr>
          <w:rFonts w:ascii="Arial" w:cs="Arial" w:eastAsia="Arial" w:hAnsi="Arial"/>
          <w:sz w:val="18"/>
          <w:szCs w:val="18"/>
          <w:color w:val="auto"/>
          <w:vertAlign w:val="superscript"/>
        </w:rPr>
      </w:pPr>
      <w:r>
        <w:rPr>
          <w:rFonts w:ascii="Arial" w:cs="Arial" w:eastAsia="Arial" w:hAnsi="Arial"/>
          <w:sz w:val="14"/>
          <w:szCs w:val="14"/>
          <w:color w:val="auto"/>
        </w:rPr>
        <w:t>See Note 2-Summary of Significant Accounting Policies for the impact of adoption of ASU 2017-12.</w:t>
      </w:r>
    </w:p>
    <w:p>
      <w:pPr>
        <w:spacing w:after="0" w:line="178" w:lineRule="exact"/>
        <w:rPr>
          <w:rFonts w:ascii="Arial" w:cs="Arial" w:eastAsia="Arial" w:hAnsi="Arial"/>
          <w:sz w:val="18"/>
          <w:szCs w:val="18"/>
          <w:color w:val="auto"/>
          <w:vertAlign w:val="superscript"/>
        </w:rPr>
      </w:pPr>
    </w:p>
    <w:p>
      <w:pPr>
        <w:ind w:left="300" w:hanging="292"/>
        <w:spacing w:after="0"/>
        <w:tabs>
          <w:tab w:leader="none" w:pos="3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The Company’s Amended and Restated Equity and Incentive Plan provides for the grant of options, stock appreciation rights, restricted stock, restricted stock units (“RSUs”) and other stock- or cash -based awards to employees, directors and other individuals who perform services for the Company and its subsidiaries. The maximum number of shares reserved for grant of awards under the plan is 22.5 million, with approximately 5.3 million shares available as of December 31, 2019. The Company typically settles stock-based awards with treasury shares.</w:t>
      </w:r>
    </w:p>
    <w:p>
      <w:pPr>
        <w:spacing w:after="0" w:line="152"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Time-based awards generally vest ratably over a three-year period following the date of grant, and performance- or market-based awards generally vest three years following the date of grant based on the attainment of performance- or market-based goals, all of which are subject to a service condition.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40"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Unit Awards</w:t>
      </w:r>
    </w:p>
    <w:p>
      <w:pPr>
        <w:spacing w:after="0" w:line="193"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Stock unit awards entitle the holder to receive shares of common stock upon vesting on a one-to-one basis. Certain performance-based RSUs vest based upon the level of performance attained, but vesting can increase (typically by up to 20%) if certain relative total shareholder return goals are achieved.</w:t>
      </w:r>
    </w:p>
    <w:p>
      <w:pPr>
        <w:spacing w:after="0" w:line="148" w:lineRule="exact"/>
        <w:rPr>
          <w:sz w:val="20"/>
          <w:szCs w:val="20"/>
          <w:color w:val="auto"/>
        </w:rPr>
      </w:pPr>
    </w:p>
    <w:p>
      <w:pPr>
        <w:ind w:left="500" w:right="240"/>
        <w:spacing w:after="0" w:line="262" w:lineRule="auto"/>
        <w:rPr>
          <w:sz w:val="20"/>
          <w:szCs w:val="20"/>
          <w:color w:val="auto"/>
        </w:rPr>
      </w:pPr>
      <w:r>
        <w:rPr>
          <w:rFonts w:ascii="Arial" w:cs="Arial" w:eastAsia="Arial" w:hAnsi="Arial"/>
          <w:sz w:val="18"/>
          <w:szCs w:val="18"/>
          <w:color w:val="auto"/>
        </w:rPr>
        <w:t>Market-based RSUs generally vest based on the level of total shareholder return or absolute stock price attainment. During the years ended December 31, 2019, 2018, and 2017 the Company did not issue any stock unit awards containing a market condition.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Annual activity related to stock units consisted of (in thousands of shares):</w:t>
      </w:r>
    </w:p>
    <w:p>
      <w:pPr>
        <w:spacing w:after="0" w:line="15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34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74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 Term</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Intrinsic Value (in</w:t>
            </w:r>
          </w:p>
        </w:tc>
      </w:tr>
      <w:tr>
        <w:trPr>
          <w:trHeight w:val="196"/>
        </w:trPr>
        <w:tc>
          <w:tcPr>
            <w:tcW w:w="474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millions)</w:t>
            </w:r>
          </w:p>
        </w:tc>
      </w:tr>
      <w:tr>
        <w:trPr>
          <w:trHeight w:val="190"/>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Time-based RSUs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line="111" w:lineRule="exact"/>
        <w:rPr>
          <w:sz w:val="20"/>
          <w:szCs w:val="20"/>
          <w:color w:val="auto"/>
        </w:rPr>
      </w:pPr>
    </w:p>
    <w:p>
      <w:pPr>
        <w:sectPr>
          <w:pgSz w:w="11900" w:h="16838" w:orient="portrait"/>
          <w:cols w:equalWidth="0" w:num="1">
            <w:col w:w="11300"/>
          </w:cols>
          <w:pgMar w:left="240" w:top="140" w:right="359" w:bottom="1440" w:gutter="0" w:footer="0" w:header="0"/>
        </w:sectPr>
      </w:pPr>
    </w:p>
    <w:p>
      <w:pPr>
        <w:ind w:left="620"/>
        <w:spacing w:after="0"/>
        <w:rPr>
          <w:sz w:val="20"/>
          <w:szCs w:val="20"/>
          <w:color w:val="auto"/>
        </w:rPr>
      </w:pPr>
      <w:r>
        <w:rPr>
          <w:rFonts w:ascii="Arial" w:cs="Arial" w:eastAsia="Arial" w:hAnsi="Arial"/>
          <w:sz w:val="14"/>
          <w:szCs w:val="14"/>
          <w:color w:val="auto"/>
        </w:rPr>
        <w:t>Outstanding at January 1, 2019</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7"/>
          <w:szCs w:val="17"/>
          <w:color w:val="auto"/>
          <w:vertAlign w:val="superscript"/>
        </w:rPr>
        <w:t>(a)</w:t>
      </w:r>
    </w:p>
    <w:p>
      <w:pPr>
        <w:spacing w:after="0" w:line="7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 xml:space="preserve">Vested </w:t>
      </w:r>
      <w:r>
        <w:rPr>
          <w:rFonts w:ascii="Arial" w:cs="Arial" w:eastAsia="Arial" w:hAnsi="Arial"/>
          <w:sz w:val="17"/>
          <w:szCs w:val="17"/>
          <w:color w:val="auto"/>
          <w:vertAlign w:val="superscript"/>
        </w:rPr>
        <w:t>(b)</w:t>
      </w:r>
    </w:p>
    <w:p>
      <w:pPr>
        <w:spacing w:after="0" w:line="80" w:lineRule="exact"/>
        <w:rPr>
          <w:sz w:val="20"/>
          <w:szCs w:val="20"/>
          <w:color w:val="auto"/>
        </w:rPr>
      </w:pPr>
    </w:p>
    <w:p>
      <w:pPr>
        <w:ind w:left="820"/>
        <w:spacing w:after="0"/>
        <w:rPr>
          <w:sz w:val="20"/>
          <w:szCs w:val="20"/>
          <w:color w:val="auto"/>
        </w:rPr>
      </w:pPr>
      <w:r>
        <w:rPr>
          <w:rFonts w:ascii="Arial" w:cs="Arial" w:eastAsia="Arial" w:hAnsi="Arial"/>
          <w:sz w:val="14"/>
          <w:szCs w:val="14"/>
          <w:color w:val="auto"/>
        </w:rPr>
        <w:t>Forfeited</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xml:space="preserve">Outstanding and expected to vest at December 31, 2019 </w:t>
      </w:r>
      <w:r>
        <w:rPr>
          <w:rFonts w:ascii="Arial" w:cs="Arial" w:eastAsia="Arial" w:hAnsi="Arial"/>
          <w:sz w:val="17"/>
          <w:szCs w:val="17"/>
          <w:color w:val="auto"/>
          <w:vertAlign w:val="superscript"/>
        </w:rPr>
        <w:t>(c)</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Performance-based and market-based RSUs</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Outstanding at January 1, 2019</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7"/>
          <w:szCs w:val="17"/>
          <w:color w:val="auto"/>
          <w:vertAlign w:val="superscript"/>
        </w:rPr>
        <w:t>(a)</w:t>
      </w:r>
    </w:p>
    <w:p>
      <w:pPr>
        <w:spacing w:after="0" w:line="7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 xml:space="preserve">Vested </w:t>
      </w:r>
      <w:r>
        <w:rPr>
          <w:rFonts w:ascii="Arial" w:cs="Arial" w:eastAsia="Arial" w:hAnsi="Arial"/>
          <w:sz w:val="17"/>
          <w:szCs w:val="17"/>
          <w:color w:val="auto"/>
          <w:vertAlign w:val="superscript"/>
        </w:rPr>
        <w:t>(b)</w:t>
      </w:r>
    </w:p>
    <w:p>
      <w:pPr>
        <w:spacing w:after="0" w:line="80" w:lineRule="exact"/>
        <w:rPr>
          <w:sz w:val="20"/>
          <w:szCs w:val="20"/>
          <w:color w:val="auto"/>
        </w:rPr>
      </w:pPr>
    </w:p>
    <w:p>
      <w:pPr>
        <w:ind w:left="820"/>
        <w:spacing w:after="0"/>
        <w:rPr>
          <w:sz w:val="20"/>
          <w:szCs w:val="20"/>
          <w:color w:val="auto"/>
        </w:rPr>
      </w:pPr>
      <w:r>
        <w:rPr>
          <w:rFonts w:ascii="Arial" w:cs="Arial" w:eastAsia="Arial" w:hAnsi="Arial"/>
          <w:sz w:val="14"/>
          <w:szCs w:val="14"/>
          <w:color w:val="auto"/>
        </w:rPr>
        <w:t>Forfeited</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Outstanding at December 31, 2019</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xml:space="preserve">Outstanding and expected to vest at December 31, 2019 </w:t>
      </w:r>
      <w:r>
        <w:rPr>
          <w:rFonts w:ascii="Arial" w:cs="Arial" w:eastAsia="Arial" w:hAnsi="Arial"/>
          <w:sz w:val="17"/>
          <w:szCs w:val="17"/>
          <w:color w:val="auto"/>
          <w:vertAlign w:val="superscript"/>
        </w:rPr>
        <w:t>(c)</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900"/>
        <w:spacing w:after="0"/>
        <w:tabs>
          <w:tab w:leader="none" w:pos="1340" w:val="left"/>
          <w:tab w:leader="none" w:pos="2200" w:val="left"/>
        </w:tabs>
        <w:rPr>
          <w:sz w:val="20"/>
          <w:szCs w:val="20"/>
          <w:color w:val="auto"/>
        </w:rPr>
      </w:pPr>
      <w:r>
        <w:rPr>
          <w:rFonts w:ascii="Arial" w:cs="Arial" w:eastAsia="Arial" w:hAnsi="Arial"/>
          <w:sz w:val="14"/>
          <w:szCs w:val="14"/>
          <w:color w:val="auto"/>
        </w:rPr>
        <w:t>838</w:t>
        <w:tab/>
        <w:t>$</w:t>
      </w:r>
      <w:r>
        <w:rPr>
          <w:sz w:val="20"/>
          <w:szCs w:val="20"/>
          <w:color w:val="auto"/>
        </w:rPr>
        <w:tab/>
      </w:r>
      <w:r>
        <w:rPr>
          <w:rFonts w:ascii="Arial" w:cs="Arial" w:eastAsia="Arial" w:hAnsi="Arial"/>
          <w:sz w:val="14"/>
          <w:szCs w:val="14"/>
          <w:color w:val="auto"/>
        </w:rPr>
        <w:t>38.67</w:t>
      </w:r>
    </w:p>
    <w:p>
      <w:pPr>
        <w:spacing w:after="0" w:line="109" w:lineRule="exact"/>
        <w:rPr>
          <w:sz w:val="20"/>
          <w:szCs w:val="20"/>
          <w:color w:val="auto"/>
        </w:rPr>
      </w:pPr>
    </w:p>
    <w:p>
      <w:pPr>
        <w:ind w:left="900"/>
        <w:spacing w:after="0"/>
        <w:tabs>
          <w:tab w:leader="none" w:pos="2200" w:val="left"/>
        </w:tabs>
        <w:rPr>
          <w:sz w:val="20"/>
          <w:szCs w:val="20"/>
          <w:color w:val="auto"/>
        </w:rPr>
      </w:pPr>
      <w:r>
        <w:rPr>
          <w:rFonts w:ascii="Arial" w:cs="Arial" w:eastAsia="Arial" w:hAnsi="Arial"/>
          <w:sz w:val="14"/>
          <w:szCs w:val="14"/>
          <w:color w:val="auto"/>
        </w:rPr>
        <w:t>608</w:t>
      </w:r>
      <w:r>
        <w:rPr>
          <w:sz w:val="20"/>
          <w:szCs w:val="20"/>
          <w:color w:val="auto"/>
        </w:rPr>
        <w:tab/>
      </w:r>
      <w:r>
        <w:rPr>
          <w:rFonts w:ascii="Arial" w:cs="Arial" w:eastAsia="Arial" w:hAnsi="Arial"/>
          <w:sz w:val="14"/>
          <w:szCs w:val="14"/>
          <w:color w:val="auto"/>
        </w:rPr>
        <w:t>34.14</w:t>
      </w:r>
    </w:p>
    <w:p>
      <w:pPr>
        <w:spacing w:after="0" w:line="109" w:lineRule="exact"/>
        <w:rPr>
          <w:sz w:val="20"/>
          <w:szCs w:val="20"/>
          <w:color w:val="auto"/>
        </w:rPr>
      </w:pPr>
    </w:p>
    <w:p>
      <w:pPr>
        <w:ind w:left="2220" w:hanging="1372"/>
        <w:spacing w:after="0"/>
        <w:tabs>
          <w:tab w:leader="none" w:pos="22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36.00</w:t>
      </w:r>
    </w:p>
    <w:p>
      <w:pPr>
        <w:spacing w:after="0" w:line="109" w:lineRule="exact"/>
        <w:rPr>
          <w:sz w:val="20"/>
          <w:szCs w:val="20"/>
          <w:color w:val="auto"/>
        </w:rPr>
      </w:pPr>
    </w:p>
    <w:p>
      <w:pPr>
        <w:ind w:left="2220" w:hanging="1292"/>
        <w:spacing w:after="0"/>
        <w:tabs>
          <w:tab w:leader="none" w:pos="22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38.73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804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847</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88"/>
              <w:spacing w:after="0"/>
              <w:rPr>
                <w:sz w:val="20"/>
                <w:szCs w:val="20"/>
                <w:color w:val="auto"/>
              </w:rPr>
            </w:pPr>
            <w:r>
              <w:rPr>
                <w:rFonts w:ascii="Arial" w:cs="Arial" w:eastAsia="Arial" w:hAnsi="Arial"/>
                <w:sz w:val="14"/>
                <w:szCs w:val="14"/>
                <w:color w:val="auto"/>
              </w:rPr>
              <w:t>36.99</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509"/>
        </w:trPr>
        <w:tc>
          <w:tcPr>
            <w:tcW w:w="1240" w:type="dxa"/>
            <w:vAlign w:val="bottom"/>
          </w:tcPr>
          <w:p>
            <w:pPr>
              <w:jc w:val="right"/>
              <w:ind w:right="28"/>
              <w:spacing w:after="0"/>
              <w:rPr>
                <w:sz w:val="20"/>
                <w:szCs w:val="20"/>
                <w:color w:val="auto"/>
              </w:rPr>
            </w:pPr>
            <w:r>
              <w:rPr>
                <w:rFonts w:ascii="Arial" w:cs="Arial" w:eastAsia="Arial" w:hAnsi="Arial"/>
                <w:sz w:val="14"/>
                <w:szCs w:val="14"/>
                <w:color w:val="auto"/>
              </w:rPr>
              <w:t>1,169</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88"/>
              <w:spacing w:after="0"/>
              <w:rPr>
                <w:sz w:val="20"/>
                <w:szCs w:val="20"/>
                <w:color w:val="auto"/>
              </w:rPr>
            </w:pPr>
            <w:r>
              <w:rPr>
                <w:rFonts w:ascii="Arial" w:cs="Arial" w:eastAsia="Arial" w:hAnsi="Arial"/>
                <w:sz w:val="14"/>
                <w:szCs w:val="14"/>
                <w:color w:val="auto"/>
              </w:rPr>
              <w:t>35.14</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98" w:lineRule="exact"/>
        <w:rPr>
          <w:sz w:val="20"/>
          <w:szCs w:val="20"/>
          <w:color w:val="auto"/>
        </w:rPr>
      </w:pPr>
    </w:p>
    <w:p>
      <w:pPr>
        <w:ind w:left="2220" w:hanging="1324"/>
        <w:spacing w:after="0"/>
        <w:tabs>
          <w:tab w:leader="none" w:pos="22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34.56</w:t>
      </w:r>
    </w:p>
    <w:p>
      <w:pPr>
        <w:spacing w:after="0" w:line="109"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09" w:lineRule="exact"/>
        <w:rPr>
          <w:sz w:val="20"/>
          <w:szCs w:val="20"/>
          <w:color w:val="auto"/>
        </w:rPr>
      </w:pPr>
    </w:p>
    <w:p>
      <w:pPr>
        <w:ind w:left="2220" w:hanging="1372"/>
        <w:spacing w:after="0"/>
        <w:tabs>
          <w:tab w:leader="none" w:pos="22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28.79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804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1,061</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88"/>
              <w:spacing w:after="0"/>
              <w:rPr>
                <w:sz w:val="20"/>
                <w:szCs w:val="20"/>
                <w:color w:val="auto"/>
              </w:rPr>
            </w:pPr>
            <w:r>
              <w:rPr>
                <w:rFonts w:ascii="Arial" w:cs="Arial" w:eastAsia="Arial" w:hAnsi="Arial"/>
                <w:sz w:val="14"/>
                <w:szCs w:val="14"/>
                <w:color w:val="auto"/>
              </w:rPr>
              <w:t>38.89</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2"/>
        </w:trPr>
        <w:tc>
          <w:tcPr>
            <w:tcW w:w="1240" w:type="dxa"/>
            <w:vAlign w:val="bottom"/>
          </w:tcPr>
          <w:p>
            <w:pPr>
              <w:jc w:val="right"/>
              <w:ind w:right="28"/>
              <w:spacing w:after="0"/>
              <w:rPr>
                <w:sz w:val="20"/>
                <w:szCs w:val="20"/>
                <w:color w:val="auto"/>
              </w:rPr>
            </w:pPr>
            <w:r>
              <w:rPr>
                <w:rFonts w:ascii="Arial" w:cs="Arial" w:eastAsia="Arial" w:hAnsi="Arial"/>
                <w:sz w:val="14"/>
                <w:szCs w:val="14"/>
                <w:color w:val="auto"/>
              </w:rPr>
              <w:t>412</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88"/>
              <w:spacing w:after="0"/>
              <w:rPr>
                <w:sz w:val="20"/>
                <w:szCs w:val="20"/>
                <w:color w:val="auto"/>
              </w:rPr>
            </w:pPr>
            <w:r>
              <w:rPr>
                <w:rFonts w:ascii="Arial" w:cs="Arial" w:eastAsia="Arial" w:hAnsi="Arial"/>
                <w:sz w:val="14"/>
                <w:szCs w:val="14"/>
                <w:color w:val="auto"/>
              </w:rPr>
              <w:t>40.61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6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r>
    </w:tbl>
    <w:p>
      <w:pPr>
        <w:spacing w:after="0" w:line="67" w:lineRule="exact"/>
        <w:rPr>
          <w:sz w:val="20"/>
          <w:szCs w:val="20"/>
          <w:color w:val="auto"/>
        </w:rPr>
      </w:pPr>
    </w:p>
    <w:p>
      <w:pPr>
        <w:sectPr>
          <w:pgSz w:w="11900" w:h="16838" w:orient="portrait"/>
          <w:cols w:equalWidth="0" w:num="2">
            <w:col w:w="4540" w:space="720"/>
            <w:col w:w="6040"/>
          </w:cols>
          <w:pgMar w:left="240" w:top="140" w:right="35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spacing w:after="0" w:line="5" w:lineRule="exact"/>
        <w:rPr>
          <w:sz w:val="20"/>
          <w:szCs w:val="20"/>
          <w:color w:val="auto"/>
        </w:rPr>
      </w:pPr>
    </w:p>
    <w:p>
      <w:pPr>
        <w:ind w:left="820" w:hanging="326"/>
        <w:spacing w:after="0" w:line="225" w:lineRule="auto"/>
        <w:tabs>
          <w:tab w:leader="none" w:pos="820"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which are discussed separately below. The weighted-average fair value of time-based RSUs and performance-based RSUs granted in 2018 was $48.41 and $48.52, respectively, and the weighted-average fair value of time-based RSUs and performance-based and market-based RSUs granted in 2017 was $35.32 and $35.21, respectively.</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2019, 2018 and 2017 was $18 million, $20 million and $23 million, respectively.</w:t>
      </w:r>
    </w:p>
    <w:p>
      <w:pPr>
        <w:ind w:left="820" w:right="120" w:hanging="326"/>
        <w:spacing w:after="0" w:line="218" w:lineRule="auto"/>
        <w:tabs>
          <w:tab w:leader="none" w:pos="820"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Aggregate unrecognized compensation expense related to time-based RSUs and performance-based and market-based RSUs amounted to $25 million and will be recognized over a weighted average vesting period of 1.2 years.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options exercised during 2019, 2018 and 2017 had intrinsic values of $1 million, $8 million and $21 million, respectively.</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Non-employee Directors Deferred Compensation Plan</w:t>
      </w:r>
    </w:p>
    <w:p>
      <w:pPr>
        <w:spacing w:after="0" w:line="234"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Prior to 2019, the Company granted stock awards on a quarterly basis to non-employee directors representing between 50% and 100% of a director’s annual compensation and such awards could be deferred under the Non-employee Directors Deferred Compensation Plan. Beginning in 2019, the Company grants stock awards on an annual basis to non-employee directors representing between 50% and 100% of a director’s annual compensation and such awards can be deferred under the Non-employee Directors Deferred Compensation Plan. During 2019, 2018 and 2017, the Company granted 40,000, 34,000 and 36,000 awards, respectively, to non-employee directors.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Stock-Compensation Expense</w:t>
      </w:r>
    </w:p>
    <w:p>
      <w:pPr>
        <w:spacing w:after="0" w:line="234" w:lineRule="exact"/>
        <w:rPr>
          <w:sz w:val="20"/>
          <w:szCs w:val="20"/>
          <w:color w:val="auto"/>
        </w:rPr>
      </w:pPr>
    </w:p>
    <w:p>
      <w:pPr>
        <w:ind w:left="500" w:right="300"/>
        <w:spacing w:after="0" w:line="262" w:lineRule="auto"/>
        <w:rPr>
          <w:sz w:val="20"/>
          <w:szCs w:val="20"/>
          <w:color w:val="auto"/>
        </w:rPr>
      </w:pPr>
      <w:r>
        <w:rPr>
          <w:rFonts w:ascii="Arial" w:cs="Arial" w:eastAsia="Arial" w:hAnsi="Arial"/>
          <w:sz w:val="18"/>
          <w:szCs w:val="18"/>
          <w:color w:val="auto"/>
        </w:rPr>
        <w:t>During 2019, 2018 and 2017, the Company recorded stock-based compensation expense of $22 million ($17 million, net of tax), $24 million ($18 million, net of tax) and $10 million ($7 million, net of tax), respectively.</w:t>
      </w: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00"/>
          </w:cols>
          <w:pgMar w:left="240" w:top="140" w:right="35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Employee Benefit Plans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Defined Contribution Savings Plans</w:t>
      </w:r>
    </w:p>
    <w:p>
      <w:pPr>
        <w:spacing w:after="0" w:line="193" w:lineRule="exact"/>
        <w:rPr>
          <w:sz w:val="20"/>
          <w:szCs w:val="20"/>
          <w:color w:val="auto"/>
        </w:rPr>
      </w:pPr>
    </w:p>
    <w:p>
      <w:pPr>
        <w:ind w:left="500" w:right="380"/>
        <w:spacing w:after="0" w:line="254" w:lineRule="auto"/>
        <w:rPr>
          <w:sz w:val="20"/>
          <w:szCs w:val="20"/>
          <w:color w:val="auto"/>
        </w:rPr>
      </w:pPr>
      <w:r>
        <w:rPr>
          <w:rFonts w:ascii="Arial" w:cs="Arial" w:eastAsia="Arial" w:hAnsi="Arial"/>
          <w:sz w:val="18"/>
          <w:szCs w:val="18"/>
          <w:color w:val="auto"/>
        </w:rPr>
        <w:t>The Company sponsors several defined contribution savings plans in the United States and certain foreign subsidiaries that provide certain eligible employees of the Company an opportunity to accumulate funds for retirement. The Company matches portions of the contributions of participating employees on the basis specified by the plans. The Company’s contributions to these plans were $32 million, $33 million and $36 million during 2019, 2018 and 2017, respectively.</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93"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Company sponsors defined benefit pension plans in the United States and in certain foreign subsidiaries with some plans offering participation in the plans at the employees’ option. Under these plans, benefits are based on an employee’s years of credited service and a percentage of final average compensation. However, the majority of the plans are closed to new employees and participants are no longer accruing benefits.</w:t>
      </w:r>
    </w:p>
    <w:p>
      <w:pPr>
        <w:spacing w:after="0" w:line="150" w:lineRule="exact"/>
        <w:rPr>
          <w:sz w:val="20"/>
          <w:szCs w:val="20"/>
          <w:color w:val="auto"/>
        </w:rPr>
      </w:pPr>
    </w:p>
    <w:p>
      <w:pPr>
        <w:ind w:left="500" w:right="220"/>
        <w:spacing w:after="0" w:line="256" w:lineRule="auto"/>
        <w:rPr>
          <w:sz w:val="20"/>
          <w:szCs w:val="20"/>
          <w:color w:val="auto"/>
        </w:rPr>
      </w:pPr>
      <w:r>
        <w:rPr>
          <w:rFonts w:ascii="Arial" w:cs="Arial" w:eastAsia="Arial" w:hAnsi="Arial"/>
          <w:sz w:val="18"/>
          <w:szCs w:val="18"/>
          <w:color w:val="auto"/>
        </w:rPr>
        <w:t>The funded status of the defined benefit pension plans is recognized on the Consolidated Balance Sheets and the gains or losses and prior service costs or credits that arise during the period, but are not recognized as components of net periodic benefit cost, are recognized as a component of accumulated other comprehensive loss, net of tax.</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The components of net periodic (benefit) cost consisted of the following:</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9"/>
        </w:trPr>
        <w:tc>
          <w:tcPr>
            <w:tcW w:w="60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r>
      <w:tr>
        <w:trPr>
          <w:trHeight w:val="264"/>
        </w:trPr>
        <w:tc>
          <w:tcPr>
            <w:tcW w:w="60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80"/>
        </w:trPr>
        <w:tc>
          <w:tcPr>
            <w:tcW w:w="6020" w:type="dxa"/>
            <w:vAlign w:val="bottom"/>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21"/>
                <w:szCs w:val="21"/>
                <w:color w:val="auto"/>
                <w:vertAlign w:val="superscript"/>
              </w:rPr>
              <w:t>(a)</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60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21"/>
                <w:szCs w:val="21"/>
                <w:color w:val="auto"/>
                <w:vertAlign w:val="superscript"/>
              </w:rPr>
              <w:t>(b)</w:t>
            </w:r>
          </w:p>
        </w:tc>
        <w:tc>
          <w:tcPr>
            <w:tcW w:w="9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6020" w:type="dxa"/>
            <w:vAlign w:val="bottom"/>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21"/>
                <w:szCs w:val="21"/>
                <w:color w:val="auto"/>
                <w:vertAlign w:val="superscript"/>
              </w:rPr>
              <w:t>(b)</w:t>
            </w:r>
          </w:p>
        </w:tc>
        <w:tc>
          <w:tcPr>
            <w:tcW w:w="9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6"/>
        </w:trPr>
        <w:tc>
          <w:tcPr>
            <w:tcW w:w="6020" w:type="dxa"/>
            <w:vAlign w:val="bottom"/>
          </w:tcPr>
          <w:p>
            <w:pPr>
              <w:ind w:left="20"/>
              <w:spacing w:after="0"/>
              <w:rPr>
                <w:sz w:val="20"/>
                <w:szCs w:val="20"/>
                <w:color w:val="auto"/>
              </w:rPr>
            </w:pPr>
            <w:r>
              <w:rPr>
                <w:rFonts w:ascii="Arial" w:cs="Arial" w:eastAsia="Arial" w:hAnsi="Arial"/>
                <w:sz w:val="18"/>
                <w:szCs w:val="18"/>
                <w:color w:val="auto"/>
              </w:rPr>
              <w:t xml:space="preserve">Amortization of unrecognized amounts </w:t>
            </w:r>
            <w:r>
              <w:rPr>
                <w:rFonts w:ascii="Arial" w:cs="Arial" w:eastAsia="Arial" w:hAnsi="Arial"/>
                <w:sz w:val="21"/>
                <w:szCs w:val="21"/>
                <w:color w:val="auto"/>
                <w:vertAlign w:val="superscript"/>
              </w:rPr>
              <w:t>(b)</w:t>
            </w: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4"/>
        </w:trPr>
        <w:tc>
          <w:tcPr>
            <w:tcW w:w="602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5" w:lineRule="exact"/>
        <w:rPr>
          <w:sz w:val="20"/>
          <w:szCs w:val="20"/>
          <w:color w:val="auto"/>
        </w:rPr>
      </w:pPr>
    </w:p>
    <w:p>
      <w:pPr>
        <w:jc w:val="both"/>
        <w:ind w:left="820" w:right="20" w:hanging="326"/>
        <w:spacing w:after="0" w:line="211" w:lineRule="auto"/>
        <w:tabs>
          <w:tab w:leader="none" w:pos="8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2019, $4 million and $1 million were included in operating expenses and selling, general and administrative expenses, respectively. For the year ended December 31, 2018, $4 million and $2 million were included in operating expenses and selling, general and administrative expenses, respectively.</w:t>
      </w:r>
    </w:p>
    <w:p>
      <w:pPr>
        <w:ind w:left="820" w:hanging="326"/>
        <w:spacing w:after="0" w:line="199" w:lineRule="auto"/>
        <w:tabs>
          <w:tab w:leader="none" w:pos="8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Included in selling, general and administrative expenses.</w:t>
      </w:r>
    </w:p>
    <w:p>
      <w:pPr>
        <w:spacing w:after="0" w:line="147" w:lineRule="exact"/>
        <w:rPr>
          <w:sz w:val="20"/>
          <w:szCs w:val="20"/>
          <w:color w:val="auto"/>
        </w:rPr>
      </w:pPr>
    </w:p>
    <w:p>
      <w:pPr>
        <w:ind w:left="500" w:right="420"/>
        <w:spacing w:after="0" w:line="262" w:lineRule="auto"/>
        <w:rPr>
          <w:sz w:val="20"/>
          <w:szCs w:val="20"/>
          <w:color w:val="auto"/>
        </w:rPr>
      </w:pPr>
      <w:r>
        <w:rPr>
          <w:rFonts w:ascii="Arial" w:cs="Arial" w:eastAsia="Arial" w:hAnsi="Arial"/>
          <w:sz w:val="18"/>
          <w:szCs w:val="18"/>
          <w:color w:val="auto"/>
        </w:rPr>
        <w:t>The estimated amount that will be amortized from accumulated other comprehensive loss into net periodic benefit cost in 2020 is $7 million, which consists primarily of net actuarial losses.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uses a measurement date of December 31 for its pension plans. The funded status of the pension plans were as follows:</w:t>
      </w:r>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 in Benefit Obligation</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Benefit obligation at end of prior year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Service cost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Actuarial (gain) loss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Currency translation adjustment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benefits paid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Benefit obligation at end of current year</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 in Plan Assets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Fair value of assets at end of prior year</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Actual return on plan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Employer contributions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Currency translation adjustment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benefits paid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Fair value of assets at end of current year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18008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43"/>
        </w:trPr>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r>
      <w:tr>
        <w:trPr>
          <w:trHeight w:val="756"/>
        </w:trPr>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bl>
    <w:p>
      <w:pPr>
        <w:spacing w:after="0" w:line="200" w:lineRule="exact"/>
        <w:rPr>
          <w:sz w:val="20"/>
          <w:szCs w:val="20"/>
          <w:color w:val="auto"/>
        </w:rPr>
      </w:pPr>
    </w:p>
    <w:p>
      <w:pPr>
        <w:sectPr>
          <w:pgSz w:w="11900" w:h="16838" w:orient="portrait"/>
          <w:cols w:equalWidth="0" w:num="2">
            <w:col w:w="7260" w:space="720"/>
            <w:col w:w="3400"/>
          </w:cols>
          <w:pgMar w:left="240" w:top="140" w:right="279" w:bottom="1440" w:gutter="0" w:footer="0" w:header="0"/>
          <w:type w:val="continuous"/>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80"/>
          </w:cols>
          <w:pgMar w:left="240" w:top="140" w:right="27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Funded Status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Classification of net balance sheet assets (liabilities):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Non-current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Non-current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funded status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008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008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49" w:lineRule="exact"/>
        <w:rPr>
          <w:sz w:val="20"/>
          <w:szCs w:val="20"/>
          <w:color w:val="auto"/>
        </w:rPr>
      </w:pPr>
    </w:p>
    <w:p>
      <w:pPr>
        <w:spacing w:after="0"/>
        <w:tabs>
          <w:tab w:leader="none" w:pos="1020" w:val="left"/>
          <w:tab w:leader="none" w:pos="1440" w:val="left"/>
          <w:tab w:leader="none" w:pos="2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w:t>
        <w:tab/>
        <w:t>$</w:t>
      </w:r>
      <w:r>
        <w:rPr>
          <w:sz w:val="20"/>
          <w:szCs w:val="20"/>
          <w:color w:val="auto"/>
        </w:rPr>
        <w:tab/>
      </w:r>
      <w:r>
        <w:rPr>
          <w:rFonts w:ascii="Arial" w:cs="Arial" w:eastAsia="Arial" w:hAnsi="Arial"/>
          <w:sz w:val="17"/>
          <w:szCs w:val="17"/>
          <w:color w:val="auto"/>
        </w:rPr>
        <w:t>18</w:t>
      </w:r>
    </w:p>
    <w:p>
      <w:pPr>
        <w:spacing w:after="0" w:line="63" w:lineRule="exact"/>
        <w:rPr>
          <w:sz w:val="20"/>
          <w:szCs w:val="20"/>
          <w:color w:val="auto"/>
        </w:rPr>
      </w:pPr>
    </w:p>
    <w:p>
      <w:pPr>
        <w:ind w:left="2560" w:hanging="1481"/>
        <w:spacing w:after="0"/>
        <w:tabs>
          <w:tab w:leader="none" w:pos="2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(4)</w:t>
      </w:r>
    </w:p>
    <w:p>
      <w:pPr>
        <w:spacing w:after="0" w:line="63" w:lineRule="exact"/>
        <w:rPr>
          <w:sz w:val="20"/>
          <w:szCs w:val="20"/>
          <w:color w:val="auto"/>
        </w:rPr>
      </w:pPr>
    </w:p>
    <w:p>
      <w:pPr>
        <w:ind w:left="2360" w:hanging="1481"/>
        <w:spacing w:after="0"/>
        <w:tabs>
          <w:tab w:leader="none" w:pos="23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22225</wp:posOffset>
            </wp:positionV>
            <wp:extent cx="18008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5" w:lineRule="exact"/>
        <w:rPr>
          <w:sz w:val="20"/>
          <w:szCs w:val="20"/>
          <w:color w:val="auto"/>
        </w:rPr>
      </w:pPr>
    </w:p>
    <w:p>
      <w:pPr>
        <w:spacing w:after="0"/>
        <w:tabs>
          <w:tab w:leader="none" w:pos="860" w:val="left"/>
          <w:tab w:leader="none" w:pos="1440" w:val="left"/>
          <w:tab w:leader="none" w:pos="2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(172)</w:t>
        <w:tab/>
        <w:t>$</w:t>
      </w:r>
      <w:r>
        <w:rPr>
          <w:sz w:val="20"/>
          <w:szCs w:val="20"/>
          <w:color w:val="auto"/>
        </w:rPr>
        <w:tab/>
      </w: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14605</wp:posOffset>
            </wp:positionV>
            <wp:extent cx="18008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360"/>
          </w:cols>
          <w:pgMar w:left="240" w:top="140" w:right="279" w:bottom="1440" w:gutter="0" w:footer="0" w:header="0"/>
        </w:sectPr>
      </w:pPr>
    </w:p>
    <w:p>
      <w:pPr>
        <w:spacing w:after="0" w:line="214"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The following assumptions were used to determine pension obligations and pension costs for the principal plans in which the Company’s employees participated:</w:t>
      </w:r>
    </w:p>
    <w:p>
      <w:pPr>
        <w:spacing w:after="0" w:line="134"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5580" w:type="dxa"/>
            <w:vAlign w:val="bottom"/>
          </w:tcPr>
          <w:p>
            <w:pPr>
              <w:spacing w:after="0"/>
              <w:rPr>
                <w:sz w:val="21"/>
                <w:szCs w:val="21"/>
                <w:color w:val="auto"/>
              </w:rPr>
            </w:pPr>
          </w:p>
        </w:tc>
        <w:tc>
          <w:tcPr>
            <w:tcW w:w="472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rPr>
              <w:t>For the Year Ended December 31,</w:t>
            </w:r>
          </w:p>
        </w:tc>
      </w:tr>
      <w:tr>
        <w:trPr>
          <w:trHeight w:val="264"/>
        </w:trPr>
        <w:tc>
          <w:tcPr>
            <w:tcW w:w="5580" w:type="dxa"/>
            <w:vAlign w:val="bottom"/>
          </w:tcPr>
          <w:p>
            <w:pPr>
              <w:spacing w:after="0"/>
              <w:rPr>
                <w:sz w:val="20"/>
                <w:szCs w:val="20"/>
                <w:color w:val="auto"/>
              </w:rPr>
            </w:pPr>
            <w:r>
              <w:rPr>
                <w:rFonts w:ascii="Arial" w:cs="Arial" w:eastAsia="Arial" w:hAnsi="Arial"/>
                <w:sz w:val="18"/>
                <w:szCs w:val="18"/>
                <w:b w:val="1"/>
                <w:bCs w:val="1"/>
                <w:color w:val="auto"/>
              </w:rPr>
              <w:t>U.S. Pension Benefit Plans</w:t>
            </w:r>
          </w:p>
        </w:tc>
        <w:tc>
          <w:tcPr>
            <w:tcW w:w="15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Discount rate: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97"/>
        </w:trPr>
        <w:tc>
          <w:tcPr>
            <w:tcW w:w="5580" w:type="dxa"/>
            <w:vAlign w:val="bottom"/>
          </w:tcPr>
          <w:p>
            <w:pPr>
              <w:ind w:left="100"/>
              <w:spacing w:after="0"/>
              <w:rPr>
                <w:sz w:val="20"/>
                <w:szCs w:val="20"/>
                <w:color w:val="auto"/>
              </w:rPr>
            </w:pPr>
            <w:r>
              <w:rPr>
                <w:rFonts w:ascii="Arial" w:cs="Arial" w:eastAsia="Arial" w:hAnsi="Arial"/>
                <w:sz w:val="18"/>
                <w:szCs w:val="18"/>
                <w:color w:val="auto"/>
              </w:rPr>
              <w:t>Net periodic benefit cost</w:t>
            </w:r>
          </w:p>
        </w:tc>
        <w:tc>
          <w:tcPr>
            <w:tcW w:w="1500" w:type="dxa"/>
            <w:vAlign w:val="bottom"/>
          </w:tcPr>
          <w:p>
            <w:pPr>
              <w:ind w:left="96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0"/>
        </w:trPr>
        <w:tc>
          <w:tcPr>
            <w:tcW w:w="5580" w:type="dxa"/>
            <w:vAlign w:val="bottom"/>
          </w:tcPr>
          <w:p>
            <w:pPr>
              <w:ind w:left="100"/>
              <w:spacing w:after="0"/>
              <w:rPr>
                <w:sz w:val="20"/>
                <w:szCs w:val="20"/>
                <w:color w:val="auto"/>
              </w:rPr>
            </w:pPr>
            <w:r>
              <w:rPr>
                <w:rFonts w:ascii="Arial" w:cs="Arial" w:eastAsia="Arial" w:hAnsi="Arial"/>
                <w:sz w:val="18"/>
                <w:szCs w:val="18"/>
                <w:color w:val="auto"/>
              </w:rPr>
              <w:t>Benefit obligation</w:t>
            </w:r>
          </w:p>
        </w:tc>
        <w:tc>
          <w:tcPr>
            <w:tcW w:w="1500" w:type="dxa"/>
            <w:vAlign w:val="bottom"/>
          </w:tcPr>
          <w:p>
            <w:pPr>
              <w:ind w:left="96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00" w:type="dxa"/>
            <w:vAlign w:val="bottom"/>
          </w:tcPr>
          <w:p>
            <w:pPr>
              <w:ind w:left="96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540"/>
        </w:trPr>
        <w:tc>
          <w:tcPr>
            <w:tcW w:w="5580" w:type="dxa"/>
            <w:vAlign w:val="bottom"/>
          </w:tcPr>
          <w:p>
            <w:pPr>
              <w:spacing w:after="0"/>
              <w:rPr>
                <w:sz w:val="20"/>
                <w:szCs w:val="20"/>
                <w:color w:val="auto"/>
              </w:rPr>
            </w:pPr>
            <w:r>
              <w:rPr>
                <w:rFonts w:ascii="Arial" w:cs="Arial" w:eastAsia="Arial" w:hAnsi="Arial"/>
                <w:sz w:val="18"/>
                <w:szCs w:val="18"/>
                <w:b w:val="1"/>
                <w:bCs w:val="1"/>
                <w:color w:val="auto"/>
              </w:rPr>
              <w:t>Non-U.S. Pension Benefit Plans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Discount rate:</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84"/>
        </w:trPr>
        <w:tc>
          <w:tcPr>
            <w:tcW w:w="5580" w:type="dxa"/>
            <w:vAlign w:val="bottom"/>
          </w:tcPr>
          <w:p>
            <w:pPr>
              <w:ind w:left="100"/>
              <w:spacing w:after="0"/>
              <w:rPr>
                <w:sz w:val="20"/>
                <w:szCs w:val="20"/>
                <w:color w:val="auto"/>
              </w:rPr>
            </w:pPr>
            <w:r>
              <w:rPr>
                <w:rFonts w:ascii="Arial" w:cs="Arial" w:eastAsia="Arial" w:hAnsi="Arial"/>
                <w:sz w:val="18"/>
                <w:szCs w:val="18"/>
                <w:color w:val="auto"/>
              </w:rPr>
              <w:t>Net periodic benefit cost</w:t>
            </w:r>
          </w:p>
        </w:tc>
        <w:tc>
          <w:tcPr>
            <w:tcW w:w="1500" w:type="dxa"/>
            <w:vAlign w:val="bottom"/>
          </w:tcPr>
          <w:p>
            <w:pPr>
              <w:ind w:left="96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0"/>
        </w:trPr>
        <w:tc>
          <w:tcPr>
            <w:tcW w:w="5580" w:type="dxa"/>
            <w:vAlign w:val="bottom"/>
          </w:tcPr>
          <w:p>
            <w:pPr>
              <w:ind w:left="100"/>
              <w:spacing w:after="0"/>
              <w:rPr>
                <w:sz w:val="20"/>
                <w:szCs w:val="20"/>
                <w:color w:val="auto"/>
              </w:rPr>
            </w:pPr>
            <w:r>
              <w:rPr>
                <w:rFonts w:ascii="Arial" w:cs="Arial" w:eastAsia="Arial" w:hAnsi="Arial"/>
                <w:sz w:val="18"/>
                <w:szCs w:val="18"/>
                <w:color w:val="auto"/>
              </w:rPr>
              <w:t>Benefit obligation</w:t>
            </w:r>
          </w:p>
        </w:tc>
        <w:tc>
          <w:tcPr>
            <w:tcW w:w="1500" w:type="dxa"/>
            <w:vAlign w:val="bottom"/>
          </w:tcPr>
          <w:p>
            <w:pPr>
              <w:ind w:left="96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0"/>
        </w:trPr>
        <w:tc>
          <w:tcPr>
            <w:tcW w:w="558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00" w:type="dxa"/>
            <w:vAlign w:val="bottom"/>
          </w:tcPr>
          <w:p>
            <w:pPr>
              <w:ind w:left="96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4.70%</w:t>
            </w:r>
          </w:p>
        </w:tc>
      </w:tr>
    </w:tbl>
    <w:p>
      <w:pPr>
        <w:spacing w:after="0" w:line="391"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To select discount rates for its defined benefit pension plans, the Company uses a modeling process that involves matching the expected cash outflows of such plans, to yield curves constructed from portfolios of AA-rated fixed-income debt instruments. The Company uses the average yields of the hypothetical portfolios as a discount rate benchmark.</w:t>
      </w:r>
    </w:p>
    <w:p>
      <w:pPr>
        <w:spacing w:after="0" w:line="148" w:lineRule="exact"/>
        <w:rPr>
          <w:sz w:val="20"/>
          <w:szCs w:val="20"/>
          <w:color w:val="auto"/>
        </w:rPr>
      </w:pPr>
    </w:p>
    <w:p>
      <w:pPr>
        <w:jc w:val="both"/>
        <w:ind w:left="500" w:right="40"/>
        <w:spacing w:after="0" w:line="256" w:lineRule="auto"/>
        <w:rPr>
          <w:sz w:val="20"/>
          <w:szCs w:val="20"/>
          <w:color w:val="auto"/>
        </w:rPr>
      </w:pPr>
      <w:r>
        <w:rPr>
          <w:rFonts w:ascii="Arial" w:cs="Arial" w:eastAsia="Arial" w:hAnsi="Arial"/>
          <w:sz w:val="18"/>
          <w:szCs w:val="18"/>
          <w:color w:val="auto"/>
        </w:rPr>
        <w:t>The Company’s expected rate of return on plan assets of 7.00% and 4.50% for the U.S. plans and non-U.S. plans, respectively, used to determine pension obligations and pension costs, are long-term rates based on historic plan asset returns in individual jurisdictions, over varying long-term periods combined with current market expectations and broad asset mix considerations.</w:t>
      </w:r>
    </w:p>
    <w:p>
      <w:pPr>
        <w:spacing w:after="0" w:line="148"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As of December 31, 2019, plans with benefit obligations in excess of plan assets had accumulated benefit obligations of $466 million and plan assets of $276 million. As of December 31, 2018, plans with benefit obligations in excess of plan assets had accumulated benefit obligations of $423 million and plan assets of $234 million. The accumulated benefit obligation for all plans was $811 million and $713 million as of December 31, 2019 and 2018, respectively. The Company expects to contribute approximately $10 million to the U.S. plans and $1 million to the non-U.S. plans in 2020.</w:t>
      </w:r>
    </w:p>
    <w:p>
      <w:pPr>
        <w:spacing w:after="0" w:line="152" w:lineRule="exact"/>
        <w:rPr>
          <w:sz w:val="20"/>
          <w:szCs w:val="20"/>
          <w:color w:val="auto"/>
        </w:rPr>
      </w:pPr>
    </w:p>
    <w:p>
      <w:pPr>
        <w:ind w:left="500" w:right="160"/>
        <w:spacing w:after="0" w:line="254" w:lineRule="auto"/>
        <w:rPr>
          <w:sz w:val="20"/>
          <w:szCs w:val="20"/>
          <w:color w:val="auto"/>
        </w:rPr>
      </w:pPr>
      <w:r>
        <w:rPr>
          <w:rFonts w:ascii="Arial" w:cs="Arial" w:eastAsia="Arial" w:hAnsi="Arial"/>
          <w:sz w:val="18"/>
          <w:szCs w:val="18"/>
          <w:color w:val="auto"/>
        </w:rPr>
        <w:t>The Company’s defined benefit pension plans’ assets are invested primarily in mutual funds and may change in value due to various risks, such as interest rate and credit risk and overall market volatility. Due to the level of risk associated with investment securities, it is reasonably possible that changes in the values of the pension plans’ investment securities will occur in the near term and that such changes would materially affect the amounts reported in the Company’s financial statements.</w:t>
      </w:r>
    </w:p>
    <w:p>
      <w:pPr>
        <w:spacing w:after="0" w:line="150" w:lineRule="exact"/>
        <w:rPr>
          <w:sz w:val="20"/>
          <w:szCs w:val="20"/>
          <w:color w:val="auto"/>
        </w:rPr>
      </w:pPr>
    </w:p>
    <w:p>
      <w:pPr>
        <w:ind w:left="500" w:right="60"/>
        <w:spacing w:after="0" w:line="251" w:lineRule="auto"/>
        <w:rPr>
          <w:sz w:val="20"/>
          <w:szCs w:val="20"/>
          <w:color w:val="auto"/>
        </w:rPr>
      </w:pPr>
      <w:r>
        <w:rPr>
          <w:rFonts w:ascii="Arial" w:cs="Arial" w:eastAsia="Arial" w:hAnsi="Arial"/>
          <w:sz w:val="18"/>
          <w:szCs w:val="18"/>
          <w:color w:val="auto"/>
        </w:rPr>
        <w:t>The defined benefit pension plans’ investment goals and objectives are managed by the Company or Company-appointed and member-appointed trustees with consultation from independent investment advisors. While the objectives may vary slightly by country and jurisdiction, collectively the Company seeks to produce returns on pension plan investments, which are based on levels of liquidity and investment risk that the Company believes are prudent and reasonable, given prevailing capital market conditions. The pension plans’ assets are managed in the long-term interests of the participants and the beneficiaries of the plans. A suitable strategic asset allocation benchmark is determined for each plan to maintain a diversified portfolio, taking into account government requirements, if any, regarding unnecessary investment risk and protection of pension plans’ assets. The Company believes that diversification of the pension plans’ assets is an important investment strategy to provide reasonable assurance that no single security or class of securities will have a disproportionate impact on the pension plans. As such, the Company allocates assets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140" w:right="27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ind w:left="500" w:right="540"/>
        <w:spacing w:after="0" w:line="262" w:lineRule="auto"/>
        <w:rPr>
          <w:sz w:val="20"/>
          <w:szCs w:val="20"/>
          <w:color w:val="auto"/>
        </w:rPr>
      </w:pPr>
      <w:r>
        <w:rPr>
          <w:rFonts w:ascii="Arial" w:cs="Arial" w:eastAsia="Arial" w:hAnsi="Arial"/>
          <w:sz w:val="18"/>
          <w:szCs w:val="18"/>
          <w:color w:val="auto"/>
        </w:rPr>
        <w:t>among traditional equity, fixed income (government issued securities, corporate bonds and short-term cash investments) and other investment strategies.</w:t>
      </w:r>
    </w:p>
    <w:p>
      <w:pPr>
        <w:spacing w:after="0" w:line="142"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The equity component’s purpose is to provide a total return that will help preserve the purchasing power of the assets. The pension plans hold various mutual funds that invest in equity securities and are diversified among funds that invest in large cap, small cap, growth, value and international stocks as well as funds that are intended to “track” an index, such as the S&amp;P 500. The equity investments in the portfolios will represent a greater assumption of market volatility and risk as well as provide higher anticipated total return over the long term. The equity component is expected to approximate 40%-60% of the plans’ assets.</w:t>
      </w:r>
    </w:p>
    <w:p>
      <w:pPr>
        <w:spacing w:after="0" w:line="152" w:lineRule="exact"/>
        <w:rPr>
          <w:sz w:val="20"/>
          <w:szCs w:val="20"/>
          <w:color w:val="auto"/>
        </w:rPr>
      </w:pPr>
    </w:p>
    <w:p>
      <w:pPr>
        <w:ind w:left="500" w:right="80"/>
        <w:spacing w:after="0" w:line="254" w:lineRule="auto"/>
        <w:rPr>
          <w:sz w:val="20"/>
          <w:szCs w:val="20"/>
          <w:color w:val="auto"/>
        </w:rPr>
      </w:pPr>
      <w:r>
        <w:rPr>
          <w:rFonts w:ascii="Arial" w:cs="Arial" w:eastAsia="Arial" w:hAnsi="Arial"/>
          <w:sz w:val="18"/>
          <w:szCs w:val="18"/>
          <w:color w:val="auto"/>
        </w:rPr>
        <w:t>The purpose of the fixed income component is to provide a deflation hedge, to reduce the overall volatility of the pension plans’ assets in relation to the liability and to produce current income. The pension plans hold mutual funds that invest in securities issued by governments, government agencies and corporations. The fixed income component is expected to approximate 40%-60% of the plans’ assets.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defined benefit pension plans’ assets measured at fair value, as of December 31:</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246"/>
        </w:trPr>
        <w:tc>
          <w:tcPr>
            <w:tcW w:w="6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64"/>
        </w:trPr>
        <w:tc>
          <w:tcPr>
            <w:tcW w:w="6320" w:type="dxa"/>
            <w:vAlign w:val="bottom"/>
          </w:tcPr>
          <w:p>
            <w:pPr>
              <w:spacing w:after="0"/>
              <w:rPr>
                <w:sz w:val="20"/>
                <w:szCs w:val="20"/>
                <w:color w:val="auto"/>
              </w:rPr>
            </w:pPr>
            <w:r>
              <w:rPr>
                <w:rFonts w:ascii="Arial" w:cs="Arial" w:eastAsia="Arial" w:hAnsi="Arial"/>
                <w:sz w:val="18"/>
                <w:szCs w:val="18"/>
                <w:b w:val="1"/>
                <w:bCs w:val="1"/>
                <w:color w:val="auto"/>
              </w:rPr>
              <w:t>Asset Class</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2"/>
                <w:szCs w:val="22"/>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Cash equivalents and short-term investments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U.S. equities</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Non-U.S. equities</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Government bonds</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7"/>
        </w:trPr>
        <w:tc>
          <w:tcPr>
            <w:tcW w:w="632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r>
      <w:tr>
        <w:trPr>
          <w:trHeight w:val="257"/>
        </w:trPr>
        <w:tc>
          <w:tcPr>
            <w:tcW w:w="63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649</w:t>
            </w: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6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r>
      <w:tr>
        <w:trPr>
          <w:trHeight w:val="264"/>
        </w:trPr>
        <w:tc>
          <w:tcPr>
            <w:tcW w:w="6640" w:type="dxa"/>
            <w:vAlign w:val="bottom"/>
          </w:tcPr>
          <w:p>
            <w:pPr>
              <w:ind w:left="320"/>
              <w:spacing w:after="0"/>
              <w:rPr>
                <w:sz w:val="20"/>
                <w:szCs w:val="20"/>
                <w:color w:val="auto"/>
              </w:rPr>
            </w:pPr>
            <w:r>
              <w:rPr>
                <w:rFonts w:ascii="Arial" w:cs="Arial" w:eastAsia="Arial" w:hAnsi="Arial"/>
                <w:sz w:val="18"/>
                <w:szCs w:val="18"/>
                <w:b w:val="1"/>
                <w:bCs w:val="1"/>
                <w:color w:val="auto"/>
              </w:rPr>
              <w:t>Asset Class</w:t>
            </w:r>
          </w:p>
        </w:tc>
        <w:tc>
          <w:tcPr>
            <w:tcW w:w="1360" w:type="dxa"/>
            <w:vAlign w:val="bottom"/>
            <w:gridSpan w:val="3"/>
          </w:tcPr>
          <w:p>
            <w:pPr>
              <w:ind w:left="3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43"/>
        </w:trPr>
        <w:tc>
          <w:tcPr>
            <w:tcW w:w="6640" w:type="dxa"/>
            <w:vAlign w:val="bottom"/>
          </w:tcPr>
          <w:p>
            <w:pPr>
              <w:ind w:left="320"/>
              <w:spacing w:after="0"/>
              <w:rPr>
                <w:sz w:val="20"/>
                <w:szCs w:val="20"/>
                <w:color w:val="auto"/>
              </w:rPr>
            </w:pPr>
            <w:r>
              <w:rPr>
                <w:rFonts w:ascii="Arial" w:cs="Arial" w:eastAsia="Arial" w:hAnsi="Arial"/>
                <w:sz w:val="18"/>
                <w:szCs w:val="18"/>
                <w:color w:val="auto"/>
              </w:rPr>
              <w:t>Cash equivalents and short-term investments</w:t>
            </w: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1"/>
                <w:szCs w:val="21"/>
                <w:color w:val="auto"/>
              </w:rPr>
            </w:pPr>
          </w:p>
        </w:tc>
      </w:tr>
      <w:tr>
        <w:trPr>
          <w:trHeight w:val="270"/>
        </w:trPr>
        <w:tc>
          <w:tcPr>
            <w:tcW w:w="6640" w:type="dxa"/>
            <w:vAlign w:val="bottom"/>
          </w:tcPr>
          <w:p>
            <w:pPr>
              <w:ind w:left="320"/>
              <w:spacing w:after="0"/>
              <w:rPr>
                <w:sz w:val="20"/>
                <w:szCs w:val="20"/>
                <w:color w:val="auto"/>
              </w:rPr>
            </w:pPr>
            <w:r>
              <w:rPr>
                <w:rFonts w:ascii="Arial" w:cs="Arial" w:eastAsia="Arial" w:hAnsi="Arial"/>
                <w:sz w:val="18"/>
                <w:szCs w:val="18"/>
                <w:color w:val="auto"/>
              </w:rPr>
              <w:t>U.S. equities</w:t>
            </w:r>
          </w:p>
        </w:tc>
        <w:tc>
          <w:tcPr>
            <w:tcW w:w="62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3"/>
                <w:szCs w:val="23"/>
                <w:color w:val="auto"/>
              </w:rPr>
            </w:pPr>
          </w:p>
        </w:tc>
      </w:tr>
      <w:tr>
        <w:trPr>
          <w:trHeight w:val="270"/>
        </w:trPr>
        <w:tc>
          <w:tcPr>
            <w:tcW w:w="6640" w:type="dxa"/>
            <w:vAlign w:val="bottom"/>
          </w:tcPr>
          <w:p>
            <w:pPr>
              <w:ind w:left="320"/>
              <w:spacing w:after="0"/>
              <w:rPr>
                <w:sz w:val="20"/>
                <w:szCs w:val="20"/>
                <w:color w:val="auto"/>
              </w:rPr>
            </w:pPr>
            <w:r>
              <w:rPr>
                <w:rFonts w:ascii="Arial" w:cs="Arial" w:eastAsia="Arial" w:hAnsi="Arial"/>
                <w:sz w:val="18"/>
                <w:szCs w:val="18"/>
                <w:color w:val="auto"/>
              </w:rPr>
              <w:t>Non-U.S. equities</w:t>
            </w:r>
          </w:p>
        </w:tc>
        <w:tc>
          <w:tcPr>
            <w:tcW w:w="62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23"/>
                <w:szCs w:val="23"/>
                <w:color w:val="auto"/>
              </w:rPr>
            </w:pPr>
          </w:p>
        </w:tc>
      </w:tr>
      <w:tr>
        <w:trPr>
          <w:trHeight w:val="270"/>
        </w:trPr>
        <w:tc>
          <w:tcPr>
            <w:tcW w:w="6640" w:type="dxa"/>
            <w:vAlign w:val="bottom"/>
          </w:tcPr>
          <w:p>
            <w:pPr>
              <w:ind w:left="320"/>
              <w:spacing w:after="0"/>
              <w:rPr>
                <w:sz w:val="20"/>
                <w:szCs w:val="20"/>
                <w:color w:val="auto"/>
              </w:rPr>
            </w:pPr>
            <w:r>
              <w:rPr>
                <w:rFonts w:ascii="Arial" w:cs="Arial" w:eastAsia="Arial" w:hAnsi="Arial"/>
                <w:sz w:val="18"/>
                <w:szCs w:val="18"/>
                <w:color w:val="auto"/>
              </w:rPr>
              <w:t>Real estate</w:t>
            </w:r>
          </w:p>
        </w:tc>
        <w:tc>
          <w:tcPr>
            <w:tcW w:w="6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3"/>
                <w:szCs w:val="23"/>
                <w:color w:val="auto"/>
              </w:rPr>
            </w:pPr>
          </w:p>
        </w:tc>
      </w:tr>
      <w:tr>
        <w:trPr>
          <w:trHeight w:val="270"/>
        </w:trPr>
        <w:tc>
          <w:tcPr>
            <w:tcW w:w="6640" w:type="dxa"/>
            <w:vAlign w:val="bottom"/>
          </w:tcPr>
          <w:p>
            <w:pPr>
              <w:ind w:left="320"/>
              <w:spacing w:after="0"/>
              <w:rPr>
                <w:sz w:val="20"/>
                <w:szCs w:val="20"/>
                <w:color w:val="auto"/>
              </w:rPr>
            </w:pPr>
            <w:r>
              <w:rPr>
                <w:rFonts w:ascii="Arial" w:cs="Arial" w:eastAsia="Arial" w:hAnsi="Arial"/>
                <w:sz w:val="18"/>
                <w:szCs w:val="18"/>
                <w:color w:val="auto"/>
              </w:rPr>
              <w:t>Government bonds</w:t>
            </w:r>
          </w:p>
        </w:tc>
        <w:tc>
          <w:tcPr>
            <w:tcW w:w="62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r>
      <w:tr>
        <w:trPr>
          <w:trHeight w:val="270"/>
        </w:trPr>
        <w:tc>
          <w:tcPr>
            <w:tcW w:w="664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62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23"/>
                <w:szCs w:val="23"/>
                <w:color w:val="auto"/>
              </w:rPr>
            </w:pPr>
          </w:p>
        </w:tc>
      </w:tr>
      <w:tr>
        <w:trPr>
          <w:trHeight w:val="277"/>
        </w:trPr>
        <w:tc>
          <w:tcPr>
            <w:tcW w:w="664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4"/>
                <w:szCs w:val="24"/>
                <w:color w:val="auto"/>
              </w:rPr>
            </w:pPr>
          </w:p>
        </w:tc>
      </w:tr>
      <w:tr>
        <w:trPr>
          <w:trHeight w:val="257"/>
        </w:trPr>
        <w:tc>
          <w:tcPr>
            <w:tcW w:w="664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22"/>
                <w:szCs w:val="22"/>
                <w:color w:val="auto"/>
              </w:rPr>
            </w:pPr>
          </w:p>
        </w:tc>
      </w:tr>
      <w:tr>
        <w:trPr>
          <w:trHeight w:val="20"/>
        </w:trPr>
        <w:tc>
          <w:tcPr>
            <w:tcW w:w="6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58"/>
        </w:trPr>
        <w:tc>
          <w:tcPr>
            <w:tcW w:w="7260" w:type="dxa"/>
            <w:vAlign w:val="bottom"/>
            <w:gridSpan w:val="2"/>
          </w:tcPr>
          <w:p>
            <w:pPr>
              <w:spacing w:after="0"/>
              <w:rPr>
                <w:sz w:val="20"/>
                <w:szCs w:val="20"/>
                <w:color w:val="auto"/>
              </w:rPr>
            </w:pPr>
            <w:r>
              <w:rPr>
                <w:rFonts w:ascii="Arial" w:cs="Arial" w:eastAsia="Arial" w:hAnsi="Arial"/>
                <w:sz w:val="18"/>
                <w:szCs w:val="18"/>
                <w:color w:val="auto"/>
                <w:w w:val="99"/>
              </w:rPr>
              <w:t>The Company estimates that future benefit payments from plan assets will be $28 million, $</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97"/>
              </w:rPr>
              <w:t>28 million, $</w:t>
            </w:r>
          </w:p>
        </w:tc>
        <w:tc>
          <w:tcPr>
            <w:tcW w:w="2680" w:type="dxa"/>
            <w:vAlign w:val="bottom"/>
            <w:gridSpan w:val="5"/>
          </w:tcPr>
          <w:p>
            <w:pPr>
              <w:spacing w:after="0"/>
              <w:rPr>
                <w:sz w:val="20"/>
                <w:szCs w:val="20"/>
                <w:color w:val="auto"/>
              </w:rPr>
            </w:pPr>
            <w:r>
              <w:rPr>
                <w:rFonts w:ascii="Arial" w:cs="Arial" w:eastAsia="Arial" w:hAnsi="Arial"/>
                <w:sz w:val="18"/>
                <w:szCs w:val="18"/>
                <w:color w:val="auto"/>
                <w:w w:val="99"/>
              </w:rPr>
              <w:t>30 million, $31 million, $31 million</w:t>
            </w:r>
          </w:p>
        </w:tc>
      </w:tr>
      <w:tr>
        <w:trPr>
          <w:trHeight w:val="217"/>
        </w:trPr>
        <w:tc>
          <w:tcPr>
            <w:tcW w:w="6640" w:type="dxa"/>
            <w:vAlign w:val="bottom"/>
          </w:tcPr>
          <w:p>
            <w:pPr>
              <w:spacing w:after="0"/>
              <w:rPr>
                <w:sz w:val="20"/>
                <w:szCs w:val="20"/>
                <w:color w:val="auto"/>
              </w:rPr>
            </w:pPr>
            <w:r>
              <w:rPr>
                <w:rFonts w:ascii="Arial" w:cs="Arial" w:eastAsia="Arial" w:hAnsi="Arial"/>
                <w:sz w:val="18"/>
                <w:szCs w:val="18"/>
                <w:color w:val="auto"/>
              </w:rPr>
              <w:t>and $175 million for 2020, 2021, 2022, 2023, 2024 and 2025 to 2029, respectively.</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193" w:lineRule="exact"/>
        <w:rPr>
          <w:sz w:val="20"/>
          <w:szCs w:val="20"/>
          <w:color w:val="auto"/>
        </w:rPr>
      </w:pPr>
    </w:p>
    <w:p>
      <w:pPr>
        <w:jc w:val="both"/>
        <w:ind w:left="500"/>
        <w:spacing w:after="0" w:line="250" w:lineRule="auto"/>
        <w:rPr>
          <w:sz w:val="20"/>
          <w:szCs w:val="20"/>
          <w:color w:val="auto"/>
        </w:rPr>
      </w:pPr>
      <w:r>
        <w:rPr>
          <w:rFonts w:ascii="Arial" w:cs="Arial" w:eastAsia="Arial" w:hAnsi="Arial"/>
          <w:sz w:val="18"/>
          <w:szCs w:val="18"/>
          <w:color w:val="auto"/>
        </w:rPr>
        <w:t>The Company contributes to a number of multiemployer plans under the terms of collective-bargaining agreements that cover a portion of its employees. The risks of participating in these multiemployer plans are different from single-employer plans in the following aspects:</w:t>
      </w:r>
    </w:p>
    <w:p>
      <w:pPr>
        <w:spacing w:after="0" w:line="1" w:lineRule="exact"/>
        <w:rPr>
          <w:sz w:val="20"/>
          <w:szCs w:val="20"/>
          <w:color w:val="auto"/>
        </w:rPr>
      </w:pPr>
    </w:p>
    <w:p>
      <w:pPr>
        <w:ind w:left="500" w:right="20" w:hanging="6"/>
        <w:spacing w:after="0" w:line="252" w:lineRule="auto"/>
        <w:tabs>
          <w:tab w:leader="none" w:pos="7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 (ii) if a participating employer stops contributing to the plan, the unfunded obligations of the plan may be borne by the remaining participating employers; (iii) if the Company elects to stop participating in a multiemployer plan, it may be required to contribute to such plan an amount based on the under-funded status of the plan; and (iv) the Company has no involvement in the management of the multiemployer plans’ investments. For the years ended December 31, 2019, 2018 and 2017, the Company contributed a total of $9 million in each of the periods to multiemployer plans.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40"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Instruments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 Management</w:t>
      </w:r>
    </w:p>
    <w:p>
      <w:pPr>
        <w:spacing w:after="0" w:line="17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49" w:lineRule="exact"/>
        <w:rPr>
          <w:sz w:val="20"/>
          <w:szCs w:val="20"/>
          <w:color w:val="auto"/>
        </w:rPr>
      </w:pPr>
    </w:p>
    <w:p>
      <w:pPr>
        <w:ind w:left="500" w:right="80"/>
        <w:spacing w:after="0" w:line="262" w:lineRule="auto"/>
        <w:rPr>
          <w:sz w:val="20"/>
          <w:szCs w:val="20"/>
          <w:color w:val="auto"/>
        </w:rPr>
      </w:pPr>
      <w:r>
        <w:rPr>
          <w:rFonts w:ascii="Arial" w:cs="Arial" w:eastAsia="Arial" w:hAnsi="Arial"/>
          <w:sz w:val="18"/>
          <w:szCs w:val="18"/>
          <w:color w:val="auto"/>
        </w:rPr>
        <w:t>The estimated net amount of existing gains or losses the Company expects to reclassify from accumulated other comprehensive income (loss) to earnings for cash flow and net investment hedges over the next 12 months is not material.</w:t>
      </w:r>
    </w:p>
    <w:p>
      <w:pPr>
        <w:spacing w:after="0" w:line="124" w:lineRule="exact"/>
        <w:rPr>
          <w:sz w:val="20"/>
          <w:szCs w:val="20"/>
          <w:color w:val="auto"/>
        </w:rPr>
      </w:pPr>
    </w:p>
    <w:p>
      <w:pPr>
        <w:jc w:val="both"/>
        <w:ind w:left="500" w:right="560"/>
        <w:spacing w:after="0" w:line="266"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The Company uses various hedging strategies including interest rate swaps and interest rate caps to create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The Company estimates that $ 3 million of loss currently recorded in accumulated other comprehensive income (loss) will be recognized in earnings over the next 12 months.</w:t>
      </w:r>
    </w:p>
    <w:p>
      <w:pPr>
        <w:spacing w:after="0" w:line="122" w:lineRule="exact"/>
        <w:rPr>
          <w:sz w:val="20"/>
          <w:szCs w:val="20"/>
          <w:color w:val="auto"/>
        </w:rPr>
      </w:pPr>
    </w:p>
    <w:p>
      <w:pPr>
        <w:ind w:left="500" w:right="20"/>
        <w:spacing w:after="0" w:line="266"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the Company’s consolidated results of operations.</w:t>
      </w:r>
    </w:p>
    <w:p>
      <w:pPr>
        <w:spacing w:after="0" w:line="122"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Credit Risk and Exposure</w:t>
      </w:r>
      <w:r>
        <w:rPr>
          <w:rFonts w:ascii="Arial" w:cs="Arial" w:eastAsia="Arial" w:hAnsi="Arial"/>
          <w:sz w:val="18"/>
          <w:szCs w:val="18"/>
          <w:color w:val="auto"/>
        </w:rPr>
        <w:t>. The Company is exposed to counterparty credit risks in the event of nonperformance by counterparties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agreements and sales transactions. The Company manages such risk by evaluating the financial position and creditworthiness of such counterparties and by requiring collateral in certain instances in which financing is provided. The Company mitigates counterparty credit risk associated with its derivative contracts by monitoring the amount for which it is at risk with each counterparty, periodically evaluating counterparty creditworthiness and financial position, and where possible, dispersing its risk among multiple counterparties.</w:t>
      </w:r>
    </w:p>
    <w:p>
      <w:pPr>
        <w:spacing w:after="0" w:line="148"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There were no significant concentrations of credit risk with any individual counterparty or groups of counterparties at December 31, 2019 or 2018, other than (i) risks related to the Company’s repurchase and guaranteed depreciation agreements with domestic and foreign car manufacturers, and primarily with respect to receivables for program cars that were disposed but for which the Company has not yet received payment from the manufacturers (see Note 2-Summary of Significant Accounting Policies), (ii) receivables from Realogy and Wyndham related to certain contingent, income tax and other corporate liabilities assumed by Realogy and Wyndham in connection with their disposition and (iii) risks related to leases which have been assumed by Realogy but of which the Company is a guarantor. Concentrations of credit risk associated with trade receivables are considered minimal due to the Company’s diverse customer base. The Company does not normally require collateral or other security to support credit sales.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93"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As described above, derivative assets and liabilities consist principally of currency exchange contracts, interest rate swaps, interest rate caps and commodity contracts. The Company held derivative instruments with absolute notional values as follows:</w:t>
      </w:r>
    </w:p>
    <w:p>
      <w:pPr>
        <w:spacing w:after="0" w:line="134" w:lineRule="exact"/>
        <w:rPr>
          <w:sz w:val="20"/>
          <w:szCs w:val="20"/>
          <w:color w:val="auto"/>
        </w:rPr>
      </w:pPr>
    </w:p>
    <w:tbl>
      <w:tblPr>
        <w:tblLayout w:type="fixed"/>
        <w:tblInd w:w="820" w:type="dxa"/>
        <w:tblCellMar>
          <w:top w:w="0" w:type="dxa"/>
          <w:left w:w="0" w:type="dxa"/>
          <w:bottom w:w="0" w:type="dxa"/>
          <w:right w:w="0" w:type="dxa"/>
        </w:tblCellMar>
      </w:tblPr>
      <w:tr>
        <w:trPr>
          <w:trHeight w:val="246"/>
        </w:trPr>
        <w:tc>
          <w:tcPr>
            <w:tcW w:w="346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34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4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1,235</w:t>
            </w:r>
          </w:p>
        </w:tc>
      </w:tr>
      <w:tr>
        <w:trPr>
          <w:trHeight w:val="323"/>
        </w:trPr>
        <w:tc>
          <w:tcPr>
            <w:tcW w:w="3460" w:type="dxa"/>
            <w:vAlign w:val="bottom"/>
          </w:tcPr>
          <w:p>
            <w:pPr>
              <w:spacing w:after="0"/>
              <w:rPr>
                <w:sz w:val="20"/>
                <w:szCs w:val="20"/>
                <w:color w:val="auto"/>
              </w:rPr>
            </w:pPr>
            <w:r>
              <w:rPr>
                <w:rFonts w:ascii="Arial" w:cs="Arial" w:eastAsia="Arial" w:hAnsi="Arial"/>
                <w:sz w:val="18"/>
                <w:szCs w:val="18"/>
                <w:color w:val="auto"/>
              </w:rPr>
              <w:t xml:space="preserve">Interest rate caps </w:t>
            </w:r>
            <w:r>
              <w:rPr>
                <w:rFonts w:ascii="Arial" w:cs="Arial" w:eastAsia="Arial" w:hAnsi="Arial"/>
                <w:sz w:val="21"/>
                <w:szCs w:val="21"/>
                <w:color w:val="auto"/>
                <w:vertAlign w:val="superscript"/>
              </w:rPr>
              <w:t>(a)</w:t>
            </w:r>
          </w:p>
        </w:tc>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8,431</w:t>
            </w:r>
          </w:p>
        </w:tc>
      </w:tr>
      <w:tr>
        <w:trPr>
          <w:trHeight w:val="217"/>
        </w:trPr>
        <w:tc>
          <w:tcPr>
            <w:tcW w:w="3460" w:type="dxa"/>
            <w:vAlign w:val="bottom"/>
          </w:tcPr>
          <w:p>
            <w:pPr>
              <w:spacing w:after="0"/>
              <w:rPr>
                <w:sz w:val="20"/>
                <w:szCs w:val="20"/>
                <w:color w:val="auto"/>
              </w:rPr>
            </w:pPr>
            <w:r>
              <w:rPr>
                <w:rFonts w:ascii="Arial" w:cs="Arial" w:eastAsia="Arial" w:hAnsi="Arial"/>
                <w:sz w:val="18"/>
                <w:szCs w:val="18"/>
                <w:color w:val="auto"/>
              </w:rPr>
              <w:t>Interest rate swaps</w:t>
            </w:r>
          </w:p>
        </w:tc>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446"/>
        </w:trPr>
        <w:tc>
          <w:tcPr>
            <w:tcW w:w="3460" w:type="dxa"/>
            <w:vAlign w:val="bottom"/>
          </w:tcPr>
          <w:p>
            <w:pPr>
              <w:spacing w:after="0"/>
              <w:rPr>
                <w:sz w:val="24"/>
                <w:szCs w:val="24"/>
                <w:color w:val="auto"/>
              </w:rPr>
            </w:pPr>
          </w:p>
        </w:tc>
        <w:tc>
          <w:tcPr>
            <w:tcW w:w="4140" w:type="dxa"/>
            <w:vAlign w:val="bottom"/>
            <w:gridSpan w:val="2"/>
          </w:tcPr>
          <w:p>
            <w:pPr>
              <w:jc w:val="right"/>
              <w:ind w:right="2520"/>
              <w:spacing w:after="0"/>
              <w:rPr>
                <w:sz w:val="20"/>
                <w:szCs w:val="20"/>
                <w:color w:val="auto"/>
              </w:rPr>
            </w:pPr>
            <w:r>
              <w:rPr>
                <w:rFonts w:ascii="Arial" w:cs="Arial" w:eastAsia="Arial" w:hAnsi="Arial"/>
                <w:sz w:val="18"/>
                <w:szCs w:val="18"/>
                <w:color w:val="auto"/>
              </w:rPr>
              <w:t>F-45</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00"/>
          </w:cols>
          <w:pgMar w:left="240" w:top="140"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2" w:lineRule="exact"/>
        <w:rPr>
          <w:sz w:val="20"/>
          <w:szCs w:val="20"/>
          <w:color w:val="auto"/>
        </w:rPr>
      </w:pPr>
    </w:p>
    <w:p>
      <w:pPr>
        <w:ind w:left="820" w:hanging="326"/>
        <w:spacing w:after="0" w:line="227" w:lineRule="auto"/>
        <w:tabs>
          <w:tab w:leader="none" w:pos="820" w:val="left"/>
        </w:tabs>
        <w:numPr>
          <w:ilvl w:val="0"/>
          <w:numId w:val="74"/>
        </w:numPr>
        <w:rPr>
          <w:rFonts w:ascii="Arial" w:cs="Arial" w:eastAsia="Arial" w:hAnsi="Arial"/>
          <w:sz w:val="22"/>
          <w:szCs w:val="22"/>
          <w:color w:val="auto"/>
          <w:vertAlign w:val="superscript"/>
        </w:rPr>
      </w:pPr>
      <w:r>
        <w:rPr>
          <w:rFonts w:ascii="Arial" w:cs="Arial" w:eastAsia="Arial" w:hAnsi="Arial"/>
          <w:sz w:val="16"/>
          <w:szCs w:val="16"/>
          <w:color w:val="auto"/>
        </w:rPr>
        <w:t>Represents $5.9 billion of interest rate caps sold, partially offset by approximately $2.7 billion of interest rate caps purchased at December 31, 2019 and $5.7 billion of interest rate caps sold, partially offset by approximately $2.7 billion of interest rate caps purchased at December 31, 2018. These amounts exclude $3.2 billion and $3.0 billion of interest rate caps purchased by the Company’s Avis Budget Rental Car Funding subsidiary at December 31, 2019 and 2018, respectively.</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are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5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As of December 31, 2019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As of December 31, 2018</w:t>
            </w:r>
          </w:p>
        </w:tc>
      </w:tr>
      <w:tr>
        <w:trPr>
          <w:trHeight w:val="198"/>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Fair Value,</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Fair Value,</w:t>
            </w:r>
          </w:p>
        </w:tc>
      </w:tr>
      <w:tr>
        <w:trPr>
          <w:trHeight w:val="189"/>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Liability</w:t>
            </w: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6"/>
                <w:szCs w:val="16"/>
                <w:color w:val="auto"/>
              </w:rPr>
            </w:pPr>
          </w:p>
        </w:tc>
        <w:tc>
          <w:tcPr>
            <w:tcW w:w="10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r>
      <w:tr>
        <w:trPr>
          <w:trHeight w:val="228"/>
        </w:trPr>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9"/>
                <w:szCs w:val="19"/>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rPr>
              <w:t>Derivatives</w:t>
            </w:r>
          </w:p>
        </w:tc>
      </w:tr>
      <w:tr>
        <w:trPr>
          <w:trHeight w:val="251"/>
        </w:trPr>
        <w:tc>
          <w:tcPr>
            <w:tcW w:w="502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326"/>
        </w:trPr>
        <w:tc>
          <w:tcPr>
            <w:tcW w:w="5020" w:type="dxa"/>
            <w:vAlign w:val="bottom"/>
          </w:tcPr>
          <w:p>
            <w:pPr>
              <w:ind w:left="3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502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40"/>
        </w:trPr>
        <w:tc>
          <w:tcPr>
            <w:tcW w:w="5020" w:type="dxa"/>
            <w:vAlign w:val="bottom"/>
          </w:tcPr>
          <w:p>
            <w:pPr>
              <w:ind w:left="3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5020" w:type="dxa"/>
            <w:vAlign w:val="bottom"/>
          </w:tcPr>
          <w:p>
            <w:pPr>
              <w:ind w:left="3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5020" w:type="dxa"/>
            <w:vAlign w:val="bottom"/>
          </w:tcPr>
          <w:p>
            <w:pPr>
              <w:ind w:left="3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5020" w:type="dxa"/>
            <w:vAlign w:val="bottom"/>
          </w:tcPr>
          <w:p>
            <w:pPr>
              <w:ind w:left="3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jc w:val="both"/>
        <w:ind w:left="500" w:right="24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16-Stockholders’ Equity.</w:t>
      </w:r>
    </w:p>
    <w:p>
      <w:pPr>
        <w:ind w:left="820" w:hanging="326"/>
        <w:spacing w:after="0" w:line="195" w:lineRule="auto"/>
        <w:tabs>
          <w:tab w:leader="none" w:pos="8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Financial Statements are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63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63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287"/>
        </w:trPr>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Financial instruments designated as hedging instruments </w:t>
            </w:r>
            <w:r>
              <w:rPr>
                <w:rFonts w:ascii="Arial" w:cs="Arial" w:eastAsia="Arial" w:hAnsi="Arial"/>
                <w:sz w:val="21"/>
                <w:szCs w:val="21"/>
                <w:color w:val="auto"/>
                <w:vertAlign w:val="superscript"/>
              </w:rPr>
              <w:t>(a)</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4"/>
        </w:trPr>
        <w:tc>
          <w:tcPr>
            <w:tcW w:w="6380" w:type="dxa"/>
            <w:vAlign w:val="bottom"/>
          </w:tcPr>
          <w:p>
            <w:pPr>
              <w:ind w:left="1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8"/>
        </w:trPr>
        <w:tc>
          <w:tcPr>
            <w:tcW w:w="6380" w:type="dxa"/>
            <w:vAlign w:val="bottom"/>
          </w:tcPr>
          <w:p>
            <w:pPr>
              <w:ind w:left="100"/>
              <w:spacing w:after="0" w:line="228"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91"/>
        </w:trPr>
        <w:tc>
          <w:tcPr>
            <w:tcW w:w="6380" w:type="dxa"/>
            <w:vAlign w:val="bottom"/>
          </w:tcPr>
          <w:p>
            <w:pPr>
              <w:spacing w:after="0"/>
              <w:rPr>
                <w:sz w:val="20"/>
                <w:szCs w:val="20"/>
                <w:color w:val="auto"/>
              </w:rPr>
            </w:pPr>
            <w:r>
              <w:rPr>
                <w:rFonts w:ascii="Arial" w:cs="Arial" w:eastAsia="Arial" w:hAnsi="Arial"/>
                <w:sz w:val="16"/>
                <w:szCs w:val="16"/>
                <w:b w:val="1"/>
                <w:bCs w:val="1"/>
                <w:color w:val="auto"/>
              </w:rPr>
              <w:t xml:space="preserve">Financial instruments not designated as hedging instruments </w:t>
            </w:r>
            <w:r>
              <w:rPr>
                <w:rFonts w:ascii="Arial" w:cs="Arial" w:eastAsia="Arial" w:hAnsi="Arial"/>
                <w:sz w:val="21"/>
                <w:szCs w:val="21"/>
                <w:color w:val="auto"/>
                <w:vertAlign w:val="superscript"/>
              </w:rPr>
              <w:t>(d)</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1"/>
        </w:trPr>
        <w:tc>
          <w:tcPr>
            <w:tcW w:w="6380" w:type="dxa"/>
            <w:vAlign w:val="bottom"/>
          </w:tcPr>
          <w:p>
            <w:pPr>
              <w:ind w:left="1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8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70"/>
        </w:trPr>
        <w:tc>
          <w:tcPr>
            <w:tcW w:w="6380" w:type="dxa"/>
            <w:vAlign w:val="bottom"/>
          </w:tcPr>
          <w:p>
            <w:pPr>
              <w:ind w:left="1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8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638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(g)</w:t>
            </w: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6380" w:type="dxa"/>
            <w:vAlign w:val="bottom"/>
          </w:tcPr>
          <w:p>
            <w:pPr>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12700</wp:posOffset>
            </wp:positionV>
            <wp:extent cx="24955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5550" cy="26035"/>
                    </a:xfrm>
                    <a:prstGeom prst="rect">
                      <a:avLst/>
                    </a:prstGeom>
                    <a:noFill/>
                  </pic:spPr>
                </pic:pic>
              </a:graphicData>
            </a:graphic>
          </wp:anchor>
        </w:drawing>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accumulated other comprehensive income (loss) within stockholders’ equity.</w:t>
      </w:r>
    </w:p>
    <w:p>
      <w:pPr>
        <w:ind w:left="820" w:right="60" w:hanging="326"/>
        <w:spacing w:after="0" w:line="211" w:lineRule="auto"/>
        <w:tabs>
          <w:tab w:leader="none" w:pos="8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16-Stockholders’ Equity for amounts reclassified from accumulated other comprehensive income (loss) into earnings.</w:t>
      </w:r>
    </w:p>
    <w:p>
      <w:pPr>
        <w:ind w:left="820" w:hanging="326"/>
        <w:spacing w:after="0" w:line="187" w:lineRule="auto"/>
        <w:tabs>
          <w:tab w:leader="none" w:pos="8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87" w:lineRule="auto"/>
        <w:tabs>
          <w:tab w:leader="none" w:pos="8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right="140" w:hanging="326"/>
        <w:spacing w:after="0" w:line="220" w:lineRule="auto"/>
        <w:tabs>
          <w:tab w:leader="none" w:pos="8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2019, included an $11 million loss included in interest expense and a $4 million gain included in operating expenses. For the year ended December 31, 2018, included a $19 million gain included in interest expense and a $12 million gain included in operating expenses. For the year ended December 31, 2017, included a $23 million loss in interest expense and a $19 million loss included in operating expenses.</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Primarily included in vehicle interest, net.</w:t>
      </w:r>
    </w:p>
    <w:p>
      <w:pPr>
        <w:ind w:left="820" w:hanging="326"/>
        <w:spacing w:after="0" w:line="199" w:lineRule="auto"/>
        <w:tabs>
          <w:tab w:leader="none" w:pos="82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380"/>
          </w:cols>
          <w:pgMar w:left="240" w:top="140" w:right="27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6"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As of December 31, 2019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As of December 31, 2018</w:t>
            </w:r>
          </w:p>
        </w:tc>
      </w:tr>
      <w:tr>
        <w:trPr>
          <w:trHeight w:val="198"/>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Estimated</w:t>
            </w: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Pr>
          <w:p>
            <w:pPr>
              <w:spacing w:after="0"/>
              <w:rPr>
                <w:sz w:val="17"/>
                <w:szCs w:val="17"/>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Estimated</w:t>
            </w:r>
          </w:p>
        </w:tc>
      </w:tr>
      <w:tr>
        <w:trPr>
          <w:trHeight w:val="228"/>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9"/>
                <w:szCs w:val="19"/>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Corporate debt</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311"/>
        </w:trPr>
        <w:tc>
          <w:tcPr>
            <w:tcW w:w="470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70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3,462</w:t>
            </w:r>
          </w:p>
        </w:tc>
      </w:tr>
      <w:tr>
        <w:trPr>
          <w:trHeight w:val="51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Debt under vehicle programs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700" w:type="dxa"/>
            <w:vAlign w:val="bottom"/>
          </w:tcPr>
          <w:p>
            <w:pPr>
              <w:ind w:left="120"/>
              <w:spacing w:after="0"/>
              <w:rPr>
                <w:sz w:val="20"/>
                <w:szCs w:val="20"/>
                <w:color w:val="auto"/>
              </w:rPr>
            </w:pPr>
            <w:r>
              <w:rPr>
                <w:rFonts w:ascii="Arial" w:cs="Arial" w:eastAsia="Arial" w:hAnsi="Arial"/>
                <w:sz w:val="16"/>
                <w:szCs w:val="16"/>
                <w:color w:val="auto"/>
              </w:rPr>
              <w:t>Vehicle-backed debt due to Avis Budget Rental Car Funding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7,936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8,077</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7,358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7,383</w:t>
            </w:r>
          </w:p>
        </w:tc>
      </w:tr>
      <w:tr>
        <w:trPr>
          <w:trHeight w:val="270"/>
        </w:trPr>
        <w:tc>
          <w:tcPr>
            <w:tcW w:w="4700" w:type="dxa"/>
            <w:vAlign w:val="bottom"/>
          </w:tcPr>
          <w:p>
            <w:pPr>
              <w:ind w:left="120"/>
              <w:spacing w:after="0"/>
              <w:rPr>
                <w:sz w:val="20"/>
                <w:szCs w:val="20"/>
                <w:color w:val="auto"/>
              </w:rPr>
            </w:pPr>
            <w:r>
              <w:rPr>
                <w:rFonts w:ascii="Arial" w:cs="Arial" w:eastAsia="Arial" w:hAnsi="Arial"/>
                <w:sz w:val="16"/>
                <w:szCs w:val="16"/>
                <w:color w:val="auto"/>
              </w:rPr>
              <w:t>Vehicle-backed debt</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2,881</w:t>
            </w:r>
          </w:p>
        </w:tc>
      </w:tr>
      <w:tr>
        <w:trPr>
          <w:trHeight w:val="294"/>
        </w:trPr>
        <w:tc>
          <w:tcPr>
            <w:tcW w:w="4700" w:type="dxa"/>
            <w:vAlign w:val="bottom"/>
          </w:tcPr>
          <w:p>
            <w:pPr>
              <w:ind w:left="1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57"/>
        </w:trPr>
        <w:tc>
          <w:tcPr>
            <w:tcW w:w="4700" w:type="dxa"/>
            <w:vAlign w:val="bottom"/>
          </w:tcPr>
          <w:p>
            <w:pPr>
              <w:spacing w:after="0" w:line="157" w:lineRule="exact"/>
              <w:rPr>
                <w:sz w:val="20"/>
                <w:szCs w:val="20"/>
                <w:color w:val="auto"/>
              </w:rPr>
            </w:pPr>
            <w:r>
              <w:rPr>
                <w:rFonts w:ascii="Arial" w:cs="Arial" w:eastAsia="Arial" w:hAnsi="Arial"/>
                <w:sz w:val="14"/>
                <w:szCs w:val="14"/>
                <w:color w:val="auto"/>
              </w:rPr>
              <w:t>___________</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720" w:type="dxa"/>
            <w:vAlign w:val="bottom"/>
          </w:tcPr>
          <w:p>
            <w:pPr>
              <w:ind w:left="500"/>
              <w:spacing w:after="0"/>
              <w:rPr>
                <w:sz w:val="20"/>
                <w:szCs w:val="20"/>
                <w:color w:val="auto"/>
              </w:rPr>
            </w:pPr>
            <w:r>
              <w:rPr>
                <w:rFonts w:ascii="Arial" w:cs="Arial" w:eastAsia="Arial" w:hAnsi="Arial"/>
                <w:sz w:val="9"/>
                <w:szCs w:val="9"/>
                <w:color w:val="auto"/>
              </w:rPr>
              <w:t>(a)</w:t>
            </w: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Derivatives in liability position.</w:t>
            </w:r>
          </w:p>
        </w:tc>
        <w:tc>
          <w:tcPr>
            <w:tcW w:w="0" w:type="dxa"/>
            <w:vAlign w:val="bottom"/>
          </w:tcPr>
          <w:p>
            <w:pPr>
              <w:spacing w:after="0"/>
              <w:rPr>
                <w:sz w:val="1"/>
                <w:szCs w:val="1"/>
                <w:color w:val="auto"/>
              </w:rPr>
            </w:pPr>
          </w:p>
        </w:tc>
      </w:tr>
      <w:tr>
        <w:trPr>
          <w:trHeight w:val="70"/>
        </w:trPr>
        <w:tc>
          <w:tcPr>
            <w:tcW w:w="720" w:type="dxa"/>
            <w:vAlign w:val="bottom"/>
          </w:tcPr>
          <w:p>
            <w:pPr>
              <w:spacing w:after="0"/>
              <w:rPr>
                <w:sz w:val="6"/>
                <w:szCs w:val="6"/>
                <w:color w:val="auto"/>
              </w:rPr>
            </w:pPr>
          </w:p>
        </w:tc>
        <w:tc>
          <w:tcPr>
            <w:tcW w:w="2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3"/>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20. Segment Information</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150"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China and income taxes. Net charges for unprecedented personal-injury legal matters and gain on sale of equity method investment in China are recorded within operating expenses in the Company’s Consolidated Statements of Operations. Non-operational charges related to shareholder activist activity include third-party advisory, legal and other professional service fees and are recorded within selling, general and administrative expenses in the Company’s Consolidated Statements of Operations. The Company has revised its definition of Adjusted EBITDA to exclude the gain on sale of equity method investment in China. The Company did not revise prior years’ Adjusted EBITDA amounts because there were no gains similar in nature to this gain. The Company’s presentation of Adjusted EBITDA may not be comparable to similarly-titled measures used by other companies.</w:t>
      </w:r>
    </w:p>
    <w:p>
      <w:pPr>
        <w:spacing w:after="0" w:line="190"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4160" w:type="dxa"/>
            <w:vAlign w:val="bottom"/>
          </w:tcPr>
          <w:p>
            <w:pPr>
              <w:spacing w:after="0"/>
              <w:rPr>
                <w:sz w:val="20"/>
                <w:szCs w:val="20"/>
                <w:color w:val="auto"/>
              </w:rPr>
            </w:pPr>
            <w:r>
              <w:rPr>
                <w:rFonts w:ascii="Arial" w:cs="Arial" w:eastAsia="Arial" w:hAnsi="Arial"/>
                <w:sz w:val="18"/>
                <w:szCs w:val="18"/>
                <w:b w:val="1"/>
                <w:bCs w:val="1"/>
                <w:color w:val="auto"/>
              </w:rPr>
              <w:t>Year Ended December 31, 2019</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2"/>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ind w:left="120"/>
              <w:spacing w:after="0"/>
              <w:rPr>
                <w:sz w:val="20"/>
                <w:szCs w:val="20"/>
                <w:color w:val="auto"/>
              </w:rPr>
            </w:pPr>
            <w:r>
              <w:rPr>
                <w:rFonts w:ascii="Arial" w:cs="Arial" w:eastAsia="Arial" w:hAnsi="Arial"/>
                <w:sz w:val="18"/>
                <w:szCs w:val="18"/>
                <w:b w:val="1"/>
                <w:bCs w:val="1"/>
                <w:color w:val="auto"/>
              </w:rPr>
              <w:t>Corporate</w:t>
            </w:r>
          </w:p>
        </w:tc>
        <w:tc>
          <w:tcPr>
            <w:tcW w:w="1120" w:type="dxa"/>
            <w:vAlign w:val="bottom"/>
          </w:tcPr>
          <w:p>
            <w:pPr>
              <w:spacing w:after="0"/>
              <w:rPr>
                <w:sz w:val="24"/>
                <w:szCs w:val="24"/>
                <w:color w:val="auto"/>
              </w:rPr>
            </w:pPr>
          </w:p>
        </w:tc>
      </w:tr>
      <w:tr>
        <w:trPr>
          <w:trHeight w:val="252"/>
        </w:trPr>
        <w:tc>
          <w:tcPr>
            <w:tcW w:w="4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International</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 xml:space="preserve">and Other </w:t>
            </w:r>
            <w:r>
              <w:rPr>
                <w:rFonts w:ascii="Arial" w:cs="Arial" w:eastAsia="Arial" w:hAnsi="Arial"/>
                <w:sz w:val="18"/>
                <w:szCs w:val="18"/>
                <w:b w:val="1"/>
                <w:bCs w:val="1"/>
                <w:color w:val="auto"/>
                <w:w w:val="97"/>
                <w:vertAlign w:val="superscript"/>
              </w:rPr>
              <w:t>(a)</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6,352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3"/>
          </w:tcPr>
          <w:p>
            <w:pPr>
              <w:ind w:left="100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9,172</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2,063</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Assets exclusive of assets under vehicle programs</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9,311</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13,815</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83"/>
        </w:trPr>
        <w:tc>
          <w:tcPr>
            <w:tcW w:w="416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ind w:left="820" w:hanging="326"/>
        <w:spacing w:after="0" w:line="228" w:lineRule="auto"/>
        <w:tabs>
          <w:tab w:leader="none" w:pos="82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Primarily represents unallocated corporate expenses and receivables from our former subsidiaries</w:t>
      </w:r>
      <w:r>
        <w:rPr>
          <w:rFonts w:ascii="Arial" w:cs="Arial" w:eastAsia="Arial" w:hAnsi="Arial"/>
          <w:sz w:val="16"/>
          <w:szCs w:val="16"/>
          <w:color w:val="auto"/>
        </w:rPr>
        <w: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80"/>
          </w:cols>
          <w:pgMar w:left="240" w:top="140" w:right="27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 2018</w:t>
      </w:r>
    </w:p>
    <w:p>
      <w:pPr>
        <w:spacing w:after="0" w:line="171"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Corporate</w:t>
      </w:r>
    </w:p>
    <w:p>
      <w:pPr>
        <w:spacing w:after="0" w:line="18" w:lineRule="exact"/>
        <w:rPr>
          <w:sz w:val="20"/>
          <w:szCs w:val="20"/>
          <w:color w:val="auto"/>
        </w:rPr>
      </w:pPr>
    </w:p>
    <w:p>
      <w:pPr>
        <w:jc w:val="both"/>
        <w:ind w:left="5000"/>
        <w:spacing w:after="0"/>
        <w:tabs>
          <w:tab w:leader="none" w:pos="6400" w:val="left"/>
          <w:tab w:leader="none" w:pos="8020" w:val="left"/>
          <w:tab w:leader="none" w:pos="9860" w:val="left"/>
        </w:tabs>
        <w:rPr>
          <w:sz w:val="20"/>
          <w:szCs w:val="20"/>
          <w:color w:val="auto"/>
        </w:rPr>
      </w:pPr>
      <w:r>
        <w:rPr>
          <w:rFonts w:ascii="Arial" w:cs="Arial" w:eastAsia="Arial" w:hAnsi="Arial"/>
          <w:sz w:val="18"/>
          <w:szCs w:val="18"/>
          <w:b w:val="1"/>
          <w:bCs w:val="1"/>
          <w:color w:val="auto"/>
        </w:rPr>
        <w:t>Americas</w:t>
      </w:r>
      <w:r>
        <w:rPr>
          <w:sz w:val="20"/>
          <w:szCs w:val="20"/>
          <w:color w:val="auto"/>
        </w:rPr>
        <w:tab/>
      </w:r>
      <w:r>
        <w:rPr>
          <w:rFonts w:ascii="Arial" w:cs="Arial" w:eastAsia="Arial" w:hAnsi="Arial"/>
          <w:sz w:val="18"/>
          <w:szCs w:val="18"/>
          <w:b w:val="1"/>
          <w:bCs w:val="1"/>
          <w:color w:val="auto"/>
        </w:rPr>
        <w:t>International</w:t>
      </w:r>
      <w:r>
        <w:rPr>
          <w:sz w:val="20"/>
          <w:szCs w:val="20"/>
          <w:color w:val="auto"/>
        </w:rPr>
        <w:tab/>
      </w:r>
      <w:r>
        <w:rPr>
          <w:rFonts w:ascii="Arial" w:cs="Arial" w:eastAsia="Arial" w:hAnsi="Arial"/>
          <w:sz w:val="18"/>
          <w:szCs w:val="18"/>
          <w:b w:val="1"/>
          <w:bCs w:val="1"/>
          <w:color w:val="auto"/>
        </w:rPr>
        <w:t xml:space="preserve">and Other </w:t>
      </w:r>
      <w:r>
        <w:rPr>
          <w:rFonts w:ascii="Arial" w:cs="Arial" w:eastAsia="Arial" w:hAnsi="Arial"/>
          <w:sz w:val="18"/>
          <w:szCs w:val="18"/>
          <w:b w:val="1"/>
          <w:bCs w:val="1"/>
          <w:color w:val="auto"/>
          <w:vertAlign w:val="superscript"/>
        </w:rPr>
        <w:t>(a)</w:t>
      </w:r>
      <w:r>
        <w:rPr>
          <w:sz w:val="20"/>
          <w:szCs w:val="20"/>
          <w:color w:val="auto"/>
        </w:rPr>
        <w:tab/>
      </w: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14605</wp:posOffset>
            </wp:positionV>
            <wp:extent cx="39103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ectPr>
          <w:pgSz w:w="11900" w:h="16838" w:orient="portrait"/>
          <w:cols w:equalWidth="0" w:num="1">
            <w:col w:w="10820"/>
          </w:cols>
          <w:pgMar w:left="240" w:top="140" w:right="839" w:bottom="1440" w:gutter="0" w:footer="0" w:header="0"/>
        </w:sectPr>
      </w:pPr>
    </w:p>
    <w:p>
      <w:pPr>
        <w:spacing w:after="0" w:line="50" w:lineRule="exact"/>
        <w:rPr>
          <w:sz w:val="20"/>
          <w:szCs w:val="20"/>
          <w:color w:val="auto"/>
        </w:rPr>
      </w:pPr>
    </w:p>
    <w:p>
      <w:pPr>
        <w:ind w:left="520"/>
        <w:spacing w:after="0"/>
        <w:tabs>
          <w:tab w:leader="none" w:pos="4680" w:val="left"/>
        </w:tabs>
        <w:rPr>
          <w:sz w:val="20"/>
          <w:szCs w:val="20"/>
          <w:color w:val="auto"/>
        </w:rPr>
      </w:pPr>
      <w:r>
        <w:rPr>
          <w:rFonts w:ascii="Arial" w:cs="Arial" w:eastAsia="Arial" w:hAnsi="Arial"/>
          <w:sz w:val="17"/>
          <w:szCs w:val="17"/>
          <w:color w:val="auto"/>
        </w:rPr>
        <w:t>Revenues</w:t>
      </w:r>
      <w:r>
        <w:rPr>
          <w:sz w:val="20"/>
          <w:szCs w:val="20"/>
          <w:color w:val="auto"/>
        </w:rPr>
        <w:tab/>
      </w:r>
      <w:r>
        <w:rPr>
          <w:rFonts w:ascii="Arial" w:cs="Arial" w:eastAsia="Arial" w:hAnsi="Arial"/>
          <w:sz w:val="17"/>
          <w:szCs w:val="17"/>
          <w:color w:val="auto"/>
        </w:rPr>
        <w: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Vehicle depreciation and lease charges, net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Vehicle interest, net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Non-vehicle depreciation and amortization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Assets exclusive of assets under vehicle programs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Assets under vehicle programs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 expenditures (excluding vehicles)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6,186</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2,938</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9,124</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1,568</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2,179</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7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(64)</w:t>
            </w:r>
          </w:p>
        </w:tc>
        <w:tc>
          <w:tcPr>
            <w:tcW w:w="90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3,782</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2,495</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93</w:t>
            </w:r>
          </w:p>
        </w:tc>
        <w:tc>
          <w:tcPr>
            <w:tcW w:w="900" w:type="dxa"/>
            <w:vAlign w:val="bottom"/>
          </w:tcPr>
          <w:p>
            <w:pPr>
              <w:jc w:val="right"/>
              <w:spacing w:after="0"/>
              <w:rPr>
                <w:sz w:val="20"/>
                <w:szCs w:val="20"/>
                <w:color w:val="auto"/>
              </w:rPr>
            </w:pPr>
            <w:r>
              <w:rPr>
                <w:rFonts w:ascii="Arial" w:cs="Arial" w:eastAsia="Arial" w:hAnsi="Arial"/>
                <w:sz w:val="18"/>
                <w:szCs w:val="18"/>
                <w:color w:val="auto"/>
              </w:rPr>
              <w:t>6,370</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9,670</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3,109</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12,779</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21</w:t>
            </w: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r>
    </w:tbl>
    <w:p>
      <w:pPr>
        <w:spacing w:after="0" w:line="274" w:lineRule="exact"/>
        <w:rPr>
          <w:sz w:val="20"/>
          <w:szCs w:val="20"/>
          <w:color w:val="auto"/>
        </w:rPr>
      </w:pPr>
    </w:p>
    <w:p>
      <w:pPr>
        <w:sectPr>
          <w:pgSz w:w="11900" w:h="16838" w:orient="portrait"/>
          <w:cols w:equalWidth="0" w:num="2">
            <w:col w:w="4860" w:space="720"/>
            <w:col w:w="5240"/>
          </w:cols>
          <w:pgMar w:left="240" w:top="140" w:right="839" w:bottom="1440" w:gutter="0" w:footer="0" w:header="0"/>
          <w:type w:val="continuous"/>
        </w:sectPr>
      </w:pPr>
    </w:p>
    <w:p>
      <w:pPr>
        <w:ind w:left="820" w:hanging="326"/>
        <w:spacing w:after="0" w:line="216" w:lineRule="auto"/>
        <w:tabs>
          <w:tab w:leader="none" w:pos="82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Primarily represents unallocated corporate expenses and receivables from our former subsidiaries.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 2017</w:t>
      </w:r>
    </w:p>
    <w:p>
      <w:pPr>
        <w:spacing w:after="0" w:line="171"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Corporate</w:t>
      </w:r>
    </w:p>
    <w:p>
      <w:pPr>
        <w:spacing w:after="0" w:line="18" w:lineRule="exact"/>
        <w:rPr>
          <w:sz w:val="20"/>
          <w:szCs w:val="20"/>
          <w:color w:val="auto"/>
        </w:rPr>
      </w:pPr>
    </w:p>
    <w:p>
      <w:pPr>
        <w:jc w:val="both"/>
        <w:ind w:left="5000"/>
        <w:spacing w:after="0"/>
        <w:tabs>
          <w:tab w:leader="none" w:pos="6400" w:val="left"/>
          <w:tab w:leader="none" w:pos="8020" w:val="left"/>
          <w:tab w:leader="none" w:pos="9860" w:val="left"/>
        </w:tabs>
        <w:rPr>
          <w:sz w:val="20"/>
          <w:szCs w:val="20"/>
          <w:color w:val="auto"/>
        </w:rPr>
      </w:pPr>
      <w:r>
        <w:rPr>
          <w:rFonts w:ascii="Arial" w:cs="Arial" w:eastAsia="Arial" w:hAnsi="Arial"/>
          <w:sz w:val="18"/>
          <w:szCs w:val="18"/>
          <w:b w:val="1"/>
          <w:bCs w:val="1"/>
          <w:color w:val="auto"/>
        </w:rPr>
        <w:t>Americas</w:t>
      </w:r>
      <w:r>
        <w:rPr>
          <w:sz w:val="20"/>
          <w:szCs w:val="20"/>
          <w:color w:val="auto"/>
        </w:rPr>
        <w:tab/>
      </w:r>
      <w:r>
        <w:rPr>
          <w:rFonts w:ascii="Arial" w:cs="Arial" w:eastAsia="Arial" w:hAnsi="Arial"/>
          <w:sz w:val="18"/>
          <w:szCs w:val="18"/>
          <w:b w:val="1"/>
          <w:bCs w:val="1"/>
          <w:color w:val="auto"/>
        </w:rPr>
        <w:t>International</w:t>
      </w:r>
      <w:r>
        <w:rPr>
          <w:sz w:val="20"/>
          <w:szCs w:val="20"/>
          <w:color w:val="auto"/>
        </w:rPr>
        <w:tab/>
      </w:r>
      <w:r>
        <w:rPr>
          <w:rFonts w:ascii="Arial" w:cs="Arial" w:eastAsia="Arial" w:hAnsi="Arial"/>
          <w:sz w:val="18"/>
          <w:szCs w:val="18"/>
          <w:b w:val="1"/>
          <w:bCs w:val="1"/>
          <w:color w:val="auto"/>
        </w:rPr>
        <w:t xml:space="preserve">and Other </w:t>
      </w:r>
      <w:r>
        <w:rPr>
          <w:rFonts w:ascii="Arial" w:cs="Arial" w:eastAsia="Arial" w:hAnsi="Arial"/>
          <w:sz w:val="18"/>
          <w:szCs w:val="18"/>
          <w:b w:val="1"/>
          <w:bCs w:val="1"/>
          <w:color w:val="auto"/>
          <w:vertAlign w:val="superscript"/>
        </w:rPr>
        <w:t>(a)</w:t>
      </w:r>
      <w:r>
        <w:rPr>
          <w:sz w:val="20"/>
          <w:szCs w:val="20"/>
          <w:color w:val="auto"/>
        </w:rPr>
        <w:tab/>
      </w: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14605</wp:posOffset>
            </wp:positionV>
            <wp:extent cx="39103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ectPr>
          <w:pgSz w:w="11900" w:h="16838" w:orient="portrait"/>
          <w:cols w:equalWidth="0" w:num="1">
            <w:col w:w="10820"/>
          </w:cols>
          <w:pgMar w:left="240" w:top="140" w:right="839" w:bottom="1440" w:gutter="0" w:footer="0" w:header="0"/>
          <w:type w:val="continuous"/>
        </w:sectPr>
      </w:pPr>
    </w:p>
    <w:p>
      <w:pPr>
        <w:spacing w:after="0" w:line="50" w:lineRule="exact"/>
        <w:rPr>
          <w:sz w:val="20"/>
          <w:szCs w:val="20"/>
          <w:color w:val="auto"/>
        </w:rPr>
      </w:pPr>
    </w:p>
    <w:p>
      <w:pPr>
        <w:ind w:left="520"/>
        <w:spacing w:after="0"/>
        <w:tabs>
          <w:tab w:leader="none" w:pos="4680" w:val="left"/>
        </w:tabs>
        <w:rPr>
          <w:sz w:val="20"/>
          <w:szCs w:val="20"/>
          <w:color w:val="auto"/>
        </w:rPr>
      </w:pPr>
      <w:r>
        <w:rPr>
          <w:rFonts w:ascii="Arial" w:cs="Arial" w:eastAsia="Arial" w:hAnsi="Arial"/>
          <w:sz w:val="17"/>
          <w:szCs w:val="17"/>
          <w:color w:val="auto"/>
        </w:rPr>
        <w:t>Revenues</w:t>
      </w:r>
      <w:r>
        <w:rPr>
          <w:sz w:val="20"/>
          <w:szCs w:val="20"/>
          <w:color w:val="auto"/>
        </w:rPr>
        <w:tab/>
      </w:r>
      <w:r>
        <w:rPr>
          <w:rFonts w:ascii="Arial" w:cs="Arial" w:eastAsia="Arial" w:hAnsi="Arial"/>
          <w:sz w:val="17"/>
          <w:szCs w:val="17"/>
          <w:color w:val="auto"/>
        </w:rPr>
        <w: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Vehicle depreciation and lease charges, net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Vehicle interest, net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Non-vehicle depreciation and amortization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Assets exclusive of assets under vehicle programs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Assets under vehicle programs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 expenditures (excluding vehicles)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6,100</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2,748</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   $</w:t>
            </w:r>
          </w:p>
        </w:tc>
        <w:tc>
          <w:tcPr>
            <w:tcW w:w="900" w:type="dxa"/>
            <w:vAlign w:val="bottom"/>
          </w:tcPr>
          <w:p>
            <w:pPr>
              <w:jc w:val="right"/>
              <w:spacing w:after="0"/>
              <w:rPr>
                <w:sz w:val="20"/>
                <w:szCs w:val="20"/>
                <w:color w:val="auto"/>
              </w:rPr>
            </w:pPr>
            <w:r>
              <w:rPr>
                <w:rFonts w:ascii="Arial" w:cs="Arial" w:eastAsia="Arial" w:hAnsi="Arial"/>
                <w:sz w:val="18"/>
                <w:szCs w:val="18"/>
                <w:color w:val="auto"/>
              </w:rPr>
              <w:t>8,848</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1,671</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2,221</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7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(56)</w:t>
            </w:r>
          </w:p>
        </w:tc>
        <w:tc>
          <w:tcPr>
            <w:tcW w:w="90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3,388</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2,353</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79</w:t>
            </w:r>
          </w:p>
        </w:tc>
        <w:tc>
          <w:tcPr>
            <w:tcW w:w="900" w:type="dxa"/>
            <w:vAlign w:val="bottom"/>
          </w:tcPr>
          <w:p>
            <w:pPr>
              <w:jc w:val="right"/>
              <w:spacing w:after="0"/>
              <w:rPr>
                <w:sz w:val="20"/>
                <w:szCs w:val="20"/>
                <w:color w:val="auto"/>
              </w:rPr>
            </w:pPr>
            <w:r>
              <w:rPr>
                <w:rFonts w:ascii="Arial" w:cs="Arial" w:eastAsia="Arial" w:hAnsi="Arial"/>
                <w:sz w:val="18"/>
                <w:szCs w:val="18"/>
                <w:color w:val="auto"/>
              </w:rPr>
              <w:t>5,820</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9,017</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2,862</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11,879</w:t>
            </w:r>
          </w:p>
        </w:tc>
      </w:tr>
      <w:tr>
        <w:trPr>
          <w:trHeight w:val="270"/>
        </w:trPr>
        <w:tc>
          <w:tcPr>
            <w:tcW w:w="5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6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700" w:type="dxa"/>
            <w:vAlign w:val="bottom"/>
          </w:tcPr>
          <w:p>
            <w:pPr>
              <w:spacing w:after="0"/>
              <w:rPr>
                <w:sz w:val="23"/>
                <w:szCs w:val="23"/>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color w:val="auto"/>
              </w:rPr>
              <w:t>13</w:t>
            </w: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r>
    </w:tbl>
    <w:p>
      <w:pPr>
        <w:spacing w:after="0" w:line="274" w:lineRule="exact"/>
        <w:rPr>
          <w:sz w:val="20"/>
          <w:szCs w:val="20"/>
          <w:color w:val="auto"/>
        </w:rPr>
      </w:pPr>
    </w:p>
    <w:p>
      <w:pPr>
        <w:sectPr>
          <w:pgSz w:w="11900" w:h="16838" w:orient="portrait"/>
          <w:cols w:equalWidth="0" w:num="2">
            <w:col w:w="4860" w:space="720"/>
            <w:col w:w="5240"/>
          </w:cols>
          <w:pgMar w:left="240" w:top="140" w:right="839" w:bottom="1440" w:gutter="0" w:footer="0" w:header="0"/>
          <w:type w:val="continuous"/>
        </w:sectPr>
      </w:pPr>
    </w:p>
    <w:p>
      <w:pPr>
        <w:ind w:left="820" w:hanging="326"/>
        <w:spacing w:after="0" w:line="216" w:lineRule="auto"/>
        <w:tabs>
          <w:tab w:leader="none" w:pos="82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Primarily represents unallocated corporate expenses and receivables from our former subsidiaries.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Provided below is a reconciliation of Adjusted EBITDA to income before income taxes.</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020" w:type="dxa"/>
            <w:vAlign w:val="bottom"/>
          </w:tcPr>
          <w:p>
            <w:pPr>
              <w:spacing w:after="0"/>
              <w:rPr>
                <w:sz w:val="21"/>
                <w:szCs w:val="21"/>
                <w:color w:val="auto"/>
              </w:rPr>
            </w:pPr>
          </w:p>
        </w:tc>
        <w:tc>
          <w:tcPr>
            <w:tcW w:w="4300" w:type="dxa"/>
            <w:vAlign w:val="bottom"/>
            <w:tcBorders>
              <w:bottom w:val="single" w:sz="8" w:color="auto"/>
            </w:tcBorders>
            <w:gridSpan w:val="8"/>
          </w:tcPr>
          <w:p>
            <w:pPr>
              <w:jc w:val="right"/>
              <w:ind w:right="61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0"/>
        </w:trPr>
        <w:tc>
          <w:tcPr>
            <w:tcW w:w="6020" w:type="dxa"/>
            <w:vAlign w:val="bottom"/>
          </w:tcPr>
          <w:p>
            <w:pPr>
              <w:ind w:left="20"/>
              <w:spacing w:after="0"/>
              <w:rPr>
                <w:sz w:val="20"/>
                <w:szCs w:val="20"/>
                <w:color w:val="auto"/>
              </w:rPr>
            </w:pPr>
            <w:r>
              <w:rPr>
                <w:rFonts w:ascii="Arial" w:cs="Arial" w:eastAsia="Arial" w:hAnsi="Arial"/>
                <w:sz w:val="18"/>
                <w:szCs w:val="18"/>
                <w:color w:val="auto"/>
              </w:rPr>
              <w:t xml:space="preserve">Less: Non-vehicle related depreciation and amortization </w:t>
            </w:r>
            <w:r>
              <w:rPr>
                <w:rFonts w:ascii="Arial" w:cs="Arial" w:eastAsia="Arial" w:hAnsi="Arial"/>
                <w:sz w:val="18"/>
                <w:szCs w:val="18"/>
                <w:color w:val="auto"/>
                <w:vertAlign w:val="superscript"/>
              </w:rPr>
              <w:t>(a)</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0"/>
        </w:trPr>
        <w:tc>
          <w:tcPr>
            <w:tcW w:w="6020" w:type="dxa"/>
            <w:vAlign w:val="bottom"/>
          </w:tcPr>
          <w:p>
            <w:pPr>
              <w:ind w:left="300"/>
              <w:spacing w:after="0"/>
              <w:rPr>
                <w:sz w:val="20"/>
                <w:szCs w:val="20"/>
                <w:color w:val="auto"/>
              </w:rPr>
            </w:pPr>
            <w:r>
              <w:rPr>
                <w:rFonts w:ascii="Arial" w:cs="Arial" w:eastAsia="Arial" w:hAnsi="Arial"/>
                <w:sz w:val="18"/>
                <w:szCs w:val="18"/>
                <w:color w:val="auto"/>
              </w:rPr>
              <w:t>Interest expense related to corporate debt, net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0"/>
        </w:trPr>
        <w:tc>
          <w:tcPr>
            <w:tcW w:w="6020" w:type="dxa"/>
            <w:vAlign w:val="bottom"/>
          </w:tcPr>
          <w:p>
            <w:pPr>
              <w:ind w:left="300"/>
              <w:spacing w:after="0"/>
              <w:rPr>
                <w:sz w:val="20"/>
                <w:szCs w:val="20"/>
                <w:color w:val="auto"/>
              </w:rPr>
            </w:pPr>
            <w:r>
              <w:rPr>
                <w:rFonts w:ascii="Arial" w:cs="Arial" w:eastAsia="Arial" w:hAnsi="Arial"/>
                <w:sz w:val="18"/>
                <w:szCs w:val="18"/>
                <w:color w:val="auto"/>
              </w:rPr>
              <w:t>Early extinguishment of corporate debt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020" w:type="dxa"/>
            <w:vAlign w:val="bottom"/>
          </w:tcPr>
          <w:p>
            <w:pPr>
              <w:ind w:left="300"/>
              <w:spacing w:after="0"/>
              <w:rPr>
                <w:sz w:val="20"/>
                <w:szCs w:val="20"/>
                <w:color w:val="auto"/>
              </w:rPr>
            </w:pPr>
            <w:r>
              <w:rPr>
                <w:rFonts w:ascii="Arial" w:cs="Arial" w:eastAsia="Arial" w:hAnsi="Arial"/>
                <w:sz w:val="18"/>
                <w:szCs w:val="18"/>
                <w:color w:val="auto"/>
              </w:rPr>
              <w:t>Restructuring and other related charges</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6020" w:type="dxa"/>
            <w:vAlign w:val="bottom"/>
          </w:tcPr>
          <w:p>
            <w:pPr>
              <w:ind w:left="300"/>
              <w:spacing w:after="0"/>
              <w:rPr>
                <w:sz w:val="20"/>
                <w:szCs w:val="20"/>
                <w:color w:val="auto"/>
              </w:rPr>
            </w:pPr>
            <w:r>
              <w:rPr>
                <w:rFonts w:ascii="Arial" w:cs="Arial" w:eastAsia="Arial" w:hAnsi="Arial"/>
                <w:sz w:val="18"/>
                <w:szCs w:val="18"/>
                <w:color w:val="auto"/>
              </w:rPr>
              <w:t>Transaction-related costs, net</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6020" w:type="dxa"/>
            <w:vAlign w:val="bottom"/>
          </w:tcPr>
          <w:p>
            <w:pPr>
              <w:ind w:left="30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18"/>
                <w:szCs w:val="18"/>
                <w:color w:val="auto"/>
                <w:vertAlign w:val="superscript"/>
              </w:rPr>
              <w:t>(b)</w:t>
            </w:r>
          </w:p>
        </w:tc>
        <w:tc>
          <w:tcPr>
            <w:tcW w:w="92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6020" w:type="dxa"/>
            <w:vAlign w:val="bottom"/>
          </w:tcPr>
          <w:p>
            <w:pPr>
              <w:ind w:left="300"/>
              <w:spacing w:after="0"/>
              <w:rPr>
                <w:sz w:val="20"/>
                <w:szCs w:val="20"/>
                <w:color w:val="auto"/>
              </w:rPr>
            </w:pPr>
            <w:r>
              <w:rPr>
                <w:rFonts w:ascii="Arial" w:cs="Arial" w:eastAsia="Arial" w:hAnsi="Arial"/>
                <w:sz w:val="18"/>
                <w:szCs w:val="18"/>
                <w:color w:val="auto"/>
              </w:rPr>
              <w:t>Impairment</w:t>
            </w:r>
          </w:p>
        </w:tc>
        <w:tc>
          <w:tcPr>
            <w:tcW w:w="92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020" w:type="dxa"/>
            <w:vAlign w:val="bottom"/>
          </w:tcPr>
          <w:p>
            <w:pPr>
              <w:ind w:left="30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18"/>
                <w:szCs w:val="18"/>
                <w:color w:val="auto"/>
                <w:vertAlign w:val="superscript"/>
              </w:rPr>
              <w:t>(c)</w:t>
            </w:r>
          </w:p>
        </w:tc>
        <w:tc>
          <w:tcPr>
            <w:tcW w:w="92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7"/>
        </w:trPr>
        <w:tc>
          <w:tcPr>
            <w:tcW w:w="6020" w:type="dxa"/>
            <w:vAlign w:val="bottom"/>
          </w:tcPr>
          <w:p>
            <w:pPr>
              <w:ind w:left="300"/>
              <w:spacing w:after="0"/>
              <w:rPr>
                <w:sz w:val="20"/>
                <w:szCs w:val="20"/>
                <w:color w:val="auto"/>
              </w:rPr>
            </w:pPr>
            <w:r>
              <w:rPr>
                <w:rFonts w:ascii="Arial" w:cs="Arial" w:eastAsia="Arial" w:hAnsi="Arial"/>
                <w:sz w:val="18"/>
                <w:szCs w:val="18"/>
                <w:color w:val="auto"/>
              </w:rPr>
              <w:t xml:space="preserve">Gain on sale of equity method investment in China </w:t>
            </w:r>
            <w:r>
              <w:rPr>
                <w:rFonts w:ascii="Arial" w:cs="Arial" w:eastAsia="Arial" w:hAnsi="Arial"/>
                <w:sz w:val="18"/>
                <w:szCs w:val="18"/>
                <w:color w:val="auto"/>
                <w:vertAlign w:val="superscript"/>
              </w:rPr>
              <w:t>(c)</w:t>
            </w:r>
          </w:p>
        </w:tc>
        <w:tc>
          <w:tcPr>
            <w:tcW w:w="9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2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20" w:hanging="326"/>
        <w:spacing w:after="0"/>
        <w:tabs>
          <w:tab w:leader="none" w:pos="820" w:val="left"/>
        </w:tabs>
        <w:numPr>
          <w:ilvl w:val="0"/>
          <w:numId w:val="80"/>
        </w:numPr>
        <w:rPr>
          <w:rFonts w:ascii="Arial" w:cs="Arial" w:eastAsia="Arial" w:hAnsi="Arial"/>
          <w:sz w:val="9"/>
          <w:szCs w:val="9"/>
          <w:color w:val="auto"/>
        </w:rPr>
      </w:pPr>
      <w:r>
        <w:rPr>
          <w:rFonts w:ascii="Arial" w:cs="Arial" w:eastAsia="Arial" w:hAnsi="Arial"/>
          <w:sz w:val="14"/>
          <w:szCs w:val="14"/>
          <w:color w:val="auto"/>
        </w:rPr>
        <w:t>Includes amortization of intangible assets recognized in purchase accounting of $56 million in 2019, $61 million in 2018 and $58 million in 2017.</w:t>
      </w:r>
    </w:p>
    <w:p>
      <w:pPr>
        <w:spacing w:after="0" w:line="12" w:lineRule="exact"/>
        <w:rPr>
          <w:rFonts w:ascii="Arial" w:cs="Arial" w:eastAsia="Arial" w:hAnsi="Arial"/>
          <w:sz w:val="9"/>
          <w:szCs w:val="9"/>
          <w:color w:val="auto"/>
        </w:rPr>
      </w:pPr>
    </w:p>
    <w:p>
      <w:pPr>
        <w:ind w:left="820" w:hanging="326"/>
        <w:spacing w:after="0"/>
        <w:tabs>
          <w:tab w:leader="none" w:pos="82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expenses in our Consolidated Statements of Operations</w:t>
      </w:r>
      <w:r>
        <w:rPr>
          <w:rFonts w:ascii="Arial" w:cs="Arial" w:eastAsia="Arial" w:hAnsi="Arial"/>
          <w:sz w:val="16"/>
          <w:szCs w:val="16"/>
          <w:color w:val="auto"/>
        </w:rPr>
        <w:t>.</w:t>
      </w:r>
    </w:p>
    <w:p>
      <w:pPr>
        <w:spacing w:after="0" w:line="37" w:lineRule="exact"/>
        <w:rPr>
          <w:rFonts w:ascii="Arial" w:cs="Arial" w:eastAsia="Arial" w:hAnsi="Arial"/>
          <w:sz w:val="18"/>
          <w:szCs w:val="18"/>
          <w:color w:val="auto"/>
          <w:vertAlign w:val="superscript"/>
        </w:rPr>
      </w:pPr>
    </w:p>
    <w:p>
      <w:pPr>
        <w:ind w:left="820" w:hanging="326"/>
        <w:spacing w:after="0" w:line="206" w:lineRule="auto"/>
        <w:tabs>
          <w:tab w:leader="none" w:pos="82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Statements of Operations</w:t>
      </w:r>
      <w:r>
        <w:rPr>
          <w:rFonts w:ascii="Arial" w:cs="Arial" w:eastAsia="Arial" w:hAnsi="Arial"/>
          <w:sz w:val="16"/>
          <w:szCs w:val="16"/>
          <w:color w:val="auto"/>
        </w:rPr>
        <w:t>.</w:t>
      </w:r>
    </w:p>
    <w:p>
      <w:pPr>
        <w:spacing w:after="0" w:line="1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0820"/>
          </w:cols>
          <w:pgMar w:left="240" w:top="140" w:right="8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geographic segment information provided below is classified based on the geographic location of the Company’s subsidiaries.</w:t>
      </w:r>
    </w:p>
    <w:p>
      <w:pPr>
        <w:spacing w:after="0" w:line="15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All Other</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6"/>
        </w:trPr>
        <w:tc>
          <w:tcPr>
            <w:tcW w:w="4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80" w:type="dxa"/>
            <w:vAlign w:val="bottom"/>
            <w:gridSpan w:val="3"/>
          </w:tcPr>
          <w:p>
            <w:pPr>
              <w:ind w:left="260"/>
              <w:spacing w:after="0"/>
              <w:rPr>
                <w:sz w:val="20"/>
                <w:szCs w:val="20"/>
                <w:color w:val="auto"/>
              </w:rPr>
            </w:pPr>
            <w:r>
              <w:rPr>
                <w:rFonts w:ascii="Arial" w:cs="Arial" w:eastAsia="Arial" w:hAnsi="Arial"/>
                <w:sz w:val="18"/>
                <w:szCs w:val="18"/>
                <w:b w:val="1"/>
                <w:bCs w:val="1"/>
                <w:color w:val="auto"/>
              </w:rPr>
              <w:t>United States</w:t>
            </w:r>
          </w:p>
        </w:tc>
        <w:tc>
          <w:tcPr>
            <w:tcW w:w="28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Countries</w:t>
            </w:r>
          </w:p>
        </w:tc>
        <w:tc>
          <w:tcPr>
            <w:tcW w:w="360" w:type="dxa"/>
            <w:vAlign w:val="bottom"/>
          </w:tcPr>
          <w:p>
            <w:pPr>
              <w:spacing w:after="0"/>
              <w:rPr>
                <w:sz w:val="21"/>
                <w:szCs w:val="21"/>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30"/>
        </w:trPr>
        <w:tc>
          <w:tcPr>
            <w:tcW w:w="452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97"/>
        </w:trPr>
        <w:tc>
          <w:tcPr>
            <w:tcW w:w="4520" w:type="dxa"/>
            <w:vAlign w:val="bottom"/>
          </w:tcPr>
          <w:p>
            <w:pPr>
              <w:spacing w:after="0"/>
              <w:rPr>
                <w:sz w:val="20"/>
                <w:szCs w:val="20"/>
                <w:color w:val="auto"/>
              </w:rPr>
            </w:pPr>
            <w:r>
              <w:rPr>
                <w:rFonts w:ascii="Arial" w:cs="Arial" w:eastAsia="Arial" w:hAnsi="Arial"/>
                <w:sz w:val="18"/>
                <w:szCs w:val="18"/>
                <w:color w:val="auto"/>
              </w:rPr>
              <w:t>Revenues</w:t>
            </w:r>
          </w:p>
        </w:tc>
        <w:tc>
          <w:tcPr>
            <w:tcW w:w="12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5,867</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3,305</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9,172</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9,311</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3,991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13,815</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Net long-lived assets</w:t>
            </w: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2,691</w:t>
            </w:r>
          </w:p>
        </w:tc>
      </w:tr>
      <w:tr>
        <w:trPr>
          <w:trHeight w:val="527"/>
        </w:trPr>
        <w:tc>
          <w:tcPr>
            <w:tcW w:w="45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4520" w:type="dxa"/>
            <w:vAlign w:val="bottom"/>
          </w:tcPr>
          <w:p>
            <w:pPr>
              <w:spacing w:after="0"/>
              <w:rPr>
                <w:sz w:val="20"/>
                <w:szCs w:val="20"/>
                <w:color w:val="auto"/>
              </w:rPr>
            </w:pPr>
            <w:r>
              <w:rPr>
                <w:rFonts w:ascii="Arial" w:cs="Arial" w:eastAsia="Arial" w:hAnsi="Arial"/>
                <w:sz w:val="18"/>
                <w:szCs w:val="18"/>
                <w:color w:val="auto"/>
              </w:rPr>
              <w:t>Revenues</w:t>
            </w:r>
          </w:p>
        </w:tc>
        <w:tc>
          <w:tcPr>
            <w:tcW w:w="12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3,416</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9,124</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6,370</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3,758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12,779</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Net long-lived assets</w:t>
            </w: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2,653</w:t>
            </w:r>
          </w:p>
        </w:tc>
      </w:tr>
      <w:tr>
        <w:trPr>
          <w:trHeight w:val="527"/>
        </w:trPr>
        <w:tc>
          <w:tcPr>
            <w:tcW w:w="452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4"/>
        </w:trPr>
        <w:tc>
          <w:tcPr>
            <w:tcW w:w="4520" w:type="dxa"/>
            <w:vAlign w:val="bottom"/>
          </w:tcPr>
          <w:p>
            <w:pPr>
              <w:spacing w:after="0"/>
              <w:rPr>
                <w:sz w:val="20"/>
                <w:szCs w:val="20"/>
                <w:color w:val="auto"/>
              </w:rPr>
            </w:pPr>
            <w:r>
              <w:rPr>
                <w:rFonts w:ascii="Arial" w:cs="Arial" w:eastAsia="Arial" w:hAnsi="Arial"/>
                <w:sz w:val="18"/>
                <w:szCs w:val="18"/>
                <w:color w:val="auto"/>
              </w:rPr>
              <w:t>Revenues</w:t>
            </w:r>
          </w:p>
        </w:tc>
        <w:tc>
          <w:tcPr>
            <w:tcW w:w="12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8,848</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5,820</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3,687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11,879</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Net long-lived assets</w:t>
            </w: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2,627</w:t>
            </w:r>
          </w:p>
        </w:tc>
      </w:tr>
      <w:tr>
        <w:trPr>
          <w:trHeight w:val="851"/>
        </w:trPr>
        <w:tc>
          <w:tcPr>
            <w:tcW w:w="4520" w:type="dxa"/>
            <w:vAlign w:val="bottom"/>
          </w:tcPr>
          <w:p>
            <w:pPr>
              <w:spacing w:after="0"/>
              <w:rPr>
                <w:sz w:val="24"/>
                <w:szCs w:val="24"/>
                <w:color w:val="auto"/>
              </w:rPr>
            </w:pPr>
          </w:p>
        </w:tc>
        <w:tc>
          <w:tcPr>
            <w:tcW w:w="1260" w:type="dxa"/>
            <w:vAlign w:val="bottom"/>
            <w:gridSpan w:val="2"/>
          </w:tcPr>
          <w:p>
            <w:pPr>
              <w:jc w:val="right"/>
              <w:ind w:right="310"/>
              <w:spacing w:after="0"/>
              <w:rPr>
                <w:sz w:val="20"/>
                <w:szCs w:val="20"/>
                <w:color w:val="auto"/>
              </w:rPr>
            </w:pPr>
            <w:r>
              <w:rPr>
                <w:rFonts w:ascii="Arial" w:cs="Arial" w:eastAsia="Arial" w:hAnsi="Arial"/>
                <w:sz w:val="18"/>
                <w:szCs w:val="18"/>
                <w:color w:val="auto"/>
              </w:rPr>
              <w:t>F-49</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860"/>
          </w:cols>
          <w:pgMar w:left="240" w:top="140" w:right="7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Guarantor and Non-Guarantor Consolidating Financial Statements</w:t>
      </w:r>
    </w:p>
    <w:p>
      <w:pPr>
        <w:spacing w:after="0" w:line="193"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following consolidating financial information presents Consolidating Condensed Statements of Operations for the years ended December 31, 2019, 2018 and 2017, Consolidating Condensed Balance Sheets as of December 31, 2019 and December 31, 2018 and Consolidating Condensed Statements of Cash Flows for the years ended December 31, 2019, 2018 and 2017 for: (i) Avis Budget Group, Inc. (the “Parent”); (ii) ABCR and Avis Budget Finance, Inc. (the “Subsidiary Issuers”); (iii) the guarantor subsidiaries; (iv) the non-guarantor subsidiaries; (v) elimination entries necessary to consolidate the Parent with the Subsidiary Issuers,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13 -Long-term Corporate Debt and Borrowing Arrangements for additional description of these guaranteed notes. The Senior Notes have separate investors than the equity investors of the Company and are guaranteed by the Parent and certain subsidiaries.</w:t>
      </w:r>
    </w:p>
    <w:p>
      <w:pPr>
        <w:spacing w:after="0" w:line="158"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Operations, certain expenses incurred by the Subsidiary Issuers are allocated to the guarantor and non-guarantor subsidiaries.</w:t>
      </w:r>
    </w:p>
    <w:p>
      <w:pPr>
        <w:spacing w:after="0" w:line="150" w:lineRule="exact"/>
        <w:rPr>
          <w:sz w:val="20"/>
          <w:szCs w:val="20"/>
          <w:color w:val="auto"/>
        </w:rPr>
      </w:pPr>
    </w:p>
    <w:p>
      <w:pPr>
        <w:jc w:val="both"/>
        <w:ind w:left="500" w:right="840"/>
        <w:spacing w:after="0" w:line="291" w:lineRule="auto"/>
        <w:rPr>
          <w:sz w:val="20"/>
          <w:szCs w:val="20"/>
          <w:color w:val="auto"/>
        </w:rPr>
      </w:pPr>
      <w:r>
        <w:rPr>
          <w:rFonts w:ascii="Arial" w:cs="Arial" w:eastAsia="Arial" w:hAnsi="Arial"/>
          <w:sz w:val="17"/>
          <w:szCs w:val="17"/>
          <w:color w:val="auto"/>
        </w:rPr>
        <w:t>The following table provides a reconciliation of the cash and cash equivalents, program and restricted cash reported within the Consolidating Condensed Balance Sheets to the amounts shown in the Consolidating Condensed Statements of Cash Flows.</w:t>
      </w:r>
    </w:p>
    <w:p>
      <w:pPr>
        <w:spacing w:after="0" w:line="112"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28575</wp:posOffset>
            </wp:positionV>
            <wp:extent cx="37731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ectPr>
          <w:pgSz w:w="11900" w:h="16838" w:orient="portrait"/>
          <w:cols w:equalWidth="0" w:num="1">
            <w:col w:w="11360"/>
          </w:cols>
          <w:pgMar w:left="240" w:top="140" w:right="299" w:bottom="1440" w:gutter="0" w:footer="0" w:header="0"/>
        </w:sectPr>
      </w:pPr>
    </w:p>
    <w:p>
      <w:pPr>
        <w:spacing w:after="0" w:line="7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28575</wp:posOffset>
            </wp:positionV>
            <wp:extent cx="18522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43" w:lineRule="exact"/>
        <w:rPr>
          <w:sz w:val="20"/>
          <w:szCs w:val="20"/>
          <w:color w:val="auto"/>
        </w:rPr>
      </w:pPr>
    </w:p>
    <w:p>
      <w:pPr>
        <w:ind w:left="4980"/>
        <w:spacing w:after="0"/>
        <w:tabs>
          <w:tab w:leader="none" w:pos="6840" w:val="left"/>
        </w:tabs>
        <w:rPr>
          <w:sz w:val="20"/>
          <w:szCs w:val="20"/>
          <w:color w:val="auto"/>
        </w:rPr>
      </w:pPr>
      <w:r>
        <w:rPr>
          <w:rFonts w:ascii="Arial" w:cs="Arial" w:eastAsia="Arial" w:hAnsi="Arial"/>
          <w:sz w:val="18"/>
          <w:szCs w:val="18"/>
          <w:b w:val="1"/>
          <w:bCs w:val="1"/>
          <w:color w:val="auto"/>
        </w:rPr>
        <w:t>Non-Guarantor</w:t>
      </w:r>
      <w:r>
        <w:rPr>
          <w:sz w:val="20"/>
          <w:szCs w:val="20"/>
          <w:color w:val="auto"/>
        </w:rPr>
        <w:tab/>
      </w: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28575</wp:posOffset>
            </wp:positionV>
            <wp:extent cx="18522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43"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Non-Guarantor</w:t>
      </w:r>
      <w:r>
        <w:rPr>
          <w:sz w:val="20"/>
          <w:szCs w:val="20"/>
          <w:color w:val="auto"/>
        </w:rPr>
        <w:tab/>
      </w:r>
      <w:r>
        <w:rPr>
          <w:rFonts w:ascii="Arial" w:cs="Arial" w:eastAsia="Arial" w:hAnsi="Arial"/>
          <w:sz w:val="17"/>
          <w:szCs w:val="17"/>
          <w:b w:val="1"/>
          <w:bCs w:val="1"/>
          <w:color w:val="auto"/>
        </w:rPr>
        <w:t>Total</w:t>
      </w:r>
    </w:p>
    <w:p>
      <w:pPr>
        <w:spacing w:after="0" w:line="32" w:lineRule="exact"/>
        <w:rPr>
          <w:sz w:val="20"/>
          <w:szCs w:val="20"/>
          <w:color w:val="auto"/>
        </w:rPr>
      </w:pPr>
    </w:p>
    <w:p>
      <w:pPr>
        <w:sectPr>
          <w:pgSz w:w="11900" w:h="16838" w:orient="portrait"/>
          <w:cols w:equalWidth="0" w:num="2">
            <w:col w:w="7280" w:space="720"/>
            <w:col w:w="3360"/>
          </w:cols>
          <w:pgMar w:left="240" w:top="140" w:right="299" w:bottom="1440" w:gutter="0" w:footer="0" w:header="0"/>
          <w:type w:val="continuous"/>
        </w:sectPr>
      </w:pPr>
    </w:p>
    <w:tbl>
      <w:tblPr>
        <w:tblLayout w:type="fixed"/>
        <w:tblInd w:w="520" w:type="dxa"/>
        <w:tblCellMar>
          <w:top w:w="0" w:type="dxa"/>
          <w:left w:w="0" w:type="dxa"/>
          <w:bottom w:w="0" w:type="dxa"/>
          <w:right w:w="0" w:type="dxa"/>
        </w:tblCellMar>
      </w:tblPr>
      <w:tr>
        <w:trPr>
          <w:trHeight w:val="250"/>
        </w:trPr>
        <w:tc>
          <w:tcPr>
            <w:tcW w:w="4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6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6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6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Program cash</w:t>
            </w:r>
          </w:p>
        </w:tc>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6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84"/>
        </w:trPr>
        <w:tc>
          <w:tcPr>
            <w:tcW w:w="436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vertAlign w:val="superscript"/>
              </w:rPr>
              <w:t>(a)</w:t>
            </w: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8"/>
                <w:szCs w:val="18"/>
                <w:color w:val="auto"/>
              </w:rPr>
              <w:t>Total cash and cash equivalents, program and</w:t>
            </w:r>
          </w:p>
        </w:tc>
        <w:tc>
          <w:tcPr>
            <w:tcW w:w="6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887</w:t>
            </w:r>
          </w:p>
        </w:tc>
        <w:tc>
          <w:tcPr>
            <w:tcW w:w="640" w:type="dxa"/>
            <w:vAlign w:val="bottom"/>
            <w:vMerge w:val="restart"/>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6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721</w:t>
            </w:r>
          </w:p>
        </w:tc>
        <w:tc>
          <w:tcPr>
            <w:tcW w:w="6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7"/>
        </w:trPr>
        <w:tc>
          <w:tcPr>
            <w:tcW w:w="43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6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0</wp:posOffset>
            </wp:positionV>
            <wp:extent cx="37731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773170" cy="26035"/>
                    </a:xfrm>
                    <a:prstGeom prst="rect">
                      <a:avLst/>
                    </a:prstGeom>
                    <a:noFill/>
                  </pic:spPr>
                </pic:pic>
              </a:graphicData>
            </a:graphic>
          </wp:anchor>
        </w:drawing>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209" w:lineRule="auto"/>
        <w:tabs>
          <w:tab w:leader="none" w:pos="8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60"/>
          </w:cols>
          <w:pgMar w:left="240" w:top="140" w:right="29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5,923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(2,364)</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9,172</w:t>
            </w:r>
          </w:p>
        </w:tc>
        <w:tc>
          <w:tcPr>
            <w:tcW w:w="0" w:type="dxa"/>
            <w:vAlign w:val="bottom"/>
          </w:tcPr>
          <w:p>
            <w:pPr>
              <w:spacing w:after="0"/>
              <w:rPr>
                <w:sz w:val="1"/>
                <w:szCs w:val="1"/>
                <w:color w:val="auto"/>
              </w:rPr>
            </w:pPr>
          </w:p>
        </w:tc>
      </w:tr>
      <w:tr>
        <w:trPr>
          <w:trHeight w:val="52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4,698</w:t>
            </w: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(2,094)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2,063</w:t>
            </w: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70"/>
        </w:trPr>
        <w:tc>
          <w:tcPr>
            <w:tcW w:w="354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76"/>
        </w:trPr>
        <w:tc>
          <w:tcPr>
            <w:tcW w:w="354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6,191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4,813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8,885</w:t>
            </w:r>
          </w:p>
        </w:tc>
        <w:tc>
          <w:tcPr>
            <w:tcW w:w="0" w:type="dxa"/>
            <w:vAlign w:val="bottom"/>
          </w:tcPr>
          <w:p>
            <w:pPr>
              <w:spacing w:after="0"/>
              <w:rPr>
                <w:sz w:val="1"/>
                <w:szCs w:val="1"/>
                <w:color w:val="auto"/>
              </w:rPr>
            </w:pPr>
          </w:p>
        </w:tc>
      </w:tr>
      <w:tr>
        <w:trPr>
          <w:trHeight w:val="446"/>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869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140"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5,431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(2,313)</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9,124</w:t>
            </w:r>
          </w:p>
        </w:tc>
        <w:tc>
          <w:tcPr>
            <w:tcW w:w="0" w:type="dxa"/>
            <w:vAlign w:val="bottom"/>
          </w:tcPr>
          <w:p>
            <w:pPr>
              <w:spacing w:after="0"/>
              <w:rPr>
                <w:sz w:val="1"/>
                <w:szCs w:val="1"/>
                <w:color w:val="auto"/>
              </w:rPr>
            </w:pPr>
          </w:p>
        </w:tc>
      </w:tr>
      <w:tr>
        <w:trPr>
          <w:trHeight w:val="528"/>
        </w:trPr>
        <w:tc>
          <w:tcPr>
            <w:tcW w:w="36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2,668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4,639</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(2,085)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00" w:type="dxa"/>
            <w:vAlign w:val="bottom"/>
          </w:tcPr>
          <w:p>
            <w:pPr>
              <w:ind w:left="32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360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8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6"/>
        </w:trPr>
        <w:tc>
          <w:tcPr>
            <w:tcW w:w="360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5,910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5,039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8,857</w:t>
            </w: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76"/>
        </w:trPr>
        <w:tc>
          <w:tcPr>
            <w:tcW w:w="360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0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140"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2017</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5,312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5,931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(2,395)</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8,848</w:t>
            </w:r>
          </w:p>
        </w:tc>
        <w:tc>
          <w:tcPr>
            <w:tcW w:w="0" w:type="dxa"/>
            <w:vAlign w:val="bottom"/>
          </w:tcPr>
          <w:p>
            <w:pPr>
              <w:spacing w:after="0"/>
              <w:rPr>
                <w:sz w:val="1"/>
                <w:szCs w:val="1"/>
                <w:color w:val="auto"/>
              </w:rPr>
            </w:pPr>
          </w:p>
        </w:tc>
      </w:tr>
      <w:tr>
        <w:trPr>
          <w:trHeight w:val="52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60" w:type="dxa"/>
            <w:vAlign w:val="bottom"/>
          </w:tcPr>
          <w:p>
            <w:pPr>
              <w:jc w:val="right"/>
              <w:ind w:right="27"/>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4,472</w:t>
            </w: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60" w:type="dxa"/>
            <w:vAlign w:val="bottom"/>
          </w:tcPr>
          <w:p>
            <w:pPr>
              <w:jc w:val="right"/>
              <w:ind w:right="27"/>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70"/>
        </w:trPr>
        <w:tc>
          <w:tcPr>
            <w:tcW w:w="354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354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6"/>
        </w:trPr>
        <w:tc>
          <w:tcPr>
            <w:tcW w:w="3540" w:type="dxa"/>
            <w:vAlign w:val="bottom"/>
          </w:tcPr>
          <w:p>
            <w:pPr>
              <w:ind w:left="100"/>
              <w:spacing w:after="0"/>
              <w:rPr>
                <w:sz w:val="20"/>
                <w:szCs w:val="20"/>
                <w:color w:val="auto"/>
              </w:rPr>
            </w:pPr>
            <w:r>
              <w:rPr>
                <w:rFonts w:ascii="Arial" w:cs="Arial" w:eastAsia="Arial" w:hAnsi="Arial"/>
                <w:sz w:val="14"/>
                <w:szCs w:val="14"/>
                <w:color w:val="auto"/>
              </w:rPr>
              <w:t>Impairment</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5,875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4,834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8,637</w:t>
            </w:r>
          </w:p>
        </w:tc>
        <w:tc>
          <w:tcPr>
            <w:tcW w:w="0" w:type="dxa"/>
            <w:vAlign w:val="bottom"/>
          </w:tcPr>
          <w:p>
            <w:pPr>
              <w:spacing w:after="0"/>
              <w:rPr>
                <w:sz w:val="1"/>
                <w:szCs w:val="1"/>
                <w:color w:val="auto"/>
              </w:rPr>
            </w:pPr>
          </w:p>
        </w:tc>
      </w:tr>
      <w:tr>
        <w:trPr>
          <w:trHeight w:val="446"/>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60" w:type="dxa"/>
            <w:vAlign w:val="bottom"/>
          </w:tcPr>
          <w:p>
            <w:pPr>
              <w:jc w:val="right"/>
              <w:ind w:right="27"/>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946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1,073</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(2,691)</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F-53</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2,596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1,662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2,715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(4,342)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5,070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3,778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(9,331)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7,930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9,551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4,787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(13,673)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9,311</w:t>
            </w:r>
          </w:p>
        </w:tc>
        <w:tc>
          <w:tcPr>
            <w:tcW w:w="0" w:type="dxa"/>
            <w:vAlign w:val="bottom"/>
          </w:tcPr>
          <w:p>
            <w:pPr>
              <w:spacing w:after="0"/>
              <w:rPr>
                <w:sz w:val="1"/>
                <w:szCs w:val="1"/>
                <w:color w:val="auto"/>
              </w:rPr>
            </w:pPr>
          </w:p>
        </w:tc>
      </w:tr>
      <w:tr>
        <w:trPr>
          <w:trHeight w:val="474"/>
        </w:trPr>
        <w:tc>
          <w:tcPr>
            <w:tcW w:w="352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Program cash</w:t>
            </w:r>
          </w:p>
        </w:tc>
        <w:tc>
          <w:tcPr>
            <w:tcW w:w="240" w:type="dxa"/>
            <w:vAlign w:val="bottom"/>
          </w:tcPr>
          <w:p>
            <w:pPr>
              <w:spacing w:after="0"/>
              <w:rPr>
                <w:sz w:val="23"/>
                <w:szCs w:val="23"/>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Vehicles,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11,932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12,177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from vehicle manufacturers and other</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Investment in Avis Budget Rental Car Funding</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(AESOP) LLC-related party</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13,815</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8,125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9,704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18,254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(13,673)</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23,126</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Accounts payable and other current liabilities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2,206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Short-term debt and current portion of long-term</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debt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2,225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2,417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3,416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payables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3,913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(4,342)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7,482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2,855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8,538</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ind w:left="14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2,934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3,132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Due to Avis Budget Rental Car Funding (AESOP)</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300"/>
              <w:spacing w:after="0"/>
              <w:rPr>
                <w:sz w:val="20"/>
                <w:szCs w:val="20"/>
                <w:color w:val="auto"/>
              </w:rPr>
            </w:pPr>
            <w:r>
              <w:rPr>
                <w:rFonts w:ascii="Arial" w:cs="Arial" w:eastAsia="Arial" w:hAnsi="Arial"/>
                <w:sz w:val="14"/>
                <w:szCs w:val="14"/>
                <w:color w:val="auto"/>
              </w:rPr>
              <w:t>LLC-related party</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7,936</w:t>
            </w: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13,932</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5,070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3,778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(9,331)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8,125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9,704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18,254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(13,673)</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23,126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765" w:right="299" w:bottom="1113" w:gutter="0" w:footer="0" w:header="0"/>
        </w:sect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60"/>
          </w:cols>
          <w:pgMar w:left="240" w:top="765" w:right="299" w:bottom="1113"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color w:val="auto"/>
        </w:rPr>
        <w:t>As of December 31, 2018</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8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(3,929)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4,786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3,852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(8,884)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6,593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7,800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4,319</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6,370</w:t>
            </w:r>
          </w:p>
        </w:tc>
        <w:tc>
          <w:tcPr>
            <w:tcW w:w="0" w:type="dxa"/>
            <w:vAlign w:val="bottom"/>
          </w:tcPr>
          <w:p>
            <w:pPr>
              <w:spacing w:after="0"/>
              <w:rPr>
                <w:sz w:val="1"/>
                <w:szCs w:val="1"/>
                <w:color w:val="auto"/>
              </w:rPr>
            </w:pPr>
          </w:p>
        </w:tc>
      </w:tr>
      <w:tr>
        <w:trPr>
          <w:trHeight w:val="474"/>
        </w:trPr>
        <w:tc>
          <w:tcPr>
            <w:tcW w:w="352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Program cash</w:t>
            </w:r>
          </w:p>
        </w:tc>
        <w:tc>
          <w:tcPr>
            <w:tcW w:w="240" w:type="dxa"/>
            <w:vAlign w:val="bottom"/>
          </w:tcPr>
          <w:p>
            <w:pPr>
              <w:spacing w:after="0"/>
              <w:rPr>
                <w:sz w:val="23"/>
                <w:szCs w:val="23"/>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Vehicles, net</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11,365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11,474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Receivables from vehicle manufacturers and other</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Investment in Avis Budget Rental Car Funding</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(AESOP) LLC-related party</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12,779</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6,650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7,854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16,987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(12,813)</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19,149</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40"/>
              <w:spacing w:after="0"/>
              <w:rPr>
                <w:sz w:val="20"/>
                <w:szCs w:val="20"/>
                <w:color w:val="auto"/>
              </w:rPr>
            </w:pPr>
            <w:r>
              <w:rPr>
                <w:rFonts w:ascii="Arial" w:cs="Arial" w:eastAsia="Arial" w:hAnsi="Arial"/>
                <w:sz w:val="14"/>
                <w:szCs w:val="14"/>
                <w:color w:val="auto"/>
              </w:rPr>
              <w:t>Accounts payable and other current liabilities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3"/>
                <w:szCs w:val="2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23"/>
                <w:szCs w:val="2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Short-term debt and current portion of long-term</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300"/>
              <w:spacing w:after="0"/>
              <w:rPr>
                <w:sz w:val="20"/>
                <w:szCs w:val="20"/>
                <w:color w:val="auto"/>
              </w:rPr>
            </w:pPr>
            <w:r>
              <w:rPr>
                <w:rFonts w:ascii="Arial" w:cs="Arial" w:eastAsia="Arial" w:hAnsi="Arial"/>
                <w:sz w:val="14"/>
                <w:szCs w:val="14"/>
                <w:color w:val="auto"/>
              </w:rPr>
              <w:t>debt</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2,501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4"/>
                <w:szCs w:val="14"/>
                <w:color w:val="auto"/>
              </w:rPr>
              <w:t>Intercompany payables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3,524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(3,929)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2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6,376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(3,929)</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6,011</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20" w:type="dxa"/>
            <w:vAlign w:val="bottom"/>
          </w:tcPr>
          <w:p>
            <w:pPr>
              <w:ind w:left="140"/>
              <w:spacing w:after="0"/>
              <w:rPr>
                <w:sz w:val="20"/>
                <w:szCs w:val="20"/>
                <w:color w:val="auto"/>
              </w:rPr>
            </w:pPr>
            <w:r>
              <w:rPr>
                <w:rFonts w:ascii="Arial" w:cs="Arial" w:eastAsia="Arial" w:hAnsi="Arial"/>
                <w:sz w:val="14"/>
                <w:szCs w:val="14"/>
                <w:color w:val="auto"/>
              </w:rPr>
              <w:t>Debt</w:t>
            </w:r>
          </w:p>
        </w:tc>
        <w:tc>
          <w:tcPr>
            <w:tcW w:w="240" w:type="dxa"/>
            <w:vAlign w:val="bottom"/>
          </w:tcPr>
          <w:p>
            <w:pPr>
              <w:spacing w:after="0"/>
              <w:rPr>
                <w:sz w:val="24"/>
                <w:szCs w:val="2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2,797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2,874</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140"/>
              <w:spacing w:after="0"/>
              <w:rPr>
                <w:sz w:val="20"/>
                <w:szCs w:val="20"/>
                <w:color w:val="auto"/>
              </w:rPr>
            </w:pPr>
            <w:r>
              <w:rPr>
                <w:rFonts w:ascii="Arial" w:cs="Arial" w:eastAsia="Arial" w:hAnsi="Arial"/>
                <w:sz w:val="14"/>
                <w:szCs w:val="14"/>
                <w:color w:val="auto"/>
              </w:rPr>
              <w:t>Due to Avis Budget Rental Car Funding (AESOP)</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20" w:type="dxa"/>
            <w:vAlign w:val="bottom"/>
          </w:tcPr>
          <w:p>
            <w:pPr>
              <w:ind w:left="300"/>
              <w:spacing w:after="0"/>
              <w:rPr>
                <w:sz w:val="20"/>
                <w:szCs w:val="20"/>
                <w:color w:val="auto"/>
              </w:rPr>
            </w:pPr>
            <w:r>
              <w:rPr>
                <w:rFonts w:ascii="Arial" w:cs="Arial" w:eastAsia="Arial" w:hAnsi="Arial"/>
                <w:sz w:val="14"/>
                <w:szCs w:val="14"/>
                <w:color w:val="auto"/>
              </w:rPr>
              <w:t>LLC-related party</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7,358</w:t>
            </w: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1,770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1,961</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8"/>
                <w:szCs w:val="18"/>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12,724</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4,786</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3,852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(8,884)</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60"/>
        </w:trPr>
        <w:tc>
          <w:tcPr>
            <w:tcW w:w="35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6,650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7,854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16,987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(12,813)</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868" w:right="29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60"/>
          </w:cols>
          <w:pgMar w:left="240" w:top="868" w:right="29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2,586</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(12,747)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(12,887)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10,460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300" w:type="dxa"/>
            <w:vAlign w:val="bottom"/>
          </w:tcPr>
          <w:p>
            <w:pPr>
              <w:spacing w:after="0"/>
              <w:rPr>
                <w:sz w:val="20"/>
                <w:szCs w:val="20"/>
                <w:color w:val="auto"/>
              </w:rPr>
            </w:pPr>
            <w:r>
              <w:rPr>
                <w:rFonts w:ascii="Arial" w:cs="Arial" w:eastAsia="Arial" w:hAnsi="Arial"/>
                <w:sz w:val="14"/>
                <w:szCs w:val="14"/>
                <w:color w:val="auto"/>
              </w:rPr>
              <w:t>Investment in debt securities of Avis Budget Rental</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Car Funding (AESOP) LLC — related party</w:t>
            </w: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06"/>
        </w:trPr>
        <w:tc>
          <w:tcPr>
            <w:tcW w:w="3300" w:type="dxa"/>
            <w:vAlign w:val="bottom"/>
          </w:tcPr>
          <w:p>
            <w:pPr>
              <w:spacing w:after="0"/>
              <w:rPr>
                <w:sz w:val="20"/>
                <w:szCs w:val="20"/>
                <w:color w:val="auto"/>
              </w:rPr>
            </w:pPr>
            <w:r>
              <w:rPr>
                <w:rFonts w:ascii="Arial" w:cs="Arial" w:eastAsia="Arial" w:hAnsi="Arial"/>
                <w:sz w:val="14"/>
                <w:szCs w:val="14"/>
                <w:color w:val="auto"/>
              </w:rPr>
              <w:t>Proceeds from debt securities of Avis Budget</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160"/>
              <w:spacing w:after="0"/>
              <w:rPr>
                <w:sz w:val="20"/>
                <w:szCs w:val="20"/>
                <w:color w:val="auto"/>
              </w:rPr>
            </w:pPr>
            <w:r>
              <w:rPr>
                <w:rFonts w:ascii="Arial" w:cs="Arial" w:eastAsia="Arial" w:hAnsi="Arial"/>
                <w:sz w:val="14"/>
                <w:szCs w:val="14"/>
                <w:color w:val="auto"/>
              </w:rPr>
              <w:t>Rental Car Funding (AESOP) LLC — related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party</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(2,517)</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19,755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19,869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(19,321)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(19,346)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 program and restricted cash</w:t>
            </w: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program and restricted</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beginning of period</w:t>
            </w:r>
          </w:p>
        </w:tc>
        <w:tc>
          <w:tcPr>
            <w:tcW w:w="26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Cash and cash equivalents, program and</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restricted cash,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140" w:right="2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(used in) operating</w:t>
      </w:r>
    </w:p>
    <w:p>
      <w:pPr>
        <w:spacing w:after="0" w:line="19" w:lineRule="exact"/>
        <w:rPr>
          <w:sz w:val="20"/>
          <w:szCs w:val="20"/>
          <w:color w:val="auto"/>
        </w:rPr>
      </w:pPr>
    </w:p>
    <w:p>
      <w:pPr>
        <w:ind w:left="200"/>
        <w:spacing w:after="0"/>
        <w:tabs>
          <w:tab w:leader="none" w:pos="3340" w:val="left"/>
        </w:tabs>
        <w:rPr>
          <w:sz w:val="20"/>
          <w:szCs w:val="20"/>
          <w:color w:val="auto"/>
        </w:rPr>
      </w:pPr>
      <w:r>
        <w:rPr>
          <w:rFonts w:ascii="Arial" w:cs="Arial" w:eastAsia="Arial" w:hAnsi="Arial"/>
          <w:sz w:val="14"/>
          <w:szCs w:val="14"/>
          <w:b w:val="1"/>
          <w:bCs w:val="1"/>
          <w:color w:val="auto"/>
        </w:rPr>
        <w:t>activities</w:t>
      </w:r>
      <w:r>
        <w:rPr>
          <w:sz w:val="20"/>
          <w:szCs w:val="20"/>
          <w:color w:val="auto"/>
        </w:rPr>
        <w:tab/>
      </w:r>
      <w:r>
        <w:rPr>
          <w:rFonts w:ascii="Arial" w:cs="Arial" w:eastAsia="Arial" w:hAnsi="Arial"/>
          <w:sz w:val="14"/>
          <w:szCs w:val="14"/>
          <w:color w:val="auto"/>
        </w:rPr>
        <w:t>$</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Investing activities</w:t>
      </w:r>
    </w:p>
    <w:p>
      <w:pPr>
        <w:spacing w:after="0" w:line="127" w:lineRule="exact"/>
        <w:rPr>
          <w:sz w:val="20"/>
          <w:szCs w:val="20"/>
          <w:color w:val="auto"/>
        </w:rPr>
      </w:pPr>
    </w:p>
    <w:p>
      <w:pPr>
        <w:ind w:left="40" w:right="1260"/>
        <w:spacing w:after="0" w:line="402" w:lineRule="auto"/>
        <w:rPr>
          <w:sz w:val="20"/>
          <w:szCs w:val="20"/>
          <w:color w:val="auto"/>
        </w:rPr>
      </w:pPr>
      <w:r>
        <w:rPr>
          <w:rFonts w:ascii="Arial" w:cs="Arial" w:eastAsia="Arial" w:hAnsi="Arial"/>
          <w:sz w:val="14"/>
          <w:szCs w:val="14"/>
          <w:color w:val="auto"/>
        </w:rPr>
        <w:t>Property and equipment additions Proceeds received on asset sales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acquired (net of cash acquired)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Intercompany loan receipts (advances)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net</w:t>
      </w:r>
    </w:p>
    <w:p>
      <w:pPr>
        <w:spacing w:after="0" w:line="91" w:lineRule="exact"/>
        <w:rPr>
          <w:sz w:val="20"/>
          <w:szCs w:val="20"/>
          <w:color w:val="auto"/>
        </w:rPr>
      </w:pPr>
    </w:p>
    <w:p>
      <w:pPr>
        <w:ind w:left="200" w:right="540" w:hanging="161"/>
        <w:spacing w:after="0" w:line="285" w:lineRule="auto"/>
        <w:rPr>
          <w:sz w:val="20"/>
          <w:szCs w:val="20"/>
          <w:color w:val="auto"/>
        </w:rPr>
      </w:pPr>
      <w:r>
        <w:rPr>
          <w:rFonts w:ascii="Arial" w:cs="Arial" w:eastAsia="Arial" w:hAnsi="Arial"/>
          <w:sz w:val="14"/>
          <w:szCs w:val="14"/>
          <w:b w:val="1"/>
          <w:bCs w:val="1"/>
          <w:color w:val="auto"/>
        </w:rPr>
        <w:t>Net cash provided by (used in) investing activities exclusive of vehicle programs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Vehicle programs: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 in vehicles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received on disposition of vehicles</w:t>
      </w:r>
    </w:p>
    <w:p>
      <w:pPr>
        <w:spacing w:after="0" w:line="109" w:lineRule="exact"/>
        <w:rPr>
          <w:sz w:val="20"/>
          <w:szCs w:val="20"/>
          <w:color w:val="auto"/>
        </w:rPr>
      </w:pPr>
    </w:p>
    <w:p>
      <w:pPr>
        <w:ind w:left="200" w:right="160" w:hanging="161"/>
        <w:spacing w:after="0" w:line="258" w:lineRule="auto"/>
        <w:rPr>
          <w:sz w:val="20"/>
          <w:szCs w:val="20"/>
          <w:color w:val="auto"/>
        </w:rPr>
      </w:pPr>
      <w:r>
        <w:rPr>
          <w:rFonts w:ascii="Arial" w:cs="Arial" w:eastAsia="Arial" w:hAnsi="Arial"/>
          <w:sz w:val="14"/>
          <w:szCs w:val="14"/>
          <w:color w:val="auto"/>
        </w:rPr>
        <w:t>Investment in debt securities of Avis Budget Rental Car Funding (AESOP) LLC- related party</w:t>
      </w:r>
    </w:p>
    <w:p>
      <w:pPr>
        <w:spacing w:after="0" w:line="32" w:lineRule="exact"/>
        <w:rPr>
          <w:sz w:val="20"/>
          <w:szCs w:val="20"/>
          <w:color w:val="auto"/>
        </w:rPr>
      </w:pPr>
    </w:p>
    <w:p>
      <w:pPr>
        <w:ind w:left="200" w:right="180" w:hanging="161"/>
        <w:spacing w:after="0" w:line="258" w:lineRule="auto"/>
        <w:rPr>
          <w:sz w:val="20"/>
          <w:szCs w:val="20"/>
          <w:color w:val="auto"/>
        </w:rPr>
      </w:pPr>
      <w:r>
        <w:rPr>
          <w:rFonts w:ascii="Arial" w:cs="Arial" w:eastAsia="Arial" w:hAnsi="Arial"/>
          <w:sz w:val="14"/>
          <w:szCs w:val="14"/>
          <w:color w:val="auto"/>
        </w:rPr>
        <w:t>Proceeds from debt securities of Avis Budget Rental Car Funding (AESOP) LLC- related party</w:t>
      </w:r>
    </w:p>
    <w:p>
      <w:pPr>
        <w:spacing w:after="0" w:line="284" w:lineRule="exact"/>
        <w:rPr>
          <w:sz w:val="20"/>
          <w:szCs w:val="20"/>
          <w:color w:val="auto"/>
        </w:rPr>
      </w:pPr>
    </w:p>
    <w:p>
      <w:pPr>
        <w:ind w:left="200" w:right="640" w:hanging="161"/>
        <w:spacing w:after="0" w:line="285" w:lineRule="auto"/>
        <w:rPr>
          <w:sz w:val="20"/>
          <w:szCs w:val="20"/>
          <w:color w:val="auto"/>
        </w:rPr>
      </w:pPr>
      <w:r>
        <w:rPr>
          <w:rFonts w:ascii="Arial" w:cs="Arial" w:eastAsia="Arial" w:hAnsi="Arial"/>
          <w:sz w:val="14"/>
          <w:szCs w:val="14"/>
          <w:b w:val="1"/>
          <w:bCs w:val="1"/>
          <w:color w:val="auto"/>
        </w:rPr>
        <w:t>Net cash provided by (used in) investing activities</w:t>
      </w: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Financing activities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long-term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Payments on long-term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short-term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Debt financing fees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Intercompany loan borrowings (payments)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net</w:t>
      </w:r>
    </w:p>
    <w:p>
      <w:pPr>
        <w:spacing w:after="0" w:line="91" w:lineRule="exact"/>
        <w:rPr>
          <w:sz w:val="20"/>
          <w:szCs w:val="20"/>
          <w:color w:val="auto"/>
        </w:rPr>
      </w:pPr>
    </w:p>
    <w:p>
      <w:pPr>
        <w:ind w:left="200" w:right="540" w:hanging="161"/>
        <w:spacing w:after="0" w:line="285" w:lineRule="auto"/>
        <w:rPr>
          <w:sz w:val="20"/>
          <w:szCs w:val="20"/>
          <w:color w:val="auto"/>
        </w:rPr>
      </w:pPr>
      <w:r>
        <w:rPr>
          <w:rFonts w:ascii="Arial" w:cs="Arial" w:eastAsia="Arial" w:hAnsi="Arial"/>
          <w:sz w:val="14"/>
          <w:szCs w:val="14"/>
          <w:b w:val="1"/>
          <w:bCs w:val="1"/>
          <w:color w:val="auto"/>
        </w:rPr>
        <w:t>Net cash provided by (used in) financing activities exclusive of vehicle programs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Vehicle programs: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Payments on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Debt financing fees</w:t>
      </w:r>
    </w:p>
    <w:p>
      <w:pPr>
        <w:spacing w:after="0" w:line="361" w:lineRule="exact"/>
        <w:rPr>
          <w:sz w:val="20"/>
          <w:szCs w:val="20"/>
          <w:color w:val="auto"/>
        </w:rPr>
      </w:pPr>
    </w:p>
    <w:p>
      <w:pPr>
        <w:ind w:left="200" w:right="640" w:hanging="161"/>
        <w:spacing w:after="0" w:line="285" w:lineRule="auto"/>
        <w:rPr>
          <w:sz w:val="20"/>
          <w:szCs w:val="20"/>
          <w:color w:val="auto"/>
        </w:rPr>
      </w:pPr>
      <w:r>
        <w:rPr>
          <w:rFonts w:ascii="Arial" w:cs="Arial" w:eastAsia="Arial" w:hAnsi="Arial"/>
          <w:sz w:val="14"/>
          <w:szCs w:val="14"/>
          <w:b w:val="1"/>
          <w:bCs w:val="1"/>
          <w:color w:val="auto"/>
        </w:rPr>
        <w:t>Net cash provided by (used in) financing activities</w:t>
      </w:r>
    </w:p>
    <w:p>
      <w:pPr>
        <w:spacing w:after="0" w:line="14" w:lineRule="exact"/>
        <w:rPr>
          <w:sz w:val="20"/>
          <w:szCs w:val="20"/>
          <w:color w:val="auto"/>
        </w:rPr>
      </w:pPr>
    </w:p>
    <w:p>
      <w:pPr>
        <w:jc w:val="right"/>
        <w:ind w:left="40" w:right="300"/>
        <w:spacing w:after="0" w:line="258" w:lineRule="auto"/>
        <w:rPr>
          <w:sz w:val="20"/>
          <w:szCs w:val="20"/>
          <w:color w:val="auto"/>
        </w:rPr>
      </w:pPr>
      <w:r>
        <w:rPr>
          <w:rFonts w:ascii="Arial" w:cs="Arial" w:eastAsia="Arial" w:hAnsi="Arial"/>
          <w:sz w:val="14"/>
          <w:szCs w:val="14"/>
          <w:color w:val="auto"/>
        </w:rPr>
        <w:t>Effect of changes in exchange rates on cash and cash equivalents, program and restricted cash</w:t>
      </w:r>
    </w:p>
    <w:p>
      <w:pPr>
        <w:spacing w:after="0" w:line="32" w:lineRule="exact"/>
        <w:rPr>
          <w:sz w:val="20"/>
          <w:szCs w:val="20"/>
          <w:color w:val="auto"/>
        </w:rPr>
      </w:pPr>
    </w:p>
    <w:p>
      <w:pPr>
        <w:ind w:left="200" w:right="640" w:hanging="161"/>
        <w:spacing w:after="0" w:line="258" w:lineRule="auto"/>
        <w:rPr>
          <w:sz w:val="20"/>
          <w:szCs w:val="20"/>
          <w:color w:val="auto"/>
        </w:rPr>
      </w:pPr>
      <w:r>
        <w:rPr>
          <w:rFonts w:ascii="Arial" w:cs="Arial" w:eastAsia="Arial" w:hAnsi="Arial"/>
          <w:sz w:val="14"/>
          <w:szCs w:val="14"/>
          <w:color w:val="auto"/>
        </w:rPr>
        <w:t>Net increase (decrease) in cash and cash equivalents, program and restricted cash</w:t>
      </w:r>
    </w:p>
    <w:p>
      <w:pPr>
        <w:spacing w:after="0" w:line="32" w:lineRule="exact"/>
        <w:rPr>
          <w:sz w:val="20"/>
          <w:szCs w:val="20"/>
          <w:color w:val="auto"/>
        </w:rPr>
      </w:pPr>
    </w:p>
    <w:p>
      <w:pPr>
        <w:ind w:left="200" w:right="140" w:hanging="161"/>
        <w:spacing w:after="0" w:line="258" w:lineRule="auto"/>
        <w:rPr>
          <w:sz w:val="20"/>
          <w:szCs w:val="20"/>
          <w:color w:val="auto"/>
        </w:rPr>
      </w:pPr>
      <w:r>
        <w:rPr>
          <w:rFonts w:ascii="Arial" w:cs="Arial" w:eastAsia="Arial" w:hAnsi="Arial"/>
          <w:sz w:val="14"/>
          <w:szCs w:val="14"/>
          <w:color w:val="auto"/>
        </w:rPr>
        <w:t>Cash and cash equivalents, program and restricted cash, beginning of period</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and cash equivalents, program and</w:t>
      </w:r>
    </w:p>
    <w:p>
      <w:pPr>
        <w:spacing w:after="0" w:line="6" w:lineRule="exact"/>
        <w:rPr>
          <w:sz w:val="20"/>
          <w:szCs w:val="20"/>
          <w:color w:val="auto"/>
        </w:rPr>
      </w:pPr>
    </w:p>
    <w:p>
      <w:pPr>
        <w:ind w:left="200"/>
        <w:spacing w:after="0"/>
        <w:tabs>
          <w:tab w:leader="none" w:pos="3340" w:val="left"/>
        </w:tabs>
        <w:rPr>
          <w:sz w:val="20"/>
          <w:szCs w:val="20"/>
          <w:color w:val="auto"/>
        </w:rPr>
      </w:pPr>
      <w:r>
        <w:rPr>
          <w:rFonts w:ascii="Arial" w:cs="Arial" w:eastAsia="Arial" w:hAnsi="Arial"/>
          <w:sz w:val="14"/>
          <w:szCs w:val="14"/>
          <w:b w:val="1"/>
          <w:bCs w:val="1"/>
          <w:color w:val="auto"/>
        </w:rPr>
        <w:t>restricted cash, end of period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1000" w:type="dxa"/>
            <w:vAlign w:val="bottom"/>
          </w:tcPr>
          <w:p>
            <w:pPr>
              <w:jc w:val="right"/>
              <w:ind w:right="468"/>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210</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2,380</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2,609</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(231)</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(349)</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(12,586)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(12,589)</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9,606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9,648</w:t>
            </w:r>
          </w:p>
        </w:tc>
      </w:tr>
      <w:tr>
        <w:trPr>
          <w:trHeight w:val="37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384"/>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r>
      <w:tr>
        <w:trPr>
          <w:trHeight w:val="25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(3,077)</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(3,702)</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(3,426)</w:t>
            </w:r>
          </w:p>
        </w:tc>
      </w:tr>
      <w:tr>
        <w:trPr>
          <w:trHeight w:val="106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485</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(515)</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0"/>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(216)</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358"/>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(213)</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17,339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17,339</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(16,373)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(16,385)</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5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929</w:t>
            </w:r>
          </w:p>
        </w:tc>
      </w:tr>
      <w:tr>
        <w:trPr>
          <w:trHeight w:val="358"/>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(213)</w:t>
            </w: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667</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352"/>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384"/>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901</w:t>
            </w:r>
          </w:p>
        </w:tc>
      </w:tr>
      <w:tr>
        <w:trPr>
          <w:trHeight w:val="345"/>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735</w:t>
            </w:r>
          </w:p>
        </w:tc>
      </w:tr>
      <w:tr>
        <w:trPr>
          <w:trHeight w:val="20"/>
        </w:trPr>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-25400</wp:posOffset>
            </wp:positionV>
            <wp:extent cx="8147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-8255</wp:posOffset>
            </wp:positionV>
            <wp:extent cx="8147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-256540</wp:posOffset>
            </wp:positionV>
            <wp:extent cx="8147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-736600</wp:posOffset>
            </wp:positionV>
            <wp:extent cx="8147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-977265</wp:posOffset>
            </wp:positionV>
            <wp:extent cx="8147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-1217295</wp:posOffset>
            </wp:positionV>
            <wp:extent cx="8147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-1388745</wp:posOffset>
            </wp:positionV>
            <wp:extent cx="8147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-2254885</wp:posOffset>
            </wp:positionV>
            <wp:extent cx="8147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-2494915</wp:posOffset>
            </wp:positionV>
            <wp:extent cx="8147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-4218940</wp:posOffset>
            </wp:positionV>
            <wp:extent cx="8147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-4458970</wp:posOffset>
            </wp:positionV>
            <wp:extent cx="8147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-4630420</wp:posOffset>
            </wp:positionV>
            <wp:extent cx="8147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-5805170</wp:posOffset>
            </wp:positionV>
            <wp:extent cx="8147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-6045200</wp:posOffset>
            </wp:positionV>
            <wp:extent cx="8147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-7254240</wp:posOffset>
            </wp:positionV>
            <wp:extent cx="8147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-7494905</wp:posOffset>
            </wp:positionV>
            <wp:extent cx="8147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300"/>
            <w:col w:w="7680"/>
          </w:cols>
          <w:pgMar w:left="240" w:top="140"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140"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(used in) operating</w:t>
      </w:r>
    </w:p>
    <w:p>
      <w:pPr>
        <w:spacing w:after="0" w:line="19" w:lineRule="exact"/>
        <w:rPr>
          <w:sz w:val="20"/>
          <w:szCs w:val="20"/>
          <w:color w:val="auto"/>
        </w:rPr>
      </w:pPr>
    </w:p>
    <w:p>
      <w:pPr>
        <w:ind w:left="200"/>
        <w:spacing w:after="0"/>
        <w:tabs>
          <w:tab w:leader="none" w:pos="3340" w:val="left"/>
        </w:tabs>
        <w:rPr>
          <w:sz w:val="20"/>
          <w:szCs w:val="20"/>
          <w:color w:val="auto"/>
        </w:rPr>
      </w:pPr>
      <w:r>
        <w:rPr>
          <w:rFonts w:ascii="Arial" w:cs="Arial" w:eastAsia="Arial" w:hAnsi="Arial"/>
          <w:sz w:val="14"/>
          <w:szCs w:val="14"/>
          <w:b w:val="1"/>
          <w:bCs w:val="1"/>
          <w:color w:val="auto"/>
        </w:rPr>
        <w:t>activities</w:t>
      </w:r>
      <w:r>
        <w:rPr>
          <w:sz w:val="20"/>
          <w:szCs w:val="20"/>
          <w:color w:val="auto"/>
        </w:rPr>
        <w:tab/>
      </w:r>
      <w:r>
        <w:rPr>
          <w:rFonts w:ascii="Arial" w:cs="Arial" w:eastAsia="Arial" w:hAnsi="Arial"/>
          <w:sz w:val="14"/>
          <w:szCs w:val="14"/>
          <w:color w:val="auto"/>
        </w:rPr>
        <w:t>$</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Investing activities</w:t>
      </w:r>
    </w:p>
    <w:p>
      <w:pPr>
        <w:spacing w:after="0" w:line="127" w:lineRule="exact"/>
        <w:rPr>
          <w:sz w:val="20"/>
          <w:szCs w:val="20"/>
          <w:color w:val="auto"/>
        </w:rPr>
      </w:pPr>
    </w:p>
    <w:p>
      <w:pPr>
        <w:ind w:left="40" w:right="1260"/>
        <w:spacing w:after="0" w:line="402" w:lineRule="auto"/>
        <w:rPr>
          <w:sz w:val="20"/>
          <w:szCs w:val="20"/>
          <w:color w:val="auto"/>
        </w:rPr>
      </w:pPr>
      <w:r>
        <w:rPr>
          <w:rFonts w:ascii="Arial" w:cs="Arial" w:eastAsia="Arial" w:hAnsi="Arial"/>
          <w:sz w:val="14"/>
          <w:szCs w:val="14"/>
          <w:color w:val="auto"/>
        </w:rPr>
        <w:t>Property and equipment additions Proceeds received on asset sales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assets acquired (net of cash acquired)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Intercompany loan receipts (advances)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net</w:t>
      </w:r>
    </w:p>
    <w:p>
      <w:pPr>
        <w:spacing w:after="0" w:line="91" w:lineRule="exact"/>
        <w:rPr>
          <w:sz w:val="20"/>
          <w:szCs w:val="20"/>
          <w:color w:val="auto"/>
        </w:rPr>
      </w:pPr>
    </w:p>
    <w:p>
      <w:pPr>
        <w:ind w:left="200" w:right="540" w:hanging="161"/>
        <w:spacing w:after="0" w:line="285" w:lineRule="auto"/>
        <w:rPr>
          <w:sz w:val="20"/>
          <w:szCs w:val="20"/>
          <w:color w:val="auto"/>
        </w:rPr>
      </w:pPr>
      <w:r>
        <w:rPr>
          <w:rFonts w:ascii="Arial" w:cs="Arial" w:eastAsia="Arial" w:hAnsi="Arial"/>
          <w:sz w:val="14"/>
          <w:szCs w:val="14"/>
          <w:b w:val="1"/>
          <w:bCs w:val="1"/>
          <w:color w:val="auto"/>
        </w:rPr>
        <w:t>Net cash provided by (used in) investing activities exclusive of vehicle programs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Vehicle programs: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 in vehicles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received on disposition of vehicles</w:t>
      </w:r>
    </w:p>
    <w:p>
      <w:pPr>
        <w:spacing w:after="0" w:line="109" w:lineRule="exact"/>
        <w:rPr>
          <w:sz w:val="20"/>
          <w:szCs w:val="20"/>
          <w:color w:val="auto"/>
        </w:rPr>
      </w:pPr>
    </w:p>
    <w:p>
      <w:pPr>
        <w:ind w:left="200" w:right="160" w:hanging="161"/>
        <w:spacing w:after="0" w:line="258" w:lineRule="auto"/>
        <w:rPr>
          <w:sz w:val="20"/>
          <w:szCs w:val="20"/>
          <w:color w:val="auto"/>
        </w:rPr>
      </w:pPr>
      <w:r>
        <w:rPr>
          <w:rFonts w:ascii="Arial" w:cs="Arial" w:eastAsia="Arial" w:hAnsi="Arial"/>
          <w:sz w:val="14"/>
          <w:szCs w:val="14"/>
          <w:color w:val="auto"/>
        </w:rPr>
        <w:t>Investment in debt securities of Avis Budget Rental Car Funding (AESOP) LLC- related party</w:t>
      </w:r>
    </w:p>
    <w:p>
      <w:pPr>
        <w:spacing w:after="0" w:line="284" w:lineRule="exact"/>
        <w:rPr>
          <w:sz w:val="20"/>
          <w:szCs w:val="20"/>
          <w:color w:val="auto"/>
        </w:rPr>
      </w:pPr>
    </w:p>
    <w:p>
      <w:pPr>
        <w:ind w:left="200" w:right="640" w:hanging="161"/>
        <w:spacing w:after="0" w:line="285" w:lineRule="auto"/>
        <w:rPr>
          <w:sz w:val="20"/>
          <w:szCs w:val="20"/>
          <w:color w:val="auto"/>
        </w:rPr>
      </w:pPr>
      <w:r>
        <w:rPr>
          <w:rFonts w:ascii="Arial" w:cs="Arial" w:eastAsia="Arial" w:hAnsi="Arial"/>
          <w:sz w:val="14"/>
          <w:szCs w:val="14"/>
          <w:b w:val="1"/>
          <w:bCs w:val="1"/>
          <w:color w:val="auto"/>
        </w:rPr>
        <w:t>Net cash provided by (used in) investing activities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Financing activities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long-term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Payments on long-term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short-term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Debt financing fees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Repurchases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Intercompany loan borrowings (payments)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net</w:t>
      </w:r>
    </w:p>
    <w:p>
      <w:pPr>
        <w:spacing w:after="0" w:line="91" w:lineRule="exact"/>
        <w:rPr>
          <w:sz w:val="20"/>
          <w:szCs w:val="20"/>
          <w:color w:val="auto"/>
        </w:rPr>
      </w:pPr>
    </w:p>
    <w:p>
      <w:pPr>
        <w:ind w:left="200" w:right="540" w:hanging="161"/>
        <w:spacing w:after="0" w:line="285" w:lineRule="auto"/>
        <w:rPr>
          <w:sz w:val="20"/>
          <w:szCs w:val="20"/>
          <w:color w:val="auto"/>
        </w:rPr>
      </w:pPr>
      <w:r>
        <w:rPr>
          <w:rFonts w:ascii="Arial" w:cs="Arial" w:eastAsia="Arial" w:hAnsi="Arial"/>
          <w:sz w:val="14"/>
          <w:szCs w:val="14"/>
          <w:b w:val="1"/>
          <w:bCs w:val="1"/>
          <w:color w:val="auto"/>
        </w:rPr>
        <w:t>Net cash provided by (used in) financing activities exclusive of vehicle programs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Vehicle programs: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Payments on borrowings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Debt financing fees</w:t>
      </w:r>
    </w:p>
    <w:p>
      <w:pPr>
        <w:spacing w:after="0" w:line="361" w:lineRule="exact"/>
        <w:rPr>
          <w:sz w:val="20"/>
          <w:szCs w:val="20"/>
          <w:color w:val="auto"/>
        </w:rPr>
      </w:pPr>
    </w:p>
    <w:p>
      <w:pPr>
        <w:ind w:left="200" w:right="640" w:hanging="161"/>
        <w:spacing w:after="0" w:line="285" w:lineRule="auto"/>
        <w:rPr>
          <w:sz w:val="20"/>
          <w:szCs w:val="20"/>
          <w:color w:val="auto"/>
        </w:rPr>
      </w:pPr>
      <w:r>
        <w:rPr>
          <w:rFonts w:ascii="Arial" w:cs="Arial" w:eastAsia="Arial" w:hAnsi="Arial"/>
          <w:sz w:val="14"/>
          <w:szCs w:val="14"/>
          <w:b w:val="1"/>
          <w:bCs w:val="1"/>
          <w:color w:val="auto"/>
        </w:rPr>
        <w:t>Net cash provided by (used in) financing activities</w:t>
      </w:r>
    </w:p>
    <w:p>
      <w:pPr>
        <w:spacing w:after="0" w:line="14" w:lineRule="exact"/>
        <w:rPr>
          <w:sz w:val="20"/>
          <w:szCs w:val="20"/>
          <w:color w:val="auto"/>
        </w:rPr>
      </w:pPr>
    </w:p>
    <w:p>
      <w:pPr>
        <w:jc w:val="right"/>
        <w:ind w:left="40" w:right="300"/>
        <w:spacing w:after="0" w:line="258" w:lineRule="auto"/>
        <w:rPr>
          <w:sz w:val="20"/>
          <w:szCs w:val="20"/>
          <w:color w:val="auto"/>
        </w:rPr>
      </w:pPr>
      <w:r>
        <w:rPr>
          <w:rFonts w:ascii="Arial" w:cs="Arial" w:eastAsia="Arial" w:hAnsi="Arial"/>
          <w:sz w:val="14"/>
          <w:szCs w:val="14"/>
          <w:color w:val="auto"/>
        </w:rPr>
        <w:t>Effect of changes in exchange rates on cash and cash equivalents, program and restricted cash</w:t>
      </w:r>
    </w:p>
    <w:p>
      <w:pPr>
        <w:spacing w:after="0" w:line="32" w:lineRule="exact"/>
        <w:rPr>
          <w:sz w:val="20"/>
          <w:szCs w:val="20"/>
          <w:color w:val="auto"/>
        </w:rPr>
      </w:pPr>
    </w:p>
    <w:p>
      <w:pPr>
        <w:ind w:left="200" w:right="640" w:hanging="161"/>
        <w:spacing w:after="0" w:line="258" w:lineRule="auto"/>
        <w:rPr>
          <w:sz w:val="20"/>
          <w:szCs w:val="20"/>
          <w:color w:val="auto"/>
        </w:rPr>
      </w:pPr>
      <w:r>
        <w:rPr>
          <w:rFonts w:ascii="Arial" w:cs="Arial" w:eastAsia="Arial" w:hAnsi="Arial"/>
          <w:sz w:val="14"/>
          <w:szCs w:val="14"/>
          <w:color w:val="auto"/>
        </w:rPr>
        <w:t>Net increase (decrease) in cash and cash equivalents, program and restricted cash</w:t>
      </w:r>
    </w:p>
    <w:p>
      <w:pPr>
        <w:spacing w:after="0" w:line="32" w:lineRule="exact"/>
        <w:rPr>
          <w:sz w:val="20"/>
          <w:szCs w:val="20"/>
          <w:color w:val="auto"/>
        </w:rPr>
      </w:pPr>
    </w:p>
    <w:p>
      <w:pPr>
        <w:ind w:left="200" w:right="140" w:hanging="161"/>
        <w:spacing w:after="0" w:line="258" w:lineRule="auto"/>
        <w:rPr>
          <w:sz w:val="20"/>
          <w:szCs w:val="20"/>
          <w:color w:val="auto"/>
        </w:rPr>
      </w:pPr>
      <w:r>
        <w:rPr>
          <w:rFonts w:ascii="Arial" w:cs="Arial" w:eastAsia="Arial" w:hAnsi="Arial"/>
          <w:sz w:val="14"/>
          <w:szCs w:val="14"/>
          <w:color w:val="auto"/>
        </w:rPr>
        <w:t>Cash and cash equivalents, program and restricted cash, beginning of period</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and cash equivalents, program and</w:t>
      </w:r>
    </w:p>
    <w:p>
      <w:pPr>
        <w:spacing w:after="0" w:line="6" w:lineRule="exact"/>
        <w:rPr>
          <w:sz w:val="20"/>
          <w:szCs w:val="20"/>
          <w:color w:val="auto"/>
        </w:rPr>
      </w:pPr>
    </w:p>
    <w:p>
      <w:pPr>
        <w:ind w:left="200"/>
        <w:spacing w:after="0"/>
        <w:tabs>
          <w:tab w:leader="none" w:pos="3340" w:val="left"/>
        </w:tabs>
        <w:rPr>
          <w:sz w:val="20"/>
          <w:szCs w:val="20"/>
          <w:color w:val="auto"/>
        </w:rPr>
      </w:pPr>
      <w:r>
        <w:rPr>
          <w:rFonts w:ascii="Arial" w:cs="Arial" w:eastAsia="Arial" w:hAnsi="Arial"/>
          <w:sz w:val="14"/>
          <w:szCs w:val="14"/>
          <w:b w:val="1"/>
          <w:bCs w:val="1"/>
          <w:color w:val="auto"/>
        </w:rPr>
        <w:t>restricted cash, end of period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1000" w:type="dxa"/>
            <w:vAlign w:val="bottom"/>
          </w:tcPr>
          <w:p>
            <w:pPr>
              <w:jc w:val="right"/>
              <w:ind w:right="468"/>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110</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2,697</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2,648</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100</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100</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(11,537)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(11,538)</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9,600</w:t>
            </w:r>
          </w:p>
        </w:tc>
      </w:tr>
      <w:tr>
        <w:trPr>
          <w:trHeight w:val="384"/>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r>
      <w:tr>
        <w:trPr>
          <w:trHeight w:val="25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(1,999)</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100</w:t>
            </w: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(2,378)</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(2,204)</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589</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(602)</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0"/>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(210)</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358"/>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(209)</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r>
      <w:tr>
        <w:trPr>
          <w:trHeight w:val="79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17,212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17,212</w:t>
            </w:r>
          </w:p>
        </w:tc>
      </w:tr>
      <w:tr>
        <w:trPr>
          <w:trHeight w:val="27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(17,259)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(17,269)</w:t>
            </w:r>
          </w:p>
        </w:tc>
      </w:tr>
      <w:tr>
        <w:trPr>
          <w:trHeight w:val="276"/>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250"/>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358"/>
        </w:trPr>
        <w:tc>
          <w:tcPr>
            <w:tcW w:w="1000" w:type="dxa"/>
            <w:vAlign w:val="bottom"/>
          </w:tcPr>
          <w:p>
            <w:pPr>
              <w:jc w:val="right"/>
              <w:ind w:right="128"/>
              <w:spacing w:after="0"/>
              <w:rPr>
                <w:sz w:val="20"/>
                <w:szCs w:val="20"/>
                <w:color w:val="auto"/>
              </w:rPr>
            </w:pPr>
            <w:r>
              <w:rPr>
                <w:rFonts w:ascii="Arial" w:cs="Arial" w:eastAsia="Arial" w:hAnsi="Arial"/>
                <w:sz w:val="14"/>
                <w:szCs w:val="14"/>
                <w:color w:val="auto"/>
              </w:rPr>
              <w:t>(209)</w:t>
            </w: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w:t>
            </w:r>
          </w:p>
        </w:tc>
      </w:tr>
      <w:tr>
        <w:trPr>
          <w:trHeight w:val="358"/>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w:t>
            </w:r>
          </w:p>
        </w:tc>
      </w:tr>
      <w:tr>
        <w:trPr>
          <w:trHeight w:val="352"/>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181</w:t>
            </w:r>
          </w:p>
        </w:tc>
      </w:tr>
      <w:tr>
        <w:trPr>
          <w:trHeight w:val="384"/>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w:t>
            </w:r>
          </w:p>
        </w:tc>
      </w:tr>
      <w:tr>
        <w:trPr>
          <w:trHeight w:val="345"/>
        </w:trPr>
        <w:tc>
          <w:tcPr>
            <w:tcW w:w="100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901</w:t>
            </w:r>
          </w:p>
        </w:tc>
      </w:tr>
      <w:tr>
        <w:trPr>
          <w:trHeight w:val="20"/>
        </w:trPr>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-25400</wp:posOffset>
            </wp:positionV>
            <wp:extent cx="8147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-8255</wp:posOffset>
            </wp:positionV>
            <wp:extent cx="8147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-256540</wp:posOffset>
            </wp:positionV>
            <wp:extent cx="8147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-736600</wp:posOffset>
            </wp:positionV>
            <wp:extent cx="8147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-977265</wp:posOffset>
            </wp:positionV>
            <wp:extent cx="8147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-1217295</wp:posOffset>
            </wp:positionV>
            <wp:extent cx="8147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-1388745</wp:posOffset>
            </wp:positionV>
            <wp:extent cx="8147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-2254885</wp:posOffset>
            </wp:positionV>
            <wp:extent cx="8147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-2494915</wp:posOffset>
            </wp:positionV>
            <wp:extent cx="8147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-4046855</wp:posOffset>
            </wp:positionV>
            <wp:extent cx="8147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-4287520</wp:posOffset>
            </wp:positionV>
            <wp:extent cx="8147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-4458970</wp:posOffset>
            </wp:positionV>
            <wp:extent cx="8147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-5393690</wp:posOffset>
            </wp:positionV>
            <wp:extent cx="8147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-5633720</wp:posOffset>
            </wp:positionV>
            <wp:extent cx="8147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-6842760</wp:posOffset>
            </wp:positionV>
            <wp:extent cx="8147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-7082790</wp:posOffset>
            </wp:positionV>
            <wp:extent cx="8147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300"/>
            <w:col w:w="7680"/>
          </w:cols>
          <w:pgMar w:left="240" w:top="140"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140" w:right="2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Selected Quarterly Financial Data—(unaudited)</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Provided below are selected unaudited quarterly financial data for 2019 and 2018.</w:t>
      </w:r>
    </w:p>
    <w:p>
      <w:pPr>
        <w:spacing w:after="0" w:line="171"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The earnings per share information is calculated independently for each quarter based on the weighted average number of common stock and common stock equivalents outstanding, which may fluctuate, based on quarterly income levels and market prices. Therefore and due to the seasonality of the Company’s earnings, the sum of the quarters’ per share information may not equal the annual amount presented on the Consolidated Statements of Operations.</w:t>
      </w:r>
    </w:p>
    <w:p>
      <w:pPr>
        <w:spacing w:after="0" w:line="14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4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300" w:type="dxa"/>
            <w:vAlign w:val="bottom"/>
          </w:tcPr>
          <w:p>
            <w:pPr>
              <w:spacing w:after="0"/>
              <w:rPr>
                <w:sz w:val="22"/>
                <w:szCs w:val="22"/>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22"/>
                <w:szCs w:val="22"/>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Fourth</w:t>
            </w: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2,162</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527"/>
        </w:trPr>
        <w:tc>
          <w:tcPr>
            <w:tcW w:w="4200" w:type="dxa"/>
            <w:vAlign w:val="bottom"/>
          </w:tcPr>
          <w:p>
            <w:pPr>
              <w:spacing w:after="0"/>
              <w:rPr>
                <w:sz w:val="20"/>
                <w:szCs w:val="20"/>
                <w:color w:val="auto"/>
              </w:rPr>
            </w:pPr>
            <w:r>
              <w:rPr>
                <w:rFonts w:ascii="Arial" w:cs="Arial" w:eastAsia="Arial" w:hAnsi="Arial"/>
                <w:sz w:val="18"/>
                <w:szCs w:val="18"/>
                <w:i w:val="1"/>
                <w:iCs w:val="1"/>
                <w:color w:val="auto"/>
              </w:rPr>
              <w:t>Per share information: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527"/>
        </w:trPr>
        <w:tc>
          <w:tcPr>
            <w:tcW w:w="4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601"/>
        </w:trPr>
        <w:tc>
          <w:tcPr>
            <w:tcW w:w="4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70"/>
        </w:trPr>
        <w:tc>
          <w:tcPr>
            <w:tcW w:w="4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3"/>
                <w:szCs w:val="23"/>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300" w:type="dxa"/>
            <w:vAlign w:val="bottom"/>
          </w:tcPr>
          <w:p>
            <w:pPr>
              <w:spacing w:after="0"/>
              <w:rPr>
                <w:sz w:val="23"/>
                <w:szCs w:val="23"/>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 xml:space="preserve">Third </w:t>
            </w:r>
            <w:r>
              <w:rPr>
                <w:rFonts w:ascii="Arial" w:cs="Arial" w:eastAsia="Arial" w:hAnsi="Arial"/>
                <w:sz w:val="21"/>
                <w:szCs w:val="21"/>
                <w:b w:val="1"/>
                <w:bCs w:val="1"/>
                <w:color w:val="auto"/>
                <w:w w:val="92"/>
                <w:vertAlign w:val="superscript"/>
              </w:rPr>
              <w:t>(a)</w:t>
            </w:r>
          </w:p>
        </w:tc>
        <w:tc>
          <w:tcPr>
            <w:tcW w:w="2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Fourth</w:t>
            </w: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w:t>
            </w: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527"/>
        </w:trPr>
        <w:tc>
          <w:tcPr>
            <w:tcW w:w="4200" w:type="dxa"/>
            <w:vAlign w:val="bottom"/>
          </w:tcPr>
          <w:p>
            <w:pPr>
              <w:spacing w:after="0"/>
              <w:rPr>
                <w:sz w:val="20"/>
                <w:szCs w:val="20"/>
                <w:color w:val="auto"/>
              </w:rPr>
            </w:pPr>
            <w:r>
              <w:rPr>
                <w:rFonts w:ascii="Arial" w:cs="Arial" w:eastAsia="Arial" w:hAnsi="Arial"/>
                <w:sz w:val="18"/>
                <w:szCs w:val="18"/>
                <w:i w:val="1"/>
                <w:iCs w:val="1"/>
                <w:color w:val="auto"/>
              </w:rPr>
              <w:t>Per share information: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200" w:type="dxa"/>
            <w:vAlign w:val="bottom"/>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527"/>
        </w:trPr>
        <w:tc>
          <w:tcPr>
            <w:tcW w:w="4200" w:type="dxa"/>
            <w:vAlign w:val="bottom"/>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420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0"/>
        </w:trPr>
        <w:tc>
          <w:tcPr>
            <w:tcW w:w="4200" w:type="dxa"/>
            <w:vAlign w:val="bottom"/>
          </w:tcPr>
          <w:p>
            <w:pPr>
              <w:ind w:left="300"/>
              <w:spacing w:after="0"/>
              <w:rPr>
                <w:sz w:val="20"/>
                <w:szCs w:val="20"/>
                <w:color w:val="auto"/>
              </w:rPr>
            </w:pPr>
            <w:r>
              <w:rPr>
                <w:rFonts w:ascii="Arial" w:cs="Arial" w:eastAsia="Arial" w:hAnsi="Arial"/>
                <w:sz w:val="18"/>
                <w:szCs w:val="18"/>
                <w:color w:val="auto"/>
              </w:rPr>
              <w:t>Weighted average shares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w:t>
            </w:r>
          </w:p>
        </w:tc>
      </w:tr>
    </w:tbl>
    <w:p>
      <w:pPr>
        <w:spacing w:after="0" w:line="28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5" w:lineRule="exact"/>
        <w:rPr>
          <w:sz w:val="20"/>
          <w:szCs w:val="20"/>
          <w:color w:val="auto"/>
        </w:rPr>
      </w:pPr>
    </w:p>
    <w:p>
      <w:pPr>
        <w:ind w:left="820" w:right="40" w:hanging="326"/>
        <w:spacing w:after="0" w:line="210" w:lineRule="auto"/>
        <w:tabs>
          <w:tab w:leader="none" w:pos="820" w:val="left"/>
        </w:tabs>
        <w:numPr>
          <w:ilvl w:val="1"/>
          <w:numId w:val="82"/>
        </w:numPr>
        <w:rPr>
          <w:rFonts w:ascii="Arial" w:cs="Arial" w:eastAsia="Arial" w:hAnsi="Arial"/>
          <w:sz w:val="22"/>
          <w:szCs w:val="22"/>
          <w:color w:val="auto"/>
          <w:vertAlign w:val="superscript"/>
        </w:rPr>
      </w:pPr>
      <w:r>
        <w:rPr>
          <w:rFonts w:ascii="Arial" w:cs="Arial" w:eastAsia="Arial" w:hAnsi="Arial"/>
          <w:sz w:val="16"/>
          <w:szCs w:val="16"/>
          <w:color w:val="auto"/>
        </w:rPr>
        <w:t>Net income for the third quarter 2018 included additional tax expense of $30 million resulting from the completion of the accounting for the effects of the Tax Act for the one-time transition tax on the deemed repatriation of cumulative foreign subsidiary earnings.</w:t>
      </w:r>
    </w:p>
    <w:p>
      <w:pPr>
        <w:spacing w:after="0" w:line="160"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sz w:val="20"/>
          <w:szCs w:val="20"/>
          <w:color w:val="auto"/>
        </w:rPr>
      </w:pPr>
    </w:p>
    <w:p>
      <w:pPr>
        <w:ind w:left="500" w:right="300"/>
        <w:spacing w:after="0" w:line="262" w:lineRule="auto"/>
        <w:rPr>
          <w:sz w:val="20"/>
          <w:szCs w:val="20"/>
          <w:color w:val="auto"/>
        </w:rPr>
      </w:pPr>
      <w:r>
        <w:rPr>
          <w:rFonts w:ascii="Arial" w:cs="Arial" w:eastAsia="Arial" w:hAnsi="Arial"/>
          <w:sz w:val="18"/>
          <w:szCs w:val="18"/>
          <w:color w:val="auto"/>
        </w:rPr>
        <w:t>In January 2020, the Company’s Avis Budget Rental Car Funding subsidiary issued approximately $700 million in asset-backed notes with an expected final payment date of August 2025 incurring interest at a weighted average rate of 2.42%.</w:t>
      </w:r>
    </w:p>
    <w:p>
      <w:pPr>
        <w:spacing w:after="0" w:line="196"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On January 27, 2020, a short-term stockholder rights plan was adopted, which expires on January 26, 2021. Pursuant to the rights plan, the Company declared a dividend of one common share purchase right for each outstanding share of common stock, payable to holders of record as of the close of business on February 7, 2020. Each right, which is exercisable only in the event any person or group acquires a voting or economic position of 20% or more of the Company’s outstanding common stock (with certain limited exceptions), would entitle any holder other than the person or group whose ownership position has exceeded the ownership limit to purchase common stock having a value equal to twice the $110 exercise price of the right, or, at the election of the Board of Directors, to exchange each right for one share of common stock (subject to adjustment).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140"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ind w:left="500" w:right="180"/>
        <w:spacing w:after="0" w:line="256" w:lineRule="auto"/>
        <w:rPr>
          <w:sz w:val="20"/>
          <w:szCs w:val="20"/>
          <w:color w:val="auto"/>
        </w:rPr>
      </w:pPr>
      <w:r>
        <w:rPr>
          <w:rFonts w:ascii="Arial" w:cs="Arial" w:eastAsia="Arial" w:hAnsi="Arial"/>
          <w:sz w:val="18"/>
          <w:szCs w:val="18"/>
          <w:color w:val="auto"/>
        </w:rPr>
        <w:t>In February 2020, the Company amended its Floating Rate Term Loan due 2025 to extend its maturity term to 2027 and to reduce its interest to one-month LIBOR plus 1.75%. The Company increased its outstanding borrowing to $1.2 billion and will use the additional proceeds from the offering to redeem $100 million of its outstanding 5½% Senior Notes due 2023.</w:t>
      </w:r>
    </w:p>
    <w:p>
      <w:pPr>
        <w:spacing w:after="0" w:line="202"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On February 10, 2020, the Company announced it had appointed a new Chairman of the Board of Directors and in connection with this appointment, the new Chairman purchased an aggregate $15 million of unregistered shares of the Company’s common stock at a price per share equal to the closing price of the Company’s common stock on February 7, 2020.</w:t>
      </w: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240" w:top="140" w:right="41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Balance at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Beginning</w:t>
            </w:r>
          </w:p>
        </w:tc>
        <w:tc>
          <w:tcPr>
            <w:tcW w:w="200" w:type="dxa"/>
            <w:vAlign w:val="bottom"/>
          </w:tcPr>
          <w:p>
            <w:pPr>
              <w:spacing w:after="0"/>
              <w:rPr>
                <w:sz w:val="17"/>
                <w:szCs w:val="17"/>
                <w:color w:val="auto"/>
              </w:rPr>
            </w:pPr>
          </w:p>
        </w:tc>
        <w:tc>
          <w:tcPr>
            <w:tcW w:w="118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Expense</w:t>
            </w:r>
          </w:p>
        </w:tc>
        <w:tc>
          <w:tcPr>
            <w:tcW w:w="180" w:type="dxa"/>
            <w:vAlign w:val="bottom"/>
          </w:tcPr>
          <w:p>
            <w:pPr>
              <w:spacing w:after="0"/>
              <w:rPr>
                <w:sz w:val="17"/>
                <w:szCs w:val="17"/>
                <w:color w:val="auto"/>
              </w:rPr>
            </w:pPr>
          </w:p>
        </w:tc>
        <w:tc>
          <w:tcPr>
            <w:tcW w:w="1640" w:type="dxa"/>
            <w:vAlign w:val="bottom"/>
            <w:gridSpan w:val="2"/>
          </w:tcPr>
          <w:p>
            <w:pPr>
              <w:ind w:left="440"/>
              <w:spacing w:after="0" w:line="202" w:lineRule="exact"/>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Balance at End</w:t>
            </w:r>
          </w:p>
        </w:tc>
      </w:tr>
      <w:tr>
        <w:trPr>
          <w:trHeight w:val="252"/>
        </w:trPr>
        <w:tc>
          <w:tcPr>
            <w:tcW w:w="376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of Period</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(Benefit)</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Adjustments</w:t>
            </w:r>
            <w:r>
              <w:rPr>
                <w:rFonts w:ascii="Arial" w:cs="Arial" w:eastAsia="Arial" w:hAnsi="Arial"/>
                <w:sz w:val="21"/>
                <w:szCs w:val="21"/>
                <w:b w:val="1"/>
                <w:bCs w:val="1"/>
                <w:color w:val="auto"/>
                <w:w w:val="99"/>
                <w:vertAlign w:val="superscript"/>
              </w:rPr>
              <w:t>(a)</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Deductions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of Period</w:t>
            </w:r>
          </w:p>
        </w:tc>
      </w:tr>
      <w:tr>
        <w:trPr>
          <w:trHeight w:val="237"/>
        </w:trPr>
        <w:tc>
          <w:tcPr>
            <w:tcW w:w="388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388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4"/>
        </w:trPr>
        <w:tc>
          <w:tcPr>
            <w:tcW w:w="376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0"/>
        </w:trPr>
        <w:tc>
          <w:tcPr>
            <w:tcW w:w="376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0"/>
        </w:trPr>
        <w:tc>
          <w:tcPr>
            <w:tcW w:w="376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486"/>
        </w:trPr>
        <w:tc>
          <w:tcPr>
            <w:tcW w:w="3880" w:type="dxa"/>
            <w:vAlign w:val="bottom"/>
            <w:gridSpan w:val="2"/>
          </w:tcPr>
          <w:p>
            <w:pPr>
              <w:ind w:left="40"/>
              <w:spacing w:after="0"/>
              <w:rPr>
                <w:sz w:val="20"/>
                <w:szCs w:val="20"/>
                <w:color w:val="auto"/>
              </w:rPr>
            </w:pPr>
            <w:r>
              <w:rPr>
                <w:rFonts w:ascii="Arial" w:cs="Arial" w:eastAsia="Arial" w:hAnsi="Arial"/>
                <w:sz w:val="18"/>
                <w:szCs w:val="18"/>
                <w:b w:val="1"/>
                <w:bCs w:val="1"/>
                <w:color w:val="auto"/>
              </w:rPr>
              <w:t>Tax Valuation Allowance:</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388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4"/>
        </w:trPr>
        <w:tc>
          <w:tcPr>
            <w:tcW w:w="3760" w:type="dxa"/>
            <w:vAlign w:val="bottom"/>
          </w:tcPr>
          <w:p>
            <w:pPr>
              <w:ind w:left="3340"/>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0"/>
        </w:trPr>
        <w:tc>
          <w:tcPr>
            <w:tcW w:w="3760" w:type="dxa"/>
            <w:vAlign w:val="bottom"/>
          </w:tcPr>
          <w:p>
            <w:pPr>
              <w:ind w:left="3340"/>
              <w:spacing w:after="0"/>
              <w:rPr>
                <w:sz w:val="20"/>
                <w:szCs w:val="20"/>
                <w:color w:val="auto"/>
              </w:rPr>
            </w:pPr>
            <w:r>
              <w:rPr>
                <w:rFonts w:ascii="Arial" w:cs="Arial" w:eastAsia="Arial" w:hAnsi="Arial"/>
                <w:sz w:val="18"/>
                <w:szCs w:val="18"/>
                <w:color w:val="auto"/>
                <w:w w:val="99"/>
              </w:rPr>
              <w:t>2018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270"/>
        </w:trPr>
        <w:tc>
          <w:tcPr>
            <w:tcW w:w="3760" w:type="dxa"/>
            <w:vAlign w:val="bottom"/>
          </w:tcPr>
          <w:p>
            <w:pPr>
              <w:ind w:left="3340"/>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331</w:t>
            </w: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ind w:left="340" w:hanging="332"/>
        <w:spacing w:after="0" w:line="205" w:lineRule="auto"/>
        <w:tabs>
          <w:tab w:leader="none" w:pos="34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Other adjustments relate to currency translation adjustments.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140"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EXHIBIT NO.</w:t>
            </w:r>
          </w:p>
        </w:tc>
        <w:tc>
          <w:tcPr>
            <w:tcW w:w="12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140" w:type="dxa"/>
            <w:vAlign w:val="bottom"/>
            <w:tcBorders>
              <w:top w:val="single" w:sz="8" w:color="auto"/>
              <w:right w:val="single" w:sz="8" w:color="auto"/>
            </w:tcBorders>
            <w:gridSpan w:val="40"/>
          </w:tcPr>
          <w:p>
            <w:pPr>
              <w:spacing w:after="0"/>
              <w:rPr>
                <w:sz w:val="20"/>
                <w:szCs w:val="20"/>
                <w:color w:val="auto"/>
              </w:rPr>
            </w:pPr>
            <w:r>
              <w:rPr>
                <w:rFonts w:ascii="Arial" w:cs="Arial" w:eastAsia="Arial" w:hAnsi="Arial"/>
                <w:sz w:val="16"/>
                <w:szCs w:val="16"/>
                <w:color w:val="auto"/>
              </w:rPr>
              <w:t>DESCRIPTION</w:t>
            </w:r>
          </w:p>
        </w:tc>
      </w:tr>
      <w:tr>
        <w:trPr>
          <w:trHeight w:val="47"/>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2.1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0"/>
          </w:tcPr>
          <w:p>
            <w:pPr>
              <w:spacing w:after="0" w:line="183" w:lineRule="exact"/>
              <w:rPr>
                <w:rFonts w:ascii="Arial" w:cs="Arial" w:eastAsia="Arial" w:hAnsi="Arial"/>
                <w:sz w:val="16"/>
                <w:szCs w:val="16"/>
                <w:color w:val="0000FF"/>
              </w:rPr>
            </w:pPr>
            <w:hyperlink r:id="rId135">
              <w:r>
                <w:rPr>
                  <w:rFonts w:ascii="Arial" w:cs="Arial" w:eastAsia="Arial" w:hAnsi="Arial"/>
                  <w:sz w:val="16"/>
                  <w:szCs w:val="16"/>
                  <w:color w:val="0000FF"/>
                </w:rPr>
                <w:t>Separation and Distribution Agreement by and among Cendant Corporation*, Realogy Corporation, Wyndham Worldwide Corporation and</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135">
              <w:r>
                <w:rPr>
                  <w:rFonts w:ascii="Arial" w:cs="Arial" w:eastAsia="Arial" w:hAnsi="Arial"/>
                  <w:sz w:val="16"/>
                  <w:szCs w:val="16"/>
                  <w:color w:val="0000FF"/>
                </w:rPr>
                <w:t>Travelport Inc., dated as of July 27, 2006 (Incorporated by reference to Exhibit 2.1 to the Company’s Current Report on Form 8-K dated</w:t>
              </w:r>
            </w:hyperlink>
          </w:p>
        </w:tc>
        <w:tc>
          <w:tcPr>
            <w:tcW w:w="260" w:type="dxa"/>
            <w:vAlign w:val="bottom"/>
            <w:tcBorders>
              <w:right w:val="single" w:sz="8" w:color="auto"/>
            </w:tcBorders>
            <w:gridSpan w:val="11"/>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135">
              <w:r>
                <w:rPr>
                  <w:rFonts w:ascii="Arial" w:cs="Arial" w:eastAsia="Arial" w:hAnsi="Arial"/>
                  <w:sz w:val="16"/>
                  <w:szCs w:val="16"/>
                  <w:color w:val="0000FF"/>
                </w:rPr>
                <w:t>August 1, 2006).</w:t>
              </w:r>
            </w:hyperlink>
          </w:p>
        </w:tc>
        <w:tc>
          <w:tcPr>
            <w:tcW w:w="460" w:type="dxa"/>
            <w:vAlign w:val="bottom"/>
            <w:tcBorders>
              <w:right w:val="single" w:sz="8" w:color="auto"/>
            </w:tcBorders>
            <w:gridSpan w:val="16"/>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2.2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bottom w:val="single" w:sz="8" w:color="0000FF"/>
            </w:tcBorders>
            <w:gridSpan w:val="39"/>
          </w:tcPr>
          <w:p>
            <w:pPr>
              <w:spacing w:after="0" w:line="183" w:lineRule="exact"/>
              <w:rPr>
                <w:rFonts w:ascii="Arial" w:cs="Arial" w:eastAsia="Arial" w:hAnsi="Arial"/>
                <w:sz w:val="16"/>
                <w:szCs w:val="16"/>
                <w:color w:val="0000FF"/>
              </w:rPr>
            </w:pPr>
            <w:hyperlink r:id="rId136">
              <w:r>
                <w:rPr>
                  <w:rFonts w:ascii="Arial" w:cs="Arial" w:eastAsia="Arial" w:hAnsi="Arial"/>
                  <w:sz w:val="16"/>
                  <w:szCs w:val="16"/>
                  <w:color w:val="0000FF"/>
                </w:rPr>
                <w:t>Letter Agreement dated August 23, 2006 related to the Separation and Distribution Agreement by and among Realogy Corporation, Cendant</w:t>
              </w:r>
            </w:hyperlink>
          </w:p>
        </w:tc>
        <w:tc>
          <w:tcPr>
            <w:tcW w:w="60" w:type="dxa"/>
            <w:vAlign w:val="bottom"/>
            <w:tcBorders>
              <w:right w:val="single" w:sz="8" w:color="auto"/>
            </w:tcBorders>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bottom w:val="single" w:sz="8" w:color="0000FF"/>
            </w:tcBorders>
            <w:gridSpan w:val="39"/>
          </w:tcPr>
          <w:p>
            <w:pPr>
              <w:spacing w:after="0" w:line="169" w:lineRule="exact"/>
              <w:rPr>
                <w:rFonts w:ascii="Arial" w:cs="Arial" w:eastAsia="Arial" w:hAnsi="Arial"/>
                <w:sz w:val="16"/>
                <w:szCs w:val="16"/>
                <w:color w:val="0000FF"/>
              </w:rPr>
            </w:pPr>
            <w:hyperlink r:id="rId136">
              <w:r>
                <w:rPr>
                  <w:rFonts w:ascii="Arial" w:cs="Arial" w:eastAsia="Arial" w:hAnsi="Arial"/>
                  <w:sz w:val="16"/>
                  <w:szCs w:val="16"/>
                  <w:color w:val="0000FF"/>
                </w:rPr>
                <w:t>Corporation*, Wyndham Worldwide Corporation and Travelport Inc. dated as of July 27, 2006 (Incorporated by reference to Exhibit 2.2 to the</w:t>
              </w:r>
            </w:hyperlink>
          </w:p>
        </w:tc>
        <w:tc>
          <w:tcPr>
            <w:tcW w:w="60" w:type="dxa"/>
            <w:vAlign w:val="bottom"/>
            <w:tcBorders>
              <w:right w:val="single" w:sz="8" w:color="auto"/>
            </w:tcBorders>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36">
              <w:r>
                <w:rPr>
                  <w:rFonts w:ascii="Arial" w:cs="Arial" w:eastAsia="Arial" w:hAnsi="Arial"/>
                  <w:sz w:val="16"/>
                  <w:szCs w:val="16"/>
                  <w:color w:val="0000FF"/>
                </w:rPr>
                <w:t>Company’s Quarterly Report on Form 10-Q for the period ended June 30, 2007, dated August 8,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2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3.1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bottom w:val="single" w:sz="8" w:color="0000FF"/>
            </w:tcBorders>
            <w:gridSpan w:val="27"/>
          </w:tcPr>
          <w:p>
            <w:pPr>
              <w:spacing w:after="0" w:line="183" w:lineRule="exact"/>
              <w:rPr>
                <w:rFonts w:ascii="Arial" w:cs="Arial" w:eastAsia="Arial" w:hAnsi="Arial"/>
                <w:sz w:val="16"/>
                <w:szCs w:val="16"/>
                <w:color w:val="0000FF"/>
              </w:rPr>
            </w:pPr>
            <w:hyperlink r:id="rId137">
              <w:r>
                <w:rPr>
                  <w:rFonts w:ascii="Arial" w:cs="Arial" w:eastAsia="Arial" w:hAnsi="Arial"/>
                  <w:sz w:val="16"/>
                  <w:szCs w:val="16"/>
                  <w:color w:val="0000FF"/>
                </w:rPr>
                <w:t>Amended and Restated Certificate of Incorporation of Avis Budget Group, Inc. (Incorporated by reference to Exhibit 3.1 to the Company’s</w:t>
              </w:r>
            </w:hyperlink>
          </w:p>
        </w:tc>
        <w:tc>
          <w:tcPr>
            <w:tcW w:w="300" w:type="dxa"/>
            <w:vAlign w:val="bottom"/>
            <w:tcBorders>
              <w:right w:val="single" w:sz="8" w:color="auto"/>
            </w:tcBorders>
            <w:gridSpan w:val="1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37">
              <w:r>
                <w:rPr>
                  <w:rFonts w:ascii="Arial" w:cs="Arial" w:eastAsia="Arial" w:hAnsi="Arial"/>
                  <w:sz w:val="16"/>
                  <w:szCs w:val="16"/>
                  <w:color w:val="0000FF"/>
                </w:rPr>
                <w:t>Current Report on Form 8-K dated September 5,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3.2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tcBorders>
              <w:bottom w:val="single" w:sz="8" w:color="0000FF"/>
            </w:tcBorders>
            <w:gridSpan w:val="34"/>
          </w:tcPr>
          <w:p>
            <w:pPr>
              <w:spacing w:after="0" w:line="183" w:lineRule="exact"/>
              <w:rPr>
                <w:rFonts w:ascii="Arial" w:cs="Arial" w:eastAsia="Arial" w:hAnsi="Arial"/>
                <w:sz w:val="16"/>
                <w:szCs w:val="16"/>
                <w:color w:val="0000FF"/>
              </w:rPr>
            </w:pPr>
            <w:hyperlink r:id="rId138">
              <w:r>
                <w:rPr>
                  <w:rFonts w:ascii="Arial" w:cs="Arial" w:eastAsia="Arial" w:hAnsi="Arial"/>
                  <w:sz w:val="16"/>
                  <w:szCs w:val="16"/>
                  <w:color w:val="0000FF"/>
                </w:rPr>
                <w:t>Amended and Restated By-Laws of Avis Budget Group, Inc. as of May 23, 2018 (Incorporated by reference to Exhibit 3.2 to the Company’s</w:t>
              </w:r>
            </w:hyperlink>
          </w:p>
        </w:tc>
        <w:tc>
          <w:tcPr>
            <w:tcW w:w="160" w:type="dxa"/>
            <w:vAlign w:val="bottom"/>
            <w:tcBorders>
              <w:right w:val="single" w:sz="8" w:color="auto"/>
            </w:tcBorders>
            <w:gridSpan w:val="6"/>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38">
              <w:r>
                <w:rPr>
                  <w:rFonts w:ascii="Arial" w:cs="Arial" w:eastAsia="Arial" w:hAnsi="Arial"/>
                  <w:sz w:val="16"/>
                  <w:szCs w:val="16"/>
                  <w:color w:val="0000FF"/>
                </w:rPr>
                <w:t>Current Report on Form 8-K dated May 24, 2018).</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bottom w:val="single" w:sz="8" w:color="0000FF"/>
            </w:tcBorders>
            <w:gridSpan w:val="25"/>
          </w:tcPr>
          <w:p>
            <w:pPr>
              <w:spacing w:after="0" w:line="183" w:lineRule="exact"/>
              <w:rPr>
                <w:rFonts w:ascii="Arial" w:cs="Arial" w:eastAsia="Arial" w:hAnsi="Arial"/>
                <w:sz w:val="16"/>
                <w:szCs w:val="16"/>
                <w:color w:val="0000FF"/>
              </w:rPr>
            </w:pPr>
            <w:hyperlink r:id="rId139">
              <w:r>
                <w:rPr>
                  <w:rFonts w:ascii="Arial" w:cs="Arial" w:eastAsia="Arial" w:hAnsi="Arial"/>
                  <w:sz w:val="16"/>
                  <w:szCs w:val="16"/>
                  <w:color w:val="0000FF"/>
                </w:rPr>
                <w:t>Indenture, dated as of April 3, 2013, among Avis Budget Car Rental, LLC and Avis Budget Finance, Inc., as Issuers, the Guarantors from</w:t>
              </w:r>
            </w:hyperlink>
          </w:p>
        </w:tc>
        <w:tc>
          <w:tcPr>
            <w:tcW w:w="340" w:type="dxa"/>
            <w:vAlign w:val="bottom"/>
            <w:tcBorders>
              <w:right w:val="single" w:sz="8" w:color="auto"/>
            </w:tcBorders>
            <w:gridSpan w:val="1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bottom w:val="single" w:sz="8" w:color="0000FF"/>
            </w:tcBorders>
            <w:gridSpan w:val="39"/>
          </w:tcPr>
          <w:p>
            <w:pPr>
              <w:spacing w:after="0" w:line="169" w:lineRule="exact"/>
              <w:rPr>
                <w:rFonts w:ascii="Arial" w:cs="Arial" w:eastAsia="Arial" w:hAnsi="Arial"/>
                <w:sz w:val="16"/>
                <w:szCs w:val="16"/>
                <w:color w:val="0000FF"/>
              </w:rPr>
            </w:pPr>
            <w:hyperlink r:id="rId139">
              <w:r>
                <w:rPr>
                  <w:rFonts w:ascii="Arial" w:cs="Arial" w:eastAsia="Arial" w:hAnsi="Arial"/>
                  <w:sz w:val="16"/>
                  <w:szCs w:val="16"/>
                  <w:color w:val="0000FF"/>
                </w:rPr>
                <w:t>time to time parties thereto and The Bank of Nova Scotia Trust Company of New York as Trustee (Incorporated by reference to Exhibit 4.1 to</w:t>
              </w:r>
            </w:hyperlink>
          </w:p>
        </w:tc>
        <w:tc>
          <w:tcPr>
            <w:tcW w:w="60" w:type="dxa"/>
            <w:vAlign w:val="bottom"/>
            <w:tcBorders>
              <w:right w:val="single" w:sz="8" w:color="auto"/>
            </w:tcBorders>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39">
              <w:r>
                <w:rPr>
                  <w:rFonts w:ascii="Arial" w:cs="Arial" w:eastAsia="Arial" w:hAnsi="Arial"/>
                  <w:sz w:val="16"/>
                  <w:szCs w:val="16"/>
                  <w:color w:val="0000FF"/>
                </w:rPr>
                <w:t>the Company’s Current Report on Form 8-K dated April 8, 2013).</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4.1(a)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140">
              <w:r>
                <w:rPr>
                  <w:rFonts w:ascii="Arial" w:cs="Arial" w:eastAsia="Arial" w:hAnsi="Arial"/>
                  <w:sz w:val="16"/>
                  <w:szCs w:val="16"/>
                  <w:color w:val="0000FF"/>
                </w:rPr>
                <w:t>Supplemental Indenture, dated as of June 21, 2013, to the Indenture, dated as of April 3, 2013, by and among Avis Budget Finance plc, as</w:t>
              </w:r>
            </w:hyperlink>
          </w:p>
        </w:tc>
        <w:tc>
          <w:tcPr>
            <w:tcW w:w="200" w:type="dxa"/>
            <w:vAlign w:val="bottom"/>
            <w:tcBorders>
              <w:right w:val="single" w:sz="8" w:color="auto"/>
            </w:tcBorders>
            <w:gridSpan w:val="8"/>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140">
              <w:r>
                <w:rPr>
                  <w:rFonts w:ascii="Arial" w:cs="Arial" w:eastAsia="Arial" w:hAnsi="Arial"/>
                  <w:sz w:val="16"/>
                  <w:szCs w:val="16"/>
                  <w:color w:val="0000FF"/>
                </w:rPr>
                <w:t>Issuer, the Guarantors from time to time parties thereto and The Bank of Nova Scotia Trust Company of New York as Trustee (Incorporated</w:t>
              </w:r>
            </w:hyperlink>
          </w:p>
        </w:tc>
        <w:tc>
          <w:tcPr>
            <w:tcW w:w="160" w:type="dxa"/>
            <w:vAlign w:val="bottom"/>
            <w:tcBorders>
              <w:right w:val="single" w:sz="8" w:color="auto"/>
            </w:tcBorders>
            <w:gridSpan w:val="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0">
              <w:r>
                <w:rPr>
                  <w:rFonts w:ascii="Arial" w:cs="Arial" w:eastAsia="Arial" w:hAnsi="Arial"/>
                  <w:sz w:val="16"/>
                  <w:szCs w:val="16"/>
                  <w:color w:val="0000FF"/>
                </w:rPr>
                <w:t>by reference to Exhibit 4.12(b) to Avis Budget Car Rental, LLC and Avis Budget Finance, Inc.’s Registration Statement on Form S-4,</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140">
              <w:r>
                <w:rPr>
                  <w:rFonts w:ascii="Arial" w:cs="Arial" w:eastAsia="Arial" w:hAnsi="Arial"/>
                  <w:sz w:val="16"/>
                  <w:szCs w:val="16"/>
                  <w:color w:val="0000FF"/>
                </w:rPr>
                <w:t>Registration No.</w:t>
              </w:r>
            </w:hyperlink>
          </w:p>
        </w:tc>
        <w:tc>
          <w:tcPr>
            <w:tcW w:w="680" w:type="dxa"/>
            <w:vAlign w:val="bottom"/>
            <w:tcBorders>
              <w:right w:val="single" w:sz="8" w:color="auto"/>
            </w:tcBorders>
            <w:gridSpan w:val="18"/>
          </w:tcPr>
          <w:p>
            <w:pPr>
              <w:spacing w:after="0"/>
              <w:rPr>
                <w:sz w:val="14"/>
                <w:szCs w:val="14"/>
                <w:color w:val="auto"/>
              </w:rPr>
            </w:pPr>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0">
              <w:r>
                <w:rPr>
                  <w:rFonts w:ascii="Arial" w:cs="Arial" w:eastAsia="Arial" w:hAnsi="Arial"/>
                  <w:sz w:val="16"/>
                  <w:szCs w:val="16"/>
                  <w:color w:val="0000FF"/>
                </w:rPr>
                <w:t>333-189524, dated June 21, 2013).</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bottom w:val="single" w:sz="8" w:color="0000FF"/>
            </w:tcBorders>
            <w:gridSpan w:val="39"/>
          </w:tcPr>
          <w:p>
            <w:pPr>
              <w:spacing w:after="0" w:line="183" w:lineRule="exact"/>
              <w:rPr>
                <w:rFonts w:ascii="Arial" w:cs="Arial" w:eastAsia="Arial" w:hAnsi="Arial"/>
                <w:sz w:val="16"/>
                <w:szCs w:val="16"/>
                <w:color w:val="0000FF"/>
              </w:rPr>
            </w:pPr>
            <w:hyperlink r:id="rId141">
              <w:r>
                <w:rPr>
                  <w:rFonts w:ascii="Arial" w:cs="Arial" w:eastAsia="Arial" w:hAnsi="Arial"/>
                  <w:sz w:val="16"/>
                  <w:szCs w:val="16"/>
                  <w:color w:val="0000FF"/>
                </w:rPr>
                <w:t>Form of 5.50% Senior Notes due 2023 (Incorporated by reference to Exhibit 4.2 to the Company’s Current Report on Form 8-K dated April 8,</w:t>
              </w:r>
            </w:hyperlink>
          </w:p>
        </w:tc>
        <w:tc>
          <w:tcPr>
            <w:tcW w:w="60" w:type="dxa"/>
            <w:vAlign w:val="bottom"/>
            <w:tcBorders>
              <w:right w:val="single" w:sz="8" w:color="auto"/>
            </w:tcBorders>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760" w:type="dxa"/>
            <w:vAlign w:val="bottom"/>
            <w:gridSpan w:val="3"/>
          </w:tcPr>
          <w:p>
            <w:pPr>
              <w:ind w:left="20"/>
              <w:spacing w:after="0" w:line="169" w:lineRule="exact"/>
              <w:rPr>
                <w:rFonts w:ascii="Arial" w:cs="Arial" w:eastAsia="Arial" w:hAnsi="Arial"/>
                <w:sz w:val="16"/>
                <w:szCs w:val="16"/>
                <w:color w:val="0000FF"/>
              </w:rPr>
            </w:pPr>
            <w:hyperlink r:id="rId141">
              <w:r>
                <w:rPr>
                  <w:rFonts w:ascii="Arial" w:cs="Arial" w:eastAsia="Arial" w:hAnsi="Arial"/>
                  <w:sz w:val="16"/>
                  <w:szCs w:val="16"/>
                  <w:color w:val="0000FF"/>
                </w:rPr>
                <w:t>2013).</w:t>
              </w:r>
            </w:hyperlink>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142">
              <w:r>
                <w:rPr>
                  <w:rFonts w:ascii="Arial" w:cs="Arial" w:eastAsia="Arial" w:hAnsi="Arial"/>
                  <w:sz w:val="16"/>
                  <w:szCs w:val="16"/>
                  <w:color w:val="0000FF"/>
                </w:rPr>
                <w:t>Indenture dated as of March 11, 2015 among Avis Budget Car Rental, LLC and Avis Budget Finance, Inc., as Issuers, the Guarantors from</w:t>
              </w:r>
            </w:hyperlink>
          </w:p>
        </w:tc>
        <w:tc>
          <w:tcPr>
            <w:tcW w:w="200" w:type="dxa"/>
            <w:vAlign w:val="bottom"/>
            <w:tcBorders>
              <w:right w:val="single" w:sz="8" w:color="auto"/>
            </w:tcBorders>
            <w:gridSpan w:val="8"/>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bottom w:val="single" w:sz="8" w:color="0000FF"/>
            </w:tcBorders>
            <w:gridSpan w:val="39"/>
          </w:tcPr>
          <w:p>
            <w:pPr>
              <w:spacing w:after="0" w:line="169" w:lineRule="exact"/>
              <w:rPr>
                <w:rFonts w:ascii="Arial" w:cs="Arial" w:eastAsia="Arial" w:hAnsi="Arial"/>
                <w:sz w:val="16"/>
                <w:szCs w:val="16"/>
                <w:color w:val="0000FF"/>
              </w:rPr>
            </w:pPr>
            <w:hyperlink r:id="rId142">
              <w:r>
                <w:rPr>
                  <w:rFonts w:ascii="Arial" w:cs="Arial" w:eastAsia="Arial" w:hAnsi="Arial"/>
                  <w:sz w:val="16"/>
                  <w:szCs w:val="16"/>
                  <w:color w:val="0000FF"/>
                </w:rPr>
                <w:t>time to time parties thereto and The Bank of Nova Scotia Trust Company of New York as Trustee (Incorporated by reference to Exhibit 4.1 to</w:t>
              </w:r>
            </w:hyperlink>
          </w:p>
        </w:tc>
        <w:tc>
          <w:tcPr>
            <w:tcW w:w="60" w:type="dxa"/>
            <w:vAlign w:val="bottom"/>
            <w:tcBorders>
              <w:right w:val="single" w:sz="8" w:color="auto"/>
            </w:tcBorders>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2">
              <w:r>
                <w:rPr>
                  <w:rFonts w:ascii="Arial" w:cs="Arial" w:eastAsia="Arial" w:hAnsi="Arial"/>
                  <w:sz w:val="16"/>
                  <w:szCs w:val="16"/>
                  <w:color w:val="0000FF"/>
                </w:rPr>
                <w:t>the Company’s Current Report on Form 8-K dated March 17, 2015).</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bottom w:val="single" w:sz="8" w:color="0000FF"/>
            </w:tcBorders>
            <w:gridSpan w:val="38"/>
          </w:tcPr>
          <w:p>
            <w:pPr>
              <w:spacing w:after="0" w:line="183" w:lineRule="exact"/>
              <w:rPr>
                <w:rFonts w:ascii="Arial" w:cs="Arial" w:eastAsia="Arial" w:hAnsi="Arial"/>
                <w:sz w:val="16"/>
                <w:szCs w:val="16"/>
                <w:color w:val="0000FF"/>
              </w:rPr>
            </w:pPr>
            <w:hyperlink r:id="rId143">
              <w:r>
                <w:rPr>
                  <w:rFonts w:ascii="Arial" w:cs="Arial" w:eastAsia="Arial" w:hAnsi="Arial"/>
                  <w:sz w:val="16"/>
                  <w:szCs w:val="16"/>
                  <w:color w:val="0000FF"/>
                </w:rPr>
                <w:t>Form of 5.25% Senior Notes Due 2025 (Incorporated by reference to Exhibit 4.2 to the Company’s Current Report on Form 8-K dated March</w:t>
              </w:r>
            </w:hyperlink>
          </w:p>
        </w:tc>
        <w:tc>
          <w:tcPr>
            <w:tcW w:w="60" w:type="dxa"/>
            <w:vAlign w:val="bottom"/>
            <w:tcBorders>
              <w:right w:val="single" w:sz="8" w:color="auto"/>
            </w:tcBorders>
            <w:gridSpan w:val="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180" w:type="dxa"/>
            <w:vAlign w:val="bottom"/>
            <w:gridSpan w:val="4"/>
          </w:tcPr>
          <w:p>
            <w:pPr>
              <w:ind w:left="20"/>
              <w:spacing w:after="0" w:line="169" w:lineRule="exact"/>
              <w:rPr>
                <w:rFonts w:ascii="Arial" w:cs="Arial" w:eastAsia="Arial" w:hAnsi="Arial"/>
                <w:sz w:val="16"/>
                <w:szCs w:val="16"/>
                <w:color w:val="0000FF"/>
              </w:rPr>
            </w:pPr>
            <w:hyperlink r:id="rId143">
              <w:r>
                <w:rPr>
                  <w:rFonts w:ascii="Arial" w:cs="Arial" w:eastAsia="Arial" w:hAnsi="Arial"/>
                  <w:sz w:val="16"/>
                  <w:szCs w:val="16"/>
                  <w:color w:val="0000FF"/>
                </w:rPr>
                <w:t>17, 2015).</w:t>
              </w:r>
            </w:hyperlink>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bottom w:val="single" w:sz="8" w:color="0000FF"/>
            </w:tcBorders>
            <w:gridSpan w:val="38"/>
          </w:tcPr>
          <w:p>
            <w:pPr>
              <w:spacing w:after="0" w:line="183" w:lineRule="exact"/>
              <w:rPr>
                <w:rFonts w:ascii="Arial" w:cs="Arial" w:eastAsia="Arial" w:hAnsi="Arial"/>
                <w:sz w:val="16"/>
                <w:szCs w:val="16"/>
                <w:color w:val="0000FF"/>
              </w:rPr>
            </w:pPr>
            <w:hyperlink r:id="rId144">
              <w:r>
                <w:rPr>
                  <w:rFonts w:ascii="Arial" w:cs="Arial" w:eastAsia="Arial" w:hAnsi="Arial"/>
                  <w:sz w:val="16"/>
                  <w:szCs w:val="16"/>
                  <w:color w:val="0000FF"/>
                </w:rPr>
                <w:t>Indenture dated as of March 29, 2016 for the 6.375% Senior Notes due 2024, among Avis Budget Car Rental LLC and Avis Budget Finance,</w:t>
              </w:r>
            </w:hyperlink>
          </w:p>
        </w:tc>
        <w:tc>
          <w:tcPr>
            <w:tcW w:w="60" w:type="dxa"/>
            <w:vAlign w:val="bottom"/>
            <w:tcBorders>
              <w:right w:val="single" w:sz="8" w:color="auto"/>
            </w:tcBorders>
            <w:gridSpan w:val="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4">
              <w:r>
                <w:rPr>
                  <w:rFonts w:ascii="Arial" w:cs="Arial" w:eastAsia="Arial" w:hAnsi="Arial"/>
                  <w:sz w:val="16"/>
                  <w:szCs w:val="16"/>
                  <w:color w:val="0000FF"/>
                </w:rPr>
                <w:t>Inc. as Issuers the Guarantors from time to time parties thereto and Deutsche Bank Trust Company Americas as Trustee (Incorporated by</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28"/>
          </w:tcPr>
          <w:p>
            <w:pPr>
              <w:spacing w:after="0" w:line="169" w:lineRule="exact"/>
              <w:rPr>
                <w:rFonts w:ascii="Arial" w:cs="Arial" w:eastAsia="Arial" w:hAnsi="Arial"/>
                <w:sz w:val="16"/>
                <w:szCs w:val="16"/>
                <w:color w:val="0000FF"/>
              </w:rPr>
            </w:pPr>
            <w:hyperlink r:id="rId144">
              <w:r>
                <w:rPr>
                  <w:rFonts w:ascii="Arial" w:cs="Arial" w:eastAsia="Arial" w:hAnsi="Arial"/>
                  <w:sz w:val="16"/>
                  <w:szCs w:val="16"/>
                  <w:color w:val="0000FF"/>
                </w:rPr>
                <w:t>reference to Exhibit 4.1 to the Company’s Quarterly Report on Form 10-Q for the quarter ended March 31, 2016, dated May 4, 2016).</w:t>
              </w:r>
            </w:hyperlink>
          </w:p>
        </w:tc>
        <w:tc>
          <w:tcPr>
            <w:tcW w:w="280" w:type="dxa"/>
            <w:vAlign w:val="bottom"/>
            <w:tcBorders>
              <w:right w:val="single" w:sz="8" w:color="auto"/>
            </w:tcBorders>
            <w:gridSpan w:val="12"/>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2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7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bottom w:val="single" w:sz="8" w:color="0000FF"/>
            </w:tcBorders>
            <w:gridSpan w:val="31"/>
          </w:tcPr>
          <w:p>
            <w:pPr>
              <w:spacing w:after="0" w:line="183" w:lineRule="exact"/>
              <w:rPr>
                <w:rFonts w:ascii="Arial" w:cs="Arial" w:eastAsia="Arial" w:hAnsi="Arial"/>
                <w:sz w:val="16"/>
                <w:szCs w:val="16"/>
                <w:color w:val="0000FF"/>
              </w:rPr>
            </w:pPr>
            <w:hyperlink r:id="rId145">
              <w:r>
                <w:rPr>
                  <w:rFonts w:ascii="Arial" w:cs="Arial" w:eastAsia="Arial" w:hAnsi="Arial"/>
                  <w:sz w:val="16"/>
                  <w:szCs w:val="16"/>
                  <w:color w:val="0000FF"/>
                </w:rPr>
                <w:t>Indenture dated as of September 26, 2016 among Avis Budget Finance Plc, as Issuer, the Guarantors from time to time parties hereto and</w:t>
              </w:r>
            </w:hyperlink>
          </w:p>
        </w:tc>
        <w:tc>
          <w:tcPr>
            <w:tcW w:w="220" w:type="dxa"/>
            <w:vAlign w:val="bottom"/>
            <w:tcBorders>
              <w:right w:val="single" w:sz="8" w:color="auto"/>
            </w:tcBorders>
            <w:gridSpan w:val="9"/>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45">
              <w:r>
                <w:rPr>
                  <w:rFonts w:ascii="Arial" w:cs="Arial" w:eastAsia="Arial" w:hAnsi="Arial"/>
                  <w:sz w:val="16"/>
                  <w:szCs w:val="16"/>
                  <w:color w:val="0000FF"/>
                </w:rPr>
                <w:t>Deutsche Bank Trust Company Americas as Trustee, Deutsche Bank AG, London Branch as Paying Agent and Deutsche Bank</w:t>
              </w:r>
            </w:hyperlink>
          </w:p>
        </w:tc>
        <w:tc>
          <w:tcPr>
            <w:tcW w:w="1020" w:type="dxa"/>
            <w:vAlign w:val="bottom"/>
            <w:tcBorders>
              <w:right w:val="single" w:sz="8" w:color="auto"/>
            </w:tcBorders>
            <w:gridSpan w:val="21"/>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r:id="rId145">
              <w:r>
                <w:rPr>
                  <w:rFonts w:ascii="Arial" w:cs="Arial" w:eastAsia="Arial" w:hAnsi="Arial"/>
                  <w:sz w:val="16"/>
                  <w:szCs w:val="16"/>
                  <w:color w:val="0000FF"/>
                </w:rPr>
                <w:t>Luxembourg, S.A. as Registrar (Incorporated by reference to Exhibit 4.1 to the Company’s Quarterly Report on Form 10-Q for the quarter</w:t>
              </w:r>
            </w:hyperlink>
          </w:p>
        </w:tc>
        <w:tc>
          <w:tcPr>
            <w:tcW w:w="320" w:type="dxa"/>
            <w:vAlign w:val="bottom"/>
            <w:tcBorders>
              <w:right w:val="single" w:sz="8" w:color="auto"/>
            </w:tcBorders>
            <w:gridSpan w:val="1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5">
              <w:r>
                <w:rPr>
                  <w:rFonts w:ascii="Arial" w:cs="Arial" w:eastAsia="Arial" w:hAnsi="Arial"/>
                  <w:sz w:val="16"/>
                  <w:szCs w:val="16"/>
                  <w:color w:val="0000FF"/>
                </w:rPr>
                <w:t>ended September 30, 2016, dated November 3, 2016).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0"/>
          </w:tcPr>
          <w:p>
            <w:pPr>
              <w:spacing w:after="0" w:line="183" w:lineRule="exact"/>
              <w:rPr>
                <w:rFonts w:ascii="Arial" w:cs="Arial" w:eastAsia="Arial" w:hAnsi="Arial"/>
                <w:sz w:val="16"/>
                <w:szCs w:val="16"/>
                <w:color w:val="0000FF"/>
              </w:rPr>
            </w:pPr>
            <w:hyperlink r:id="rId146">
              <w:r>
                <w:rPr>
                  <w:rFonts w:ascii="Arial" w:cs="Arial" w:eastAsia="Arial" w:hAnsi="Arial"/>
                  <w:sz w:val="16"/>
                  <w:szCs w:val="16"/>
                  <w:color w:val="0000FF"/>
                </w:rPr>
                <w:t>Form of 4.125% Senior Notes due 2024 (Incorporated by reference to Exhibit 4.2 to the Company’s Quarterly Report on Form 10-Q for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146">
              <w:r>
                <w:rPr>
                  <w:rFonts w:ascii="Arial" w:cs="Arial" w:eastAsia="Arial" w:hAnsi="Arial"/>
                  <w:sz w:val="16"/>
                  <w:szCs w:val="16"/>
                  <w:color w:val="0000FF"/>
                </w:rPr>
                <w:t>quarter ended September 30, 2016, dated November 3, 2016).</w:t>
              </w:r>
            </w:hyperlink>
          </w:p>
        </w:tc>
        <w:tc>
          <w:tcPr>
            <w:tcW w:w="240" w:type="dxa"/>
            <w:vAlign w:val="bottom"/>
            <w:tcBorders>
              <w:right w:val="single" w:sz="8" w:color="auto"/>
            </w:tcBorders>
            <w:gridSpan w:val="10"/>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bottom w:val="single" w:sz="8" w:color="0000FF"/>
            </w:tcBorders>
            <w:gridSpan w:val="33"/>
          </w:tcPr>
          <w:p>
            <w:pPr>
              <w:spacing w:after="0" w:line="183" w:lineRule="exact"/>
              <w:rPr>
                <w:rFonts w:ascii="Arial" w:cs="Arial" w:eastAsia="Arial" w:hAnsi="Arial"/>
                <w:sz w:val="16"/>
                <w:szCs w:val="16"/>
                <w:color w:val="0000FF"/>
              </w:rPr>
            </w:pPr>
            <w:hyperlink r:id="rId147">
              <w:r>
                <w:rPr>
                  <w:rFonts w:ascii="Arial" w:cs="Arial" w:eastAsia="Arial" w:hAnsi="Arial"/>
                  <w:sz w:val="16"/>
                  <w:szCs w:val="16"/>
                  <w:color w:val="0000FF"/>
                </w:rPr>
                <w:t>Indenture dated as of March 8, 2017 among Avis Budget Finance, plc, as Issuer, the Guarantors from time to time parties hereto, Deutsche</w:t>
              </w:r>
            </w:hyperlink>
          </w:p>
        </w:tc>
        <w:tc>
          <w:tcPr>
            <w:tcW w:w="180" w:type="dxa"/>
            <w:vAlign w:val="bottom"/>
            <w:tcBorders>
              <w:right w:val="single" w:sz="8" w:color="auto"/>
            </w:tcBorders>
            <w:gridSpan w:val="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bottom w:val="single" w:sz="8" w:color="0000FF"/>
            </w:tcBorders>
            <w:gridSpan w:val="37"/>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Bank Trust Company Americas, as Trustee, Deutsche Bank AG, London Branch, as Paying Agent and Deutsche Bank Luxembourg S.A., as</w:t>
              </w:r>
            </w:hyperlink>
          </w:p>
        </w:tc>
        <w:tc>
          <w:tcPr>
            <w:tcW w:w="80" w:type="dxa"/>
            <w:vAlign w:val="bottom"/>
            <w:tcBorders>
              <w:right w:val="single" w:sz="8" w:color="auto"/>
            </w:tcBorders>
            <w:gridSpan w:val="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Registrar (Incorporated by reference to Exhibit 4.2 to the Company’s Quarterly Report on Form 10-Q for the quarter ended March 31, 2017,</w:t>
              </w:r>
            </w:hyperlink>
          </w:p>
        </w:tc>
        <w:tc>
          <w:tcPr>
            <w:tcW w:w="160" w:type="dxa"/>
            <w:vAlign w:val="bottom"/>
            <w:tcBorders>
              <w:right w:val="single" w:sz="8" w:color="auto"/>
            </w:tcBorders>
            <w:gridSpan w:val="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dated May 4,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4.9</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bottom w:val="single" w:sz="8" w:color="0000FF"/>
            </w:tcBorders>
            <w:gridSpan w:val="27"/>
          </w:tcPr>
          <w:p>
            <w:pPr>
              <w:spacing w:after="0" w:line="183" w:lineRule="exact"/>
              <w:rPr>
                <w:rFonts w:ascii="Arial" w:cs="Arial" w:eastAsia="Arial" w:hAnsi="Arial"/>
                <w:sz w:val="16"/>
                <w:szCs w:val="16"/>
                <w:color w:val="0000FF"/>
              </w:rPr>
            </w:pPr>
            <w:hyperlink r:id="rId148">
              <w:r>
                <w:rPr>
                  <w:rFonts w:ascii="Arial" w:cs="Arial" w:eastAsia="Arial" w:hAnsi="Arial"/>
                  <w:sz w:val="16"/>
                  <w:szCs w:val="16"/>
                  <w:color w:val="0000FF"/>
                </w:rPr>
                <w:t>Form of 4.50% Senior Notes Due 2025 (Incorporated by reference to Exhibit 4.3 to the Company’s Quarterly Report on Form 10-Q for the</w:t>
              </w:r>
            </w:hyperlink>
          </w:p>
        </w:tc>
        <w:tc>
          <w:tcPr>
            <w:tcW w:w="300" w:type="dxa"/>
            <w:vAlign w:val="bottom"/>
            <w:tcBorders>
              <w:right w:val="single" w:sz="8" w:color="auto"/>
            </w:tcBorders>
            <w:gridSpan w:val="1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quarter ended March 31, 2017, dated May 4,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210"/>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4.10</w:t>
            </w: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400" w:type="dxa"/>
            <w:vAlign w:val="bottom"/>
            <w:tcBorders>
              <w:bottom w:val="single" w:sz="8" w:color="0000FF"/>
            </w:tcBorders>
            <w:gridSpan w:val="21"/>
          </w:tcPr>
          <w:p>
            <w:pPr>
              <w:spacing w:after="0"/>
              <w:rPr>
                <w:rFonts w:ascii="Arial" w:cs="Arial" w:eastAsia="Arial" w:hAnsi="Arial"/>
                <w:sz w:val="16"/>
                <w:szCs w:val="16"/>
                <w:color w:val="0000FF"/>
              </w:rPr>
            </w:pPr>
            <w:hyperlink r:id="rId149">
              <w:r>
                <w:rPr>
                  <w:rFonts w:ascii="Arial" w:cs="Arial" w:eastAsia="Arial" w:hAnsi="Arial"/>
                  <w:sz w:val="16"/>
                  <w:szCs w:val="16"/>
                  <w:color w:val="0000FF"/>
                </w:rPr>
                <w:t>Indenture dated as of October 4, 2018 among Avis Budget Finance, plc, as Issuer, the Guarantors from time to time parties thereto,</w:t>
              </w:r>
            </w:hyperlink>
          </w:p>
        </w:tc>
        <w:tc>
          <w:tcPr>
            <w:tcW w:w="740" w:type="dxa"/>
            <w:vAlign w:val="bottom"/>
            <w:tcBorders>
              <w:right w:val="single" w:sz="8" w:color="auto"/>
            </w:tcBorders>
            <w:gridSpan w:val="19"/>
          </w:tcPr>
          <w:p>
            <w:pPr>
              <w:spacing w:after="0"/>
              <w:rPr>
                <w:sz w:val="18"/>
                <w:szCs w:val="18"/>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9">
              <w:r>
                <w:rPr>
                  <w:rFonts w:ascii="Arial" w:cs="Arial" w:eastAsia="Arial" w:hAnsi="Arial"/>
                  <w:sz w:val="16"/>
                  <w:szCs w:val="16"/>
                  <w:color w:val="0000FF"/>
                </w:rPr>
                <w:t>Deutsche Bank Trust Company Americas, as Trustee, Deutsche Bank AG, London Branch, as Paying Agent and Deutsche Bank</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gridSpan w:val="4"/>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bottom w:val="single" w:sz="8" w:color="0000FF"/>
            </w:tcBorders>
            <w:gridSpan w:val="32"/>
          </w:tcPr>
          <w:p>
            <w:pPr>
              <w:spacing w:after="0" w:line="169" w:lineRule="exact"/>
              <w:rPr>
                <w:rFonts w:ascii="Arial" w:cs="Arial" w:eastAsia="Arial" w:hAnsi="Arial"/>
                <w:sz w:val="16"/>
                <w:szCs w:val="16"/>
                <w:color w:val="0000FF"/>
              </w:rPr>
            </w:pPr>
            <w:hyperlink r:id="rId149">
              <w:r>
                <w:rPr>
                  <w:rFonts w:ascii="Arial" w:cs="Arial" w:eastAsia="Arial" w:hAnsi="Arial"/>
                  <w:sz w:val="16"/>
                  <w:szCs w:val="16"/>
                  <w:color w:val="0000FF"/>
                </w:rPr>
                <w:t>Luxembourg S.A., as Registrar (Incorporated by reference to Exhibit 4.1 to the Company’s Quarterly Report on Form 10-Q for the quarterly</w:t>
              </w:r>
            </w:hyperlink>
          </w:p>
        </w:tc>
        <w:tc>
          <w:tcPr>
            <w:tcW w:w="200" w:type="dxa"/>
            <w:vAlign w:val="bottom"/>
            <w:tcBorders>
              <w:right w:val="single" w:sz="8" w:color="auto"/>
            </w:tcBorders>
            <w:gridSpan w:val="8"/>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49">
              <w:r>
                <w:rPr>
                  <w:rFonts w:ascii="Arial" w:cs="Arial" w:eastAsia="Arial" w:hAnsi="Arial"/>
                  <w:sz w:val="16"/>
                  <w:szCs w:val="16"/>
                  <w:color w:val="0000FF"/>
                </w:rPr>
                <w:t>period ended September 30, 2018 dated November 6, 2018).</w:t>
              </w:r>
            </w:hyperlink>
          </w:p>
        </w:tc>
      </w:tr>
      <w:tr>
        <w:trPr>
          <w:trHeight w:val="61"/>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42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240" w:type="dxa"/>
            <w:vAlign w:val="bottom"/>
            <w:tcBorders>
              <w:top w:val="single" w:sz="8" w:color="0000FF"/>
              <w:bottom w:val="single" w:sz="8" w:color="auto"/>
            </w:tcBorders>
          </w:tcPr>
          <w:p>
            <w:pPr>
              <w:spacing w:after="0"/>
              <w:rPr>
                <w:sz w:val="5"/>
                <w:szCs w:val="5"/>
                <w:color w:val="auto"/>
              </w:rPr>
            </w:pPr>
          </w:p>
        </w:tc>
        <w:tc>
          <w:tcPr>
            <w:tcW w:w="1100" w:type="dxa"/>
            <w:vAlign w:val="bottom"/>
            <w:tcBorders>
              <w:top w:val="single" w:sz="8" w:color="0000FF"/>
              <w:bottom w:val="single" w:sz="8" w:color="auto"/>
            </w:tcBorders>
          </w:tcPr>
          <w:p>
            <w:pPr>
              <w:spacing w:after="0"/>
              <w:rPr>
                <w:sz w:val="5"/>
                <w:szCs w:val="5"/>
                <w:color w:val="auto"/>
              </w:rPr>
            </w:pPr>
          </w:p>
        </w:tc>
        <w:tc>
          <w:tcPr>
            <w:tcW w:w="1060" w:type="dxa"/>
            <w:vAlign w:val="bottom"/>
            <w:tcBorders>
              <w:top w:val="single" w:sz="8" w:color="0000FF"/>
              <w:bottom w:val="single" w:sz="8" w:color="auto"/>
            </w:tcBorders>
          </w:tcPr>
          <w:p>
            <w:pPr>
              <w:spacing w:after="0"/>
              <w:rPr>
                <w:sz w:val="5"/>
                <w:szCs w:val="5"/>
                <w:color w:val="auto"/>
              </w:rPr>
            </w:pPr>
          </w:p>
        </w:tc>
        <w:tc>
          <w:tcPr>
            <w:tcW w:w="120" w:type="dxa"/>
            <w:vAlign w:val="bottom"/>
            <w:tcBorders>
              <w:top w:val="single" w:sz="8" w:color="0000FF"/>
              <w:bottom w:val="single" w:sz="8" w:color="auto"/>
            </w:tcBorders>
          </w:tcPr>
          <w:p>
            <w:pPr>
              <w:spacing w:after="0"/>
              <w:rPr>
                <w:sz w:val="5"/>
                <w:szCs w:val="5"/>
                <w:color w:val="auto"/>
              </w:rPr>
            </w:pPr>
          </w:p>
        </w:tc>
        <w:tc>
          <w:tcPr>
            <w:tcW w:w="220" w:type="dxa"/>
            <w:vAlign w:val="bottom"/>
            <w:tcBorders>
              <w:top w:val="single" w:sz="8" w:color="0000FF"/>
              <w:bottom w:val="single" w:sz="8" w:color="auto"/>
            </w:tcBorders>
          </w:tcPr>
          <w:p>
            <w:pPr>
              <w:spacing w:after="0"/>
              <w:rPr>
                <w:sz w:val="5"/>
                <w:szCs w:val="5"/>
                <w:color w:val="auto"/>
              </w:rPr>
            </w:pPr>
          </w:p>
        </w:tc>
        <w:tc>
          <w:tcPr>
            <w:tcW w:w="60" w:type="dxa"/>
            <w:vAlign w:val="bottom"/>
            <w:tcBorders>
              <w:top w:val="single" w:sz="8" w:color="0000FF"/>
              <w:bottom w:val="single" w:sz="8" w:color="auto"/>
            </w:tcBorders>
          </w:tcPr>
          <w:p>
            <w:pPr>
              <w:spacing w:after="0"/>
              <w:rPr>
                <w:sz w:val="5"/>
                <w:szCs w:val="5"/>
                <w:color w:val="auto"/>
              </w:rPr>
            </w:pPr>
          </w:p>
        </w:tc>
        <w:tc>
          <w:tcPr>
            <w:tcW w:w="38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4.11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bottom w:val="single" w:sz="8" w:color="0000FF"/>
            </w:tcBorders>
            <w:gridSpan w:val="27"/>
          </w:tcPr>
          <w:p>
            <w:pPr>
              <w:spacing w:after="0" w:line="183" w:lineRule="exact"/>
              <w:rPr>
                <w:rFonts w:ascii="Arial" w:cs="Arial" w:eastAsia="Arial" w:hAnsi="Arial"/>
                <w:sz w:val="16"/>
                <w:szCs w:val="16"/>
                <w:color w:val="0000FF"/>
              </w:rPr>
            </w:pPr>
            <w:hyperlink r:id="rId150">
              <w:r>
                <w:rPr>
                  <w:rFonts w:ascii="Arial" w:cs="Arial" w:eastAsia="Arial" w:hAnsi="Arial"/>
                  <w:sz w:val="16"/>
                  <w:szCs w:val="16"/>
                  <w:color w:val="0000FF"/>
                </w:rPr>
                <w:t>Form of 4.75% Senior Notes Due 2026 (Incorporated by reference to Exhibit 4.2 to the Company’s Quarterly Report on Form 10-Q for the</w:t>
              </w:r>
            </w:hyperlink>
          </w:p>
        </w:tc>
        <w:tc>
          <w:tcPr>
            <w:tcW w:w="300" w:type="dxa"/>
            <w:vAlign w:val="bottom"/>
            <w:tcBorders>
              <w:right w:val="single" w:sz="8" w:color="auto"/>
            </w:tcBorders>
            <w:gridSpan w:val="1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50">
              <w:r>
                <w:rPr>
                  <w:rFonts w:ascii="Arial" w:cs="Arial" w:eastAsia="Arial" w:hAnsi="Arial"/>
                  <w:sz w:val="16"/>
                  <w:szCs w:val="16"/>
                  <w:color w:val="0000FF"/>
                </w:rPr>
                <w:t>quarter ended September 30, 2018, dated November 6, 2018).</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4.12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36"/>
          </w:tcPr>
          <w:p>
            <w:pPr>
              <w:spacing w:after="0" w:line="183" w:lineRule="exact"/>
              <w:rPr>
                <w:rFonts w:ascii="Arial" w:cs="Arial" w:eastAsia="Arial" w:hAnsi="Arial"/>
                <w:sz w:val="16"/>
                <w:szCs w:val="16"/>
                <w:color w:val="0000FF"/>
              </w:rPr>
            </w:pPr>
            <w:hyperlink r:id="rId151">
              <w:r>
                <w:rPr>
                  <w:rFonts w:ascii="Arial" w:cs="Arial" w:eastAsia="Arial" w:hAnsi="Arial"/>
                  <w:sz w:val="16"/>
                  <w:szCs w:val="16"/>
                  <w:color w:val="0000FF"/>
                </w:rPr>
                <w:t>Indenture dated as of July 3, 2019 among Avis Budget Car Rental, LLC and Avis Budget Finance, Inc., as Issuers, the Guarantors from time</w:t>
              </w:r>
            </w:hyperlink>
          </w:p>
        </w:tc>
        <w:tc>
          <w:tcPr>
            <w:tcW w:w="100" w:type="dxa"/>
            <w:vAlign w:val="bottom"/>
            <w:tcBorders>
              <w:right w:val="single" w:sz="8" w:color="auto"/>
            </w:tcBorders>
            <w:gridSpan w:val="4"/>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36"/>
          </w:tcPr>
          <w:p>
            <w:pPr>
              <w:spacing w:after="0" w:line="169" w:lineRule="exact"/>
              <w:rPr>
                <w:rFonts w:ascii="Arial" w:cs="Arial" w:eastAsia="Arial" w:hAnsi="Arial"/>
                <w:sz w:val="16"/>
                <w:szCs w:val="16"/>
                <w:color w:val="0000FF"/>
              </w:rPr>
            </w:pPr>
            <w:hyperlink r:id="rId151">
              <w:r>
                <w:rPr>
                  <w:rFonts w:ascii="Arial" w:cs="Arial" w:eastAsia="Arial" w:hAnsi="Arial"/>
                  <w:sz w:val="16"/>
                  <w:szCs w:val="16"/>
                  <w:color w:val="0000FF"/>
                </w:rPr>
                <w:t>to time parties thereto and Deutsche Bank Trust Company Americas, as Trustee. (Incorporated by reference to Exhibit 4.1 to the Company’s</w:t>
              </w:r>
            </w:hyperlink>
          </w:p>
        </w:tc>
        <w:tc>
          <w:tcPr>
            <w:tcW w:w="100" w:type="dxa"/>
            <w:vAlign w:val="bottom"/>
            <w:tcBorders>
              <w:right w:val="single" w:sz="8" w:color="auto"/>
            </w:tcBorders>
            <w:gridSpan w:val="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51">
              <w:r>
                <w:rPr>
                  <w:rFonts w:ascii="Arial" w:cs="Arial" w:eastAsia="Arial" w:hAnsi="Arial"/>
                  <w:sz w:val="16"/>
                  <w:szCs w:val="16"/>
                  <w:color w:val="0000FF"/>
                </w:rPr>
                <w:t>Quarterly Report on Form 10-Q for the quarterly period ended June 30, 2019 dated August 6, 2019).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24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4.13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40"/>
          </w:tcPr>
          <w:p>
            <w:pPr>
              <w:spacing w:after="0" w:line="183" w:lineRule="exact"/>
              <w:rPr>
                <w:rFonts w:ascii="Arial" w:cs="Arial" w:eastAsia="Arial" w:hAnsi="Arial"/>
                <w:sz w:val="16"/>
                <w:szCs w:val="16"/>
                <w:color w:val="0000FF"/>
              </w:rPr>
            </w:pPr>
            <w:hyperlink r:id="rId152">
              <w:r>
                <w:rPr>
                  <w:rFonts w:ascii="Arial" w:cs="Arial" w:eastAsia="Arial" w:hAnsi="Arial"/>
                  <w:sz w:val="16"/>
                  <w:szCs w:val="16"/>
                  <w:color w:val="0000FF"/>
                </w:rPr>
                <w:t>Form of 5.75% Senior Notes Due 2027. (Incorporated by reference to Exhibit 4.2 to the Company’s Quarterly Report on Form 10-Q for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152">
              <w:r>
                <w:rPr>
                  <w:rFonts w:ascii="Arial" w:cs="Arial" w:eastAsia="Arial" w:hAnsi="Arial"/>
                  <w:sz w:val="16"/>
                  <w:szCs w:val="16"/>
                  <w:color w:val="0000FF"/>
                </w:rPr>
                <w:t>quarterly period ended June 30, 2019 dated August 6, 2019).</w:t>
              </w:r>
            </w:hyperlink>
          </w:p>
        </w:tc>
        <w:tc>
          <w:tcPr>
            <w:tcW w:w="260" w:type="dxa"/>
            <w:vAlign w:val="bottom"/>
            <w:tcBorders>
              <w:right w:val="single" w:sz="8" w:color="auto"/>
            </w:tcBorders>
            <w:gridSpan w:val="11"/>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4.14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35"/>
          </w:tcPr>
          <w:p>
            <w:pPr>
              <w:spacing w:after="0" w:line="183" w:lineRule="exact"/>
              <w:rPr>
                <w:rFonts w:ascii="Arial" w:cs="Arial" w:eastAsia="Arial" w:hAnsi="Arial"/>
                <w:sz w:val="16"/>
                <w:szCs w:val="16"/>
                <w:color w:val="0000FF"/>
              </w:rPr>
            </w:pPr>
            <w:hyperlink r:id="rId153">
              <w:r>
                <w:rPr>
                  <w:rFonts w:ascii="Arial" w:cs="Arial" w:eastAsia="Arial" w:hAnsi="Arial"/>
                  <w:sz w:val="16"/>
                  <w:szCs w:val="16"/>
                  <w:color w:val="0000FF"/>
                </w:rPr>
                <w:t>Rights Agreement, dated as of January 27, 2020, between Avis Budget Group, Inc. and Computershare Inc., as Rights Agent. (Incorporated</w:t>
              </w:r>
            </w:hyperlink>
          </w:p>
        </w:tc>
        <w:tc>
          <w:tcPr>
            <w:tcW w:w="120" w:type="dxa"/>
            <w:vAlign w:val="bottom"/>
            <w:tcBorders>
              <w:right w:val="single" w:sz="8" w:color="auto"/>
            </w:tcBorders>
            <w:gridSpan w:val="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153">
              <w:r>
                <w:rPr>
                  <w:rFonts w:ascii="Arial" w:cs="Arial" w:eastAsia="Arial" w:hAnsi="Arial"/>
                  <w:sz w:val="16"/>
                  <w:szCs w:val="16"/>
                  <w:color w:val="0000FF"/>
                </w:rPr>
                <w:t>by reference to Exhibit 4.1 to the Company’s Current Report on Form 8-K dated January 28, 2020).</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110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24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42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40" w:type="dxa"/>
            <w:vAlign w:val="bottom"/>
            <w:gridSpan w:val="30"/>
          </w:tcPr>
          <w:p>
            <w:pPr>
              <w:ind w:left="260"/>
              <w:spacing w:after="0"/>
              <w:rPr>
                <w:sz w:val="20"/>
                <w:szCs w:val="20"/>
                <w:color w:val="auto"/>
              </w:rPr>
            </w:pPr>
            <w:r>
              <w:rPr>
                <w:rFonts w:ascii="Arial" w:cs="Arial" w:eastAsia="Arial" w:hAnsi="Arial"/>
                <w:sz w:val="18"/>
                <w:szCs w:val="18"/>
                <w:color w:val="auto"/>
              </w:rPr>
              <w:t>H-1</w:t>
            </w:r>
          </w:p>
        </w:tc>
      </w:tr>
    </w:tbl>
    <w:p>
      <w:pPr>
        <w:sectPr>
          <w:pgSz w:w="11900" w:h="16838" w:orient="portrait"/>
          <w:cols w:equalWidth="0" w:num="1">
            <w:col w:w="11440"/>
          </w:cols>
          <w:pgMar w:left="240" w:top="140" w:right="2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4.15</w:t>
            </w:r>
          </w:p>
        </w:tc>
        <w:tc>
          <w:tcPr>
            <w:tcW w:w="12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140" w:type="dxa"/>
            <w:vAlign w:val="bottom"/>
            <w:tcBorders>
              <w:top w:val="single" w:sz="8" w:color="auto"/>
              <w:right w:val="single" w:sz="8" w:color="auto"/>
            </w:tcBorders>
            <w:gridSpan w:val="38"/>
          </w:tcPr>
          <w:p>
            <w:pPr>
              <w:spacing w:after="0"/>
              <w:rPr>
                <w:rFonts w:ascii="Arial" w:cs="Arial" w:eastAsia="Arial" w:hAnsi="Arial"/>
                <w:sz w:val="16"/>
                <w:szCs w:val="16"/>
                <w:color w:val="0000FF"/>
              </w:rPr>
            </w:pPr>
            <w:hyperlink w:anchor="page125">
              <w:r>
                <w:rPr>
                  <w:rFonts w:ascii="Arial" w:cs="Arial" w:eastAsia="Arial" w:hAnsi="Arial"/>
                  <w:sz w:val="16"/>
                  <w:szCs w:val="16"/>
                  <w:color w:val="0000FF"/>
                </w:rPr>
                <w:t>Description of the Company’s Registered Pursuant to Section 12 of the Securities Exchange Act of 1934.</w:t>
              </w:r>
            </w:hyperlink>
          </w:p>
        </w:tc>
      </w:tr>
      <w:tr>
        <w:trPr>
          <w:trHeight w:val="61"/>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20" w:type="dxa"/>
            <w:vAlign w:val="bottom"/>
            <w:tcBorders>
              <w:top w:val="single" w:sz="8" w:color="0000FF"/>
              <w:bottom w:val="single" w:sz="8" w:color="auto"/>
            </w:tcBorders>
          </w:tcPr>
          <w:p>
            <w:pPr>
              <w:spacing w:after="0"/>
              <w:rPr>
                <w:sz w:val="5"/>
                <w:szCs w:val="5"/>
                <w:color w:val="auto"/>
              </w:rPr>
            </w:pPr>
          </w:p>
        </w:tc>
        <w:tc>
          <w:tcPr>
            <w:tcW w:w="158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860" w:type="dxa"/>
            <w:vAlign w:val="bottom"/>
            <w:tcBorders>
              <w:top w:val="single" w:sz="8" w:color="0000FF"/>
              <w:bottom w:val="single" w:sz="8" w:color="auto"/>
            </w:tcBorders>
          </w:tcPr>
          <w:p>
            <w:pPr>
              <w:spacing w:after="0"/>
              <w:rPr>
                <w:sz w:val="5"/>
                <w:szCs w:val="5"/>
                <w:color w:val="auto"/>
              </w:rPr>
            </w:pPr>
          </w:p>
        </w:tc>
        <w:tc>
          <w:tcPr>
            <w:tcW w:w="48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120" w:type="dxa"/>
            <w:vAlign w:val="bottom"/>
            <w:tcBorders>
              <w:top w:val="single" w:sz="8" w:color="0000FF"/>
              <w:bottom w:val="single" w:sz="8" w:color="auto"/>
            </w:tcBorders>
          </w:tcPr>
          <w:p>
            <w:pPr>
              <w:spacing w:after="0"/>
              <w:rPr>
                <w:sz w:val="5"/>
                <w:szCs w:val="5"/>
                <w:color w:val="auto"/>
              </w:rPr>
            </w:pPr>
          </w:p>
        </w:tc>
        <w:tc>
          <w:tcPr>
            <w:tcW w:w="500" w:type="dxa"/>
            <w:vAlign w:val="bottom"/>
            <w:tcBorders>
              <w:top w:val="single" w:sz="8" w:color="0000FF"/>
              <w:bottom w:val="single" w:sz="8" w:color="auto"/>
            </w:tcBorders>
          </w:tcPr>
          <w:p>
            <w:pPr>
              <w:spacing w:after="0"/>
              <w:rPr>
                <w:sz w:val="5"/>
                <w:szCs w:val="5"/>
                <w:color w:val="auto"/>
              </w:rPr>
            </w:pPr>
          </w:p>
        </w:tc>
        <w:tc>
          <w:tcPr>
            <w:tcW w:w="34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20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80" w:type="dxa"/>
            <w:vAlign w:val="bottom"/>
            <w:tcBorders>
              <w:top w:val="single" w:sz="8" w:color="0000FF"/>
              <w:bottom w:val="single" w:sz="8" w:color="auto"/>
            </w:tcBorders>
          </w:tcPr>
          <w:p>
            <w:pPr>
              <w:spacing w:after="0"/>
              <w:rPr>
                <w:sz w:val="5"/>
                <w:szCs w:val="5"/>
                <w:color w:val="auto"/>
              </w:rPr>
            </w:pPr>
          </w:p>
        </w:tc>
        <w:tc>
          <w:tcPr>
            <w:tcW w:w="34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260" w:type="dxa"/>
            <w:vAlign w:val="bottom"/>
            <w:tcBorders>
              <w:top w:val="single" w:sz="8" w:color="0000FF"/>
              <w:bottom w:val="single" w:sz="8" w:color="auto"/>
            </w:tcBorders>
          </w:tcPr>
          <w:p>
            <w:pPr>
              <w:spacing w:after="0"/>
              <w:rPr>
                <w:sz w:val="5"/>
                <w:szCs w:val="5"/>
                <w:color w:val="auto"/>
              </w:rPr>
            </w:pPr>
          </w:p>
        </w:tc>
        <w:tc>
          <w:tcPr>
            <w:tcW w:w="80" w:type="dxa"/>
            <w:vAlign w:val="bottom"/>
            <w:tcBorders>
              <w:top w:val="single" w:sz="8" w:color="0000FF"/>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tcBorders>
              <w:bottom w:val="single" w:sz="8" w:color="0000FF"/>
            </w:tcBorders>
            <w:gridSpan w:val="37"/>
          </w:tcPr>
          <w:p>
            <w:pPr>
              <w:spacing w:after="0" w:line="183" w:lineRule="exact"/>
              <w:rPr>
                <w:rFonts w:ascii="Arial" w:cs="Arial" w:eastAsia="Arial" w:hAnsi="Arial"/>
                <w:sz w:val="16"/>
                <w:szCs w:val="16"/>
                <w:color w:val="0000FF"/>
              </w:rPr>
            </w:pPr>
            <w:hyperlink r:id="rId154">
              <w:r>
                <w:rPr>
                  <w:rFonts w:ascii="Arial" w:cs="Arial" w:eastAsia="Arial" w:hAnsi="Arial"/>
                  <w:sz w:val="16"/>
                  <w:szCs w:val="16"/>
                  <w:color w:val="0000FF"/>
                </w:rPr>
                <w:t>Employment Agreement between Avis Budget Group, Inc. and Larry D. De Shon dated as of September 15, 2015 (Incorporated by reference</w:t>
              </w:r>
            </w:hyperlink>
          </w:p>
        </w:tc>
        <w:tc>
          <w:tcPr>
            <w:tcW w:w="40" w:type="dxa"/>
            <w:vAlign w:val="bottom"/>
            <w:tcBorders>
              <w:right w:val="single" w:sz="8" w:color="auto"/>
            </w:tcBorders>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54">
              <w:r>
                <w:rPr>
                  <w:rFonts w:ascii="Arial" w:cs="Arial" w:eastAsia="Arial" w:hAnsi="Arial"/>
                  <w:sz w:val="16"/>
                  <w:szCs w:val="16"/>
                  <w:color w:val="0000FF"/>
                </w:rPr>
                <w:t>to Exhibit 10.1 to the Company’s Current Report on Form 8-K dated September 18, 2015).†</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r:id="rId155">
              <w:r>
                <w:rPr>
                  <w:rFonts w:ascii="Arial" w:cs="Arial" w:eastAsia="Arial" w:hAnsi="Arial"/>
                  <w:sz w:val="16"/>
                  <w:szCs w:val="16"/>
                  <w:color w:val="0000FF"/>
                </w:rPr>
                <w:t>Separation Agreement between Mr. De Shon and Avis Budget Group, Inc. dated May 26, 2019 (Incorporated by reference to Exhibit 10.1 to</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35"/>
          </w:tcPr>
          <w:p>
            <w:pPr>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 xml:space="preserve">the Company’s Current Report on Form 8-K dated May 31, 2019). </w:t>
              </w:r>
              <w:r>
                <w:rPr>
                  <w:rFonts w:ascii="Arial" w:cs="Arial" w:eastAsia="Arial" w:hAnsi="Arial"/>
                  <w:sz w:val="16"/>
                  <w:szCs w:val="16"/>
                  <w:color w:val="000000"/>
                </w:rPr>
                <w:t>†</w:t>
              </w:r>
            </w:hyperlink>
          </w:p>
        </w:tc>
        <w:tc>
          <w:tcPr>
            <w:tcW w:w="160" w:type="dxa"/>
            <w:vAlign w:val="bottom"/>
            <w:tcBorders>
              <w:right w:val="single" w:sz="8" w:color="auto"/>
            </w:tcBorders>
            <w:gridSpan w:val="3"/>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bottom w:val="single" w:sz="8" w:color="0000FF"/>
            </w:tcBorders>
            <w:gridSpan w:val="33"/>
          </w:tcPr>
          <w:p>
            <w:pPr>
              <w:spacing w:after="0" w:line="183" w:lineRule="exact"/>
              <w:rPr>
                <w:rFonts w:ascii="Arial" w:cs="Arial" w:eastAsia="Arial" w:hAnsi="Arial"/>
                <w:sz w:val="16"/>
                <w:szCs w:val="16"/>
                <w:color w:val="0000FF"/>
              </w:rPr>
            </w:pPr>
            <w:hyperlink r:id="rId156">
              <w:r>
                <w:rPr>
                  <w:rFonts w:ascii="Arial" w:cs="Arial" w:eastAsia="Arial" w:hAnsi="Arial"/>
                  <w:sz w:val="16"/>
                  <w:szCs w:val="16"/>
                  <w:color w:val="0000FF"/>
                </w:rPr>
                <w:t>Separation Agreement dated March 18, 2019, between Mark Servodidio and Avis Budget Group, Inc. (Incorporated by reference to Exhibit</w:t>
              </w:r>
            </w:hyperlink>
          </w:p>
        </w:tc>
        <w:tc>
          <w:tcPr>
            <w:tcW w:w="220" w:type="dxa"/>
            <w:vAlign w:val="bottom"/>
            <w:tcBorders>
              <w:right w:val="single" w:sz="8" w:color="auto"/>
            </w:tcBorders>
            <w:gridSpan w:val="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10.1 to the Company’s Current Report on Form 8-K dated March 18, 2019). †</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bottom w:val="single" w:sz="8" w:color="0000FF"/>
            </w:tcBorders>
            <w:gridSpan w:val="36"/>
          </w:tcPr>
          <w:p>
            <w:pPr>
              <w:spacing w:after="0" w:line="183" w:lineRule="exact"/>
              <w:rPr>
                <w:rFonts w:ascii="Arial" w:cs="Arial" w:eastAsia="Arial" w:hAnsi="Arial"/>
                <w:sz w:val="16"/>
                <w:szCs w:val="16"/>
                <w:color w:val="0000FF"/>
              </w:rPr>
            </w:pPr>
            <w:hyperlink r:id="rId157">
              <w:r>
                <w:rPr>
                  <w:rFonts w:ascii="Arial" w:cs="Arial" w:eastAsia="Arial" w:hAnsi="Arial"/>
                  <w:sz w:val="16"/>
                  <w:szCs w:val="16"/>
                  <w:color w:val="0000FF"/>
                </w:rPr>
                <w:t>Agreement between Avis Budget Group, Inc. and Joseph Ferraro (Incorporated by reference to Exhibit 10.5 to the Company’s Annual Report</w:t>
              </w:r>
            </w:hyperlink>
          </w:p>
        </w:tc>
        <w:tc>
          <w:tcPr>
            <w:tcW w:w="60" w:type="dxa"/>
            <w:vAlign w:val="bottom"/>
            <w:tcBorders>
              <w:right w:val="single" w:sz="8" w:color="auto"/>
            </w:tcBorders>
            <w:gridSpan w:val="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57">
              <w:r>
                <w:rPr>
                  <w:rFonts w:ascii="Arial" w:cs="Arial" w:eastAsia="Arial" w:hAnsi="Arial"/>
                  <w:sz w:val="16"/>
                  <w:szCs w:val="16"/>
                  <w:color w:val="0000FF"/>
                </w:rPr>
                <w:t>on Form 10-K for the year ended December 31, 2015, dated February 24, 2016).†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bottom w:val="single" w:sz="8" w:color="0000FF"/>
            </w:tcBorders>
            <w:gridSpan w:val="31"/>
          </w:tcPr>
          <w:p>
            <w:pPr>
              <w:spacing w:after="0" w:line="183" w:lineRule="exact"/>
              <w:rPr>
                <w:rFonts w:ascii="Arial" w:cs="Arial" w:eastAsia="Arial" w:hAnsi="Arial"/>
                <w:sz w:val="16"/>
                <w:szCs w:val="16"/>
                <w:color w:val="0000FF"/>
              </w:rPr>
            </w:pPr>
            <w:hyperlink r:id="rId158">
              <w:r>
                <w:rPr>
                  <w:rFonts w:ascii="Arial" w:cs="Arial" w:eastAsia="Arial" w:hAnsi="Arial"/>
                  <w:sz w:val="16"/>
                  <w:szCs w:val="16"/>
                  <w:color w:val="0000FF"/>
                </w:rPr>
                <w:t>Amended and Restated Letter Agreement, dated February 15, 2019, between Martyn Smith and Avis Budget Group, Inc. (Incorporated by</w:t>
              </w:r>
            </w:hyperlink>
          </w:p>
        </w:tc>
        <w:tc>
          <w:tcPr>
            <w:tcW w:w="260" w:type="dxa"/>
            <w:vAlign w:val="bottom"/>
            <w:tcBorders>
              <w:right w:val="single" w:sz="8" w:color="auto"/>
            </w:tcBorders>
            <w:gridSpan w:val="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58">
              <w:r>
                <w:rPr>
                  <w:rFonts w:ascii="Arial" w:cs="Arial" w:eastAsia="Arial" w:hAnsi="Arial"/>
                  <w:sz w:val="16"/>
                  <w:szCs w:val="16"/>
                  <w:color w:val="0000FF"/>
                </w:rPr>
                <w:t>reference to Exhibit 10.2 to the Company’s Current Report on Form 8-K dated February 19, 2019). †</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159">
              <w:r>
                <w:rPr>
                  <w:rFonts w:ascii="Arial" w:cs="Arial" w:eastAsia="Arial" w:hAnsi="Arial"/>
                  <w:sz w:val="16"/>
                  <w:szCs w:val="16"/>
                  <w:color w:val="0000FF"/>
                </w:rPr>
                <w:t>Amendment to Amended and Restated Letter Agreement between Martyn Smith and Avis Budget Group, Inc., dated September 11, 2019.</w:t>
              </w:r>
            </w:hyperlink>
          </w:p>
        </w:tc>
        <w:tc>
          <w:tcPr>
            <w:tcW w:w="240" w:type="dxa"/>
            <w:vAlign w:val="bottom"/>
            <w:tcBorders>
              <w:right w:val="single" w:sz="8" w:color="auto"/>
            </w:tcBorders>
            <w:gridSpan w:val="6"/>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bottom w:val="single" w:sz="8" w:color="0000FF"/>
            </w:tcBorders>
            <w:gridSpan w:val="31"/>
          </w:tcPr>
          <w:p>
            <w:pPr>
              <w:spacing w:after="0" w:line="169" w:lineRule="exact"/>
              <w:rPr>
                <w:rFonts w:ascii="Arial" w:cs="Arial" w:eastAsia="Arial" w:hAnsi="Arial"/>
                <w:sz w:val="16"/>
                <w:szCs w:val="16"/>
                <w:color w:val="0000FF"/>
              </w:rPr>
            </w:pPr>
            <w:hyperlink r:id="rId159">
              <w:r>
                <w:rPr>
                  <w:rFonts w:ascii="Arial" w:cs="Arial" w:eastAsia="Arial" w:hAnsi="Arial"/>
                  <w:sz w:val="16"/>
                  <w:szCs w:val="16"/>
                  <w:color w:val="0000FF"/>
                </w:rPr>
                <w:t>(Incorporated by reference to Exhibit 10.3 to the Company’s Quarterly Report on Form 10-Q for the quarterly period ended September 30,</w:t>
              </w:r>
            </w:hyperlink>
          </w:p>
        </w:tc>
        <w:tc>
          <w:tcPr>
            <w:tcW w:w="260" w:type="dxa"/>
            <w:vAlign w:val="bottom"/>
            <w:tcBorders>
              <w:right w:val="single" w:sz="8" w:color="auto"/>
            </w:tcBorders>
            <w:gridSpan w:val="7"/>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59">
              <w:r>
                <w:rPr>
                  <w:rFonts w:ascii="Arial" w:cs="Arial" w:eastAsia="Arial" w:hAnsi="Arial"/>
                  <w:sz w:val="16"/>
                  <w:szCs w:val="16"/>
                  <w:color w:val="0000FF"/>
                </w:rPr>
                <w:t>2019 dated November 1, 2019). †</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bottom w:val="single" w:sz="8" w:color="0000FF"/>
            </w:tcBorders>
            <w:gridSpan w:val="23"/>
          </w:tcPr>
          <w:p>
            <w:pPr>
              <w:spacing w:after="0" w:line="183" w:lineRule="exact"/>
              <w:rPr>
                <w:rFonts w:ascii="Arial" w:cs="Arial" w:eastAsia="Arial" w:hAnsi="Arial"/>
                <w:sz w:val="16"/>
                <w:szCs w:val="16"/>
                <w:color w:val="0000FF"/>
              </w:rPr>
            </w:pPr>
            <w:hyperlink r:id="rId160">
              <w:r>
                <w:rPr>
                  <w:rFonts w:ascii="Arial" w:cs="Arial" w:eastAsia="Arial" w:hAnsi="Arial"/>
                  <w:sz w:val="16"/>
                  <w:szCs w:val="16"/>
                  <w:color w:val="0000FF"/>
                </w:rPr>
                <w:t>Agreement between Avis Budget Group, Inc. and Michael Tucker. (Incorporated by reference to Exhibit 10.6 to the Company’s Annual</w:t>
              </w:r>
            </w:hyperlink>
          </w:p>
        </w:tc>
        <w:tc>
          <w:tcPr>
            <w:tcW w:w="560" w:type="dxa"/>
            <w:vAlign w:val="bottom"/>
            <w:tcBorders>
              <w:right w:val="single" w:sz="8" w:color="auto"/>
            </w:tcBorders>
            <w:gridSpan w:val="1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60">
              <w:r>
                <w:rPr>
                  <w:rFonts w:ascii="Arial" w:cs="Arial" w:eastAsia="Arial" w:hAnsi="Arial"/>
                  <w:sz w:val="16"/>
                  <w:szCs w:val="16"/>
                  <w:color w:val="0000FF"/>
                </w:rPr>
                <w:t>Report on Form 10-K for the year ended December 31, 2018 dated February 21, 2019).†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bottom w:val="single" w:sz="8" w:color="0000FF"/>
            </w:tcBorders>
            <w:gridSpan w:val="28"/>
          </w:tcPr>
          <w:p>
            <w:pPr>
              <w:spacing w:after="0" w:line="183" w:lineRule="exact"/>
              <w:rPr>
                <w:rFonts w:ascii="Arial" w:cs="Arial" w:eastAsia="Arial" w:hAnsi="Arial"/>
                <w:sz w:val="16"/>
                <w:szCs w:val="16"/>
                <w:color w:val="0000FF"/>
              </w:rPr>
            </w:pPr>
            <w:hyperlink r:id="rId161">
              <w:r>
                <w:rPr>
                  <w:rFonts w:ascii="Arial" w:cs="Arial" w:eastAsia="Arial" w:hAnsi="Arial"/>
                  <w:sz w:val="16"/>
                  <w:szCs w:val="16"/>
                  <w:color w:val="0000FF"/>
                </w:rPr>
                <w:t>Offer Letter, dated February 15, 2019, between John North and Avis Budget Group, Inc. (Incorporated by reference to Exhibit 10.1 to the</w:t>
              </w:r>
            </w:hyperlink>
          </w:p>
        </w:tc>
        <w:tc>
          <w:tcPr>
            <w:tcW w:w="360" w:type="dxa"/>
            <w:vAlign w:val="bottom"/>
            <w:tcBorders>
              <w:right w:val="single" w:sz="8" w:color="auto"/>
            </w:tcBorders>
            <w:gridSpan w:val="10"/>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61">
              <w:r>
                <w:rPr>
                  <w:rFonts w:ascii="Arial" w:cs="Arial" w:eastAsia="Arial" w:hAnsi="Arial"/>
                  <w:sz w:val="16"/>
                  <w:szCs w:val="16"/>
                  <w:color w:val="0000FF"/>
                </w:rPr>
                <w:t>Company’s Current Report on Form 8-K dated February 19, 2019). †</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10.7(a)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r:id="rId162">
              <w:r>
                <w:rPr>
                  <w:rFonts w:ascii="Arial" w:cs="Arial" w:eastAsia="Arial" w:hAnsi="Arial"/>
                  <w:sz w:val="16"/>
                  <w:szCs w:val="16"/>
                  <w:color w:val="0000FF"/>
                </w:rPr>
                <w:t>Severance Agreement between John F. North, III and Avis Budget Group, Inc. dated August 15, 2019. (Incorporated by reference to Exhibit</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34"/>
          </w:tcPr>
          <w:p>
            <w:pPr>
              <w:spacing w:after="0" w:line="169" w:lineRule="exact"/>
              <w:rPr>
                <w:rFonts w:ascii="Arial" w:cs="Arial" w:eastAsia="Arial" w:hAnsi="Arial"/>
                <w:sz w:val="16"/>
                <w:szCs w:val="16"/>
                <w:color w:val="0000FF"/>
              </w:rPr>
            </w:pPr>
            <w:hyperlink r:id="rId162">
              <w:r>
                <w:rPr>
                  <w:rFonts w:ascii="Arial" w:cs="Arial" w:eastAsia="Arial" w:hAnsi="Arial"/>
                  <w:sz w:val="16"/>
                  <w:szCs w:val="16"/>
                  <w:color w:val="0000FF"/>
                </w:rPr>
                <w:t>10.2 to the Company’s Quarterly Report on Form 10-Q for the quarterly period ended September 30, 2019 dated November 1, 2019). †</w:t>
              </w:r>
            </w:hyperlink>
          </w:p>
        </w:tc>
        <w:tc>
          <w:tcPr>
            <w:tcW w:w="180" w:type="dxa"/>
            <w:vAlign w:val="bottom"/>
            <w:tcBorders>
              <w:right w:val="single" w:sz="8" w:color="auto"/>
            </w:tcBorders>
            <w:gridSpan w:val="4"/>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24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w:anchor="page131">
              <w:r>
                <w:rPr>
                  <w:rFonts w:ascii="Arial" w:cs="Arial" w:eastAsia="Arial" w:hAnsi="Arial"/>
                  <w:sz w:val="16"/>
                  <w:szCs w:val="16"/>
                  <w:color w:val="0000FF"/>
                </w:rPr>
                <w:t>Service Agreement between Patrick Rankin and Avis Budget Services Limited, dated February 22, 2019. †</w:t>
              </w:r>
            </w:hyperlink>
          </w:p>
        </w:tc>
      </w:tr>
      <w:tr>
        <w:trPr>
          <w:trHeight w:val="61"/>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20" w:type="dxa"/>
            <w:vAlign w:val="bottom"/>
            <w:tcBorders>
              <w:top w:val="single" w:sz="8" w:color="0000FF"/>
              <w:bottom w:val="single" w:sz="8" w:color="auto"/>
            </w:tcBorders>
          </w:tcPr>
          <w:p>
            <w:pPr>
              <w:spacing w:after="0"/>
              <w:rPr>
                <w:sz w:val="5"/>
                <w:szCs w:val="5"/>
                <w:color w:val="auto"/>
              </w:rPr>
            </w:pPr>
          </w:p>
        </w:tc>
        <w:tc>
          <w:tcPr>
            <w:tcW w:w="158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860" w:type="dxa"/>
            <w:vAlign w:val="bottom"/>
            <w:tcBorders>
              <w:top w:val="single" w:sz="8" w:color="0000FF"/>
              <w:bottom w:val="single" w:sz="8" w:color="auto"/>
            </w:tcBorders>
          </w:tcPr>
          <w:p>
            <w:pPr>
              <w:spacing w:after="0"/>
              <w:rPr>
                <w:sz w:val="5"/>
                <w:szCs w:val="5"/>
                <w:color w:val="auto"/>
              </w:rPr>
            </w:pPr>
          </w:p>
        </w:tc>
        <w:tc>
          <w:tcPr>
            <w:tcW w:w="48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120" w:type="dxa"/>
            <w:vAlign w:val="bottom"/>
            <w:tcBorders>
              <w:top w:val="single" w:sz="8" w:color="0000FF"/>
              <w:bottom w:val="single" w:sz="8" w:color="auto"/>
            </w:tcBorders>
          </w:tcPr>
          <w:p>
            <w:pPr>
              <w:spacing w:after="0"/>
              <w:rPr>
                <w:sz w:val="5"/>
                <w:szCs w:val="5"/>
                <w:color w:val="auto"/>
              </w:rPr>
            </w:pPr>
          </w:p>
        </w:tc>
        <w:tc>
          <w:tcPr>
            <w:tcW w:w="500" w:type="dxa"/>
            <w:vAlign w:val="bottom"/>
            <w:tcBorders>
              <w:top w:val="single" w:sz="8" w:color="0000FF"/>
              <w:bottom w:val="single" w:sz="8" w:color="auto"/>
            </w:tcBorders>
          </w:tcPr>
          <w:p>
            <w:pPr>
              <w:spacing w:after="0"/>
              <w:rPr>
                <w:sz w:val="5"/>
                <w:szCs w:val="5"/>
                <w:color w:val="auto"/>
              </w:rPr>
            </w:pPr>
          </w:p>
        </w:tc>
        <w:tc>
          <w:tcPr>
            <w:tcW w:w="34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20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80" w:type="dxa"/>
            <w:vAlign w:val="bottom"/>
            <w:tcBorders>
              <w:top w:val="single" w:sz="8" w:color="0000FF"/>
              <w:bottom w:val="single" w:sz="8" w:color="auto"/>
            </w:tcBorders>
          </w:tcPr>
          <w:p>
            <w:pPr>
              <w:spacing w:after="0"/>
              <w:rPr>
                <w:sz w:val="5"/>
                <w:szCs w:val="5"/>
                <w:color w:val="auto"/>
              </w:rPr>
            </w:pPr>
          </w:p>
        </w:tc>
        <w:tc>
          <w:tcPr>
            <w:tcW w:w="34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260" w:type="dxa"/>
            <w:vAlign w:val="bottom"/>
            <w:tcBorders>
              <w:top w:val="single" w:sz="8" w:color="0000FF"/>
              <w:bottom w:val="single" w:sz="8" w:color="auto"/>
            </w:tcBorders>
          </w:tcPr>
          <w:p>
            <w:pPr>
              <w:spacing w:after="0"/>
              <w:rPr>
                <w:sz w:val="5"/>
                <w:szCs w:val="5"/>
                <w:color w:val="auto"/>
              </w:rPr>
            </w:pPr>
          </w:p>
        </w:tc>
        <w:tc>
          <w:tcPr>
            <w:tcW w:w="80" w:type="dxa"/>
            <w:vAlign w:val="bottom"/>
            <w:tcBorders>
              <w:top w:val="single" w:sz="8" w:color="0000FF"/>
              <w:bottom w:val="single" w:sz="8" w:color="auto"/>
            </w:tcBorders>
          </w:tcPr>
          <w:p>
            <w:pPr>
              <w:spacing w:after="0"/>
              <w:rPr>
                <w:sz w:val="5"/>
                <w:szCs w:val="5"/>
                <w:color w:val="auto"/>
              </w:rPr>
            </w:pPr>
          </w:p>
        </w:tc>
        <w:tc>
          <w:tcPr>
            <w:tcW w:w="120" w:type="dxa"/>
            <w:vAlign w:val="bottom"/>
            <w:tcBorders>
              <w:top w:val="single" w:sz="8" w:color="0000FF"/>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10.9</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w:anchor="page145">
              <w:r>
                <w:rPr>
                  <w:rFonts w:ascii="Arial" w:cs="Arial" w:eastAsia="Arial" w:hAnsi="Arial"/>
                  <w:sz w:val="16"/>
                  <w:szCs w:val="16"/>
                  <w:color w:val="0000FF"/>
                </w:rPr>
                <w:t>Agreement between Patrick Rankin and Avis Budget Services Limited, dated August 15, 2019. †</w:t>
              </w:r>
            </w:hyperlink>
          </w:p>
        </w:tc>
      </w:tr>
      <w:tr>
        <w:trPr>
          <w:trHeight w:val="61"/>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20" w:type="dxa"/>
            <w:vAlign w:val="bottom"/>
            <w:tcBorders>
              <w:top w:val="single" w:sz="8" w:color="0000FF"/>
              <w:bottom w:val="single" w:sz="8" w:color="auto"/>
            </w:tcBorders>
          </w:tcPr>
          <w:p>
            <w:pPr>
              <w:spacing w:after="0"/>
              <w:rPr>
                <w:sz w:val="5"/>
                <w:szCs w:val="5"/>
                <w:color w:val="auto"/>
              </w:rPr>
            </w:pPr>
          </w:p>
        </w:tc>
        <w:tc>
          <w:tcPr>
            <w:tcW w:w="158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860" w:type="dxa"/>
            <w:vAlign w:val="bottom"/>
            <w:tcBorders>
              <w:top w:val="single" w:sz="8" w:color="0000FF"/>
              <w:bottom w:val="single" w:sz="8" w:color="auto"/>
            </w:tcBorders>
          </w:tcPr>
          <w:p>
            <w:pPr>
              <w:spacing w:after="0"/>
              <w:rPr>
                <w:sz w:val="5"/>
                <w:szCs w:val="5"/>
                <w:color w:val="auto"/>
              </w:rPr>
            </w:pPr>
          </w:p>
        </w:tc>
        <w:tc>
          <w:tcPr>
            <w:tcW w:w="48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120" w:type="dxa"/>
            <w:vAlign w:val="bottom"/>
            <w:tcBorders>
              <w:top w:val="single" w:sz="8" w:color="0000FF"/>
              <w:bottom w:val="single" w:sz="8" w:color="auto"/>
            </w:tcBorders>
          </w:tcPr>
          <w:p>
            <w:pPr>
              <w:spacing w:after="0"/>
              <w:rPr>
                <w:sz w:val="5"/>
                <w:szCs w:val="5"/>
                <w:color w:val="auto"/>
              </w:rPr>
            </w:pPr>
          </w:p>
        </w:tc>
        <w:tc>
          <w:tcPr>
            <w:tcW w:w="500" w:type="dxa"/>
            <w:vAlign w:val="bottom"/>
            <w:tcBorders>
              <w:top w:val="single" w:sz="8" w:color="0000FF"/>
              <w:bottom w:val="single" w:sz="8" w:color="auto"/>
            </w:tcBorders>
          </w:tcPr>
          <w:p>
            <w:pPr>
              <w:spacing w:after="0"/>
              <w:rPr>
                <w:sz w:val="5"/>
                <w:szCs w:val="5"/>
                <w:color w:val="auto"/>
              </w:rPr>
            </w:pPr>
          </w:p>
        </w:tc>
        <w:tc>
          <w:tcPr>
            <w:tcW w:w="34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20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80" w:type="dxa"/>
            <w:vAlign w:val="bottom"/>
            <w:tcBorders>
              <w:top w:val="single" w:sz="8" w:color="0000FF"/>
              <w:bottom w:val="single" w:sz="8" w:color="auto"/>
            </w:tcBorders>
          </w:tcPr>
          <w:p>
            <w:pPr>
              <w:spacing w:after="0"/>
              <w:rPr>
                <w:sz w:val="5"/>
                <w:szCs w:val="5"/>
                <w:color w:val="auto"/>
              </w:rPr>
            </w:pPr>
          </w:p>
        </w:tc>
        <w:tc>
          <w:tcPr>
            <w:tcW w:w="340" w:type="dxa"/>
            <w:vAlign w:val="bottom"/>
            <w:tcBorders>
              <w:top w:val="single" w:sz="8" w:color="0000FF"/>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w:anchor="page146">
              <w:r>
                <w:rPr>
                  <w:rFonts w:ascii="Arial" w:cs="Arial" w:eastAsia="Arial" w:hAnsi="Arial"/>
                  <w:sz w:val="16"/>
                  <w:szCs w:val="16"/>
                  <w:color w:val="0000FF"/>
                </w:rPr>
                <w:t>Agreement between Avis Budget Group, Inc. and Edward Linnen, dated April 20, 2015. †</w:t>
              </w:r>
            </w:hyperlink>
          </w:p>
        </w:tc>
      </w:tr>
      <w:tr>
        <w:trPr>
          <w:trHeight w:val="61"/>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20" w:type="dxa"/>
            <w:vAlign w:val="bottom"/>
            <w:tcBorders>
              <w:top w:val="single" w:sz="8" w:color="0000FF"/>
              <w:bottom w:val="single" w:sz="8" w:color="auto"/>
            </w:tcBorders>
          </w:tcPr>
          <w:p>
            <w:pPr>
              <w:spacing w:after="0"/>
              <w:rPr>
                <w:sz w:val="5"/>
                <w:szCs w:val="5"/>
                <w:color w:val="auto"/>
              </w:rPr>
            </w:pPr>
          </w:p>
        </w:tc>
        <w:tc>
          <w:tcPr>
            <w:tcW w:w="158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860" w:type="dxa"/>
            <w:vAlign w:val="bottom"/>
            <w:tcBorders>
              <w:top w:val="single" w:sz="8" w:color="0000FF"/>
              <w:bottom w:val="single" w:sz="8" w:color="auto"/>
            </w:tcBorders>
          </w:tcPr>
          <w:p>
            <w:pPr>
              <w:spacing w:after="0"/>
              <w:rPr>
                <w:sz w:val="5"/>
                <w:szCs w:val="5"/>
                <w:color w:val="auto"/>
              </w:rPr>
            </w:pPr>
          </w:p>
        </w:tc>
        <w:tc>
          <w:tcPr>
            <w:tcW w:w="480" w:type="dxa"/>
            <w:vAlign w:val="bottom"/>
            <w:tcBorders>
              <w:top w:val="single" w:sz="8" w:color="0000FF"/>
              <w:bottom w:val="single" w:sz="8" w:color="auto"/>
            </w:tcBorders>
          </w:tcPr>
          <w:p>
            <w:pPr>
              <w:spacing w:after="0"/>
              <w:rPr>
                <w:sz w:val="5"/>
                <w:szCs w:val="5"/>
                <w:color w:val="auto"/>
              </w:rPr>
            </w:pPr>
          </w:p>
        </w:tc>
        <w:tc>
          <w:tcPr>
            <w:tcW w:w="160" w:type="dxa"/>
            <w:vAlign w:val="bottom"/>
            <w:tcBorders>
              <w:top w:val="single" w:sz="8" w:color="0000FF"/>
              <w:bottom w:val="single" w:sz="8" w:color="auto"/>
            </w:tcBorders>
          </w:tcPr>
          <w:p>
            <w:pPr>
              <w:spacing w:after="0"/>
              <w:rPr>
                <w:sz w:val="5"/>
                <w:szCs w:val="5"/>
                <w:color w:val="auto"/>
              </w:rPr>
            </w:pPr>
          </w:p>
        </w:tc>
        <w:tc>
          <w:tcPr>
            <w:tcW w:w="120" w:type="dxa"/>
            <w:vAlign w:val="bottom"/>
            <w:tcBorders>
              <w:top w:val="single" w:sz="8" w:color="0000FF"/>
              <w:bottom w:val="single" w:sz="8" w:color="auto"/>
            </w:tcBorders>
          </w:tcPr>
          <w:p>
            <w:pPr>
              <w:spacing w:after="0"/>
              <w:rPr>
                <w:sz w:val="5"/>
                <w:szCs w:val="5"/>
                <w:color w:val="auto"/>
              </w:rPr>
            </w:pPr>
          </w:p>
        </w:tc>
        <w:tc>
          <w:tcPr>
            <w:tcW w:w="500" w:type="dxa"/>
            <w:vAlign w:val="bottom"/>
            <w:tcBorders>
              <w:top w:val="single" w:sz="8" w:color="0000FF"/>
              <w:bottom w:val="single" w:sz="8" w:color="auto"/>
            </w:tcBorders>
          </w:tcPr>
          <w:p>
            <w:pPr>
              <w:spacing w:after="0"/>
              <w:rPr>
                <w:sz w:val="5"/>
                <w:szCs w:val="5"/>
                <w:color w:val="auto"/>
              </w:rPr>
            </w:pPr>
          </w:p>
        </w:tc>
        <w:tc>
          <w:tcPr>
            <w:tcW w:w="340" w:type="dxa"/>
            <w:vAlign w:val="bottom"/>
            <w:tcBorders>
              <w:top w:val="single" w:sz="8" w:color="0000FF"/>
              <w:bottom w:val="single" w:sz="8" w:color="auto"/>
            </w:tcBorders>
          </w:tcPr>
          <w:p>
            <w:pPr>
              <w:spacing w:after="0"/>
              <w:rPr>
                <w:sz w:val="5"/>
                <w:szCs w:val="5"/>
                <w:color w:val="auto"/>
              </w:rPr>
            </w:pPr>
          </w:p>
        </w:tc>
        <w:tc>
          <w:tcPr>
            <w:tcW w:w="280" w:type="dxa"/>
            <w:vAlign w:val="bottom"/>
            <w:tcBorders>
              <w:top w:val="single" w:sz="8" w:color="0000FF"/>
              <w:bottom w:val="single" w:sz="8" w:color="auto"/>
            </w:tcBorders>
          </w:tcPr>
          <w:p>
            <w:pPr>
              <w:spacing w:after="0"/>
              <w:rPr>
                <w:sz w:val="5"/>
                <w:szCs w:val="5"/>
                <w:color w:val="auto"/>
              </w:rPr>
            </w:pPr>
          </w:p>
        </w:tc>
        <w:tc>
          <w:tcPr>
            <w:tcW w:w="20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180" w:type="dxa"/>
            <w:vAlign w:val="bottom"/>
            <w:tcBorders>
              <w:bottom w:val="single" w:sz="8" w:color="0000FF"/>
            </w:tcBorders>
            <w:gridSpan w:val="20"/>
          </w:tcPr>
          <w:p>
            <w:pPr>
              <w:spacing w:after="0" w:line="183" w:lineRule="exact"/>
              <w:rPr>
                <w:rFonts w:ascii="Arial" w:cs="Arial" w:eastAsia="Arial" w:hAnsi="Arial"/>
                <w:sz w:val="16"/>
                <w:szCs w:val="16"/>
                <w:color w:val="0000FF"/>
              </w:rPr>
            </w:pPr>
            <w:hyperlink r:id="rId163">
              <w:r>
                <w:rPr>
                  <w:rFonts w:ascii="Arial" w:cs="Arial" w:eastAsia="Arial" w:hAnsi="Arial"/>
                  <w:sz w:val="16"/>
                  <w:szCs w:val="16"/>
                  <w:color w:val="0000FF"/>
                </w:rPr>
                <w:t>Second Amended and Restated Cooperation Agreement, dated April 16, 2018, by and among Avis Budget Group, Inc. and SRS</w:t>
              </w:r>
            </w:hyperlink>
          </w:p>
        </w:tc>
        <w:tc>
          <w:tcPr>
            <w:tcW w:w="960" w:type="dxa"/>
            <w:vAlign w:val="bottom"/>
            <w:tcBorders>
              <w:right w:val="single" w:sz="8" w:color="auto"/>
            </w:tcBorders>
            <w:gridSpan w:val="18"/>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63">
              <w:r>
                <w:rPr>
                  <w:rFonts w:ascii="Arial" w:cs="Arial" w:eastAsia="Arial" w:hAnsi="Arial"/>
                  <w:sz w:val="16"/>
                  <w:szCs w:val="16"/>
                  <w:color w:val="0000FF"/>
                </w:rPr>
                <w:t>(Incorporated by reference to Exhibit 10.1 to the Company’s Current Report on Form 8-K dated April 16, 2018).</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tcBorders>
              <w:bottom w:val="single" w:sz="8" w:color="0000FF"/>
            </w:tcBorders>
            <w:gridSpan w:val="21"/>
          </w:tcPr>
          <w:p>
            <w:pPr>
              <w:spacing w:after="0" w:line="183" w:lineRule="exact"/>
              <w:rPr>
                <w:rFonts w:ascii="Arial" w:cs="Arial" w:eastAsia="Arial" w:hAnsi="Arial"/>
                <w:sz w:val="16"/>
                <w:szCs w:val="16"/>
                <w:color w:val="0000FF"/>
              </w:rPr>
            </w:pPr>
            <w:hyperlink r:id="rId164">
              <w:r>
                <w:rPr>
                  <w:rFonts w:ascii="Arial" w:cs="Arial" w:eastAsia="Arial" w:hAnsi="Arial"/>
                  <w:sz w:val="16"/>
                  <w:szCs w:val="16"/>
                  <w:color w:val="0000FF"/>
                </w:rPr>
                <w:t>Avis Budget Group, Inc. Amended and Restated Equity and Incentive Plan (Incorporated by reference to Annex A to the Company’s</w:t>
              </w:r>
            </w:hyperlink>
          </w:p>
        </w:tc>
        <w:tc>
          <w:tcPr>
            <w:tcW w:w="700" w:type="dxa"/>
            <w:vAlign w:val="bottom"/>
            <w:tcBorders>
              <w:right w:val="single" w:sz="8" w:color="auto"/>
            </w:tcBorders>
            <w:gridSpan w:val="1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64">
              <w:r>
                <w:rPr>
                  <w:rFonts w:ascii="Arial" w:cs="Arial" w:eastAsia="Arial" w:hAnsi="Arial"/>
                  <w:sz w:val="16"/>
                  <w:szCs w:val="16"/>
                  <w:color w:val="0000FF"/>
                </w:rPr>
                <w:t>Definitive Proxy Statement on Schedule 14A dated March 26, 2019). †</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r:id="rId165">
              <w:r>
                <w:rPr>
                  <w:rFonts w:ascii="Arial" w:cs="Arial" w:eastAsia="Arial" w:hAnsi="Arial"/>
                  <w:sz w:val="16"/>
                  <w:szCs w:val="16"/>
                  <w:color w:val="0000FF"/>
                </w:rPr>
                <w:t>1997 Stock Incentive Plan (Incorporated by reference to Appendix E to the Joint Proxy Statement/ Prospectus included as part of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165">
              <w:r>
                <w:rPr>
                  <w:rFonts w:ascii="Arial" w:cs="Arial" w:eastAsia="Arial" w:hAnsi="Arial"/>
                  <w:sz w:val="16"/>
                  <w:szCs w:val="16"/>
                  <w:color w:val="0000FF"/>
                </w:rPr>
                <w:t>Company’s Registration Statement on Form S-4, Registration No. 333-34517, dated August 28, 1997).†</w:t>
              </w:r>
            </w:hyperlink>
          </w:p>
        </w:tc>
        <w:tc>
          <w:tcPr>
            <w:tcW w:w="640" w:type="dxa"/>
            <w:vAlign w:val="bottom"/>
            <w:tcBorders>
              <w:right w:val="single" w:sz="8" w:color="auto"/>
            </w:tcBorders>
            <w:gridSpan w:val="16"/>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6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10.13(a)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bottom w:val="single" w:sz="8" w:color="0000FF"/>
            </w:tcBorders>
            <w:gridSpan w:val="28"/>
          </w:tcPr>
          <w:p>
            <w:pPr>
              <w:spacing w:after="0" w:line="183" w:lineRule="exact"/>
              <w:rPr>
                <w:rFonts w:ascii="Arial" w:cs="Arial" w:eastAsia="Arial" w:hAnsi="Arial"/>
                <w:sz w:val="16"/>
                <w:szCs w:val="16"/>
                <w:color w:val="0000FF"/>
              </w:rPr>
            </w:pPr>
            <w:hyperlink r:id="rId166">
              <w:r>
                <w:rPr>
                  <w:rFonts w:ascii="Arial" w:cs="Arial" w:eastAsia="Arial" w:hAnsi="Arial"/>
                  <w:sz w:val="16"/>
                  <w:szCs w:val="16"/>
                  <w:color w:val="0000FF"/>
                </w:rPr>
                <w:t>Amendment to 1997 Stock Incentive Plan dated March 27, 2000 (Incorporated by reference to Exhibit 10.12(b) to the Company’s Annual</w:t>
              </w:r>
            </w:hyperlink>
          </w:p>
        </w:tc>
        <w:tc>
          <w:tcPr>
            <w:tcW w:w="360" w:type="dxa"/>
            <w:vAlign w:val="bottom"/>
            <w:tcBorders>
              <w:right w:val="single" w:sz="8" w:color="auto"/>
            </w:tcBorders>
            <w:gridSpan w:val="10"/>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66">
              <w:r>
                <w:rPr>
                  <w:rFonts w:ascii="Arial" w:cs="Arial" w:eastAsia="Arial" w:hAnsi="Arial"/>
                  <w:sz w:val="16"/>
                  <w:szCs w:val="16"/>
                  <w:color w:val="0000FF"/>
                </w:rPr>
                <w:t>Report on Form 10-K for the year ended December 31, 2000 dated March 29, 2001).†</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10.13(b)</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bottom w:val="single" w:sz="8" w:color="0000FF"/>
            </w:tcBorders>
            <w:gridSpan w:val="27"/>
          </w:tcPr>
          <w:p>
            <w:pPr>
              <w:spacing w:after="0" w:line="183" w:lineRule="exact"/>
              <w:rPr>
                <w:rFonts w:ascii="Arial" w:cs="Arial" w:eastAsia="Arial" w:hAnsi="Arial"/>
                <w:sz w:val="16"/>
                <w:szCs w:val="16"/>
                <w:color w:val="0000FF"/>
              </w:rPr>
            </w:pPr>
            <w:hyperlink r:id="rId167">
              <w:r>
                <w:rPr>
                  <w:rFonts w:ascii="Arial" w:cs="Arial" w:eastAsia="Arial" w:hAnsi="Arial"/>
                  <w:sz w:val="16"/>
                  <w:szCs w:val="16"/>
                  <w:color w:val="0000FF"/>
                </w:rPr>
                <w:t>Amendment to 1997 Stock Incentive Plan dated March 28, 2000 (Incorporated by reference to Exhibit 10.12(c) to the Company’s Annual</w:t>
              </w:r>
            </w:hyperlink>
          </w:p>
        </w:tc>
        <w:tc>
          <w:tcPr>
            <w:tcW w:w="380" w:type="dxa"/>
            <w:vAlign w:val="bottom"/>
            <w:tcBorders>
              <w:right w:val="single" w:sz="8" w:color="auto"/>
            </w:tcBorders>
            <w:gridSpan w:val="11"/>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67">
              <w:r>
                <w:rPr>
                  <w:rFonts w:ascii="Arial" w:cs="Arial" w:eastAsia="Arial" w:hAnsi="Arial"/>
                  <w:sz w:val="16"/>
                  <w:szCs w:val="16"/>
                  <w:color w:val="0000FF"/>
                </w:rPr>
                <w:t>Report on Form 10-K for the year ended December 31, 2000 dated March 29, 2001).†</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10.13(c)</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r:id="rId168">
              <w:r>
                <w:rPr>
                  <w:rFonts w:ascii="Arial" w:cs="Arial" w:eastAsia="Arial" w:hAnsi="Arial"/>
                  <w:sz w:val="16"/>
                  <w:szCs w:val="16"/>
                  <w:color w:val="0000FF"/>
                </w:rPr>
                <w:t>Amendment to 1997 Stock Incentive Plan dated January 3, 2001 (Incorporated by reference to Exhibit 10.12(d) to the Company’s Annual</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168">
              <w:r>
                <w:rPr>
                  <w:rFonts w:ascii="Arial" w:cs="Arial" w:eastAsia="Arial" w:hAnsi="Arial"/>
                  <w:sz w:val="16"/>
                  <w:szCs w:val="16"/>
                  <w:color w:val="0000FF"/>
                </w:rPr>
                <w:t>Report on Form 10-K for the year ended December 31, 2000 dated March 29, 2001).†</w:t>
              </w:r>
            </w:hyperlink>
          </w:p>
        </w:tc>
        <w:tc>
          <w:tcPr>
            <w:tcW w:w="340" w:type="dxa"/>
            <w:vAlign w:val="bottom"/>
            <w:tcBorders>
              <w:right w:val="single" w:sz="8" w:color="auto"/>
            </w:tcBorders>
            <w:gridSpan w:val="9"/>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bottom w:val="single" w:sz="8" w:color="0000FF"/>
            </w:tcBorders>
            <w:gridSpan w:val="31"/>
          </w:tcPr>
          <w:p>
            <w:pPr>
              <w:spacing w:after="0" w:line="183" w:lineRule="exact"/>
              <w:rPr>
                <w:rFonts w:ascii="Arial" w:cs="Arial" w:eastAsia="Arial" w:hAnsi="Arial"/>
                <w:sz w:val="16"/>
                <w:szCs w:val="16"/>
                <w:color w:val="0000FF"/>
              </w:rPr>
            </w:pPr>
            <w:hyperlink r:id="rId169">
              <w:r>
                <w:rPr>
                  <w:rFonts w:ascii="Arial" w:cs="Arial" w:eastAsia="Arial" w:hAnsi="Arial"/>
                  <w:sz w:val="16"/>
                  <w:szCs w:val="16"/>
                  <w:color w:val="0000FF"/>
                </w:rPr>
                <w:t>Amendment to Various Equity-Based Plans (Incorporated by reference to Exhibit 10.16 to the Company’s Annual Report on Form 10-K for</w:t>
              </w:r>
            </w:hyperlink>
          </w:p>
        </w:tc>
        <w:tc>
          <w:tcPr>
            <w:tcW w:w="260" w:type="dxa"/>
            <w:vAlign w:val="bottom"/>
            <w:tcBorders>
              <w:right w:val="single" w:sz="8" w:color="auto"/>
            </w:tcBorders>
            <w:gridSpan w:val="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69">
              <w:r>
                <w:rPr>
                  <w:rFonts w:ascii="Arial" w:cs="Arial" w:eastAsia="Arial" w:hAnsi="Arial"/>
                  <w:sz w:val="16"/>
                  <w:szCs w:val="16"/>
                  <w:color w:val="0000FF"/>
                </w:rPr>
                <w:t>the year ended December 31, 2005 dated March 1,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8"/>
          </w:tcPr>
          <w:p>
            <w:pPr>
              <w:spacing w:after="0" w:line="183" w:lineRule="exact"/>
              <w:rPr>
                <w:rFonts w:ascii="Arial" w:cs="Arial" w:eastAsia="Arial" w:hAnsi="Arial"/>
                <w:sz w:val="16"/>
                <w:szCs w:val="16"/>
                <w:color w:val="0000FF"/>
              </w:rPr>
            </w:pPr>
            <w:hyperlink r:id="rId170">
              <w:r>
                <w:rPr>
                  <w:rFonts w:ascii="Arial" w:cs="Arial" w:eastAsia="Arial" w:hAnsi="Arial"/>
                  <w:sz w:val="16"/>
                  <w:szCs w:val="16"/>
                  <w:color w:val="0000FF"/>
                </w:rPr>
                <w:t>Avis Budget Group, Inc. Employee Stock Purchase Plan (Incorporated by reference to Exhibit 10.2 to the Company’s Current Report on</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170">
              <w:r>
                <w:rPr>
                  <w:rFonts w:ascii="Arial" w:cs="Arial" w:eastAsia="Arial" w:hAnsi="Arial"/>
                  <w:sz w:val="16"/>
                  <w:szCs w:val="16"/>
                  <w:color w:val="0000FF"/>
                </w:rPr>
                <w:t>Form 8-K dated June 18, 2009).†</w:t>
              </w:r>
            </w:hyperlink>
          </w:p>
        </w:tc>
        <w:tc>
          <w:tcPr>
            <w:tcW w:w="440" w:type="dxa"/>
            <w:vAlign w:val="bottom"/>
            <w:tcBorders>
              <w:right w:val="single" w:sz="8" w:color="auto"/>
            </w:tcBorders>
            <w:gridSpan w:val="12"/>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10.15(a)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bottom w:val="single" w:sz="8" w:color="0000FF"/>
            </w:tcBorders>
            <w:gridSpan w:val="25"/>
          </w:tcPr>
          <w:p>
            <w:pPr>
              <w:spacing w:after="0" w:line="183" w:lineRule="exact"/>
              <w:rPr>
                <w:rFonts w:ascii="Arial" w:cs="Arial" w:eastAsia="Arial" w:hAnsi="Arial"/>
                <w:sz w:val="16"/>
                <w:szCs w:val="16"/>
                <w:color w:val="0000FF"/>
              </w:rPr>
            </w:pPr>
            <w:hyperlink r:id="rId171">
              <w:r>
                <w:rPr>
                  <w:rFonts w:ascii="Arial" w:cs="Arial" w:eastAsia="Arial" w:hAnsi="Arial"/>
                  <w:sz w:val="16"/>
                  <w:szCs w:val="16"/>
                  <w:color w:val="0000FF"/>
                </w:rPr>
                <w:t>Amendment No. 1 to the Avis Budget Group, Inc. Employee Stock Purchase Plan (Incorporated by reference to Exhibit 10.17(b) to Avis</w:t>
              </w:r>
            </w:hyperlink>
          </w:p>
        </w:tc>
        <w:tc>
          <w:tcPr>
            <w:tcW w:w="460" w:type="dxa"/>
            <w:vAlign w:val="bottom"/>
            <w:tcBorders>
              <w:right w:val="single" w:sz="8" w:color="auto"/>
            </w:tcBorders>
            <w:gridSpan w:val="1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Budget Car Rental, LLC and Avis Budget Finance, Inc.’s Registration Statement on Form S-4, Registration No. 333-17490, dated October</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25, 2011).†</w:t>
              </w:r>
            </w:hyperlink>
          </w:p>
        </w:tc>
        <w:tc>
          <w:tcPr>
            <w:tcW w:w="280" w:type="dxa"/>
            <w:vAlign w:val="bottom"/>
            <w:tcBorders>
              <w:right w:val="single" w:sz="8" w:color="auto"/>
            </w:tcBorders>
            <w:gridSpan w:val="8"/>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42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35"/>
          </w:tcPr>
          <w:p>
            <w:pPr>
              <w:ind w:left="1840"/>
              <w:spacing w:after="0"/>
              <w:rPr>
                <w:sz w:val="20"/>
                <w:szCs w:val="20"/>
                <w:color w:val="auto"/>
              </w:rPr>
            </w:pPr>
            <w:r>
              <w:rPr>
                <w:rFonts w:ascii="Arial" w:cs="Arial" w:eastAsia="Arial" w:hAnsi="Arial"/>
                <w:sz w:val="18"/>
                <w:szCs w:val="18"/>
                <w:color w:val="auto"/>
              </w:rPr>
              <w:t>H-2</w:t>
            </w:r>
          </w:p>
        </w:tc>
      </w:tr>
    </w:tbl>
    <w:p>
      <w:pPr>
        <w:sectPr>
          <w:pgSz w:w="11900" w:h="16838" w:orient="portrait"/>
          <w:cols w:equalWidth="0" w:num="1">
            <w:col w:w="11440"/>
          </w:cols>
          <w:pgMar w:left="240" w:top="140" w:right="21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10.16</w:t>
            </w:r>
          </w:p>
        </w:tc>
        <w:tc>
          <w:tcPr>
            <w:tcW w:w="12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860" w:type="dxa"/>
            <w:vAlign w:val="bottom"/>
            <w:tcBorders>
              <w:top w:val="single" w:sz="8" w:color="auto"/>
              <w:bottom w:val="single" w:sz="8" w:color="0000FF"/>
            </w:tcBorders>
            <w:gridSpan w:val="27"/>
          </w:tcPr>
          <w:p>
            <w:pPr>
              <w:spacing w:after="0"/>
              <w:rPr>
                <w:rFonts w:ascii="Arial" w:cs="Arial" w:eastAsia="Arial" w:hAnsi="Arial"/>
                <w:sz w:val="16"/>
                <w:szCs w:val="16"/>
                <w:color w:val="0000FF"/>
              </w:rPr>
            </w:pPr>
            <w:hyperlink r:id="rId172">
              <w:r>
                <w:rPr>
                  <w:rFonts w:ascii="Arial" w:cs="Arial" w:eastAsia="Arial" w:hAnsi="Arial"/>
                  <w:sz w:val="16"/>
                  <w:szCs w:val="16"/>
                  <w:color w:val="0000FF"/>
                </w:rPr>
                <w:t>Form of Award Agreement - Restricted Stock Units. (Incorporated by reference to Exhibit 10.12 to the Company’s Annual Report on Form</w:t>
              </w:r>
            </w:hyperlink>
          </w:p>
        </w:tc>
        <w:tc>
          <w:tcPr>
            <w:tcW w:w="280" w:type="dxa"/>
            <w:vAlign w:val="bottom"/>
            <w:tcBorders>
              <w:top w:val="single" w:sz="8" w:color="auto"/>
              <w:right w:val="single" w:sz="8" w:color="auto"/>
            </w:tcBorders>
            <w:gridSpan w:val="10"/>
          </w:tcPr>
          <w:p>
            <w:pPr>
              <w:spacing w:after="0"/>
              <w:rPr>
                <w:sz w:val="17"/>
                <w:szCs w:val="17"/>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72">
              <w:r>
                <w:rPr>
                  <w:rFonts w:ascii="Arial" w:cs="Arial" w:eastAsia="Arial" w:hAnsi="Arial"/>
                  <w:sz w:val="16"/>
                  <w:szCs w:val="16"/>
                  <w:color w:val="0000FF"/>
                </w:rPr>
                <w:t>10-K for the year ended December 31, 2018 dated February 21, 2019).†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7"/>
          </w:tcPr>
          <w:p>
            <w:pPr>
              <w:spacing w:after="0" w:line="183" w:lineRule="exact"/>
              <w:rPr>
                <w:rFonts w:ascii="Arial" w:cs="Arial" w:eastAsia="Arial" w:hAnsi="Arial"/>
                <w:sz w:val="16"/>
                <w:szCs w:val="16"/>
                <w:color w:val="0000FF"/>
              </w:rPr>
            </w:pPr>
            <w:hyperlink r:id="rId173">
              <w:r>
                <w:rPr>
                  <w:rFonts w:ascii="Arial" w:cs="Arial" w:eastAsia="Arial" w:hAnsi="Arial"/>
                  <w:sz w:val="16"/>
                  <w:szCs w:val="16"/>
                  <w:color w:val="0000FF"/>
                </w:rPr>
                <w:t>Form of Award Agreement - Performance Based Restricted Stock Units. (Incorporated by reference to Exhibit 10.13 to the Company’s</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173">
              <w:r>
                <w:rPr>
                  <w:rFonts w:ascii="Arial" w:cs="Arial" w:eastAsia="Arial" w:hAnsi="Arial"/>
                  <w:sz w:val="16"/>
                  <w:szCs w:val="16"/>
                  <w:color w:val="0000FF"/>
                </w:rPr>
                <w:t>Annual Report on Form 10-K for the year ended December 31, 2018 dated February 21, 2019).†</w:t>
              </w:r>
            </w:hyperlink>
          </w:p>
        </w:tc>
        <w:tc>
          <w:tcPr>
            <w:tcW w:w="560" w:type="dxa"/>
            <w:vAlign w:val="bottom"/>
            <w:tcBorders>
              <w:right w:val="single" w:sz="8" w:color="auto"/>
            </w:tcBorders>
            <w:gridSpan w:val="15"/>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bottom w:val="single" w:sz="8" w:color="0000FF"/>
            </w:tcBorders>
            <w:gridSpan w:val="26"/>
          </w:tcPr>
          <w:p>
            <w:pPr>
              <w:spacing w:after="0" w:line="183" w:lineRule="exact"/>
              <w:rPr>
                <w:rFonts w:ascii="Arial" w:cs="Arial" w:eastAsia="Arial" w:hAnsi="Arial"/>
                <w:sz w:val="16"/>
                <w:szCs w:val="16"/>
                <w:color w:val="0000FF"/>
              </w:rPr>
            </w:pPr>
            <w:hyperlink r:id="rId174">
              <w:r>
                <w:rPr>
                  <w:rFonts w:ascii="Arial" w:cs="Arial" w:eastAsia="Arial" w:hAnsi="Arial"/>
                  <w:sz w:val="16"/>
                  <w:szCs w:val="16"/>
                  <w:color w:val="0000FF"/>
                </w:rPr>
                <w:t>Form of Non-Employee Director Award Agreement - Restricted Stock Units. (Incorporated by reference to Exhibit 10.14 to the Company’s</w:t>
              </w:r>
            </w:hyperlink>
          </w:p>
        </w:tc>
        <w:tc>
          <w:tcPr>
            <w:tcW w:w="300" w:type="dxa"/>
            <w:vAlign w:val="bottom"/>
            <w:tcBorders>
              <w:right w:val="single" w:sz="8" w:color="auto"/>
            </w:tcBorders>
            <w:gridSpan w:val="11"/>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74">
              <w:r>
                <w:rPr>
                  <w:rFonts w:ascii="Arial" w:cs="Arial" w:eastAsia="Arial" w:hAnsi="Arial"/>
                  <w:sz w:val="16"/>
                  <w:szCs w:val="16"/>
                  <w:color w:val="0000FF"/>
                </w:rPr>
                <w:t>Annual Report on Form 10-K for the year ended December 31, 2018 dated February 21, 2019).†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10.19</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bottom w:val="single" w:sz="8" w:color="0000FF"/>
            </w:tcBorders>
            <w:gridSpan w:val="25"/>
          </w:tcPr>
          <w:p>
            <w:pPr>
              <w:spacing w:after="0" w:line="183" w:lineRule="exact"/>
              <w:rPr>
                <w:rFonts w:ascii="Arial" w:cs="Arial" w:eastAsia="Arial" w:hAnsi="Arial"/>
                <w:sz w:val="16"/>
                <w:szCs w:val="16"/>
                <w:color w:val="0000FF"/>
              </w:rPr>
            </w:pPr>
            <w:hyperlink r:id="rId175">
              <w:r>
                <w:rPr>
                  <w:rFonts w:ascii="Arial" w:cs="Arial" w:eastAsia="Arial" w:hAnsi="Arial"/>
                  <w:sz w:val="16"/>
                  <w:szCs w:val="16"/>
                  <w:color w:val="0000FF"/>
                </w:rPr>
                <w:t>Form of Avis Budget Group, Inc. Severance Agreement. (Incorporated by reference to Exhibit 10.15 to the Company’s Annual Report on</w:t>
              </w:r>
            </w:hyperlink>
          </w:p>
        </w:tc>
        <w:tc>
          <w:tcPr>
            <w:tcW w:w="380" w:type="dxa"/>
            <w:vAlign w:val="bottom"/>
            <w:tcBorders>
              <w:right w:val="single" w:sz="8" w:color="auto"/>
            </w:tcBorders>
            <w:gridSpan w:val="1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75">
              <w:r>
                <w:rPr>
                  <w:rFonts w:ascii="Arial" w:cs="Arial" w:eastAsia="Arial" w:hAnsi="Arial"/>
                  <w:sz w:val="16"/>
                  <w:szCs w:val="16"/>
                  <w:color w:val="0000FF"/>
                </w:rPr>
                <w:t>Form 10-K for the year ended December 31, 2018 dated February 21, 2019).†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bottom w:val="single" w:sz="8" w:color="0000FF"/>
            </w:tcBorders>
            <w:gridSpan w:val="35"/>
          </w:tcPr>
          <w:p>
            <w:pPr>
              <w:spacing w:after="0" w:line="183" w:lineRule="exact"/>
              <w:rPr>
                <w:rFonts w:ascii="Arial" w:cs="Arial" w:eastAsia="Arial" w:hAnsi="Arial"/>
                <w:sz w:val="16"/>
                <w:szCs w:val="16"/>
                <w:color w:val="0000FF"/>
              </w:rPr>
            </w:pPr>
            <w:hyperlink r:id="rId176">
              <w:r>
                <w:rPr>
                  <w:rFonts w:ascii="Arial" w:cs="Arial" w:eastAsia="Arial" w:hAnsi="Arial"/>
                  <w:sz w:val="16"/>
                  <w:szCs w:val="16"/>
                  <w:color w:val="0000FF"/>
                </w:rPr>
                <w:t>Avis Budget Group, Inc. Non-Employee Directors Deferred Compensation Plan, amended and restated as of January 1, 2019. (Incorporated</w:t>
              </w:r>
            </w:hyperlink>
          </w:p>
        </w:tc>
        <w:tc>
          <w:tcPr>
            <w:tcW w:w="80" w:type="dxa"/>
            <w:vAlign w:val="bottom"/>
            <w:tcBorders>
              <w:right w:val="single" w:sz="8" w:color="auto"/>
            </w:tcBorders>
            <w:gridSpan w:val="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bottom w:val="single" w:sz="8" w:color="0000FF"/>
            </w:tcBorders>
            <w:gridSpan w:val="25"/>
          </w:tcPr>
          <w:p>
            <w:pPr>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by reference to Exhibit 10.16 to the Company’s Annual Report on Form 10-K for the year ended December 31, 2018 dated February 21,</w:t>
              </w:r>
            </w:hyperlink>
          </w:p>
        </w:tc>
        <w:tc>
          <w:tcPr>
            <w:tcW w:w="380" w:type="dxa"/>
            <w:vAlign w:val="bottom"/>
            <w:tcBorders>
              <w:right w:val="single" w:sz="8" w:color="auto"/>
            </w:tcBorders>
            <w:gridSpan w:val="1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2019).†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7"/>
          </w:tcPr>
          <w:p>
            <w:pPr>
              <w:spacing w:after="0" w:line="183" w:lineRule="exact"/>
              <w:rPr>
                <w:rFonts w:ascii="Arial" w:cs="Arial" w:eastAsia="Arial" w:hAnsi="Arial"/>
                <w:sz w:val="16"/>
                <w:szCs w:val="16"/>
                <w:color w:val="0000FF"/>
              </w:rPr>
            </w:pPr>
            <w:hyperlink r:id="rId177">
              <w:r>
                <w:rPr>
                  <w:rFonts w:ascii="Arial" w:cs="Arial" w:eastAsia="Arial" w:hAnsi="Arial"/>
                  <w:sz w:val="16"/>
                  <w:szCs w:val="16"/>
                  <w:color w:val="0000FF"/>
                </w:rPr>
                <w:t>Avis Budget Group, Inc. Deferred Compensation Plan, amended and restated as of November 1, 2008 (Incorporated by reference to Exhibit</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FF"/>
            </w:tcBorders>
            <w:gridSpan w:val="32"/>
          </w:tcPr>
          <w:p>
            <w:pPr>
              <w:spacing w:after="0" w:line="169" w:lineRule="exact"/>
              <w:rPr>
                <w:rFonts w:ascii="Arial" w:cs="Arial" w:eastAsia="Arial" w:hAnsi="Arial"/>
                <w:sz w:val="16"/>
                <w:szCs w:val="16"/>
                <w:color w:val="0000FF"/>
              </w:rPr>
            </w:pPr>
            <w:hyperlink r:id="rId177">
              <w:r>
                <w:rPr>
                  <w:rFonts w:ascii="Arial" w:cs="Arial" w:eastAsia="Arial" w:hAnsi="Arial"/>
                  <w:sz w:val="16"/>
                  <w:szCs w:val="16"/>
                  <w:color w:val="0000FF"/>
                </w:rPr>
                <w:t>10.17 to the Company’s Annual Report on Form 10-K for the year ended December 31, 2008, dated February 26, 2009).†</w:t>
              </w:r>
            </w:hyperlink>
          </w:p>
        </w:tc>
        <w:tc>
          <w:tcPr>
            <w:tcW w:w="140" w:type="dxa"/>
            <w:vAlign w:val="bottom"/>
            <w:tcBorders>
              <w:right w:val="single" w:sz="8" w:color="auto"/>
            </w:tcBorders>
            <w:gridSpan w:val="5"/>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800" w:type="dxa"/>
            <w:vAlign w:val="bottom"/>
            <w:tcBorders>
              <w:top w:val="single" w:sz="8" w:color="0000FF"/>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bottom w:val="single" w:sz="8" w:color="0000FF"/>
            </w:tcBorders>
            <w:gridSpan w:val="25"/>
          </w:tcPr>
          <w:p>
            <w:pPr>
              <w:spacing w:after="0" w:line="183" w:lineRule="exact"/>
              <w:rPr>
                <w:rFonts w:ascii="Arial" w:cs="Arial" w:eastAsia="Arial" w:hAnsi="Arial"/>
                <w:sz w:val="16"/>
                <w:szCs w:val="16"/>
                <w:color w:val="0000FF"/>
              </w:rPr>
            </w:pPr>
            <w:hyperlink r:id="rId178">
              <w:r>
                <w:rPr>
                  <w:rFonts w:ascii="Arial" w:cs="Arial" w:eastAsia="Arial" w:hAnsi="Arial"/>
                  <w:sz w:val="16"/>
                  <w:szCs w:val="16"/>
                  <w:color w:val="0000FF"/>
                </w:rPr>
                <w:t>Avis Budget Group, Inc. Savings Restoration Plan, amended and restated as of November 1, 2008 (Incorporated by reference to Exhibit</w:t>
              </w:r>
            </w:hyperlink>
          </w:p>
        </w:tc>
        <w:tc>
          <w:tcPr>
            <w:tcW w:w="380" w:type="dxa"/>
            <w:vAlign w:val="bottom"/>
            <w:tcBorders>
              <w:right w:val="single" w:sz="8" w:color="auto"/>
            </w:tcBorders>
            <w:gridSpan w:val="1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78">
              <w:r>
                <w:rPr>
                  <w:rFonts w:ascii="Arial" w:cs="Arial" w:eastAsia="Arial" w:hAnsi="Arial"/>
                  <w:sz w:val="16"/>
                  <w:szCs w:val="16"/>
                  <w:color w:val="0000FF"/>
                </w:rPr>
                <w:t>10.18 to the Company’s Annual Report on Form 10-K for the year ended December 31, 2008, dated February 26, 2009).†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800" w:type="dxa"/>
            <w:vAlign w:val="bottom"/>
            <w:tcBorders>
              <w:top w:val="single" w:sz="8" w:color="0000FF"/>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bottom w:val="single" w:sz="8" w:color="0000FF"/>
            </w:tcBorders>
            <w:gridSpan w:val="30"/>
          </w:tcPr>
          <w:p>
            <w:pPr>
              <w:spacing w:after="0" w:line="183" w:lineRule="exact"/>
              <w:rPr>
                <w:rFonts w:ascii="Arial" w:cs="Arial" w:eastAsia="Arial" w:hAnsi="Arial"/>
                <w:sz w:val="16"/>
                <w:szCs w:val="16"/>
                <w:color w:val="0000FF"/>
              </w:rPr>
            </w:pPr>
            <w:hyperlink r:id="rId179">
              <w:r>
                <w:rPr>
                  <w:rFonts w:ascii="Arial" w:cs="Arial" w:eastAsia="Arial" w:hAnsi="Arial"/>
                  <w:sz w:val="16"/>
                  <w:szCs w:val="16"/>
                  <w:color w:val="0000FF"/>
                </w:rPr>
                <w:t>Amended Retirement Equalization Benefit Plan (Incorporated by reference to Exhibit 10.59 to the Company’s Annual Report on Form 10-K</w:t>
              </w:r>
            </w:hyperlink>
          </w:p>
        </w:tc>
        <w:tc>
          <w:tcPr>
            <w:tcW w:w="220" w:type="dxa"/>
            <w:vAlign w:val="bottom"/>
            <w:tcBorders>
              <w:right w:val="single" w:sz="8" w:color="auto"/>
            </w:tcBorders>
            <w:gridSpan w:val="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79">
              <w:r>
                <w:rPr>
                  <w:rFonts w:ascii="Arial" w:cs="Arial" w:eastAsia="Arial" w:hAnsi="Arial"/>
                  <w:sz w:val="16"/>
                  <w:szCs w:val="16"/>
                  <w:color w:val="0000FF"/>
                </w:rPr>
                <w:t>for the year ended December 31, 2007, dated February 29, 2008).†</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7"/>
          </w:tcPr>
          <w:p>
            <w:pPr>
              <w:spacing w:after="0" w:line="183" w:lineRule="exact"/>
              <w:rPr>
                <w:rFonts w:ascii="Arial" w:cs="Arial" w:eastAsia="Arial" w:hAnsi="Arial"/>
                <w:sz w:val="16"/>
                <w:szCs w:val="16"/>
                <w:color w:val="0000FF"/>
              </w:rPr>
            </w:pPr>
            <w:hyperlink r:id="rId180">
              <w:r>
                <w:rPr>
                  <w:rFonts w:ascii="Arial" w:cs="Arial" w:eastAsia="Arial" w:hAnsi="Arial"/>
                  <w:sz w:val="16"/>
                  <w:szCs w:val="16"/>
                  <w:color w:val="0000FF"/>
                </w:rPr>
                <w:t>Avis Rent A Car System, LLC Pension Plan. (Incorporated by reference to Exhibit 10.20 to the Company’s Annual Report on Form 10-K for</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180">
              <w:r>
                <w:rPr>
                  <w:rFonts w:ascii="Arial" w:cs="Arial" w:eastAsia="Arial" w:hAnsi="Arial"/>
                  <w:sz w:val="16"/>
                  <w:szCs w:val="16"/>
                  <w:color w:val="0000FF"/>
                </w:rPr>
                <w:t>the year ended December 31, 2018 dated February 21, 2019).†</w:t>
              </w:r>
            </w:hyperlink>
          </w:p>
        </w:tc>
        <w:tc>
          <w:tcPr>
            <w:tcW w:w="200" w:type="dxa"/>
            <w:vAlign w:val="bottom"/>
            <w:tcBorders>
              <w:right w:val="single" w:sz="8" w:color="auto"/>
            </w:tcBorders>
            <w:gridSpan w:val="6"/>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bottom w:val="single" w:sz="8" w:color="0000FF"/>
            </w:tcBorders>
            <w:gridSpan w:val="36"/>
          </w:tcPr>
          <w:p>
            <w:pPr>
              <w:spacing w:after="0" w:line="183" w:lineRule="exact"/>
              <w:rPr>
                <w:rFonts w:ascii="Arial" w:cs="Arial" w:eastAsia="Arial" w:hAnsi="Arial"/>
                <w:sz w:val="16"/>
                <w:szCs w:val="16"/>
                <w:color w:val="0000FF"/>
              </w:rPr>
            </w:pPr>
            <w:hyperlink r:id="rId181">
              <w:r>
                <w:rPr>
                  <w:rFonts w:ascii="Arial" w:cs="Arial" w:eastAsia="Arial" w:hAnsi="Arial"/>
                  <w:sz w:val="16"/>
                  <w:szCs w:val="16"/>
                  <w:color w:val="0000FF"/>
                </w:rPr>
                <w:t>Cendant Corporation* Officer Personal Financial Services Policy (Incorporated by reference to Exhibit 10.3 to the Company’s Current Report</w:t>
              </w:r>
            </w:hyperlink>
          </w:p>
        </w:tc>
        <w:tc>
          <w:tcPr>
            <w:tcW w:w="60" w:type="dxa"/>
            <w:vAlign w:val="bottom"/>
            <w:tcBorders>
              <w:right w:val="single" w:sz="8" w:color="auto"/>
            </w:tcBorders>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81">
              <w:r>
                <w:rPr>
                  <w:rFonts w:ascii="Arial" w:cs="Arial" w:eastAsia="Arial" w:hAnsi="Arial"/>
                  <w:sz w:val="16"/>
                  <w:szCs w:val="16"/>
                  <w:color w:val="0000FF"/>
                </w:rPr>
                <w:t>on Form 8-K dated January 26, 2005).</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bottom w:val="single" w:sz="8" w:color="0000FF"/>
            </w:tcBorders>
            <w:gridSpan w:val="35"/>
          </w:tcPr>
          <w:p>
            <w:pPr>
              <w:spacing w:after="0" w:line="183" w:lineRule="exact"/>
              <w:rPr>
                <w:rFonts w:ascii="Arial" w:cs="Arial" w:eastAsia="Arial" w:hAnsi="Arial"/>
                <w:sz w:val="16"/>
                <w:szCs w:val="16"/>
                <w:color w:val="0000FF"/>
              </w:rPr>
            </w:pPr>
            <w:hyperlink r:id="rId182">
              <w:r>
                <w:rPr>
                  <w:rFonts w:ascii="Arial" w:cs="Arial" w:eastAsia="Arial" w:hAnsi="Arial"/>
                  <w:sz w:val="16"/>
                  <w:szCs w:val="16"/>
                  <w:color w:val="0000FF"/>
                </w:rPr>
                <w:t>Tax Sharing Agreement among Cendant Corporation*, Realogy Corporation, Wyndham Worldwide Corporation and Travelport Inc., dated as</w:t>
              </w:r>
            </w:hyperlink>
          </w:p>
        </w:tc>
        <w:tc>
          <w:tcPr>
            <w:tcW w:w="80" w:type="dxa"/>
            <w:vAlign w:val="bottom"/>
            <w:tcBorders>
              <w:right w:val="single" w:sz="8" w:color="auto"/>
            </w:tcBorders>
            <w:gridSpan w:val="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82">
              <w:r>
                <w:rPr>
                  <w:rFonts w:ascii="Arial" w:cs="Arial" w:eastAsia="Arial" w:hAnsi="Arial"/>
                  <w:sz w:val="16"/>
                  <w:szCs w:val="16"/>
                  <w:color w:val="0000FF"/>
                </w:rPr>
                <w:t>of July 28, 2006 (Incorporated by reference to Exhibit 10.2 to the Company’s Current Report on Form 8-K dated August 1,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8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10.26(a)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7"/>
          </w:tcPr>
          <w:p>
            <w:pPr>
              <w:spacing w:after="0" w:line="183" w:lineRule="exact"/>
              <w:rPr>
                <w:rFonts w:ascii="Arial" w:cs="Arial" w:eastAsia="Arial" w:hAnsi="Arial"/>
                <w:sz w:val="16"/>
                <w:szCs w:val="16"/>
                <w:color w:val="0000FF"/>
              </w:rPr>
            </w:pPr>
            <w:hyperlink r:id="rId183">
              <w:r>
                <w:rPr>
                  <w:rFonts w:ascii="Arial" w:cs="Arial" w:eastAsia="Arial" w:hAnsi="Arial"/>
                  <w:sz w:val="16"/>
                  <w:szCs w:val="16"/>
                  <w:color w:val="0000FF"/>
                </w:rPr>
                <w:t>Amendment to the Tax Sharing Agreement, dated July 28, 2006, among Avis Budget Group, Inc., Realogy Corporation, Wyndham</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83">
              <w:r>
                <w:rPr>
                  <w:rFonts w:ascii="Arial" w:cs="Arial" w:eastAsia="Arial" w:hAnsi="Arial"/>
                  <w:sz w:val="16"/>
                  <w:szCs w:val="16"/>
                  <w:color w:val="0000FF"/>
                </w:rPr>
                <w:t>Worldwide Corporation and Travelport Inc. (Incorporated by reference to Exhibit 10.4 to the Company’s Quarterly Report on Form 10-Q for</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183">
              <w:r>
                <w:rPr>
                  <w:rFonts w:ascii="Arial" w:cs="Arial" w:eastAsia="Arial" w:hAnsi="Arial"/>
                  <w:sz w:val="16"/>
                  <w:szCs w:val="16"/>
                  <w:color w:val="0000FF"/>
                </w:rPr>
                <w:t>the quarterly period ended June 30, 2008 dated August 7, 2008).</w:t>
              </w:r>
            </w:hyperlink>
          </w:p>
        </w:tc>
        <w:tc>
          <w:tcPr>
            <w:tcW w:w="240" w:type="dxa"/>
            <w:vAlign w:val="bottom"/>
            <w:tcBorders>
              <w:right w:val="single" w:sz="8" w:color="auto"/>
            </w:tcBorders>
            <w:gridSpan w:val="8"/>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bottom w:val="single" w:sz="8" w:color="0000FF"/>
            </w:tcBorders>
            <w:gridSpan w:val="35"/>
          </w:tcPr>
          <w:p>
            <w:pPr>
              <w:spacing w:after="0" w:line="183" w:lineRule="exact"/>
              <w:rPr>
                <w:rFonts w:ascii="Arial" w:cs="Arial" w:eastAsia="Arial" w:hAnsi="Arial"/>
                <w:sz w:val="16"/>
                <w:szCs w:val="16"/>
                <w:color w:val="0000FF"/>
              </w:rPr>
            </w:pPr>
            <w:hyperlink r:id="rId184">
              <w:r>
                <w:rPr>
                  <w:rFonts w:ascii="Arial" w:cs="Arial" w:eastAsia="Arial" w:hAnsi="Arial"/>
                  <w:sz w:val="16"/>
                  <w:szCs w:val="16"/>
                  <w:color w:val="0000FF"/>
                </w:rPr>
                <w:t>Second Amended and Restated Base Indenture, dated as of June 3, 2004, among Cendant Rental Car Funding (AESOP) LLC***, as Issuer,</w:t>
              </w:r>
            </w:hyperlink>
          </w:p>
        </w:tc>
        <w:tc>
          <w:tcPr>
            <w:tcW w:w="80" w:type="dxa"/>
            <w:vAlign w:val="bottom"/>
            <w:tcBorders>
              <w:right w:val="single" w:sz="8" w:color="auto"/>
            </w:tcBorders>
            <w:gridSpan w:val="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84">
              <w:r>
                <w:rPr>
                  <w:rFonts w:ascii="Arial" w:cs="Arial" w:eastAsia="Arial" w:hAnsi="Arial"/>
                  <w:sz w:val="16"/>
                  <w:szCs w:val="16"/>
                  <w:color w:val="0000FF"/>
                </w:rPr>
                <w:t>and The Bank of New York, as Trustee (Incorporated by reference to Exhibit 10.7 to the Company’s Quarterly Report on Form 10-Q for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184">
              <w:r>
                <w:rPr>
                  <w:rFonts w:ascii="Arial" w:cs="Arial" w:eastAsia="Arial" w:hAnsi="Arial"/>
                  <w:sz w:val="16"/>
                  <w:szCs w:val="16"/>
                  <w:color w:val="0000FF"/>
                </w:rPr>
                <w:t>quarterly period ended June 30, 2004, dated August 2, 2004).</w:t>
              </w:r>
            </w:hyperlink>
          </w:p>
        </w:tc>
        <w:tc>
          <w:tcPr>
            <w:tcW w:w="240" w:type="dxa"/>
            <w:vAlign w:val="bottom"/>
            <w:tcBorders>
              <w:right w:val="single" w:sz="8" w:color="auto"/>
            </w:tcBorders>
            <w:gridSpan w:val="8"/>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10.27(a)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bottom w:val="single" w:sz="8" w:color="0000FF"/>
            </w:tcBorders>
            <w:gridSpan w:val="28"/>
          </w:tcPr>
          <w:p>
            <w:pPr>
              <w:spacing w:after="0" w:line="183" w:lineRule="exact"/>
              <w:rPr>
                <w:rFonts w:ascii="Arial" w:cs="Arial" w:eastAsia="Arial" w:hAnsi="Arial"/>
                <w:sz w:val="16"/>
                <w:szCs w:val="16"/>
                <w:color w:val="0000FF"/>
              </w:rPr>
            </w:pPr>
            <w:hyperlink r:id="rId185">
              <w:r>
                <w:rPr>
                  <w:rFonts w:ascii="Arial" w:cs="Arial" w:eastAsia="Arial" w:hAnsi="Arial"/>
                  <w:sz w:val="16"/>
                  <w:szCs w:val="16"/>
                  <w:color w:val="0000FF"/>
                </w:rPr>
                <w:t>Supplemental Indenture No. 1, dated as of December 23, 2005, among Cendant Rental Car Funding (AESOP) LLC***, as Issuer, and The</w:t>
              </w:r>
            </w:hyperlink>
          </w:p>
        </w:tc>
        <w:tc>
          <w:tcPr>
            <w:tcW w:w="260" w:type="dxa"/>
            <w:vAlign w:val="bottom"/>
            <w:tcBorders>
              <w:right w:val="single" w:sz="8" w:color="auto"/>
            </w:tcBorders>
            <w:gridSpan w:val="9"/>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85">
              <w:r>
                <w:rPr>
                  <w:rFonts w:ascii="Arial" w:cs="Arial" w:eastAsia="Arial" w:hAnsi="Arial"/>
                  <w:sz w:val="16"/>
                  <w:szCs w:val="16"/>
                  <w:color w:val="0000FF"/>
                </w:rPr>
                <w:t>Bank of New York, as Trustee, to the Second Amended and Restated Base Indenture, dated as of June 3, 2004 (Incorporated by reference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185">
              <w:r>
                <w:rPr>
                  <w:rFonts w:ascii="Arial" w:cs="Arial" w:eastAsia="Arial" w:hAnsi="Arial"/>
                  <w:sz w:val="16"/>
                  <w:szCs w:val="16"/>
                  <w:color w:val="0000FF"/>
                </w:rPr>
                <w:t>to Exhibit 10.1 to the Company’s Current Report on Form 8-K dated January 20, 2006).</w:t>
              </w:r>
            </w:hyperlink>
          </w:p>
        </w:tc>
        <w:tc>
          <w:tcPr>
            <w:tcW w:w="200" w:type="dxa"/>
            <w:vAlign w:val="bottom"/>
            <w:tcBorders>
              <w:right w:val="single" w:sz="8" w:color="auto"/>
            </w:tcBorders>
            <w:gridSpan w:val="6"/>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10.27(b)</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7"/>
          </w:tcPr>
          <w:p>
            <w:pPr>
              <w:spacing w:after="0" w:line="183" w:lineRule="exact"/>
              <w:rPr>
                <w:rFonts w:ascii="Arial" w:cs="Arial" w:eastAsia="Arial" w:hAnsi="Arial"/>
                <w:sz w:val="16"/>
                <w:szCs w:val="16"/>
                <w:color w:val="0000FF"/>
              </w:rPr>
            </w:pPr>
            <w:hyperlink r:id="rId186">
              <w:r>
                <w:rPr>
                  <w:rFonts w:ascii="Arial" w:cs="Arial" w:eastAsia="Arial" w:hAnsi="Arial"/>
                  <w:sz w:val="16"/>
                  <w:szCs w:val="16"/>
                  <w:color w:val="0000FF"/>
                </w:rPr>
                <w:t>Supplemental Indenture No. 2, dated as of May 9, 2007, among Avis Budget Rental Car Funding (AESOP) LLC, as Issuer, and The Bank of</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186">
              <w:r>
                <w:rPr>
                  <w:rFonts w:ascii="Arial" w:cs="Arial" w:eastAsia="Arial" w:hAnsi="Arial"/>
                  <w:sz w:val="16"/>
                  <w:szCs w:val="16"/>
                  <w:color w:val="0000FF"/>
                </w:rPr>
                <w:t>New York Trust Company, N.A. (as successor in interest to The Bank of New York), as Trustee, to the Second Amended and Restated Base</w:t>
              </w:r>
            </w:hyperlink>
          </w:p>
        </w:tc>
        <w:tc>
          <w:tcPr>
            <w:tcW w:w="100" w:type="dxa"/>
            <w:vAlign w:val="bottom"/>
            <w:tcBorders>
              <w:right w:val="single" w:sz="8" w:color="auto"/>
            </w:tcBorders>
            <w:gridSpan w:val="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186">
              <w:r>
                <w:rPr>
                  <w:rFonts w:ascii="Arial" w:cs="Arial" w:eastAsia="Arial" w:hAnsi="Arial"/>
                  <w:sz w:val="16"/>
                  <w:szCs w:val="16"/>
                  <w:color w:val="0000FF"/>
                </w:rPr>
                <w:t>Indenture, dated as of June 3, 2004 (Incorporated by reference to Exhibit 10.6 to the Company’s Quarterly Report on Form 10-Q for the</w:t>
              </w:r>
            </w:hyperlink>
          </w:p>
        </w:tc>
        <w:tc>
          <w:tcPr>
            <w:tcW w:w="440" w:type="dxa"/>
            <w:vAlign w:val="bottom"/>
            <w:tcBorders>
              <w:right w:val="single" w:sz="8" w:color="auto"/>
            </w:tcBorders>
            <w:gridSpan w:val="1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86">
              <w:r>
                <w:rPr>
                  <w:rFonts w:ascii="Arial" w:cs="Arial" w:eastAsia="Arial" w:hAnsi="Arial"/>
                  <w:sz w:val="16"/>
                  <w:szCs w:val="16"/>
                  <w:color w:val="0000FF"/>
                </w:rPr>
                <w:t>quarterly period ended June 30, 2007, dated August 8,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10.27(c)</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bottom w:val="single" w:sz="8" w:color="0000FF"/>
            </w:tcBorders>
            <w:gridSpan w:val="23"/>
          </w:tcPr>
          <w:p>
            <w:pPr>
              <w:spacing w:after="0" w:line="183" w:lineRule="exact"/>
              <w:rPr>
                <w:rFonts w:ascii="Arial" w:cs="Arial" w:eastAsia="Arial" w:hAnsi="Arial"/>
                <w:sz w:val="16"/>
                <w:szCs w:val="16"/>
                <w:color w:val="0000FF"/>
              </w:rPr>
            </w:pPr>
            <w:hyperlink r:id="rId187">
              <w:r>
                <w:rPr>
                  <w:rFonts w:ascii="Arial" w:cs="Arial" w:eastAsia="Arial" w:hAnsi="Arial"/>
                  <w:sz w:val="16"/>
                  <w:szCs w:val="16"/>
                  <w:color w:val="0000FF"/>
                </w:rPr>
                <w:t>Supplemental Indenture No. 3, dated as of August 16, 2013, among Avis Budget Rental Car Funding (AESOP) LLC, as Issuer, and The</w:t>
              </w:r>
            </w:hyperlink>
          </w:p>
        </w:tc>
        <w:tc>
          <w:tcPr>
            <w:tcW w:w="440" w:type="dxa"/>
            <w:vAlign w:val="bottom"/>
            <w:tcBorders>
              <w:right w:val="single" w:sz="8" w:color="auto"/>
            </w:tcBorders>
            <w:gridSpan w:val="14"/>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tcBorders>
              <w:bottom w:val="single" w:sz="8" w:color="0000FF"/>
            </w:tcBorders>
            <w:gridSpan w:val="21"/>
          </w:tcPr>
          <w:p>
            <w:pPr>
              <w:spacing w:after="0" w:line="169" w:lineRule="exact"/>
              <w:rPr>
                <w:rFonts w:ascii="Arial" w:cs="Arial" w:eastAsia="Arial" w:hAnsi="Arial"/>
                <w:sz w:val="16"/>
                <w:szCs w:val="16"/>
                <w:color w:val="0000FF"/>
              </w:rPr>
            </w:pPr>
            <w:hyperlink r:id="rId187">
              <w:r>
                <w:rPr>
                  <w:rFonts w:ascii="Arial" w:cs="Arial" w:eastAsia="Arial" w:hAnsi="Arial"/>
                  <w:sz w:val="16"/>
                  <w:szCs w:val="16"/>
                  <w:color w:val="0000FF"/>
                </w:rPr>
                <w:t>Bank of New York Trust Company, N.A. (as successor in interest to The Bank of New York), as Trustee, to the Second Amended and</w:t>
              </w:r>
            </w:hyperlink>
          </w:p>
        </w:tc>
        <w:tc>
          <w:tcPr>
            <w:tcW w:w="640" w:type="dxa"/>
            <w:vAlign w:val="bottom"/>
            <w:tcBorders>
              <w:right w:val="single" w:sz="8" w:color="auto"/>
            </w:tcBorders>
            <w:gridSpan w:val="1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0000FF"/>
            </w:tcBorders>
            <w:gridSpan w:val="33"/>
          </w:tcPr>
          <w:p>
            <w:pPr>
              <w:spacing w:after="0" w:line="169" w:lineRule="exact"/>
              <w:rPr>
                <w:rFonts w:ascii="Arial" w:cs="Arial" w:eastAsia="Arial" w:hAnsi="Arial"/>
                <w:sz w:val="16"/>
                <w:szCs w:val="16"/>
                <w:color w:val="0000FF"/>
              </w:rPr>
            </w:pPr>
            <w:hyperlink r:id="rId187">
              <w:r>
                <w:rPr>
                  <w:rFonts w:ascii="Arial" w:cs="Arial" w:eastAsia="Arial" w:hAnsi="Arial"/>
                  <w:sz w:val="16"/>
                  <w:szCs w:val="16"/>
                  <w:color w:val="0000FF"/>
                </w:rPr>
                <w:t>Restated Base Indenture, dated as of June 3, 2004 (Incorporated by reference to Exhibit 10.35(c) to the Company’s Annual Report on Form</w:t>
              </w:r>
            </w:hyperlink>
          </w:p>
        </w:tc>
        <w:tc>
          <w:tcPr>
            <w:tcW w:w="120" w:type="dxa"/>
            <w:vAlign w:val="bottom"/>
            <w:tcBorders>
              <w:right w:val="single" w:sz="8" w:color="auto"/>
            </w:tcBorders>
            <w:gridSpan w:val="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87">
              <w:r>
                <w:rPr>
                  <w:rFonts w:ascii="Arial" w:cs="Arial" w:eastAsia="Arial" w:hAnsi="Arial"/>
                  <w:sz w:val="16"/>
                  <w:szCs w:val="16"/>
                  <w:color w:val="0000FF"/>
                </w:rPr>
                <w:t>10-K for the year ended December 31, 2013, dated February 20,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tcBorders>
              <w:bottom w:val="single" w:sz="8" w:color="0000FF"/>
            </w:tcBorders>
            <w:gridSpan w:val="20"/>
          </w:tcPr>
          <w:p>
            <w:pPr>
              <w:spacing w:after="0" w:line="183" w:lineRule="exact"/>
              <w:rPr>
                <w:rFonts w:ascii="Arial" w:cs="Arial" w:eastAsia="Arial" w:hAnsi="Arial"/>
                <w:sz w:val="16"/>
                <w:szCs w:val="16"/>
                <w:color w:val="0000FF"/>
              </w:rPr>
            </w:pPr>
            <w:hyperlink r:id="rId188">
              <w:r>
                <w:rPr>
                  <w:rFonts w:ascii="Arial" w:cs="Arial" w:eastAsia="Arial" w:hAnsi="Arial"/>
                  <w:sz w:val="16"/>
                  <w:szCs w:val="16"/>
                  <w:color w:val="0000FF"/>
                </w:rPr>
                <w:t>Second Amended and Restated Loan Agreement, dated as of June 3, 2004, among AESOP Leasing L.P., as Borrower, Quartx Fleet</w:t>
              </w:r>
            </w:hyperlink>
          </w:p>
        </w:tc>
        <w:tc>
          <w:tcPr>
            <w:tcW w:w="660" w:type="dxa"/>
            <w:vAlign w:val="bottom"/>
            <w:tcBorders>
              <w:right w:val="single" w:sz="8" w:color="auto"/>
            </w:tcBorders>
            <w:gridSpan w:val="1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bottom w:val="single" w:sz="8" w:color="0000FF"/>
            </w:tcBorders>
            <w:gridSpan w:val="35"/>
          </w:tcPr>
          <w:p>
            <w:pPr>
              <w:spacing w:after="0" w:line="169" w:lineRule="exact"/>
              <w:rPr>
                <w:rFonts w:ascii="Arial" w:cs="Arial" w:eastAsia="Arial" w:hAnsi="Arial"/>
                <w:sz w:val="16"/>
                <w:szCs w:val="16"/>
                <w:color w:val="0000FF"/>
              </w:rPr>
            </w:pPr>
            <w:hyperlink r:id="rId188">
              <w:r>
                <w:rPr>
                  <w:rFonts w:ascii="Arial" w:cs="Arial" w:eastAsia="Arial" w:hAnsi="Arial"/>
                  <w:sz w:val="16"/>
                  <w:szCs w:val="16"/>
                  <w:color w:val="0000FF"/>
                </w:rPr>
                <w:t>Management, Inc., as a Permitted Nominee, PV Holding Corp., as a Permitted Nominee, and Cendant Rental Car Funding (AESOP) LLC***,</w:t>
              </w:r>
            </w:hyperlink>
          </w:p>
        </w:tc>
        <w:tc>
          <w:tcPr>
            <w:tcW w:w="80" w:type="dxa"/>
            <w:vAlign w:val="bottom"/>
            <w:tcBorders>
              <w:right w:val="single" w:sz="8" w:color="auto"/>
            </w:tcBorders>
            <w:gridSpan w:val="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tcBorders>
              <w:bottom w:val="single" w:sz="8" w:color="0000FF"/>
            </w:tcBorders>
            <w:gridSpan w:val="3"/>
          </w:tcPr>
          <w:p>
            <w:pPr>
              <w:spacing w:after="0" w:line="169" w:lineRule="exact"/>
              <w:rPr>
                <w:rFonts w:ascii="Arial" w:cs="Arial" w:eastAsia="Arial" w:hAnsi="Arial"/>
                <w:sz w:val="16"/>
                <w:szCs w:val="16"/>
                <w:color w:val="0000FF"/>
              </w:rPr>
            </w:pPr>
            <w:hyperlink r:id="rId188">
              <w:r>
                <w:rPr>
                  <w:rFonts w:ascii="Arial" w:cs="Arial" w:eastAsia="Arial" w:hAnsi="Arial"/>
                  <w:sz w:val="16"/>
                  <w:szCs w:val="16"/>
                  <w:color w:val="0000FF"/>
                </w:rPr>
                <w:t>as Lender (Incorporated by reference to Exhibit</w:t>
              </w:r>
            </w:hyperlink>
          </w:p>
        </w:tc>
        <w:tc>
          <w:tcPr>
            <w:tcW w:w="6740" w:type="dxa"/>
            <w:vAlign w:val="bottom"/>
            <w:tcBorders>
              <w:right w:val="single" w:sz="8" w:color="auto"/>
            </w:tcBorders>
            <w:gridSpan w:val="3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88">
              <w:r>
                <w:rPr>
                  <w:rFonts w:ascii="Arial" w:cs="Arial" w:eastAsia="Arial" w:hAnsi="Arial"/>
                  <w:sz w:val="16"/>
                  <w:szCs w:val="16"/>
                  <w:color w:val="0000FF"/>
                </w:rPr>
                <w:t>10.8 to the Company’s Quarterly Report on Form 10-Q for the quarterly period ended June 30, 2004, dated August 2, 2004).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0" w:type="dxa"/>
            <w:vAlign w:val="bottom"/>
            <w:tcBorders>
              <w:top w:val="single" w:sz="8" w:color="0000FF"/>
              <w:bottom w:val="single" w:sz="8" w:color="auto"/>
            </w:tcBorders>
          </w:tcPr>
          <w:p>
            <w:pPr>
              <w:spacing w:after="0"/>
              <w:rPr>
                <w:sz w:val="2"/>
                <w:szCs w:val="2"/>
                <w:color w:val="auto"/>
              </w:rPr>
            </w:pPr>
          </w:p>
        </w:tc>
        <w:tc>
          <w:tcPr>
            <w:tcW w:w="18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10.28(a)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7"/>
          </w:tcPr>
          <w:p>
            <w:pPr>
              <w:spacing w:after="0" w:line="183" w:lineRule="exact"/>
              <w:rPr>
                <w:rFonts w:ascii="Arial" w:cs="Arial" w:eastAsia="Arial" w:hAnsi="Arial"/>
                <w:sz w:val="16"/>
                <w:szCs w:val="16"/>
                <w:color w:val="0000FF"/>
              </w:rPr>
            </w:pPr>
            <w:hyperlink r:id="rId189">
              <w:r>
                <w:rPr>
                  <w:rFonts w:ascii="Arial" w:cs="Arial" w:eastAsia="Arial" w:hAnsi="Arial"/>
                  <w:sz w:val="16"/>
                  <w:szCs w:val="16"/>
                  <w:color w:val="0000FF"/>
                </w:rPr>
                <w:t>First Amendment, dated as of December 23, 2005, among AESOP Leasing L.P., as Borrower, Quartx Fleet Management, Inc., as a</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gridSpan w:val="4"/>
            <w:shd w:val="clear" w:color="auto" w:fill="0000FF"/>
          </w:tcPr>
          <w:p>
            <w:pPr>
              <w:spacing w:after="0" w:line="20" w:lineRule="exact"/>
              <w:rPr>
                <w:sz w:val="1"/>
                <w:szCs w:val="1"/>
                <w:color w:val="auto"/>
              </w:rPr>
            </w:pPr>
          </w:p>
        </w:tc>
        <w:tc>
          <w:tcPr>
            <w:tcW w:w="2660" w:type="dxa"/>
            <w:vAlign w:val="bottom"/>
            <w:gridSpan w:val="9"/>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Borders>
              <w:right w:val="single" w:sz="8" w:color="auto"/>
            </w:tcBorders>
            <w:gridSpan w:val="10"/>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189">
              <w:r>
                <w:rPr>
                  <w:rFonts w:ascii="Arial" w:cs="Arial" w:eastAsia="Arial" w:hAnsi="Arial"/>
                  <w:sz w:val="16"/>
                  <w:szCs w:val="16"/>
                  <w:color w:val="0000FF"/>
                </w:rPr>
                <w:t>Permitted Nominee, PV Holding Corp., as a Permitted Nominee, and Cendant Rental Car Funding (AESOP) LLC***, as Lender, to the</w:t>
              </w:r>
            </w:hyperlink>
          </w:p>
        </w:tc>
        <w:tc>
          <w:tcPr>
            <w:tcW w:w="560" w:type="dxa"/>
            <w:vAlign w:val="bottom"/>
            <w:tcBorders>
              <w:right w:val="single" w:sz="8" w:color="auto"/>
            </w:tcBorders>
            <w:gridSpan w:val="15"/>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bottom w:val="single" w:sz="8" w:color="0000FF"/>
            </w:tcBorders>
            <w:gridSpan w:val="25"/>
          </w:tcPr>
          <w:p>
            <w:pPr>
              <w:spacing w:after="0" w:line="169" w:lineRule="exact"/>
              <w:rPr>
                <w:rFonts w:ascii="Arial" w:cs="Arial" w:eastAsia="Arial" w:hAnsi="Arial"/>
                <w:sz w:val="16"/>
                <w:szCs w:val="16"/>
                <w:color w:val="0000FF"/>
              </w:rPr>
            </w:pPr>
            <w:hyperlink r:id="rId189">
              <w:r>
                <w:rPr>
                  <w:rFonts w:ascii="Arial" w:cs="Arial" w:eastAsia="Arial" w:hAnsi="Arial"/>
                  <w:sz w:val="16"/>
                  <w:szCs w:val="16"/>
                  <w:color w:val="0000FF"/>
                </w:rPr>
                <w:t>Second Amended and Restated Loan Agreement, dated as of June 3, 2004 (Incorporated by reference to Exhibit 10.2 to the Company’s</w:t>
              </w:r>
            </w:hyperlink>
          </w:p>
        </w:tc>
        <w:tc>
          <w:tcPr>
            <w:tcW w:w="380" w:type="dxa"/>
            <w:vAlign w:val="bottom"/>
            <w:tcBorders>
              <w:right w:val="single" w:sz="8" w:color="auto"/>
            </w:tcBorders>
            <w:gridSpan w:val="1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89">
              <w:r>
                <w:rPr>
                  <w:rFonts w:ascii="Arial" w:cs="Arial" w:eastAsia="Arial" w:hAnsi="Arial"/>
                  <w:sz w:val="16"/>
                  <w:szCs w:val="16"/>
                  <w:color w:val="0000FF"/>
                </w:rPr>
                <w:t>Current Report on Form 8-K dated January 20,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10.28(b)</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7"/>
          </w:tcPr>
          <w:p>
            <w:pPr>
              <w:spacing w:after="0" w:line="183" w:lineRule="exact"/>
              <w:rPr>
                <w:rFonts w:ascii="Arial" w:cs="Arial" w:eastAsia="Arial" w:hAnsi="Arial"/>
                <w:sz w:val="16"/>
                <w:szCs w:val="16"/>
                <w:color w:val="0000FF"/>
              </w:rPr>
            </w:pPr>
            <w:hyperlink r:id="rId190">
              <w:r>
                <w:rPr>
                  <w:rFonts w:ascii="Arial" w:cs="Arial" w:eastAsia="Arial" w:hAnsi="Arial"/>
                  <w:sz w:val="16"/>
                  <w:szCs w:val="16"/>
                  <w:color w:val="0000FF"/>
                </w:rPr>
                <w:t>Second Amendment, dated as of May 9, 2007, among AESOP Leasing L.P., as Borrower, PV Holding Corp., as a Permitted Nominee,</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20" w:type="dxa"/>
            <w:vAlign w:val="bottom"/>
            <w:gridSpan w:val="13"/>
            <w:shd w:val="clear" w:color="auto" w:fill="0000FF"/>
          </w:tcPr>
          <w:p>
            <w:pPr>
              <w:spacing w:after="0" w:line="20" w:lineRule="exact"/>
              <w:rPr>
                <w:sz w:val="1"/>
                <w:szCs w:val="1"/>
                <w:color w:val="auto"/>
              </w:rPr>
            </w:pPr>
          </w:p>
        </w:tc>
        <w:tc>
          <w:tcPr>
            <w:tcW w:w="3060" w:type="dxa"/>
            <w:vAlign w:val="bottom"/>
            <w:gridSpan w:val="9"/>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tcBorders>
              <w:right w:val="single" w:sz="8" w:color="auto"/>
            </w:tcBorders>
            <w:gridSpan w:val="10"/>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190">
              <w:r>
                <w:rPr>
                  <w:rFonts w:ascii="Arial" w:cs="Arial" w:eastAsia="Arial" w:hAnsi="Arial"/>
                  <w:sz w:val="16"/>
                  <w:szCs w:val="16"/>
                  <w:color w:val="0000FF"/>
                </w:rPr>
                <w:t>Quartx Fleet Management, Inc., as a Permitted Nominee, and Avis Budget Rental Car Funding (AESOP) LLC, as Lender, to the Second</w:t>
              </w:r>
            </w:hyperlink>
          </w:p>
        </w:tc>
        <w:tc>
          <w:tcPr>
            <w:tcW w:w="400" w:type="dxa"/>
            <w:vAlign w:val="bottom"/>
            <w:tcBorders>
              <w:right w:val="single" w:sz="8" w:color="auto"/>
            </w:tcBorders>
            <w:gridSpan w:val="1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7"/>
          </w:tcPr>
          <w:p>
            <w:pPr>
              <w:spacing w:after="0" w:line="169" w:lineRule="exact"/>
              <w:rPr>
                <w:rFonts w:ascii="Arial" w:cs="Arial" w:eastAsia="Arial" w:hAnsi="Arial"/>
                <w:sz w:val="16"/>
                <w:szCs w:val="16"/>
                <w:color w:val="0000FF"/>
              </w:rPr>
            </w:pPr>
            <w:hyperlink r:id="rId190">
              <w:r>
                <w:rPr>
                  <w:rFonts w:ascii="Arial" w:cs="Arial" w:eastAsia="Arial" w:hAnsi="Arial"/>
                  <w:sz w:val="16"/>
                  <w:szCs w:val="16"/>
                  <w:color w:val="0000FF"/>
                </w:rPr>
                <w:t>Amended and Restated Loan Agreement, dated as of June 3, 2004 (Incorporated by reference to Exhibit 10.8 to the Company’s Quarterly</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27"/>
          </w:tcPr>
          <w:p>
            <w:pPr>
              <w:spacing w:after="0" w:line="169" w:lineRule="exact"/>
              <w:rPr>
                <w:rFonts w:ascii="Arial" w:cs="Arial" w:eastAsia="Arial" w:hAnsi="Arial"/>
                <w:sz w:val="16"/>
                <w:szCs w:val="16"/>
                <w:color w:val="0000FF"/>
              </w:rPr>
            </w:pPr>
            <w:hyperlink r:id="rId190">
              <w:r>
                <w:rPr>
                  <w:rFonts w:ascii="Arial" w:cs="Arial" w:eastAsia="Arial" w:hAnsi="Arial"/>
                  <w:sz w:val="16"/>
                  <w:szCs w:val="16"/>
                  <w:color w:val="0000FF"/>
                </w:rPr>
                <w:t>Report on Form 10-Q for the quarterly period ended June 30, 2007, dated August 8, 2007).</w:t>
              </w:r>
            </w:hyperlink>
          </w:p>
        </w:tc>
        <w:tc>
          <w:tcPr>
            <w:tcW w:w="280" w:type="dxa"/>
            <w:vAlign w:val="bottom"/>
            <w:tcBorders>
              <w:right w:val="single" w:sz="8" w:color="auto"/>
            </w:tcBorders>
            <w:gridSpan w:val="10"/>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220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42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80" w:type="dxa"/>
            <w:vAlign w:val="bottom"/>
            <w:gridSpan w:val="33"/>
          </w:tcPr>
          <w:p>
            <w:pPr>
              <w:ind w:left="400"/>
              <w:spacing w:after="0"/>
              <w:rPr>
                <w:sz w:val="20"/>
                <w:szCs w:val="20"/>
                <w:color w:val="auto"/>
              </w:rPr>
            </w:pPr>
            <w:r>
              <w:rPr>
                <w:rFonts w:ascii="Arial" w:cs="Arial" w:eastAsia="Arial" w:hAnsi="Arial"/>
                <w:sz w:val="18"/>
                <w:szCs w:val="18"/>
                <w:color w:val="auto"/>
              </w:rPr>
              <w:t>H-3</w:t>
            </w:r>
          </w:p>
        </w:tc>
      </w:tr>
    </w:tbl>
    <w:p>
      <w:pPr>
        <w:sectPr>
          <w:pgSz w:w="11900" w:h="16838" w:orient="portrait"/>
          <w:cols w:equalWidth="0" w:num="1">
            <w:col w:w="11440"/>
          </w:cols>
          <w:pgMar w:left="240" w:top="140" w:right="21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10.28(c)</w:t>
            </w:r>
          </w:p>
        </w:tc>
        <w:tc>
          <w:tcPr>
            <w:tcW w:w="12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00" w:type="dxa"/>
            <w:vAlign w:val="bottom"/>
            <w:tcBorders>
              <w:top w:val="single" w:sz="8" w:color="auto"/>
              <w:bottom w:val="single" w:sz="8" w:color="0000FF"/>
            </w:tcBorders>
            <w:gridSpan w:val="20"/>
          </w:tcPr>
          <w:p>
            <w:pPr>
              <w:spacing w:after="0"/>
              <w:rPr>
                <w:rFonts w:ascii="Arial" w:cs="Arial" w:eastAsia="Arial" w:hAnsi="Arial"/>
                <w:sz w:val="16"/>
                <w:szCs w:val="16"/>
                <w:color w:val="0000FF"/>
              </w:rPr>
            </w:pPr>
            <w:hyperlink r:id="rId191">
              <w:r>
                <w:rPr>
                  <w:rFonts w:ascii="Arial" w:cs="Arial" w:eastAsia="Arial" w:hAnsi="Arial"/>
                  <w:sz w:val="16"/>
                  <w:szCs w:val="16"/>
                  <w:color w:val="0000FF"/>
                </w:rPr>
                <w:t>Third Amendment, dated as of August 16, 2013, among AESOP Leasing L.P., as Borrower, PV Holding Corp., as a Permitted Nominee,</w:t>
              </w:r>
            </w:hyperlink>
          </w:p>
        </w:tc>
        <w:tc>
          <w:tcPr>
            <w:tcW w:w="440" w:type="dxa"/>
            <w:vAlign w:val="bottom"/>
            <w:tcBorders>
              <w:top w:val="single" w:sz="8" w:color="auto"/>
              <w:right w:val="single" w:sz="8" w:color="auto"/>
            </w:tcBorders>
            <w:gridSpan w:val="15"/>
          </w:tcPr>
          <w:p>
            <w:pPr>
              <w:spacing w:after="0"/>
              <w:rPr>
                <w:sz w:val="17"/>
                <w:szCs w:val="17"/>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21"/>
          </w:tcPr>
          <w:p>
            <w:pPr>
              <w:spacing w:after="0" w:line="169" w:lineRule="exact"/>
              <w:rPr>
                <w:rFonts w:ascii="Arial" w:cs="Arial" w:eastAsia="Arial" w:hAnsi="Arial"/>
                <w:sz w:val="16"/>
                <w:szCs w:val="16"/>
                <w:color w:val="0000FF"/>
              </w:rPr>
            </w:pPr>
            <w:hyperlink r:id="rId191">
              <w:r>
                <w:rPr>
                  <w:rFonts w:ascii="Arial" w:cs="Arial" w:eastAsia="Arial" w:hAnsi="Arial"/>
                  <w:sz w:val="16"/>
                  <w:szCs w:val="16"/>
                  <w:color w:val="0000FF"/>
                </w:rPr>
                <w:t>Quartx Fleet Management, Inc., as a Permitted Nominee, and Avis Budget Rental Car Funding (AESOP) LLC, as Lender, to the Second</w:t>
              </w:r>
            </w:hyperlink>
          </w:p>
        </w:tc>
        <w:tc>
          <w:tcPr>
            <w:tcW w:w="400" w:type="dxa"/>
            <w:vAlign w:val="bottom"/>
            <w:tcBorders>
              <w:right w:val="single" w:sz="8" w:color="auto"/>
            </w:tcBorders>
            <w:gridSpan w:val="1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191">
              <w:r>
                <w:rPr>
                  <w:rFonts w:ascii="Arial" w:cs="Arial" w:eastAsia="Arial" w:hAnsi="Arial"/>
                  <w:sz w:val="16"/>
                  <w:szCs w:val="16"/>
                  <w:color w:val="0000FF"/>
                </w:rPr>
                <w:t>Amended and Restated Loan Agreement, dated as of June 3, 2004 (Incorporated by reference to Exhibit 10.36(c) to the Company’s Annual</w:t>
              </w:r>
            </w:hyperlink>
          </w:p>
        </w:tc>
        <w:tc>
          <w:tcPr>
            <w:tcW w:w="120" w:type="dxa"/>
            <w:vAlign w:val="bottom"/>
            <w:tcBorders>
              <w:right w:val="single" w:sz="8" w:color="auto"/>
            </w:tcBorders>
            <w:gridSpan w:val="5"/>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191">
              <w:r>
                <w:rPr>
                  <w:rFonts w:ascii="Arial" w:cs="Arial" w:eastAsia="Arial" w:hAnsi="Arial"/>
                  <w:sz w:val="16"/>
                  <w:szCs w:val="16"/>
                  <w:color w:val="0000FF"/>
                </w:rPr>
                <w:t>Report on Form 10-K for the year ended December 31, 2013, dated February 20,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10.29</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bottom w:val="single" w:sz="8" w:color="0000FF"/>
            </w:tcBorders>
            <w:gridSpan w:val="21"/>
          </w:tcPr>
          <w:p>
            <w:pPr>
              <w:spacing w:after="0" w:line="183" w:lineRule="exact"/>
              <w:rPr>
                <w:rFonts w:ascii="Arial" w:cs="Arial" w:eastAsia="Arial" w:hAnsi="Arial"/>
                <w:sz w:val="16"/>
                <w:szCs w:val="16"/>
                <w:color w:val="0000FF"/>
              </w:rPr>
            </w:pPr>
            <w:hyperlink r:id="rId192">
              <w:r>
                <w:rPr>
                  <w:rFonts w:ascii="Arial" w:cs="Arial" w:eastAsia="Arial" w:hAnsi="Arial"/>
                  <w:sz w:val="16"/>
                  <w:szCs w:val="16"/>
                  <w:color w:val="0000FF"/>
                </w:rPr>
                <w:t>Amended and Restated Loan Agreement, dated as of June 3, 2004, among AESOP Leasing L.P., as Borrower, and Cendant Rental Car</w:t>
              </w:r>
            </w:hyperlink>
          </w:p>
        </w:tc>
        <w:tc>
          <w:tcPr>
            <w:tcW w:w="400" w:type="dxa"/>
            <w:vAlign w:val="bottom"/>
            <w:tcBorders>
              <w:right w:val="single" w:sz="8" w:color="auto"/>
            </w:tcBorders>
            <w:gridSpan w:val="14"/>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192">
              <w:r>
                <w:rPr>
                  <w:rFonts w:ascii="Arial" w:cs="Arial" w:eastAsia="Arial" w:hAnsi="Arial"/>
                  <w:sz w:val="16"/>
                  <w:szCs w:val="16"/>
                  <w:color w:val="0000FF"/>
                </w:rPr>
                <w:t>Funding (AESOP) LLC***, as Lender (Incorporated by reference to Exhibit 10.29(a) to the Company’s Annual Report on Form 10-K for the</w:t>
              </w:r>
            </w:hyperlink>
          </w:p>
        </w:tc>
        <w:tc>
          <w:tcPr>
            <w:tcW w:w="240" w:type="dxa"/>
            <w:vAlign w:val="bottom"/>
            <w:tcBorders>
              <w:right w:val="single" w:sz="8" w:color="auto"/>
            </w:tcBorders>
            <w:gridSpan w:val="11"/>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192">
              <w:r>
                <w:rPr>
                  <w:rFonts w:ascii="Arial" w:cs="Arial" w:eastAsia="Arial" w:hAnsi="Arial"/>
                  <w:sz w:val="16"/>
                  <w:szCs w:val="16"/>
                  <w:color w:val="0000FF"/>
                </w:rPr>
                <w:t>year ended December 31, 2006, dated March 1,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10.29(a)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5"/>
          </w:tcPr>
          <w:p>
            <w:pPr>
              <w:spacing w:after="0" w:line="183" w:lineRule="exact"/>
              <w:rPr>
                <w:rFonts w:ascii="Arial" w:cs="Arial" w:eastAsia="Arial" w:hAnsi="Arial"/>
                <w:sz w:val="16"/>
                <w:szCs w:val="16"/>
                <w:color w:val="0000FF"/>
              </w:rPr>
            </w:pPr>
            <w:hyperlink r:id="rId193">
              <w:r>
                <w:rPr>
                  <w:rFonts w:ascii="Arial" w:cs="Arial" w:eastAsia="Arial" w:hAnsi="Arial"/>
                  <w:sz w:val="16"/>
                  <w:szCs w:val="16"/>
                  <w:color w:val="0000FF"/>
                </w:rPr>
                <w:t>First Amendment, dated as of December 23, 2005, among AESOP Leasing L.P., as Borrower, and Cendant Rental Car Funding (AESOP)</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28"/>
          </w:tcPr>
          <w:p>
            <w:pPr>
              <w:spacing w:after="0" w:line="169" w:lineRule="exact"/>
              <w:rPr>
                <w:rFonts w:ascii="Arial" w:cs="Arial" w:eastAsia="Arial" w:hAnsi="Arial"/>
                <w:sz w:val="16"/>
                <w:szCs w:val="16"/>
                <w:color w:val="0000FF"/>
              </w:rPr>
            </w:pPr>
            <w:hyperlink r:id="rId193">
              <w:r>
                <w:rPr>
                  <w:rFonts w:ascii="Arial" w:cs="Arial" w:eastAsia="Arial" w:hAnsi="Arial"/>
                  <w:sz w:val="16"/>
                  <w:szCs w:val="16"/>
                  <w:color w:val="0000FF"/>
                </w:rPr>
                <w:t>LLC***, as Lender, to the Amended and Restated Loan Agreement, dated as of June 3, 2004 (Incorporated by reference to Exhibit 10.29(b)</w:t>
              </w:r>
            </w:hyperlink>
          </w:p>
        </w:tc>
        <w:tc>
          <w:tcPr>
            <w:tcW w:w="160" w:type="dxa"/>
            <w:vAlign w:val="bottom"/>
            <w:tcBorders>
              <w:right w:val="single" w:sz="8" w:color="auto"/>
            </w:tcBorders>
            <w:gridSpan w:val="7"/>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193">
              <w:r>
                <w:rPr>
                  <w:rFonts w:ascii="Arial" w:cs="Arial" w:eastAsia="Arial" w:hAnsi="Arial"/>
                  <w:sz w:val="16"/>
                  <w:szCs w:val="16"/>
                  <w:color w:val="0000FF"/>
                </w:rPr>
                <w:t>to the Company’s Annual Report on Form 10-K for the year ended December 31, 2006, dated March 1,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10.29(b)</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tcBorders>
              <w:bottom w:val="single" w:sz="8" w:color="0000FF"/>
            </w:tcBorders>
            <w:gridSpan w:val="33"/>
          </w:tcPr>
          <w:p>
            <w:pPr>
              <w:spacing w:after="0" w:line="183" w:lineRule="exact"/>
              <w:rPr>
                <w:rFonts w:ascii="Arial" w:cs="Arial" w:eastAsia="Arial" w:hAnsi="Arial"/>
                <w:sz w:val="16"/>
                <w:szCs w:val="16"/>
                <w:color w:val="0000FF"/>
              </w:rPr>
            </w:pPr>
            <w:hyperlink r:id="rId194">
              <w:r>
                <w:rPr>
                  <w:rFonts w:ascii="Arial" w:cs="Arial" w:eastAsia="Arial" w:hAnsi="Arial"/>
                  <w:sz w:val="16"/>
                  <w:szCs w:val="16"/>
                  <w:color w:val="0000FF"/>
                </w:rPr>
                <w:t>Second Amendment, dated as of the May 9, 2007, among AESOP Leasing L.P., as Borrower, and Avis Budget Rental Car Funding (AESOP)</w:t>
              </w:r>
            </w:hyperlink>
          </w:p>
        </w:tc>
        <w:tc>
          <w:tcPr>
            <w:tcW w:w="60" w:type="dxa"/>
            <w:vAlign w:val="bottom"/>
            <w:tcBorders>
              <w:right w:val="single" w:sz="8" w:color="auto"/>
            </w:tcBorders>
            <w:gridSpan w:val="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194">
              <w:r>
                <w:rPr>
                  <w:rFonts w:ascii="Arial" w:cs="Arial" w:eastAsia="Arial" w:hAnsi="Arial"/>
                  <w:sz w:val="16"/>
                  <w:szCs w:val="16"/>
                  <w:color w:val="0000FF"/>
                </w:rPr>
                <w:t>LLC, as Lender, to the Amended and Restated Loan Agreement, dated as of June 3, 2004 (Incorporated by reference to Exhibit 10.7 to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194">
              <w:r>
                <w:rPr>
                  <w:rFonts w:ascii="Arial" w:cs="Arial" w:eastAsia="Arial" w:hAnsi="Arial"/>
                  <w:sz w:val="16"/>
                  <w:szCs w:val="16"/>
                  <w:color w:val="0000FF"/>
                </w:rPr>
                <w:t>Company’s Quarterly Report on Form 10-Q for the quarterly period ended June 30, 2007, dated August 8, 2007).</w:t>
              </w:r>
            </w:hyperlink>
          </w:p>
        </w:tc>
        <w:tc>
          <w:tcPr>
            <w:tcW w:w="200" w:type="dxa"/>
            <w:vAlign w:val="bottom"/>
            <w:tcBorders>
              <w:right w:val="single" w:sz="8" w:color="auto"/>
            </w:tcBorders>
            <w:gridSpan w:val="9"/>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10.29(c)</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bottom w:val="single" w:sz="8" w:color="0000FF"/>
            </w:tcBorders>
            <w:gridSpan w:val="25"/>
          </w:tcPr>
          <w:p>
            <w:pPr>
              <w:spacing w:after="0" w:line="183" w:lineRule="exact"/>
              <w:rPr>
                <w:rFonts w:ascii="Arial" w:cs="Arial" w:eastAsia="Arial" w:hAnsi="Arial"/>
                <w:sz w:val="16"/>
                <w:szCs w:val="16"/>
                <w:color w:val="0000FF"/>
              </w:rPr>
            </w:pPr>
            <w:hyperlink r:id="rId195">
              <w:r>
                <w:rPr>
                  <w:rFonts w:ascii="Arial" w:cs="Arial" w:eastAsia="Arial" w:hAnsi="Arial"/>
                  <w:sz w:val="16"/>
                  <w:szCs w:val="16"/>
                  <w:color w:val="0000FF"/>
                </w:rPr>
                <w:t>Third Amendment, dated as of August 16, 2013, among AESOP Leasing L.P., as Borrower, and Avis Budget Rental Car Funding (AESOP)</w:t>
              </w:r>
            </w:hyperlink>
          </w:p>
        </w:tc>
        <w:tc>
          <w:tcPr>
            <w:tcW w:w="220" w:type="dxa"/>
            <w:vAlign w:val="bottom"/>
            <w:tcBorders>
              <w:right w:val="single" w:sz="8" w:color="auto"/>
            </w:tcBorders>
            <w:gridSpan w:val="10"/>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bottom w:val="single" w:sz="8" w:color="0000FF"/>
            </w:tcBorders>
            <w:gridSpan w:val="27"/>
          </w:tcPr>
          <w:p>
            <w:pPr>
              <w:spacing w:after="0" w:line="169" w:lineRule="exact"/>
              <w:rPr>
                <w:rFonts w:ascii="Arial" w:cs="Arial" w:eastAsia="Arial" w:hAnsi="Arial"/>
                <w:sz w:val="16"/>
                <w:szCs w:val="16"/>
                <w:color w:val="0000FF"/>
              </w:rPr>
            </w:pPr>
            <w:hyperlink r:id="rId195">
              <w:r>
                <w:rPr>
                  <w:rFonts w:ascii="Arial" w:cs="Arial" w:eastAsia="Arial" w:hAnsi="Arial"/>
                  <w:sz w:val="16"/>
                  <w:szCs w:val="16"/>
                  <w:color w:val="0000FF"/>
                </w:rPr>
                <w:t>LLC, as Lender, to the Amended and Restated Loan Agreement, dated as of June 3, 2004 (Incorporated by reference to Exhibit 10.37(c) to</w:t>
              </w:r>
            </w:hyperlink>
          </w:p>
        </w:tc>
        <w:tc>
          <w:tcPr>
            <w:tcW w:w="180" w:type="dxa"/>
            <w:vAlign w:val="bottom"/>
            <w:tcBorders>
              <w:right w:val="single" w:sz="8" w:color="auto"/>
            </w:tcBorders>
            <w:gridSpan w:val="8"/>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195">
              <w:r>
                <w:rPr>
                  <w:rFonts w:ascii="Arial" w:cs="Arial" w:eastAsia="Arial" w:hAnsi="Arial"/>
                  <w:sz w:val="16"/>
                  <w:szCs w:val="16"/>
                  <w:color w:val="0000FF"/>
                </w:rPr>
                <w:t>the Company’s Annual Report on Form 10-K for the year ended December 31, 2013, dated February 20,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30"/>
          </w:tcPr>
          <w:p>
            <w:pPr>
              <w:spacing w:after="0" w:line="183" w:lineRule="exact"/>
              <w:rPr>
                <w:rFonts w:ascii="Arial" w:cs="Arial" w:eastAsia="Arial" w:hAnsi="Arial"/>
                <w:sz w:val="16"/>
                <w:szCs w:val="16"/>
                <w:color w:val="0000FF"/>
              </w:rPr>
            </w:pPr>
            <w:hyperlink r:id="rId196">
              <w:r>
                <w:rPr>
                  <w:rFonts w:ascii="Arial" w:cs="Arial" w:eastAsia="Arial" w:hAnsi="Arial"/>
                  <w:sz w:val="16"/>
                  <w:szCs w:val="16"/>
                  <w:color w:val="0000FF"/>
                </w:rPr>
                <w:t>Second Amended and Restated Master Motor Vehicle Operating Lease Agreement, dated as of June 3, 2004, among AESOP Leasing L.P.,</w:t>
              </w:r>
            </w:hyperlink>
          </w:p>
        </w:tc>
        <w:tc>
          <w:tcPr>
            <w:tcW w:w="120" w:type="dxa"/>
            <w:vAlign w:val="bottom"/>
            <w:tcBorders>
              <w:right w:val="single" w:sz="8" w:color="auto"/>
            </w:tcBorders>
            <w:gridSpan w:val="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as Lessor, and Cendant Car Rental Group, Inc.**, as Lessee and as Administrator (Incorporated by reference to Exhibit 10.9 to the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8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Company’s Quarterly Report on Form 10-Q for the quarterly period ended June 30, 2004, dated August 2, 2004).</w:t>
              </w:r>
            </w:hyperlink>
          </w:p>
        </w:tc>
        <w:tc>
          <w:tcPr>
            <w:tcW w:w="760" w:type="dxa"/>
            <w:vAlign w:val="bottom"/>
            <w:tcBorders>
              <w:right w:val="single" w:sz="8" w:color="auto"/>
            </w:tcBorders>
            <w:gridSpan w:val="21"/>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10.30(a)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197">
              <w:r>
                <w:rPr>
                  <w:rFonts w:ascii="Arial" w:cs="Arial" w:eastAsia="Arial" w:hAnsi="Arial"/>
                  <w:sz w:val="16"/>
                  <w:szCs w:val="16"/>
                  <w:color w:val="0000FF"/>
                </w:rPr>
                <w:t>First Amendment, dated December 23, 2005, among AESOP Leasing L.P., as Lessor, and Cendant Car Rental Group, Inc.**, as Lessee and</w:t>
              </w:r>
            </w:hyperlink>
          </w:p>
        </w:tc>
        <w:tc>
          <w:tcPr>
            <w:tcW w:w="80" w:type="dxa"/>
            <w:vAlign w:val="bottom"/>
            <w:tcBorders>
              <w:right w:val="single" w:sz="8" w:color="auto"/>
            </w:tcBorders>
            <w:gridSpan w:val="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31"/>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as Administrator, to the Second Amended and Restated Master Motor Vehicle Operating Lease Agreement, dated as of December 23, 2005</w:t>
              </w:r>
            </w:hyperlink>
          </w:p>
        </w:tc>
        <w:tc>
          <w:tcPr>
            <w:tcW w:w="100" w:type="dxa"/>
            <w:vAlign w:val="bottom"/>
            <w:tcBorders>
              <w:right w:val="single" w:sz="8" w:color="auto"/>
            </w:tcBorders>
            <w:gridSpan w:val="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(Incorporated by reference to Exhibit 10.3 to the Company’s Current Report on Form 8-K dated January 20,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10.30(b)</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tcBorders>
              <w:bottom w:val="single" w:sz="8" w:color="0000FF"/>
            </w:tcBorders>
            <w:gridSpan w:val="34"/>
          </w:tcPr>
          <w:p>
            <w:pPr>
              <w:spacing w:after="0" w:line="183" w:lineRule="exact"/>
              <w:rPr>
                <w:rFonts w:ascii="Arial" w:cs="Arial" w:eastAsia="Arial" w:hAnsi="Arial"/>
                <w:sz w:val="16"/>
                <w:szCs w:val="16"/>
                <w:color w:val="0000FF"/>
              </w:rPr>
            </w:pPr>
            <w:hyperlink r:id="rId198">
              <w:r>
                <w:rPr>
                  <w:rFonts w:ascii="Arial" w:cs="Arial" w:eastAsia="Arial" w:hAnsi="Arial"/>
                  <w:sz w:val="16"/>
                  <w:szCs w:val="16"/>
                  <w:color w:val="0000FF"/>
                </w:rPr>
                <w:t>Third Amendment, dated as of May 9, 2007, among AESOP Leasing L.P., as Lessor and Avis Budget Car Rental, LLC, as Lessee and as the</w:t>
              </w:r>
            </w:hyperlink>
          </w:p>
        </w:tc>
        <w:tc>
          <w:tcPr>
            <w:tcW w:w="40" w:type="dxa"/>
            <w:vAlign w:val="bottom"/>
            <w:tcBorders>
              <w:right w:val="single" w:sz="8" w:color="auto"/>
            </w:tcBorders>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r:id="rId198">
              <w:r>
                <w:rPr>
                  <w:rFonts w:ascii="Arial" w:cs="Arial" w:eastAsia="Arial" w:hAnsi="Arial"/>
                  <w:sz w:val="16"/>
                  <w:szCs w:val="16"/>
                  <w:color w:val="0000FF"/>
                </w:rPr>
                <w:t>Administrator, to the Second Amended and Restated Master Motor Vehicle Operating Lease Agreement, dated as of June 3, 2004</w:t>
              </w:r>
            </w:hyperlink>
          </w:p>
        </w:tc>
        <w:tc>
          <w:tcPr>
            <w:tcW w:w="820" w:type="dxa"/>
            <w:vAlign w:val="bottom"/>
            <w:tcBorders>
              <w:right w:val="single" w:sz="8" w:color="auto"/>
            </w:tcBorders>
            <w:gridSpan w:val="2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198">
              <w:r>
                <w:rPr>
                  <w:rFonts w:ascii="Arial" w:cs="Arial" w:eastAsia="Arial" w:hAnsi="Arial"/>
                  <w:sz w:val="16"/>
                  <w:szCs w:val="16"/>
                  <w:color w:val="0000FF"/>
                </w:rPr>
                <w:t>(Incorporated by reference to Exhibit 10.9 to the Company’s Quarterly Report on Form 10-Q for the quarterly period ended June 30, 2007,</w:t>
              </w:r>
            </w:hyperlink>
          </w:p>
        </w:tc>
        <w:tc>
          <w:tcPr>
            <w:tcW w:w="260" w:type="dxa"/>
            <w:vAlign w:val="bottom"/>
            <w:tcBorders>
              <w:right w:val="single" w:sz="8" w:color="auto"/>
            </w:tcBorders>
            <w:gridSpan w:val="1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198">
              <w:r>
                <w:rPr>
                  <w:rFonts w:ascii="Arial" w:cs="Arial" w:eastAsia="Arial" w:hAnsi="Arial"/>
                  <w:sz w:val="16"/>
                  <w:szCs w:val="16"/>
                  <w:color w:val="0000FF"/>
                </w:rPr>
                <w:t>dated August 8,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10.30(c)</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30"/>
          </w:tcPr>
          <w:p>
            <w:pPr>
              <w:spacing w:after="0" w:line="183" w:lineRule="exact"/>
              <w:rPr>
                <w:rFonts w:ascii="Arial" w:cs="Arial" w:eastAsia="Arial" w:hAnsi="Arial"/>
                <w:sz w:val="16"/>
                <w:szCs w:val="16"/>
                <w:color w:val="0000FF"/>
              </w:rPr>
            </w:pPr>
            <w:hyperlink r:id="rId199">
              <w:r>
                <w:rPr>
                  <w:rFonts w:ascii="Arial" w:cs="Arial" w:eastAsia="Arial" w:hAnsi="Arial"/>
                  <w:sz w:val="16"/>
                  <w:szCs w:val="16"/>
                  <w:color w:val="0000FF"/>
                </w:rPr>
                <w:t>Fourth Amendment, dated as of August 16, 2013, among AESOP Leasing L.P., as Lessor and Avis Budget Car Rental, LLC, as Lessee and</w:t>
              </w:r>
            </w:hyperlink>
          </w:p>
        </w:tc>
        <w:tc>
          <w:tcPr>
            <w:tcW w:w="120" w:type="dxa"/>
            <w:vAlign w:val="bottom"/>
            <w:tcBorders>
              <w:right w:val="single" w:sz="8" w:color="auto"/>
            </w:tcBorders>
            <w:gridSpan w:val="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as the Administrator, to the Second Amended and Restated Master Motor Vehicle Operating Lease Agreement, dated as of June 3, 2004</w:t>
              </w:r>
            </w:hyperlink>
          </w:p>
        </w:tc>
        <w:tc>
          <w:tcPr>
            <w:tcW w:w="300" w:type="dxa"/>
            <w:vAlign w:val="bottom"/>
            <w:tcBorders>
              <w:right w:val="single" w:sz="8" w:color="auto"/>
            </w:tcBorders>
            <w:gridSpan w:val="1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(Incorporated by reference to Exhibit 10.38(c) to the Company’s Annual Report on Form 10-K for the year ended December 31, 2013, dated</w:t>
              </w:r>
            </w:hyperlink>
          </w:p>
        </w:tc>
        <w:tc>
          <w:tcPr>
            <w:tcW w:w="120" w:type="dxa"/>
            <w:vAlign w:val="bottom"/>
            <w:tcBorders>
              <w:right w:val="single" w:sz="8" w:color="auto"/>
            </w:tcBorders>
            <w:gridSpan w:val="5"/>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February 20,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bottom w:val="single" w:sz="8" w:color="0000FF"/>
            </w:tcBorders>
            <w:gridSpan w:val="31"/>
          </w:tcPr>
          <w:p>
            <w:pPr>
              <w:spacing w:after="0" w:line="183" w:lineRule="exact"/>
              <w:rPr>
                <w:rFonts w:ascii="Arial" w:cs="Arial" w:eastAsia="Arial" w:hAnsi="Arial"/>
                <w:sz w:val="16"/>
                <w:szCs w:val="16"/>
                <w:color w:val="0000FF"/>
              </w:rPr>
            </w:pPr>
            <w:hyperlink r:id="rId200">
              <w:r>
                <w:rPr>
                  <w:rFonts w:ascii="Arial" w:cs="Arial" w:eastAsia="Arial" w:hAnsi="Arial"/>
                  <w:sz w:val="16"/>
                  <w:szCs w:val="16"/>
                  <w:color w:val="0000FF"/>
                </w:rPr>
                <w:t>Amended and Restated Master Motor Vehicle Finance Lease Agreement, dated as of June 3, 2004, among AESOP Leasing L.P., as Lessor,</w:t>
              </w:r>
            </w:hyperlink>
          </w:p>
        </w:tc>
        <w:tc>
          <w:tcPr>
            <w:tcW w:w="100" w:type="dxa"/>
            <w:vAlign w:val="bottom"/>
            <w:tcBorders>
              <w:right w:val="single" w:sz="8" w:color="auto"/>
            </w:tcBorders>
            <w:gridSpan w:val="4"/>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17"/>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Cendant Car Rental Group, Inc.**, as Lessee, as Administrator and as Finance Lease Guarantor, Avis Rent A Car System, Inc.****, as</w:t>
              </w:r>
            </w:hyperlink>
          </w:p>
        </w:tc>
        <w:tc>
          <w:tcPr>
            <w:tcW w:w="540" w:type="dxa"/>
            <w:vAlign w:val="bottom"/>
            <w:tcBorders>
              <w:right w:val="single" w:sz="8" w:color="auto"/>
            </w:tcBorders>
            <w:gridSpan w:val="18"/>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bottom w:val="single" w:sz="8" w:color="0000FF"/>
            </w:tcBorders>
            <w:gridSpan w:val="29"/>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Lessee, and Budget Rent A Car System, Inc., as Lessee (Incorporated by reference to Exhibit 10.30(a) to the Company’s Annual Report on</w:t>
              </w:r>
            </w:hyperlink>
          </w:p>
        </w:tc>
        <w:tc>
          <w:tcPr>
            <w:tcW w:w="140" w:type="dxa"/>
            <w:vAlign w:val="bottom"/>
            <w:tcBorders>
              <w:right w:val="single" w:sz="8" w:color="auto"/>
            </w:tcBorders>
            <w:gridSpan w:val="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Form 10-K for the year ended December 31, 2006, dated March 1,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10.31(a)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5"/>
          </w:tcPr>
          <w:p>
            <w:pPr>
              <w:spacing w:after="0" w:line="183" w:lineRule="exact"/>
              <w:rPr>
                <w:rFonts w:ascii="Arial" w:cs="Arial" w:eastAsia="Arial" w:hAnsi="Arial"/>
                <w:sz w:val="16"/>
                <w:szCs w:val="16"/>
                <w:color w:val="0000FF"/>
              </w:rPr>
            </w:pPr>
            <w:hyperlink r:id="rId201">
              <w:r>
                <w:rPr>
                  <w:rFonts w:ascii="Arial" w:cs="Arial" w:eastAsia="Arial" w:hAnsi="Arial"/>
                  <w:sz w:val="16"/>
                  <w:szCs w:val="16"/>
                  <w:color w:val="0000FF"/>
                </w:rPr>
                <w:t>First Amendment, dated as of December 23, 2005, among AESOP Leasing L.P., as Lessor, Cendant Car Rental Group, Inc.**, as Lessee, as</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top w:val="single" w:sz="8" w:color="0000FF"/>
            </w:tcBorders>
            <w:gridSpan w:val="33"/>
          </w:tcPr>
          <w:p>
            <w:pPr>
              <w:spacing w:after="0" w:line="169" w:lineRule="exact"/>
              <w:rPr>
                <w:rFonts w:ascii="Arial" w:cs="Arial" w:eastAsia="Arial" w:hAnsi="Arial"/>
                <w:sz w:val="16"/>
                <w:szCs w:val="16"/>
                <w:color w:val="0000FF"/>
              </w:rPr>
            </w:pPr>
            <w:hyperlink r:id="rId201">
              <w:r>
                <w:rPr>
                  <w:rFonts w:ascii="Arial" w:cs="Arial" w:eastAsia="Arial" w:hAnsi="Arial"/>
                  <w:sz w:val="16"/>
                  <w:szCs w:val="16"/>
                  <w:color w:val="0000FF"/>
                </w:rPr>
                <w:t>Administrator and as Finance Lease Guarantor, Avis Rent A Car System, Inc.****, as Lessee, and Budget Rent A Car System, Inc., as</w:t>
              </w:r>
            </w:hyperlink>
          </w:p>
        </w:tc>
        <w:tc>
          <w:tcPr>
            <w:tcW w:w="60" w:type="dxa"/>
            <w:vAlign w:val="bottom"/>
            <w:tcBorders>
              <w:right w:val="single" w:sz="8" w:color="auto"/>
            </w:tcBorders>
            <w:gridSpan w:val="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201">
              <w:r>
                <w:rPr>
                  <w:rFonts w:ascii="Arial" w:cs="Arial" w:eastAsia="Arial" w:hAnsi="Arial"/>
                  <w:sz w:val="16"/>
                  <w:szCs w:val="16"/>
                  <w:color w:val="0000FF"/>
                </w:rPr>
                <w:t>Lessee, to the Amended and Restated Master Motor Vehicle Finance Lease Agreement, dated as of June 3, 2004 (Incorporated by</w:t>
              </w:r>
            </w:hyperlink>
          </w:p>
        </w:tc>
        <w:tc>
          <w:tcPr>
            <w:tcW w:w="560" w:type="dxa"/>
            <w:vAlign w:val="bottom"/>
            <w:tcBorders>
              <w:right w:val="single" w:sz="8" w:color="auto"/>
            </w:tcBorders>
            <w:gridSpan w:val="19"/>
          </w:tcPr>
          <w:p>
            <w:pPr>
              <w:spacing w:after="0"/>
              <w:rPr>
                <w:sz w:val="14"/>
                <w:szCs w:val="14"/>
                <w:color w:val="auto"/>
              </w:rPr>
            </w:pPr>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4400" w:type="dxa"/>
            <w:vAlign w:val="bottom"/>
            <w:gridSpan w:val="7"/>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Borders>
              <w:right w:val="single" w:sz="8" w:color="auto"/>
            </w:tcBorders>
            <w:gridSpan w:val="3"/>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201">
              <w:r>
                <w:rPr>
                  <w:rFonts w:ascii="Arial" w:cs="Arial" w:eastAsia="Arial" w:hAnsi="Arial"/>
                  <w:sz w:val="16"/>
                  <w:szCs w:val="16"/>
                  <w:color w:val="0000FF"/>
                </w:rPr>
                <w:t>reference to Exhibit 10.30(b) to the Company’s Annual Report on Form 10-K for the year ended December 31, 2006, dated March 1,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10.31(b)</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5"/>
          </w:tcPr>
          <w:p>
            <w:pPr>
              <w:spacing w:after="0" w:line="183" w:lineRule="exact"/>
              <w:rPr>
                <w:rFonts w:ascii="Arial" w:cs="Arial" w:eastAsia="Arial" w:hAnsi="Arial"/>
                <w:sz w:val="16"/>
                <w:szCs w:val="16"/>
                <w:color w:val="0000FF"/>
              </w:rPr>
            </w:pPr>
            <w:hyperlink r:id="rId202">
              <w:r>
                <w:rPr>
                  <w:rFonts w:ascii="Arial" w:cs="Arial" w:eastAsia="Arial" w:hAnsi="Arial"/>
                  <w:sz w:val="16"/>
                  <w:szCs w:val="16"/>
                  <w:color w:val="0000FF"/>
                </w:rPr>
                <w:t>Third Amendment, dated as of May 9, 2007, among AESOP Leasing L.P., as Lessor, Avis Budget Car Rental, LLC, as Lessee, as</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4400" w:type="dxa"/>
            <w:vAlign w:val="bottom"/>
            <w:gridSpan w:val="7"/>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Borders>
              <w:right w:val="single" w:sz="8" w:color="auto"/>
            </w:tcBorders>
            <w:gridSpan w:val="3"/>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202">
              <w:r>
                <w:rPr>
                  <w:rFonts w:ascii="Arial" w:cs="Arial" w:eastAsia="Arial" w:hAnsi="Arial"/>
                  <w:sz w:val="16"/>
                  <w:szCs w:val="16"/>
                  <w:color w:val="0000FF"/>
                </w:rPr>
                <w:t>Administrator and as Finance Lease Guarantor, Avis Rent A Car System, LLC, as Lessee, and Budget Rent A Car System, Inc., as Lessee,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bottom w:val="single" w:sz="8" w:color="0000FF"/>
            </w:tcBorders>
            <w:gridSpan w:val="19"/>
          </w:tcPr>
          <w:p>
            <w:pPr>
              <w:spacing w:after="0" w:line="169" w:lineRule="exact"/>
              <w:rPr>
                <w:rFonts w:ascii="Arial" w:cs="Arial" w:eastAsia="Arial" w:hAnsi="Arial"/>
                <w:sz w:val="16"/>
                <w:szCs w:val="16"/>
                <w:color w:val="0000FF"/>
              </w:rPr>
            </w:pPr>
            <w:hyperlink r:id="rId202">
              <w:r>
                <w:rPr>
                  <w:rFonts w:ascii="Arial" w:cs="Arial" w:eastAsia="Arial" w:hAnsi="Arial"/>
                  <w:sz w:val="16"/>
                  <w:szCs w:val="16"/>
                  <w:color w:val="0000FF"/>
                </w:rPr>
                <w:t>to the Amended and Restated Master Motor Vehicle Finance Lease Agreement, dated as of June 3, 2004 (Incorporated by reference to</w:t>
              </w:r>
            </w:hyperlink>
          </w:p>
        </w:tc>
        <w:tc>
          <w:tcPr>
            <w:tcW w:w="300" w:type="dxa"/>
            <w:vAlign w:val="bottom"/>
            <w:tcBorders>
              <w:top w:val="single" w:sz="8" w:color="0000FF"/>
            </w:tcBorders>
            <w:gridSpan w:val="9"/>
          </w:tcPr>
          <w:p>
            <w:pPr>
              <w:spacing w:after="0"/>
              <w:rPr>
                <w:sz w:val="14"/>
                <w:szCs w:val="14"/>
                <w:color w:val="auto"/>
              </w:rPr>
            </w:pPr>
          </w:p>
        </w:tc>
        <w:tc>
          <w:tcPr>
            <w:tcW w:w="160" w:type="dxa"/>
            <w:vAlign w:val="bottom"/>
            <w:tcBorders>
              <w:right w:val="single" w:sz="8" w:color="auto"/>
            </w:tcBorders>
            <w:gridSpan w:val="7"/>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202">
              <w:r>
                <w:rPr>
                  <w:rFonts w:ascii="Arial" w:cs="Arial" w:eastAsia="Arial" w:hAnsi="Arial"/>
                  <w:sz w:val="16"/>
                  <w:szCs w:val="16"/>
                  <w:color w:val="0000FF"/>
                </w:rPr>
                <w:t>Exhibit 10.11 to the Company’s Quarterly Report on Form 10-Q for the quarterly period ended June 30, 2007, dated August 8, 2007).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10.31(c)</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bottom w:val="single" w:sz="8" w:color="0000FF"/>
            </w:tcBorders>
            <w:gridSpan w:val="18"/>
          </w:tcPr>
          <w:p>
            <w:pPr>
              <w:spacing w:after="0" w:line="183" w:lineRule="exact"/>
              <w:rPr>
                <w:rFonts w:ascii="Arial" w:cs="Arial" w:eastAsia="Arial" w:hAnsi="Arial"/>
                <w:sz w:val="16"/>
                <w:szCs w:val="16"/>
                <w:color w:val="0000FF"/>
              </w:rPr>
            </w:pPr>
            <w:hyperlink r:id="rId203">
              <w:r>
                <w:rPr>
                  <w:rFonts w:ascii="Arial" w:cs="Arial" w:eastAsia="Arial" w:hAnsi="Arial"/>
                  <w:sz w:val="16"/>
                  <w:szCs w:val="16"/>
                  <w:color w:val="0000FF"/>
                </w:rPr>
                <w:t>Fourth Amendment, dated as of August 16, 2013, among AESOP Leasing L.P., as Lessor, Avis Budget Car Rental, LLC, as Lessee, as</w:t>
              </w:r>
            </w:hyperlink>
          </w:p>
        </w:tc>
        <w:tc>
          <w:tcPr>
            <w:tcW w:w="480" w:type="dxa"/>
            <w:vAlign w:val="bottom"/>
            <w:tcBorders>
              <w:right w:val="single" w:sz="8" w:color="auto"/>
            </w:tcBorders>
            <w:gridSpan w:val="1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203">
              <w:r>
                <w:rPr>
                  <w:rFonts w:ascii="Arial" w:cs="Arial" w:eastAsia="Arial" w:hAnsi="Arial"/>
                  <w:sz w:val="16"/>
                  <w:szCs w:val="16"/>
                  <w:color w:val="0000FF"/>
                </w:rPr>
                <w:t>Administrator and as Finance Lease Guarantor, Avis Rent A Car System, LLC, as Lessee, and Budget Rent A Car System, Inc., as Lessee,</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bottom w:val="single" w:sz="8" w:color="0000FF"/>
            </w:tcBorders>
            <w:gridSpan w:val="19"/>
          </w:tcPr>
          <w:p>
            <w:pPr>
              <w:spacing w:after="0" w:line="169" w:lineRule="exact"/>
              <w:rPr>
                <w:rFonts w:ascii="Arial" w:cs="Arial" w:eastAsia="Arial" w:hAnsi="Arial"/>
                <w:sz w:val="16"/>
                <w:szCs w:val="16"/>
                <w:color w:val="0000FF"/>
              </w:rPr>
            </w:pPr>
            <w:hyperlink r:id="rId203">
              <w:r>
                <w:rPr>
                  <w:rFonts w:ascii="Arial" w:cs="Arial" w:eastAsia="Arial" w:hAnsi="Arial"/>
                  <w:sz w:val="16"/>
                  <w:szCs w:val="16"/>
                  <w:color w:val="0000FF"/>
                </w:rPr>
                <w:t>to the Amended and Restated Master Motor Vehicle Finance Lease Agreement, dated as of June 3, 2004 (Incorporated by reference to</w:t>
              </w:r>
            </w:hyperlink>
          </w:p>
        </w:tc>
        <w:tc>
          <w:tcPr>
            <w:tcW w:w="300" w:type="dxa"/>
            <w:vAlign w:val="bottom"/>
            <w:tcBorders>
              <w:top w:val="single" w:sz="8" w:color="0000FF"/>
            </w:tcBorders>
            <w:gridSpan w:val="9"/>
          </w:tcPr>
          <w:p>
            <w:pPr>
              <w:spacing w:after="0"/>
              <w:rPr>
                <w:sz w:val="14"/>
                <w:szCs w:val="14"/>
                <w:color w:val="auto"/>
              </w:rPr>
            </w:pPr>
          </w:p>
        </w:tc>
        <w:tc>
          <w:tcPr>
            <w:tcW w:w="160" w:type="dxa"/>
            <w:vAlign w:val="bottom"/>
            <w:tcBorders>
              <w:right w:val="single" w:sz="8" w:color="auto"/>
            </w:tcBorders>
            <w:gridSpan w:val="7"/>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203">
              <w:r>
                <w:rPr>
                  <w:rFonts w:ascii="Arial" w:cs="Arial" w:eastAsia="Arial" w:hAnsi="Arial"/>
                  <w:sz w:val="16"/>
                  <w:szCs w:val="16"/>
                  <w:color w:val="0000FF"/>
                </w:rPr>
                <w:t>Exhibit 10.39(c) to the Company’s Annual Report on Form 10-K for the year ended December 31, 2013, dated February 20,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2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0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bottom w:val="single" w:sz="8" w:color="0000FF"/>
            </w:tcBorders>
            <w:gridSpan w:val="25"/>
          </w:tcPr>
          <w:p>
            <w:pPr>
              <w:spacing w:after="0" w:line="183" w:lineRule="exact"/>
              <w:rPr>
                <w:rFonts w:ascii="Arial" w:cs="Arial" w:eastAsia="Arial" w:hAnsi="Arial"/>
                <w:sz w:val="16"/>
                <w:szCs w:val="16"/>
                <w:color w:val="0000FF"/>
              </w:rPr>
            </w:pPr>
            <w:hyperlink r:id="rId204">
              <w:r>
                <w:rPr>
                  <w:rFonts w:ascii="Arial" w:cs="Arial" w:eastAsia="Arial" w:hAnsi="Arial"/>
                  <w:sz w:val="16"/>
                  <w:szCs w:val="16"/>
                  <w:color w:val="0000FF"/>
                </w:rPr>
                <w:t>AESOP I Operating Sublease Agreement dated as of March 26, 2013 between Zipcar, Inc. and Avis Budget Car Rental, LLC (Incorporated</w:t>
              </w:r>
            </w:hyperlink>
          </w:p>
        </w:tc>
        <w:tc>
          <w:tcPr>
            <w:tcW w:w="220" w:type="dxa"/>
            <w:vAlign w:val="bottom"/>
            <w:tcBorders>
              <w:right w:val="single" w:sz="8" w:color="auto"/>
            </w:tcBorders>
            <w:gridSpan w:val="10"/>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bottom w:val="single" w:sz="8" w:color="0000FF"/>
            </w:tcBorders>
            <w:gridSpan w:val="25"/>
          </w:tcPr>
          <w:p>
            <w:pPr>
              <w:spacing w:after="0" w:line="169" w:lineRule="exact"/>
              <w:rPr>
                <w:rFonts w:ascii="Arial" w:cs="Arial" w:eastAsia="Arial" w:hAnsi="Arial"/>
                <w:sz w:val="16"/>
                <w:szCs w:val="16"/>
                <w:color w:val="0000FF"/>
              </w:rPr>
            </w:pPr>
            <w:hyperlink r:id="rId204">
              <w:r>
                <w:rPr>
                  <w:rFonts w:ascii="Arial" w:cs="Arial" w:eastAsia="Arial" w:hAnsi="Arial"/>
                  <w:sz w:val="16"/>
                  <w:szCs w:val="16"/>
                  <w:color w:val="0000FF"/>
                </w:rPr>
                <w:t>by reference to Exhibit 10.1 to the Company’s Quarterly Report on Form 10-Q for the quarterly period ended March 31, 2013 dated May 8,</w:t>
              </w:r>
            </w:hyperlink>
          </w:p>
        </w:tc>
        <w:tc>
          <w:tcPr>
            <w:tcW w:w="220" w:type="dxa"/>
            <w:vAlign w:val="bottom"/>
            <w:tcBorders>
              <w:right w:val="single" w:sz="8" w:color="auto"/>
            </w:tcBorders>
            <w:gridSpan w:val="10"/>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40" w:type="dxa"/>
            <w:vAlign w:val="bottom"/>
            <w:gridSpan w:val="3"/>
          </w:tcPr>
          <w:p>
            <w:pPr>
              <w:ind w:left="20"/>
              <w:spacing w:after="0" w:line="169" w:lineRule="exact"/>
              <w:rPr>
                <w:rFonts w:ascii="Arial" w:cs="Arial" w:eastAsia="Arial" w:hAnsi="Arial"/>
                <w:sz w:val="16"/>
                <w:szCs w:val="16"/>
                <w:color w:val="0000FF"/>
              </w:rPr>
            </w:pPr>
            <w:hyperlink r:id="rId204">
              <w:r>
                <w:rPr>
                  <w:rFonts w:ascii="Arial" w:cs="Arial" w:eastAsia="Arial" w:hAnsi="Arial"/>
                  <w:sz w:val="16"/>
                  <w:szCs w:val="16"/>
                  <w:color w:val="0000FF"/>
                </w:rPr>
                <w:t>2013).</w:t>
              </w:r>
            </w:hyperlink>
          </w:p>
        </w:tc>
        <w:tc>
          <w:tcPr>
            <w:tcW w:w="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5"/>
          </w:tcPr>
          <w:p>
            <w:pPr>
              <w:spacing w:after="0" w:line="183" w:lineRule="exact"/>
              <w:rPr>
                <w:rFonts w:ascii="Arial" w:cs="Arial" w:eastAsia="Arial" w:hAnsi="Arial"/>
                <w:sz w:val="16"/>
                <w:szCs w:val="16"/>
                <w:color w:val="0000FF"/>
              </w:rPr>
            </w:pPr>
            <w:hyperlink r:id="rId205">
              <w:r>
                <w:rPr>
                  <w:rFonts w:ascii="Arial" w:cs="Arial" w:eastAsia="Arial" w:hAnsi="Arial"/>
                  <w:sz w:val="16"/>
                  <w:szCs w:val="16"/>
                  <w:color w:val="0000FF"/>
                </w:rPr>
                <w:t>Second Amended and Restated Administration Agreement, dated as of June 3, 2004, among Cendant Rental Car Funding (AESOP) LLC***,</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top w:val="single" w:sz="8" w:color="0000FF"/>
            </w:tcBorders>
            <w:gridSpan w:val="32"/>
          </w:tcPr>
          <w:p>
            <w:pPr>
              <w:spacing w:after="0" w:line="169" w:lineRule="exact"/>
              <w:rPr>
                <w:rFonts w:ascii="Arial" w:cs="Arial" w:eastAsia="Arial" w:hAnsi="Arial"/>
                <w:sz w:val="16"/>
                <w:szCs w:val="16"/>
                <w:color w:val="0000FF"/>
              </w:rPr>
            </w:pPr>
            <w:hyperlink r:id="rId205">
              <w:r>
                <w:rPr>
                  <w:rFonts w:ascii="Arial" w:cs="Arial" w:eastAsia="Arial" w:hAnsi="Arial"/>
                  <w:sz w:val="16"/>
                  <w:szCs w:val="16"/>
                  <w:color w:val="0000FF"/>
                </w:rPr>
                <w:t>AESOP Leasing L.P., AESOP Leasing Corp. II, Avis Rent A Car System, Inc.****, Budget Rent A Car System, Inc., Cendant Car Rental</w:t>
              </w:r>
            </w:hyperlink>
          </w:p>
        </w:tc>
        <w:tc>
          <w:tcPr>
            <w:tcW w:w="80" w:type="dxa"/>
            <w:vAlign w:val="bottom"/>
            <w:tcBorders>
              <w:right w:val="single" w:sz="8" w:color="auto"/>
            </w:tcBorders>
            <w:gridSpan w:val="3"/>
          </w:tcPr>
          <w:p>
            <w:pPr>
              <w:spacing w:after="0"/>
              <w:rPr>
                <w:sz w:val="14"/>
                <w:szCs w:val="14"/>
                <w:color w:val="auto"/>
              </w:rPr>
            </w:pPr>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4800" w:type="dxa"/>
            <w:vAlign w:val="bottom"/>
            <w:gridSpan w:val="13"/>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40" w:type="dxa"/>
            <w:vAlign w:val="bottom"/>
            <w:tcBorders>
              <w:right w:val="single" w:sz="8" w:color="auto"/>
            </w:tcBorders>
            <w:gridSpan w:val="11"/>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205">
              <w:r>
                <w:rPr>
                  <w:rFonts w:ascii="Arial" w:cs="Arial" w:eastAsia="Arial" w:hAnsi="Arial"/>
                  <w:sz w:val="16"/>
                  <w:szCs w:val="16"/>
                  <w:color w:val="0000FF"/>
                </w:rPr>
                <w:t>Group, Inc.** and The Bank of New York, as Trustee (Incorporated by reference to Exhibit 10.34 to the Company’s Annual Report on Form</w:t>
              </w:r>
            </w:hyperlink>
          </w:p>
        </w:tc>
        <w:tc>
          <w:tcPr>
            <w:tcW w:w="240" w:type="dxa"/>
            <w:vAlign w:val="bottom"/>
            <w:tcBorders>
              <w:right w:val="single" w:sz="8" w:color="auto"/>
            </w:tcBorders>
            <w:gridSpan w:val="11"/>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5"/>
          </w:tcPr>
          <w:p>
            <w:pPr>
              <w:spacing w:after="0" w:line="169" w:lineRule="exact"/>
              <w:rPr>
                <w:rFonts w:ascii="Arial" w:cs="Arial" w:eastAsia="Arial" w:hAnsi="Arial"/>
                <w:sz w:val="16"/>
                <w:szCs w:val="16"/>
                <w:color w:val="0000FF"/>
              </w:rPr>
            </w:pPr>
            <w:hyperlink r:id="rId205">
              <w:r>
                <w:rPr>
                  <w:rFonts w:ascii="Arial" w:cs="Arial" w:eastAsia="Arial" w:hAnsi="Arial"/>
                  <w:sz w:val="16"/>
                  <w:szCs w:val="16"/>
                  <w:color w:val="0000FF"/>
                </w:rPr>
                <w:t>10-K for the year ended December 31, 2005, dated March 1, 2006).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2320" w:type="dxa"/>
            <w:vAlign w:val="bottom"/>
            <w:tcBorders>
              <w:top w:val="single" w:sz="8" w:color="0000FF"/>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42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180" w:type="dxa"/>
            <w:vAlign w:val="bottom"/>
            <w:gridSpan w:val="31"/>
          </w:tcPr>
          <w:p>
            <w:pPr>
              <w:ind w:left="300"/>
              <w:spacing w:after="0"/>
              <w:rPr>
                <w:sz w:val="20"/>
                <w:szCs w:val="20"/>
                <w:color w:val="auto"/>
              </w:rPr>
            </w:pPr>
            <w:r>
              <w:rPr>
                <w:rFonts w:ascii="Arial" w:cs="Arial" w:eastAsia="Arial" w:hAnsi="Arial"/>
                <w:sz w:val="18"/>
                <w:szCs w:val="18"/>
                <w:color w:val="auto"/>
              </w:rPr>
              <w:t>H-4</w:t>
            </w:r>
          </w:p>
        </w:tc>
      </w:tr>
    </w:tbl>
    <w:p>
      <w:pPr>
        <w:sectPr>
          <w:pgSz w:w="11900" w:h="16838" w:orient="portrait"/>
          <w:cols w:equalWidth="0" w:num="1">
            <w:col w:w="11440"/>
          </w:cols>
          <w:pgMar w:left="240" w:top="140" w:right="2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10.33(a)</w:t>
            </w:r>
          </w:p>
        </w:tc>
        <w:tc>
          <w:tcPr>
            <w:tcW w:w="12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600" w:type="dxa"/>
            <w:vAlign w:val="bottom"/>
            <w:tcBorders>
              <w:top w:val="single" w:sz="8" w:color="auto"/>
              <w:bottom w:val="single" w:sz="8" w:color="0000FF"/>
            </w:tcBorders>
            <w:gridSpan w:val="17"/>
          </w:tcPr>
          <w:p>
            <w:pPr>
              <w:spacing w:after="0"/>
              <w:rPr>
                <w:rFonts w:ascii="Arial" w:cs="Arial" w:eastAsia="Arial" w:hAnsi="Arial"/>
                <w:sz w:val="16"/>
                <w:szCs w:val="16"/>
                <w:color w:val="0000FF"/>
              </w:rPr>
            </w:pPr>
            <w:hyperlink r:id="rId206">
              <w:r>
                <w:rPr>
                  <w:rFonts w:ascii="Arial" w:cs="Arial" w:eastAsia="Arial" w:hAnsi="Arial"/>
                  <w:sz w:val="16"/>
                  <w:szCs w:val="16"/>
                  <w:color w:val="0000FF"/>
                </w:rPr>
                <w:t>First Amendment, dated as of August 16, 2013, among Avis Budget Rental Car Funding (AESOP) LLC, AESOP Leasing L.P., AESOP</w:t>
              </w:r>
            </w:hyperlink>
          </w:p>
        </w:tc>
        <w:tc>
          <w:tcPr>
            <w:tcW w:w="540" w:type="dxa"/>
            <w:vAlign w:val="bottom"/>
            <w:tcBorders>
              <w:top w:val="single" w:sz="8" w:color="auto"/>
              <w:right w:val="single" w:sz="8" w:color="auto"/>
            </w:tcBorders>
            <w:gridSpan w:val="16"/>
          </w:tcPr>
          <w:p>
            <w:pPr>
              <w:spacing w:after="0"/>
              <w:rPr>
                <w:sz w:val="17"/>
                <w:szCs w:val="17"/>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bottom w:val="single" w:sz="8" w:color="0000FF"/>
            </w:tcBorders>
            <w:gridSpan w:val="29"/>
          </w:tcPr>
          <w:p>
            <w:pPr>
              <w:spacing w:after="0" w:line="169" w:lineRule="exact"/>
              <w:rPr>
                <w:rFonts w:ascii="Arial" w:cs="Arial" w:eastAsia="Arial" w:hAnsi="Arial"/>
                <w:sz w:val="16"/>
                <w:szCs w:val="16"/>
                <w:color w:val="0000FF"/>
              </w:rPr>
            </w:pPr>
            <w:hyperlink r:id="rId206">
              <w:r>
                <w:rPr>
                  <w:rFonts w:ascii="Arial" w:cs="Arial" w:eastAsia="Arial" w:hAnsi="Arial"/>
                  <w:sz w:val="16"/>
                  <w:szCs w:val="16"/>
                  <w:color w:val="0000FF"/>
                </w:rPr>
                <w:t>Leasing Corp. II, Avis Rent A Car System, LLC, Budget Rent A Car System, Inc. and Avis Budget Car Rental, LLC, as Administrator, to the</w:t>
              </w:r>
            </w:hyperlink>
          </w:p>
        </w:tc>
        <w:tc>
          <w:tcPr>
            <w:tcW w:w="200" w:type="dxa"/>
            <w:vAlign w:val="bottom"/>
            <w:tcBorders>
              <w:right w:val="single" w:sz="8" w:color="auto"/>
            </w:tcBorders>
            <w:gridSpan w:val="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206">
              <w:r>
                <w:rPr>
                  <w:rFonts w:ascii="Arial" w:cs="Arial" w:eastAsia="Arial" w:hAnsi="Arial"/>
                  <w:sz w:val="16"/>
                  <w:szCs w:val="16"/>
                  <w:color w:val="0000FF"/>
                </w:rPr>
                <w:t>Second Amended and Restated Administration Agreement dated as of June 3, 2004 (Incorporated by reference to Exhibit 10.41(a) to the</w:t>
              </w:r>
            </w:hyperlink>
          </w:p>
        </w:tc>
        <w:tc>
          <w:tcPr>
            <w:tcW w:w="320" w:type="dxa"/>
            <w:vAlign w:val="bottom"/>
            <w:tcBorders>
              <w:right w:val="single" w:sz="8" w:color="auto"/>
            </w:tcBorders>
            <w:gridSpan w:val="10"/>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06">
              <w:r>
                <w:rPr>
                  <w:rFonts w:ascii="Arial" w:cs="Arial" w:eastAsia="Arial" w:hAnsi="Arial"/>
                  <w:sz w:val="16"/>
                  <w:szCs w:val="16"/>
                  <w:color w:val="0000FF"/>
                </w:rPr>
                <w:t>Company’s Annual Report on Form 10-K for the year ended December 31, 2013, dated February 20,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6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tcBorders>
              <w:bottom w:val="single" w:sz="8" w:color="0000FF"/>
            </w:tcBorders>
            <w:gridSpan w:val="31"/>
          </w:tcPr>
          <w:p>
            <w:pPr>
              <w:spacing w:after="0" w:line="183" w:lineRule="exact"/>
              <w:rPr>
                <w:rFonts w:ascii="Arial" w:cs="Arial" w:eastAsia="Arial" w:hAnsi="Arial"/>
                <w:sz w:val="16"/>
                <w:szCs w:val="16"/>
                <w:color w:val="0000FF"/>
              </w:rPr>
            </w:pPr>
            <w:hyperlink r:id="rId207">
              <w:r>
                <w:rPr>
                  <w:rFonts w:ascii="Arial" w:cs="Arial" w:eastAsia="Arial" w:hAnsi="Arial"/>
                  <w:sz w:val="16"/>
                  <w:szCs w:val="16"/>
                  <w:color w:val="0000FF"/>
                </w:rPr>
                <w:t>Amended and Restated Series 2015-3 Supplement, dated as of August 16, 2018, between Avis Budget Rental Car Funding (AESOP) LLC,</w:t>
              </w:r>
            </w:hyperlink>
          </w:p>
        </w:tc>
        <w:tc>
          <w:tcPr>
            <w:tcW w:w="160" w:type="dxa"/>
            <w:vAlign w:val="bottom"/>
            <w:tcBorders>
              <w:right w:val="single" w:sz="8" w:color="auto"/>
            </w:tcBorders>
            <w:gridSpan w:val="2"/>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07">
              <w:r>
                <w:rPr>
                  <w:rFonts w:ascii="Arial" w:cs="Arial" w:eastAsia="Arial" w:hAnsi="Arial"/>
                  <w:sz w:val="16"/>
                  <w:szCs w:val="16"/>
                  <w:color w:val="0000FF"/>
                </w:rPr>
                <w:t>as Issuer, Avis Budget Car Rental, LLC, as Administrator, JPMorgan Chase Bank, N.A., as Administrative Agent, the Non-Conduit</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07">
              <w:r>
                <w:rPr>
                  <w:rFonts w:ascii="Arial" w:cs="Arial" w:eastAsia="Arial" w:hAnsi="Arial"/>
                  <w:sz w:val="16"/>
                  <w:szCs w:val="16"/>
                  <w:color w:val="0000FF"/>
                </w:rPr>
                <w:t>Purchasers, the CP Conduit Purchasers, the Committed Note Purchasers, the Funding Agents and APA Banks named therein, and The</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bottom w:val="single" w:sz="8" w:color="0000FF"/>
            </w:tcBorders>
            <w:gridSpan w:val="21"/>
          </w:tcPr>
          <w:p>
            <w:pPr>
              <w:spacing w:after="0" w:line="169" w:lineRule="exact"/>
              <w:rPr>
                <w:rFonts w:ascii="Arial" w:cs="Arial" w:eastAsia="Arial" w:hAnsi="Arial"/>
                <w:sz w:val="16"/>
                <w:szCs w:val="16"/>
                <w:color w:val="0000FF"/>
              </w:rPr>
            </w:pPr>
            <w:hyperlink r:id="rId207">
              <w:r>
                <w:rPr>
                  <w:rFonts w:ascii="Arial" w:cs="Arial" w:eastAsia="Arial" w:hAnsi="Arial"/>
                  <w:sz w:val="16"/>
                  <w:szCs w:val="16"/>
                  <w:color w:val="0000FF"/>
                </w:rPr>
                <w:t>Bank of New York Mellon Trust Company, N.A., as trustee and as Series 2015-3 Agent (Incorporated by reference to Exhibit 10.43 to the</w:t>
              </w:r>
            </w:hyperlink>
          </w:p>
        </w:tc>
        <w:tc>
          <w:tcPr>
            <w:tcW w:w="360" w:type="dxa"/>
            <w:vAlign w:val="bottom"/>
            <w:tcBorders>
              <w:right w:val="single" w:sz="8" w:color="auto"/>
            </w:tcBorders>
            <w:gridSpan w:val="1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07">
              <w:r>
                <w:rPr>
                  <w:rFonts w:ascii="Arial" w:cs="Arial" w:eastAsia="Arial" w:hAnsi="Arial"/>
                  <w:sz w:val="16"/>
                  <w:szCs w:val="16"/>
                  <w:color w:val="0000FF"/>
                </w:rPr>
                <w:t>Company’s Annual Report on Form 10-K for the year ended December 31, 2018 dated February 21, 2019).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64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bottom w:val="single" w:sz="8" w:color="0000FF"/>
            </w:tcBorders>
            <w:gridSpan w:val="19"/>
          </w:tcPr>
          <w:p>
            <w:pPr>
              <w:spacing w:after="0" w:line="183" w:lineRule="exact"/>
              <w:rPr>
                <w:rFonts w:ascii="Arial" w:cs="Arial" w:eastAsia="Arial" w:hAnsi="Arial"/>
                <w:sz w:val="16"/>
                <w:szCs w:val="16"/>
                <w:color w:val="0000FF"/>
              </w:rPr>
            </w:pPr>
            <w:hyperlink r:id="rId208">
              <w:r>
                <w:rPr>
                  <w:rFonts w:ascii="Arial" w:cs="Arial" w:eastAsia="Arial" w:hAnsi="Arial"/>
                  <w:sz w:val="16"/>
                  <w:szCs w:val="16"/>
                  <w:color w:val="0000FF"/>
                </w:rPr>
                <w:t>Third Amended and Restated Series 2010-6 Supplement, dated as of August 16, 2018, by and among Avis Budget Rental Car Funding</w:t>
              </w:r>
            </w:hyperlink>
          </w:p>
        </w:tc>
        <w:tc>
          <w:tcPr>
            <w:tcW w:w="440" w:type="dxa"/>
            <w:vAlign w:val="bottom"/>
            <w:tcBorders>
              <w:right w:val="single" w:sz="8" w:color="auto"/>
            </w:tcBorders>
            <w:gridSpan w:val="14"/>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208">
              <w:r>
                <w:rPr>
                  <w:rFonts w:ascii="Arial" w:cs="Arial" w:eastAsia="Arial" w:hAnsi="Arial"/>
                  <w:sz w:val="16"/>
                  <w:szCs w:val="16"/>
                  <w:color w:val="0000FF"/>
                </w:rPr>
                <w:t>(AESOP) LLC, as Issuer, Avis Budget Car Rental, LLC, as Administrator, JPMorgan Chase Bank, N.A., as Administrative Agent, the Non-</w:t>
              </w:r>
            </w:hyperlink>
          </w:p>
        </w:tc>
        <w:tc>
          <w:tcPr>
            <w:tcW w:w="300" w:type="dxa"/>
            <w:vAlign w:val="bottom"/>
            <w:tcBorders>
              <w:right w:val="single" w:sz="8" w:color="auto"/>
            </w:tcBorders>
            <w:gridSpan w:val="9"/>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bottom w:val="single" w:sz="8" w:color="0000FF"/>
            </w:tcBorders>
            <w:gridSpan w:val="29"/>
          </w:tcPr>
          <w:p>
            <w:pPr>
              <w:spacing w:after="0" w:line="169" w:lineRule="exact"/>
              <w:rPr>
                <w:rFonts w:ascii="Arial" w:cs="Arial" w:eastAsia="Arial" w:hAnsi="Arial"/>
                <w:sz w:val="16"/>
                <w:szCs w:val="16"/>
                <w:color w:val="0000FF"/>
              </w:rPr>
            </w:pPr>
            <w:hyperlink r:id="rId208">
              <w:r>
                <w:rPr>
                  <w:rFonts w:ascii="Arial" w:cs="Arial" w:eastAsia="Arial" w:hAnsi="Arial"/>
                  <w:sz w:val="16"/>
                  <w:szCs w:val="16"/>
                  <w:color w:val="0000FF"/>
                </w:rPr>
                <w:t>Conduit Purchasers, the CP Conduit Purchasers, the Committed Note Purchasers, the Funding Agents and APA Banks named therein and</w:t>
              </w:r>
            </w:hyperlink>
          </w:p>
        </w:tc>
        <w:tc>
          <w:tcPr>
            <w:tcW w:w="200" w:type="dxa"/>
            <w:vAlign w:val="bottom"/>
            <w:tcBorders>
              <w:right w:val="single" w:sz="8" w:color="auto"/>
            </w:tcBorders>
            <w:gridSpan w:val="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0000FF"/>
            </w:tcBorders>
            <w:gridSpan w:val="27"/>
          </w:tcPr>
          <w:p>
            <w:pPr>
              <w:spacing w:after="0" w:line="169" w:lineRule="exact"/>
              <w:rPr>
                <w:rFonts w:ascii="Arial" w:cs="Arial" w:eastAsia="Arial" w:hAnsi="Arial"/>
                <w:sz w:val="16"/>
                <w:szCs w:val="16"/>
                <w:color w:val="0000FF"/>
              </w:rPr>
            </w:pPr>
            <w:hyperlink r:id="rId208">
              <w:r>
                <w:rPr>
                  <w:rFonts w:ascii="Arial" w:cs="Arial" w:eastAsia="Arial" w:hAnsi="Arial"/>
                  <w:sz w:val="16"/>
                  <w:szCs w:val="16"/>
                  <w:color w:val="0000FF"/>
                </w:rPr>
                <w:t>The Bank of New York Mellon Trust Company, N.A., as Trustee and as Series 2010-6 Agent (Incorporated by reference to Exhibit 10.42 to</w:t>
              </w:r>
            </w:hyperlink>
          </w:p>
        </w:tc>
        <w:tc>
          <w:tcPr>
            <w:tcW w:w="240" w:type="dxa"/>
            <w:vAlign w:val="bottom"/>
            <w:tcBorders>
              <w:right w:val="single" w:sz="8" w:color="auto"/>
            </w:tcBorders>
            <w:gridSpan w:val="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08">
              <w:r>
                <w:rPr>
                  <w:rFonts w:ascii="Arial" w:cs="Arial" w:eastAsia="Arial" w:hAnsi="Arial"/>
                  <w:sz w:val="16"/>
                  <w:szCs w:val="16"/>
                  <w:color w:val="0000FF"/>
                </w:rPr>
                <w:t>the Company’s Annual Report on Form 10-K for the year ended December 31, 2018 dated February 21, 2019).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6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20" w:type="dxa"/>
            <w:vAlign w:val="bottom"/>
            <w:tcBorders>
              <w:top w:val="single" w:sz="8" w:color="0000FF"/>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bottom w:val="single" w:sz="8" w:color="0000FF"/>
            </w:tcBorders>
            <w:gridSpan w:val="28"/>
          </w:tcPr>
          <w:p>
            <w:pPr>
              <w:spacing w:after="0" w:line="183" w:lineRule="exact"/>
              <w:rPr>
                <w:rFonts w:ascii="Arial" w:cs="Arial" w:eastAsia="Arial" w:hAnsi="Arial"/>
                <w:sz w:val="16"/>
                <w:szCs w:val="16"/>
                <w:color w:val="0000FF"/>
              </w:rPr>
            </w:pPr>
            <w:hyperlink r:id="rId209">
              <w:r>
                <w:rPr>
                  <w:rFonts w:ascii="Arial" w:cs="Arial" w:eastAsia="Arial" w:hAnsi="Arial"/>
                  <w:sz w:val="16"/>
                  <w:szCs w:val="16"/>
                  <w:color w:val="0000FF"/>
                </w:rPr>
                <w:t>Series 2014-2 Supplement, dated as of July 24, 2014, between Avis Budget Rental Car Funding (AESOP) LLC and The Bank of New York</w:t>
              </w:r>
            </w:hyperlink>
          </w:p>
        </w:tc>
        <w:tc>
          <w:tcPr>
            <w:tcW w:w="220" w:type="dxa"/>
            <w:vAlign w:val="bottom"/>
            <w:tcBorders>
              <w:right w:val="single" w:sz="8" w:color="auto"/>
            </w:tcBorders>
            <w:gridSpan w:val="5"/>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209">
              <w:r>
                <w:rPr>
                  <w:rFonts w:ascii="Arial" w:cs="Arial" w:eastAsia="Arial" w:hAnsi="Arial"/>
                  <w:sz w:val="16"/>
                  <w:szCs w:val="16"/>
                  <w:color w:val="0000FF"/>
                </w:rPr>
                <w:t>Mellon Trust Company, N.A., as trustee and as Series 2014-2 Agent (Incorporated by reference to Exhibit 10.1 to the Company’s Current</w:t>
              </w:r>
            </w:hyperlink>
          </w:p>
        </w:tc>
        <w:tc>
          <w:tcPr>
            <w:tcW w:w="340" w:type="dxa"/>
            <w:vAlign w:val="bottom"/>
            <w:tcBorders>
              <w:right w:val="single" w:sz="8" w:color="auto"/>
            </w:tcBorders>
            <w:gridSpan w:val="11"/>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09">
              <w:r>
                <w:rPr>
                  <w:rFonts w:ascii="Arial" w:cs="Arial" w:eastAsia="Arial" w:hAnsi="Arial"/>
                  <w:sz w:val="16"/>
                  <w:szCs w:val="16"/>
                  <w:color w:val="0000FF"/>
                </w:rPr>
                <w:t>Report on Form 8-K dated July 24,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bottom w:val="single" w:sz="8" w:color="0000FF"/>
            </w:tcBorders>
            <w:gridSpan w:val="25"/>
          </w:tcPr>
          <w:p>
            <w:pPr>
              <w:spacing w:after="0" w:line="183" w:lineRule="exact"/>
              <w:rPr>
                <w:rFonts w:ascii="Arial" w:cs="Arial" w:eastAsia="Arial" w:hAnsi="Arial"/>
                <w:sz w:val="16"/>
                <w:szCs w:val="16"/>
                <w:color w:val="0000FF"/>
              </w:rPr>
            </w:pPr>
            <w:hyperlink r:id="rId210">
              <w:r>
                <w:rPr>
                  <w:rFonts w:ascii="Arial" w:cs="Arial" w:eastAsia="Arial" w:hAnsi="Arial"/>
                  <w:sz w:val="16"/>
                  <w:szCs w:val="16"/>
                  <w:color w:val="0000FF"/>
                </w:rPr>
                <w:t>Series 2015-1 Supplement, dated as of January 29, 2015, between Avis Budget Rental Car Funding (AESOP) LLC and The Bank of New</w:t>
              </w:r>
            </w:hyperlink>
          </w:p>
        </w:tc>
        <w:tc>
          <w:tcPr>
            <w:tcW w:w="280" w:type="dxa"/>
            <w:vAlign w:val="bottom"/>
            <w:tcBorders>
              <w:right w:val="single" w:sz="8" w:color="auto"/>
            </w:tcBorders>
            <w:gridSpan w:val="8"/>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210">
              <w:r>
                <w:rPr>
                  <w:rFonts w:ascii="Arial" w:cs="Arial" w:eastAsia="Arial" w:hAnsi="Arial"/>
                  <w:sz w:val="16"/>
                  <w:szCs w:val="16"/>
                  <w:color w:val="0000FF"/>
                </w:rPr>
                <w:t>York Mellon Trust Company, N.A., as trustee and as Series 2015-1 Agent (Incorporated by reference to Exhibit 10.1 to the Company’s</w:t>
              </w:r>
            </w:hyperlink>
          </w:p>
        </w:tc>
        <w:tc>
          <w:tcPr>
            <w:tcW w:w="560" w:type="dxa"/>
            <w:vAlign w:val="bottom"/>
            <w:tcBorders>
              <w:right w:val="single" w:sz="8" w:color="auto"/>
            </w:tcBorders>
            <w:gridSpan w:val="17"/>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10">
              <w:r>
                <w:rPr>
                  <w:rFonts w:ascii="Arial" w:cs="Arial" w:eastAsia="Arial" w:hAnsi="Arial"/>
                  <w:sz w:val="16"/>
                  <w:szCs w:val="16"/>
                  <w:color w:val="0000FF"/>
                </w:rPr>
                <w:t>Current Report on Form 8-K dated January 30, 2015).</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bottom w:val="single" w:sz="8" w:color="0000FF"/>
            </w:tcBorders>
            <w:gridSpan w:val="26"/>
          </w:tcPr>
          <w:p>
            <w:pPr>
              <w:spacing w:after="0" w:line="183" w:lineRule="exact"/>
              <w:rPr>
                <w:rFonts w:ascii="Arial" w:cs="Arial" w:eastAsia="Arial" w:hAnsi="Arial"/>
                <w:sz w:val="16"/>
                <w:szCs w:val="16"/>
                <w:color w:val="0000FF"/>
              </w:rPr>
            </w:pPr>
            <w:hyperlink r:id="rId211">
              <w:r>
                <w:rPr>
                  <w:rFonts w:ascii="Arial" w:cs="Arial" w:eastAsia="Arial" w:hAnsi="Arial"/>
                  <w:sz w:val="16"/>
                  <w:szCs w:val="16"/>
                  <w:color w:val="0000FF"/>
                </w:rPr>
                <w:t>Series 2015-2 Supplement, dated as of May 27, 2015, between Avis Budget Rental Car Funding (AESOP) LLC and the Bank of New York</w:t>
              </w:r>
            </w:hyperlink>
          </w:p>
        </w:tc>
        <w:tc>
          <w:tcPr>
            <w:tcW w:w="260" w:type="dxa"/>
            <w:vAlign w:val="bottom"/>
            <w:tcBorders>
              <w:right w:val="single" w:sz="8" w:color="auto"/>
            </w:tcBorders>
            <w:gridSpan w:val="7"/>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211">
              <w:r>
                <w:rPr>
                  <w:rFonts w:ascii="Arial" w:cs="Arial" w:eastAsia="Arial" w:hAnsi="Arial"/>
                  <w:sz w:val="16"/>
                  <w:szCs w:val="16"/>
                  <w:color w:val="0000FF"/>
                </w:rPr>
                <w:t>Mellon Trust Company, N.A., as trustee and as Series 2015-2 Agent (Incorporated by reference to Exhibit 10.1 to the Company’s Current</w:t>
              </w:r>
            </w:hyperlink>
          </w:p>
        </w:tc>
        <w:tc>
          <w:tcPr>
            <w:tcW w:w="340" w:type="dxa"/>
            <w:vAlign w:val="bottom"/>
            <w:tcBorders>
              <w:right w:val="single" w:sz="8" w:color="auto"/>
            </w:tcBorders>
            <w:gridSpan w:val="11"/>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11">
              <w:r>
                <w:rPr>
                  <w:rFonts w:ascii="Arial" w:cs="Arial" w:eastAsia="Arial" w:hAnsi="Arial"/>
                  <w:sz w:val="16"/>
                  <w:szCs w:val="16"/>
                  <w:color w:val="0000FF"/>
                </w:rPr>
                <w:t>Report on Form 8-K dated May 29, 2015).</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10.39</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212">
              <w:r>
                <w:rPr>
                  <w:rFonts w:ascii="Arial" w:cs="Arial" w:eastAsia="Arial" w:hAnsi="Arial"/>
                  <w:sz w:val="16"/>
                  <w:szCs w:val="16"/>
                  <w:color w:val="0000FF"/>
                </w:rPr>
                <w:t>Series 2016-1 Supplement, dated as of March 30, 2016, between Avis Budget Rental Car Funding (AESOP) LLC and the Bank of New York</w:t>
              </w:r>
            </w:hyperlink>
          </w:p>
        </w:tc>
        <w:tc>
          <w:tcPr>
            <w:tcW w:w="120" w:type="dxa"/>
            <w:vAlign w:val="bottom"/>
            <w:tcBorders>
              <w:right w:val="single" w:sz="8" w:color="auto"/>
            </w:tcBorders>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212">
              <w:r>
                <w:rPr>
                  <w:rFonts w:ascii="Arial" w:cs="Arial" w:eastAsia="Arial" w:hAnsi="Arial"/>
                  <w:sz w:val="16"/>
                  <w:szCs w:val="16"/>
                  <w:color w:val="0000FF"/>
                </w:rPr>
                <w:t>Mellon Trust Company, N.A., as trustee and as Series 2016-1 Agent (Incorporated by reference to Exhibit 10.1 to the Company’s Current</w:t>
              </w:r>
            </w:hyperlink>
          </w:p>
        </w:tc>
        <w:tc>
          <w:tcPr>
            <w:tcW w:w="340" w:type="dxa"/>
            <w:vAlign w:val="bottom"/>
            <w:tcBorders>
              <w:right w:val="single" w:sz="8" w:color="auto"/>
            </w:tcBorders>
            <w:gridSpan w:val="11"/>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12">
              <w:r>
                <w:rPr>
                  <w:rFonts w:ascii="Arial" w:cs="Arial" w:eastAsia="Arial" w:hAnsi="Arial"/>
                  <w:sz w:val="16"/>
                  <w:szCs w:val="16"/>
                  <w:color w:val="0000FF"/>
                </w:rPr>
                <w:t>Report on Form 8-K dated April 5, 2016).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3"/>
          </w:tcPr>
          <w:p>
            <w:pPr>
              <w:spacing w:after="0" w:line="183" w:lineRule="exact"/>
              <w:rPr>
                <w:rFonts w:ascii="Arial" w:cs="Arial" w:eastAsia="Arial" w:hAnsi="Arial"/>
                <w:sz w:val="16"/>
                <w:szCs w:val="16"/>
                <w:color w:val="0000FF"/>
              </w:rPr>
            </w:pPr>
            <w:hyperlink r:id="rId213">
              <w:r>
                <w:rPr>
                  <w:rFonts w:ascii="Arial" w:cs="Arial" w:eastAsia="Arial" w:hAnsi="Arial"/>
                  <w:sz w:val="16"/>
                  <w:szCs w:val="16"/>
                  <w:color w:val="0000FF"/>
                </w:rPr>
                <w:t>Series 2016-2 Supplement, dated as of June 1, 2016, between Avis Budget Rental Car Funding (AESOP) LLC and the Bank of New York</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bottom w:val="single" w:sz="8" w:color="0000FF"/>
            </w:tcBorders>
            <w:gridSpan w:val="22"/>
          </w:tcPr>
          <w:p>
            <w:pPr>
              <w:spacing w:after="0" w:line="169" w:lineRule="exact"/>
              <w:rPr>
                <w:rFonts w:ascii="Arial" w:cs="Arial" w:eastAsia="Arial" w:hAnsi="Arial"/>
                <w:sz w:val="16"/>
                <w:szCs w:val="16"/>
                <w:color w:val="0000FF"/>
              </w:rPr>
            </w:pPr>
            <w:hyperlink r:id="rId213">
              <w:r>
                <w:rPr>
                  <w:rFonts w:ascii="Arial" w:cs="Arial" w:eastAsia="Arial" w:hAnsi="Arial"/>
                  <w:sz w:val="16"/>
                  <w:szCs w:val="16"/>
                  <w:color w:val="0000FF"/>
                </w:rPr>
                <w:t>Mellon Trust Company, N.A., as trustee and as Series 2016-2 Agent (Incorporated by reference to Exhibit 10.1 to the Company’s Current</w:t>
              </w:r>
            </w:hyperlink>
          </w:p>
        </w:tc>
        <w:tc>
          <w:tcPr>
            <w:tcW w:w="20" w:type="dxa"/>
            <w:vAlign w:val="bottom"/>
            <w:tcBorders>
              <w:top w:val="single" w:sz="8" w:color="0000FF"/>
            </w:tcBorders>
          </w:tcPr>
          <w:p>
            <w:pPr>
              <w:spacing w:after="0"/>
              <w:rPr>
                <w:sz w:val="14"/>
                <w:szCs w:val="14"/>
                <w:color w:val="auto"/>
              </w:rPr>
            </w:pPr>
          </w:p>
        </w:tc>
        <w:tc>
          <w:tcPr>
            <w:tcW w:w="320" w:type="dxa"/>
            <w:vAlign w:val="bottom"/>
            <w:tcBorders>
              <w:right w:val="single" w:sz="8" w:color="auto"/>
            </w:tcBorders>
            <w:gridSpan w:val="10"/>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13">
              <w:r>
                <w:rPr>
                  <w:rFonts w:ascii="Arial" w:cs="Arial" w:eastAsia="Arial" w:hAnsi="Arial"/>
                  <w:sz w:val="16"/>
                  <w:szCs w:val="16"/>
                  <w:color w:val="0000FF"/>
                </w:rPr>
                <w:t>Report on Form 8-K dated June 7, 2016).</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bottom w:val="single" w:sz="8" w:color="0000FF"/>
            </w:tcBorders>
            <w:gridSpan w:val="32"/>
          </w:tcPr>
          <w:p>
            <w:pPr>
              <w:spacing w:after="0" w:line="183" w:lineRule="exact"/>
              <w:rPr>
                <w:rFonts w:ascii="Arial" w:cs="Arial" w:eastAsia="Arial" w:hAnsi="Arial"/>
                <w:sz w:val="16"/>
                <w:szCs w:val="16"/>
                <w:color w:val="0000FF"/>
              </w:rPr>
            </w:pPr>
            <w:hyperlink r:id="rId214">
              <w:r>
                <w:rPr>
                  <w:rFonts w:ascii="Arial" w:cs="Arial" w:eastAsia="Arial" w:hAnsi="Arial"/>
                  <w:sz w:val="16"/>
                  <w:szCs w:val="16"/>
                  <w:color w:val="0000FF"/>
                </w:rPr>
                <w:t>Series 2017-1 Supplement, dated as of March 15, 2017, between Avis Budget Rental Car Funding (AESOP) LLC and the Bank of New York</w:t>
              </w:r>
            </w:hyperlink>
          </w:p>
        </w:tc>
        <w:tc>
          <w:tcPr>
            <w:tcW w:w="120" w:type="dxa"/>
            <w:vAlign w:val="bottom"/>
            <w:tcBorders>
              <w:right w:val="single" w:sz="8" w:color="auto"/>
            </w:tcBorders>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214">
              <w:r>
                <w:rPr>
                  <w:rFonts w:ascii="Arial" w:cs="Arial" w:eastAsia="Arial" w:hAnsi="Arial"/>
                  <w:sz w:val="16"/>
                  <w:szCs w:val="16"/>
                  <w:color w:val="0000FF"/>
                </w:rPr>
                <w:t>Mellon Trust Company, N.A., as trustee and as Series 2017-1 Agent (Incorporated by reference to Exhibit 10.1 to the Company’s Current</w:t>
              </w:r>
            </w:hyperlink>
          </w:p>
        </w:tc>
        <w:tc>
          <w:tcPr>
            <w:tcW w:w="340" w:type="dxa"/>
            <w:vAlign w:val="bottom"/>
            <w:tcBorders>
              <w:right w:val="single" w:sz="8" w:color="auto"/>
            </w:tcBorders>
            <w:gridSpan w:val="11"/>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14">
              <w:r>
                <w:rPr>
                  <w:rFonts w:ascii="Arial" w:cs="Arial" w:eastAsia="Arial" w:hAnsi="Arial"/>
                  <w:sz w:val="16"/>
                  <w:szCs w:val="16"/>
                  <w:color w:val="0000FF"/>
                </w:rPr>
                <w:t>Report on Form 8-K dated March 21,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bottom w:val="single" w:sz="8" w:color="0000FF"/>
            </w:tcBorders>
            <w:gridSpan w:val="30"/>
          </w:tcPr>
          <w:p>
            <w:pPr>
              <w:spacing w:after="0" w:line="183" w:lineRule="exact"/>
              <w:rPr>
                <w:rFonts w:ascii="Arial" w:cs="Arial" w:eastAsia="Arial" w:hAnsi="Arial"/>
                <w:sz w:val="16"/>
                <w:szCs w:val="16"/>
                <w:color w:val="0000FF"/>
              </w:rPr>
            </w:pPr>
            <w:hyperlink r:id="rId215">
              <w:r>
                <w:rPr>
                  <w:rFonts w:ascii="Arial" w:cs="Arial" w:eastAsia="Arial" w:hAnsi="Arial"/>
                  <w:sz w:val="16"/>
                  <w:szCs w:val="16"/>
                  <w:color w:val="0000FF"/>
                </w:rPr>
                <w:t>Series 2017-2 Supplement, dated as of December 13, 2017, between Avis Budget Rental Car Funding (AESOP) LLC and the Bank of New</w:t>
              </w:r>
            </w:hyperlink>
          </w:p>
        </w:tc>
        <w:tc>
          <w:tcPr>
            <w:tcW w:w="180" w:type="dxa"/>
            <w:vAlign w:val="bottom"/>
            <w:tcBorders>
              <w:right w:val="single" w:sz="8" w:color="auto"/>
            </w:tcBorders>
            <w:gridSpan w:val="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215">
              <w:r>
                <w:rPr>
                  <w:rFonts w:ascii="Arial" w:cs="Arial" w:eastAsia="Arial" w:hAnsi="Arial"/>
                  <w:sz w:val="16"/>
                  <w:szCs w:val="16"/>
                  <w:color w:val="0000FF"/>
                </w:rPr>
                <w:t>York Mellon Trust Company, N.A., as trustee and as Series 2017-2 Agent (Incorporated by reference to Exhibit 10.1 to the Company’s</w:t>
              </w:r>
            </w:hyperlink>
          </w:p>
        </w:tc>
        <w:tc>
          <w:tcPr>
            <w:tcW w:w="560" w:type="dxa"/>
            <w:vAlign w:val="bottom"/>
            <w:tcBorders>
              <w:right w:val="single" w:sz="8" w:color="auto"/>
            </w:tcBorders>
            <w:gridSpan w:val="17"/>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15">
              <w:r>
                <w:rPr>
                  <w:rFonts w:ascii="Arial" w:cs="Arial" w:eastAsia="Arial" w:hAnsi="Arial"/>
                  <w:sz w:val="16"/>
                  <w:szCs w:val="16"/>
                  <w:color w:val="0000FF"/>
                </w:rPr>
                <w:t>Current Report on Form 8-K dated December 19,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3"/>
          </w:tcPr>
          <w:p>
            <w:pPr>
              <w:spacing w:after="0" w:line="183" w:lineRule="exact"/>
              <w:rPr>
                <w:rFonts w:ascii="Arial" w:cs="Arial" w:eastAsia="Arial" w:hAnsi="Arial"/>
                <w:sz w:val="16"/>
                <w:szCs w:val="16"/>
                <w:color w:val="0000FF"/>
              </w:rPr>
            </w:pPr>
            <w:hyperlink r:id="rId216">
              <w:r>
                <w:rPr>
                  <w:rFonts w:ascii="Arial" w:cs="Arial" w:eastAsia="Arial" w:hAnsi="Arial"/>
                  <w:sz w:val="16"/>
                  <w:szCs w:val="16"/>
                  <w:color w:val="0000FF"/>
                </w:rPr>
                <w:t>Series 2018-1 Supplement, dated as of April 30, 2018, between Avis Budget Rental Car Funding (AESOP) LLC and The Bank of New York</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bottom w:val="single" w:sz="8" w:color="0000FF"/>
            </w:tcBorders>
            <w:gridSpan w:val="22"/>
          </w:tcPr>
          <w:p>
            <w:pPr>
              <w:spacing w:after="0" w:line="169" w:lineRule="exact"/>
              <w:rPr>
                <w:rFonts w:ascii="Arial" w:cs="Arial" w:eastAsia="Arial" w:hAnsi="Arial"/>
                <w:sz w:val="16"/>
                <w:szCs w:val="16"/>
                <w:color w:val="0000FF"/>
              </w:rPr>
            </w:pPr>
            <w:hyperlink r:id="rId216">
              <w:r>
                <w:rPr>
                  <w:rFonts w:ascii="Arial" w:cs="Arial" w:eastAsia="Arial" w:hAnsi="Arial"/>
                  <w:sz w:val="16"/>
                  <w:szCs w:val="16"/>
                  <w:color w:val="0000FF"/>
                </w:rPr>
                <w:t>Mellon Trust Company, N.A., as trustee and as Series 2018-1 Agent (Incorporated by reference to Exhibit 10.1 to the Company’s Current</w:t>
              </w:r>
            </w:hyperlink>
          </w:p>
        </w:tc>
        <w:tc>
          <w:tcPr>
            <w:tcW w:w="140" w:type="dxa"/>
            <w:vAlign w:val="bottom"/>
            <w:tcBorders>
              <w:top w:val="single" w:sz="8" w:color="0000FF"/>
            </w:tcBorders>
            <w:gridSpan w:val="7"/>
          </w:tcPr>
          <w:p>
            <w:pPr>
              <w:spacing w:after="0"/>
              <w:rPr>
                <w:sz w:val="14"/>
                <w:szCs w:val="14"/>
                <w:color w:val="auto"/>
              </w:rPr>
            </w:pPr>
          </w:p>
        </w:tc>
        <w:tc>
          <w:tcPr>
            <w:tcW w:w="200" w:type="dxa"/>
            <w:vAlign w:val="bottom"/>
            <w:tcBorders>
              <w:right w:val="single" w:sz="8" w:color="auto"/>
            </w:tcBorders>
            <w:gridSpan w:val="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16">
              <w:r>
                <w:rPr>
                  <w:rFonts w:ascii="Arial" w:cs="Arial" w:eastAsia="Arial" w:hAnsi="Arial"/>
                  <w:sz w:val="16"/>
                  <w:szCs w:val="16"/>
                  <w:color w:val="0000FF"/>
                </w:rPr>
                <w:t>Report on Form 8-K dated May 4, 2018).</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bottom w:val="single" w:sz="8" w:color="0000FF"/>
            </w:tcBorders>
            <w:gridSpan w:val="24"/>
          </w:tcPr>
          <w:p>
            <w:pPr>
              <w:spacing w:after="0" w:line="183" w:lineRule="exact"/>
              <w:rPr>
                <w:rFonts w:ascii="Arial" w:cs="Arial" w:eastAsia="Arial" w:hAnsi="Arial"/>
                <w:sz w:val="16"/>
                <w:szCs w:val="16"/>
                <w:color w:val="0000FF"/>
              </w:rPr>
            </w:pPr>
            <w:hyperlink r:id="rId217">
              <w:r>
                <w:rPr>
                  <w:rFonts w:ascii="Arial" w:cs="Arial" w:eastAsia="Arial" w:hAnsi="Arial"/>
                  <w:sz w:val="16"/>
                  <w:szCs w:val="16"/>
                  <w:color w:val="0000FF"/>
                </w:rPr>
                <w:t>Series 2018-2 Supplement, dated as of October 25, 2018, between Avis Budget Rental Car Funding (AESOP) LLC and The Bank of New</w:t>
              </w:r>
            </w:hyperlink>
          </w:p>
        </w:tc>
        <w:tc>
          <w:tcPr>
            <w:tcW w:w="300" w:type="dxa"/>
            <w:vAlign w:val="bottom"/>
            <w:tcBorders>
              <w:right w:val="single" w:sz="8" w:color="auto"/>
            </w:tcBorders>
            <w:gridSpan w:val="9"/>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217">
              <w:r>
                <w:rPr>
                  <w:rFonts w:ascii="Arial" w:cs="Arial" w:eastAsia="Arial" w:hAnsi="Arial"/>
                  <w:sz w:val="16"/>
                  <w:szCs w:val="16"/>
                  <w:color w:val="0000FF"/>
                </w:rPr>
                <w:t>York Mellon Trust Company, N.A., as trustee and as Series 2018-2 Agent (Incorporated by reference to Exhibit 10.1 to the Company’s</w:t>
              </w:r>
            </w:hyperlink>
          </w:p>
        </w:tc>
        <w:tc>
          <w:tcPr>
            <w:tcW w:w="560" w:type="dxa"/>
            <w:vAlign w:val="bottom"/>
            <w:tcBorders>
              <w:right w:val="single" w:sz="8" w:color="auto"/>
            </w:tcBorders>
            <w:gridSpan w:val="17"/>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17">
              <w:r>
                <w:rPr>
                  <w:rFonts w:ascii="Arial" w:cs="Arial" w:eastAsia="Arial" w:hAnsi="Arial"/>
                  <w:sz w:val="16"/>
                  <w:szCs w:val="16"/>
                  <w:color w:val="0000FF"/>
                </w:rPr>
                <w:t>Current Report on Form 8-K dated October 30, 2018).</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3"/>
          </w:tcPr>
          <w:p>
            <w:pPr>
              <w:spacing w:after="0" w:line="183" w:lineRule="exact"/>
              <w:rPr>
                <w:rFonts w:ascii="Arial" w:cs="Arial" w:eastAsia="Arial" w:hAnsi="Arial"/>
                <w:sz w:val="16"/>
                <w:szCs w:val="16"/>
                <w:color w:val="0000FF"/>
              </w:rPr>
            </w:pPr>
            <w:hyperlink r:id="rId218">
              <w:r>
                <w:rPr>
                  <w:rFonts w:ascii="Arial" w:cs="Arial" w:eastAsia="Arial" w:hAnsi="Arial"/>
                  <w:sz w:val="16"/>
                  <w:szCs w:val="16"/>
                  <w:color w:val="0000FF"/>
                </w:rPr>
                <w:t>Series 2019-1 Supplement, dated as of February 13, 2019, between Avis Budget Rental Car Funding (AESOP) LLC and The Bank of New</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bottom w:val="single" w:sz="8" w:color="0000FF"/>
            </w:tcBorders>
            <w:gridSpan w:val="18"/>
          </w:tcPr>
          <w:p>
            <w:pPr>
              <w:spacing w:after="0" w:line="169" w:lineRule="exact"/>
              <w:rPr>
                <w:rFonts w:ascii="Arial" w:cs="Arial" w:eastAsia="Arial" w:hAnsi="Arial"/>
                <w:sz w:val="16"/>
                <w:szCs w:val="16"/>
                <w:color w:val="0000FF"/>
              </w:rPr>
            </w:pPr>
            <w:hyperlink r:id="rId218">
              <w:r>
                <w:rPr>
                  <w:rFonts w:ascii="Arial" w:cs="Arial" w:eastAsia="Arial" w:hAnsi="Arial"/>
                  <w:sz w:val="16"/>
                  <w:szCs w:val="16"/>
                  <w:color w:val="0000FF"/>
                </w:rPr>
                <w:t>York Mellon Trust Company, N.A., as trustee and as Series 2019-1 Agent. (Incorporated by reference to Exhibit 10.1 to the Company’s</w:t>
              </w:r>
            </w:hyperlink>
          </w:p>
        </w:tc>
        <w:tc>
          <w:tcPr>
            <w:tcW w:w="280" w:type="dxa"/>
            <w:vAlign w:val="bottom"/>
            <w:tcBorders>
              <w:top w:val="single" w:sz="8" w:color="0000FF"/>
            </w:tcBorders>
            <w:gridSpan w:val="9"/>
          </w:tcPr>
          <w:p>
            <w:pPr>
              <w:spacing w:after="0"/>
              <w:rPr>
                <w:sz w:val="14"/>
                <w:szCs w:val="14"/>
                <w:color w:val="auto"/>
              </w:rPr>
            </w:pPr>
          </w:p>
        </w:tc>
        <w:tc>
          <w:tcPr>
            <w:tcW w:w="240" w:type="dxa"/>
            <w:vAlign w:val="bottom"/>
            <w:tcBorders>
              <w:right w:val="single" w:sz="8" w:color="auto"/>
            </w:tcBorders>
            <w:gridSpan w:val="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18">
              <w:r>
                <w:rPr>
                  <w:rFonts w:ascii="Arial" w:cs="Arial" w:eastAsia="Arial" w:hAnsi="Arial"/>
                  <w:sz w:val="16"/>
                  <w:szCs w:val="16"/>
                  <w:color w:val="0000FF"/>
                </w:rPr>
                <w:t>Current Report on Form 8-K dated February 20, 2019).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3"/>
          </w:tcPr>
          <w:p>
            <w:pPr>
              <w:spacing w:after="0" w:line="183" w:lineRule="exact"/>
              <w:rPr>
                <w:rFonts w:ascii="Arial" w:cs="Arial" w:eastAsia="Arial" w:hAnsi="Arial"/>
                <w:sz w:val="16"/>
                <w:szCs w:val="16"/>
                <w:color w:val="0000FF"/>
              </w:rPr>
            </w:pPr>
            <w:hyperlink r:id="rId219">
              <w:r>
                <w:rPr>
                  <w:rFonts w:ascii="Arial" w:cs="Arial" w:eastAsia="Arial" w:hAnsi="Arial"/>
                  <w:sz w:val="16"/>
                  <w:szCs w:val="16"/>
                  <w:color w:val="0000FF"/>
                </w:rPr>
                <w:t>Series 2019-2 Supplement, dated as of April 23, 2019, between Avis Budget Rental Car Funding (AESOP) LLC and The Bank of New York</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bottom w:val="single" w:sz="8" w:color="0000FF"/>
            </w:tcBorders>
            <w:gridSpan w:val="22"/>
          </w:tcPr>
          <w:p>
            <w:pPr>
              <w:spacing w:after="0" w:line="169" w:lineRule="exact"/>
              <w:rPr>
                <w:rFonts w:ascii="Arial" w:cs="Arial" w:eastAsia="Arial" w:hAnsi="Arial"/>
                <w:sz w:val="16"/>
                <w:szCs w:val="16"/>
                <w:color w:val="0000FF"/>
              </w:rPr>
            </w:pPr>
            <w:hyperlink r:id="rId219">
              <w:r>
                <w:rPr>
                  <w:rFonts w:ascii="Arial" w:cs="Arial" w:eastAsia="Arial" w:hAnsi="Arial"/>
                  <w:sz w:val="16"/>
                  <w:szCs w:val="16"/>
                  <w:color w:val="0000FF"/>
                </w:rPr>
                <w:t>Mellon Trust Company, N.A., as trustee and as Series 2019-2 Agent (Incorporated by reference to Exhibit 10.1 to the Company’s Current</w:t>
              </w:r>
            </w:hyperlink>
          </w:p>
        </w:tc>
        <w:tc>
          <w:tcPr>
            <w:tcW w:w="140" w:type="dxa"/>
            <w:vAlign w:val="bottom"/>
            <w:tcBorders>
              <w:top w:val="single" w:sz="8" w:color="0000FF"/>
            </w:tcBorders>
            <w:gridSpan w:val="7"/>
          </w:tcPr>
          <w:p>
            <w:pPr>
              <w:spacing w:after="0"/>
              <w:rPr>
                <w:sz w:val="14"/>
                <w:szCs w:val="14"/>
                <w:color w:val="auto"/>
              </w:rPr>
            </w:pPr>
          </w:p>
        </w:tc>
        <w:tc>
          <w:tcPr>
            <w:tcW w:w="200" w:type="dxa"/>
            <w:vAlign w:val="bottom"/>
            <w:tcBorders>
              <w:right w:val="single" w:sz="8" w:color="auto"/>
            </w:tcBorders>
            <w:gridSpan w:val="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19">
              <w:r>
                <w:rPr>
                  <w:rFonts w:ascii="Arial" w:cs="Arial" w:eastAsia="Arial" w:hAnsi="Arial"/>
                  <w:sz w:val="16"/>
                  <w:szCs w:val="16"/>
                  <w:color w:val="0000FF"/>
                </w:rPr>
                <w:t>Report on Form 8-K dated April 29, 2019).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bottom w:val="single" w:sz="8" w:color="0000FF"/>
            </w:tcBorders>
            <w:gridSpan w:val="20"/>
          </w:tcPr>
          <w:p>
            <w:pPr>
              <w:spacing w:after="0" w:line="183" w:lineRule="exact"/>
              <w:rPr>
                <w:rFonts w:ascii="Arial" w:cs="Arial" w:eastAsia="Arial" w:hAnsi="Arial"/>
                <w:sz w:val="16"/>
                <w:szCs w:val="16"/>
                <w:color w:val="0000FF"/>
              </w:rPr>
            </w:pPr>
            <w:hyperlink r:id="rId220">
              <w:r>
                <w:rPr>
                  <w:rFonts w:ascii="Arial" w:cs="Arial" w:eastAsia="Arial" w:hAnsi="Arial"/>
                  <w:sz w:val="16"/>
                  <w:szCs w:val="16"/>
                  <w:color w:val="0000FF"/>
                </w:rPr>
                <w:t>Series 2019-3 Supplement, dated as of August 27, 2019, between Avis Budget Rental Car Funding (AESOP) LLC and The Bank of New</w:t>
              </w:r>
            </w:hyperlink>
          </w:p>
        </w:tc>
        <w:tc>
          <w:tcPr>
            <w:tcW w:w="380" w:type="dxa"/>
            <w:vAlign w:val="bottom"/>
            <w:tcBorders>
              <w:right w:val="single" w:sz="8" w:color="auto"/>
            </w:tcBorders>
            <w:gridSpan w:val="1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bottom w:val="single" w:sz="8" w:color="0000FF"/>
            </w:tcBorders>
            <w:gridSpan w:val="18"/>
          </w:tcPr>
          <w:p>
            <w:pPr>
              <w:spacing w:after="0" w:line="169" w:lineRule="exact"/>
              <w:rPr>
                <w:rFonts w:ascii="Arial" w:cs="Arial" w:eastAsia="Arial" w:hAnsi="Arial"/>
                <w:sz w:val="16"/>
                <w:szCs w:val="16"/>
                <w:color w:val="0000FF"/>
              </w:rPr>
            </w:pPr>
            <w:hyperlink r:id="rId220">
              <w:r>
                <w:rPr>
                  <w:rFonts w:ascii="Arial" w:cs="Arial" w:eastAsia="Arial" w:hAnsi="Arial"/>
                  <w:sz w:val="16"/>
                  <w:szCs w:val="16"/>
                  <w:color w:val="0000FF"/>
                </w:rPr>
                <w:t>York Mellon Trust Company, N.A., as trustee and as Series 2019-3 Agent. (Incorporated by reference to Exhibit 10.1 to the Company’s</w:t>
              </w:r>
            </w:hyperlink>
          </w:p>
        </w:tc>
        <w:tc>
          <w:tcPr>
            <w:tcW w:w="520" w:type="dxa"/>
            <w:vAlign w:val="bottom"/>
            <w:tcBorders>
              <w:right w:val="single" w:sz="8" w:color="auto"/>
            </w:tcBorders>
            <w:gridSpan w:val="15"/>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20">
              <w:r>
                <w:rPr>
                  <w:rFonts w:ascii="Arial" w:cs="Arial" w:eastAsia="Arial" w:hAnsi="Arial"/>
                  <w:sz w:val="16"/>
                  <w:szCs w:val="16"/>
                  <w:color w:val="0000FF"/>
                </w:rPr>
                <w:t>Current Report on Form 8-K dated August 29, 2019).</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10.48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bottom w:val="single" w:sz="8" w:color="0000FF"/>
            </w:tcBorders>
            <w:gridSpan w:val="25"/>
          </w:tcPr>
          <w:p>
            <w:pPr>
              <w:spacing w:after="0" w:line="183" w:lineRule="exact"/>
              <w:rPr>
                <w:rFonts w:ascii="Arial" w:cs="Arial" w:eastAsia="Arial" w:hAnsi="Arial"/>
                <w:sz w:val="16"/>
                <w:szCs w:val="16"/>
                <w:color w:val="0000FF"/>
              </w:rPr>
            </w:pPr>
            <w:hyperlink r:id="rId221">
              <w:r>
                <w:rPr>
                  <w:rFonts w:ascii="Arial" w:cs="Arial" w:eastAsia="Arial" w:hAnsi="Arial"/>
                  <w:sz w:val="16"/>
                  <w:szCs w:val="16"/>
                  <w:color w:val="0000FF"/>
                </w:rPr>
                <w:t>Series 2020-1 Supplement, dated as of January 29, 2020, between Avis Budget Rental Car Funding (AESOP) LLC and The Bank of New</w:t>
              </w:r>
            </w:hyperlink>
          </w:p>
        </w:tc>
        <w:tc>
          <w:tcPr>
            <w:tcW w:w="280" w:type="dxa"/>
            <w:vAlign w:val="bottom"/>
            <w:tcBorders>
              <w:right w:val="single" w:sz="8" w:color="auto"/>
            </w:tcBorders>
            <w:gridSpan w:val="8"/>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bottom w:val="single" w:sz="8" w:color="0000FF"/>
            </w:tcBorders>
            <w:gridSpan w:val="18"/>
          </w:tcPr>
          <w:p>
            <w:pPr>
              <w:spacing w:after="0" w:line="169" w:lineRule="exact"/>
              <w:rPr>
                <w:rFonts w:ascii="Arial" w:cs="Arial" w:eastAsia="Arial" w:hAnsi="Arial"/>
                <w:sz w:val="16"/>
                <w:szCs w:val="16"/>
                <w:color w:val="0000FF"/>
              </w:rPr>
            </w:pPr>
            <w:hyperlink r:id="rId221">
              <w:r>
                <w:rPr>
                  <w:rFonts w:ascii="Arial" w:cs="Arial" w:eastAsia="Arial" w:hAnsi="Arial"/>
                  <w:sz w:val="16"/>
                  <w:szCs w:val="16"/>
                  <w:color w:val="0000FF"/>
                </w:rPr>
                <w:t>York Mellon Trust Company, N.A., as trustee and as Series 2020-1 Agent. (Incorporated by reference to Exhibit 10.1 to the Company’s</w:t>
              </w:r>
            </w:hyperlink>
          </w:p>
        </w:tc>
        <w:tc>
          <w:tcPr>
            <w:tcW w:w="520" w:type="dxa"/>
            <w:vAlign w:val="bottom"/>
            <w:tcBorders>
              <w:right w:val="single" w:sz="8" w:color="auto"/>
            </w:tcBorders>
            <w:gridSpan w:val="15"/>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221">
              <w:r>
                <w:rPr>
                  <w:rFonts w:ascii="Arial" w:cs="Arial" w:eastAsia="Arial" w:hAnsi="Arial"/>
                  <w:sz w:val="16"/>
                  <w:szCs w:val="16"/>
                  <w:color w:val="0000FF"/>
                </w:rPr>
                <w:t>Current Report on Form 8-K dated January 20, 2020).</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64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42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gridSpan w:val="22"/>
          </w:tcPr>
          <w:p>
            <w:pPr>
              <w:ind w:left="220"/>
              <w:spacing w:after="0"/>
              <w:rPr>
                <w:sz w:val="20"/>
                <w:szCs w:val="20"/>
                <w:color w:val="auto"/>
              </w:rPr>
            </w:pPr>
            <w:r>
              <w:rPr>
                <w:rFonts w:ascii="Arial" w:cs="Arial" w:eastAsia="Arial" w:hAnsi="Arial"/>
                <w:sz w:val="18"/>
                <w:szCs w:val="18"/>
                <w:color w:val="auto"/>
              </w:rPr>
              <w:t>H-5</w:t>
            </w:r>
          </w:p>
        </w:tc>
      </w:tr>
    </w:tbl>
    <w:p>
      <w:pPr>
        <w:sectPr>
          <w:pgSz w:w="11900" w:h="16838" w:orient="portrait"/>
          <w:cols w:equalWidth="0" w:num="1">
            <w:col w:w="11440"/>
          </w:cols>
          <w:pgMar w:left="240" w:top="140" w:right="21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10.49</w:t>
            </w:r>
          </w:p>
        </w:tc>
        <w:tc>
          <w:tcPr>
            <w:tcW w:w="12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00" w:type="dxa"/>
            <w:vAlign w:val="bottom"/>
            <w:tcBorders>
              <w:top w:val="single" w:sz="8" w:color="auto"/>
              <w:bottom w:val="single" w:sz="8" w:color="0000FF"/>
            </w:tcBorders>
            <w:gridSpan w:val="30"/>
          </w:tcPr>
          <w:p>
            <w:pPr>
              <w:spacing w:after="0"/>
              <w:rPr>
                <w:rFonts w:ascii="Arial" w:cs="Arial" w:eastAsia="Arial" w:hAnsi="Arial"/>
                <w:sz w:val="16"/>
                <w:szCs w:val="16"/>
                <w:color w:val="0000FF"/>
              </w:rPr>
            </w:pPr>
            <w:hyperlink r:id="rId222">
              <w:r>
                <w:rPr>
                  <w:rFonts w:ascii="Arial" w:cs="Arial" w:eastAsia="Arial" w:hAnsi="Arial"/>
                  <w:sz w:val="16"/>
                  <w:szCs w:val="16"/>
                  <w:color w:val="0000FF"/>
                </w:rPr>
                <w:t>Fifth Amended and Restated Credit Agreement dated as of February 13, 2018, among Avis Budget Holdings, LLC, Avis Budget Car Rental,</w:t>
              </w:r>
            </w:hyperlink>
          </w:p>
        </w:tc>
        <w:tc>
          <w:tcPr>
            <w:tcW w:w="140" w:type="dxa"/>
            <w:vAlign w:val="bottom"/>
            <w:tcBorders>
              <w:top w:val="single" w:sz="8" w:color="auto"/>
              <w:right w:val="single" w:sz="8" w:color="auto"/>
            </w:tcBorders>
            <w:gridSpan w:val="4"/>
          </w:tcPr>
          <w:p>
            <w:pPr>
              <w:spacing w:after="0"/>
              <w:rPr>
                <w:sz w:val="17"/>
                <w:szCs w:val="17"/>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22">
              <w:r>
                <w:rPr>
                  <w:rFonts w:ascii="Arial" w:cs="Arial" w:eastAsia="Arial" w:hAnsi="Arial"/>
                  <w:sz w:val="16"/>
                  <w:szCs w:val="16"/>
                  <w:color w:val="0000FF"/>
                </w:rPr>
                <w:t>LLC, Avis Budget Group, Inc., the Subsidiary Borrowers from time to time parties thereto, the several banks and other financial institutions or</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bottom w:val="single" w:sz="8" w:color="0000FF"/>
            </w:tcBorders>
            <w:gridSpan w:val="13"/>
          </w:tcPr>
          <w:p>
            <w:pPr>
              <w:spacing w:after="0" w:line="169" w:lineRule="exact"/>
              <w:rPr>
                <w:rFonts w:ascii="Arial" w:cs="Arial" w:eastAsia="Arial" w:hAnsi="Arial"/>
                <w:sz w:val="16"/>
                <w:szCs w:val="16"/>
                <w:color w:val="0000FF"/>
              </w:rPr>
            </w:pPr>
            <w:hyperlink r:id="rId222">
              <w:r>
                <w:rPr>
                  <w:rFonts w:ascii="Arial" w:cs="Arial" w:eastAsia="Arial" w:hAnsi="Arial"/>
                  <w:sz w:val="16"/>
                  <w:szCs w:val="16"/>
                  <w:color w:val="0000FF"/>
                </w:rPr>
                <w:t>entities from time to time parties thereto, JPMorgan Chase Bank, N.A., as Administrative Agent, Deutsche Bank Securities Inc., as</w:t>
              </w:r>
            </w:hyperlink>
          </w:p>
        </w:tc>
        <w:tc>
          <w:tcPr>
            <w:tcW w:w="740" w:type="dxa"/>
            <w:vAlign w:val="bottom"/>
            <w:tcBorders>
              <w:top w:val="single" w:sz="8" w:color="0000FF"/>
            </w:tcBorders>
            <w:gridSpan w:val="19"/>
          </w:tcPr>
          <w:p>
            <w:pPr>
              <w:spacing w:after="0"/>
              <w:rPr>
                <w:sz w:val="14"/>
                <w:szCs w:val="14"/>
                <w:color w:val="auto"/>
              </w:rPr>
            </w:pPr>
          </w:p>
        </w:tc>
        <w:tc>
          <w:tcPr>
            <w:tcW w:w="80" w:type="dxa"/>
            <w:vAlign w:val="bottom"/>
            <w:tcBorders>
              <w:right w:val="single" w:sz="8" w:color="auto"/>
            </w:tcBorders>
            <w:gridSpan w:val="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222">
              <w:r>
                <w:rPr>
                  <w:rFonts w:ascii="Arial" w:cs="Arial" w:eastAsia="Arial" w:hAnsi="Arial"/>
                  <w:sz w:val="16"/>
                  <w:szCs w:val="16"/>
                  <w:color w:val="0000FF"/>
                </w:rPr>
                <w:t>Syndication Agent, Citibank, N.A., Bank of America, N.A., Barclays Bank plc and Credit Agricole Corporate and Investment Bank, as Co-</w:t>
              </w:r>
            </w:hyperlink>
          </w:p>
        </w:tc>
        <w:tc>
          <w:tcPr>
            <w:tcW w:w="360" w:type="dxa"/>
            <w:vAlign w:val="bottom"/>
            <w:tcBorders>
              <w:right w:val="single" w:sz="8" w:color="auto"/>
            </w:tcBorders>
            <w:gridSpan w:val="1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22">
              <w:r>
                <w:rPr>
                  <w:rFonts w:ascii="Arial" w:cs="Arial" w:eastAsia="Arial" w:hAnsi="Arial"/>
                  <w:sz w:val="16"/>
                  <w:szCs w:val="16"/>
                  <w:color w:val="0000FF"/>
                </w:rPr>
                <w:t>Documentation Agents (Incorporated by reference to Exhibit 10.1 to the Company’s Current Report on Form 8-K dated February 16, 2018).</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32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4"/>
          </w:tcPr>
          <w:p>
            <w:pPr>
              <w:spacing w:after="0" w:line="183" w:lineRule="exact"/>
              <w:rPr>
                <w:rFonts w:ascii="Arial" w:cs="Arial" w:eastAsia="Arial" w:hAnsi="Arial"/>
                <w:sz w:val="16"/>
                <w:szCs w:val="16"/>
                <w:color w:val="0000FF"/>
              </w:rPr>
            </w:pPr>
            <w:hyperlink r:id="rId223">
              <w:r>
                <w:rPr>
                  <w:rFonts w:ascii="Arial" w:cs="Arial" w:eastAsia="Arial" w:hAnsi="Arial"/>
                  <w:sz w:val="16"/>
                  <w:szCs w:val="16"/>
                  <w:color w:val="0000FF"/>
                </w:rPr>
                <w:t>Amended and Restated Guarantee &amp; Collateral Agreement, dated as of May 3, 2011, among Avis Budget Holdings, LLC, Avis Budget Car</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223">
              <w:r>
                <w:rPr>
                  <w:rFonts w:ascii="Arial" w:cs="Arial" w:eastAsia="Arial" w:hAnsi="Arial"/>
                  <w:sz w:val="16"/>
                  <w:szCs w:val="16"/>
                  <w:color w:val="0000FF"/>
                </w:rPr>
                <w:t>Rental, LLC and certain of its Subsidiaries in favor of JPMorgan Chase Bank, N.A., as Administrative Agent (Incorporated by reference to</w:t>
              </w:r>
            </w:hyperlink>
          </w:p>
        </w:tc>
        <w:tc>
          <w:tcPr>
            <w:tcW w:w="260" w:type="dxa"/>
            <w:vAlign w:val="bottom"/>
            <w:tcBorders>
              <w:right w:val="single" w:sz="8" w:color="auto"/>
            </w:tcBorders>
            <w:gridSpan w:val="8"/>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223">
              <w:r>
                <w:rPr>
                  <w:rFonts w:ascii="Arial" w:cs="Arial" w:eastAsia="Arial" w:hAnsi="Arial"/>
                  <w:sz w:val="16"/>
                  <w:szCs w:val="16"/>
                  <w:color w:val="0000FF"/>
                </w:rPr>
                <w:t>Exhibit 10.2 to the Company’s Current Report on Form 8-K dated May 6, 2011).</w:t>
              </w:r>
            </w:hyperlink>
          </w:p>
        </w:tc>
        <w:tc>
          <w:tcPr>
            <w:tcW w:w="320" w:type="dxa"/>
            <w:vAlign w:val="bottom"/>
            <w:tcBorders>
              <w:right w:val="single" w:sz="8" w:color="auto"/>
            </w:tcBorders>
            <w:gridSpan w:val="10"/>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324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10.50(a)</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4"/>
          </w:tcPr>
          <w:p>
            <w:pPr>
              <w:spacing w:after="0" w:line="183" w:lineRule="exact"/>
              <w:rPr>
                <w:rFonts w:ascii="Arial" w:cs="Arial" w:eastAsia="Arial" w:hAnsi="Arial"/>
                <w:sz w:val="16"/>
                <w:szCs w:val="16"/>
                <w:color w:val="0000FF"/>
              </w:rPr>
            </w:pPr>
            <w:hyperlink r:id="rId224">
              <w:r>
                <w:rPr>
                  <w:rFonts w:ascii="Arial" w:cs="Arial" w:eastAsia="Arial" w:hAnsi="Arial"/>
                  <w:sz w:val="16"/>
                  <w:szCs w:val="16"/>
                  <w:color w:val="0000FF"/>
                </w:rPr>
                <w:t>Amendment dated as of March 4, 2013, to the Amended and Restated Credit Agreement and the Amended and Restated Guarantee &amp;</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24">
              <w:r>
                <w:rPr>
                  <w:rFonts w:ascii="Arial" w:cs="Arial" w:eastAsia="Arial" w:hAnsi="Arial"/>
                  <w:sz w:val="16"/>
                  <w:szCs w:val="16"/>
                  <w:color w:val="0000FF"/>
                </w:rPr>
                <w:t>Collateral Agreement, each dated as of May 3, 2011, among Avis Budget Holdings, LLC, Avis Budget Car Rental, LLC and certain of its</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bottom w:val="single" w:sz="8" w:color="0000FF"/>
            </w:tcBorders>
            <w:gridSpan w:val="17"/>
          </w:tcPr>
          <w:p>
            <w:pPr>
              <w:spacing w:after="0" w:line="169" w:lineRule="exact"/>
              <w:rPr>
                <w:rFonts w:ascii="Arial" w:cs="Arial" w:eastAsia="Arial" w:hAnsi="Arial"/>
                <w:sz w:val="16"/>
                <w:szCs w:val="16"/>
                <w:color w:val="0000FF"/>
              </w:rPr>
            </w:pPr>
            <w:hyperlink r:id="rId224">
              <w:r>
                <w:rPr>
                  <w:rFonts w:ascii="Arial" w:cs="Arial" w:eastAsia="Arial" w:hAnsi="Arial"/>
                  <w:sz w:val="16"/>
                  <w:szCs w:val="16"/>
                  <w:color w:val="0000FF"/>
                </w:rPr>
                <w:t>Subsidiaries, JPMorgan Chase Bank, N.A., as Administrative Agent and certain other signatories thereto (Incorporated by reference to</w:t>
              </w:r>
            </w:hyperlink>
          </w:p>
        </w:tc>
        <w:tc>
          <w:tcPr>
            <w:tcW w:w="40" w:type="dxa"/>
            <w:vAlign w:val="bottom"/>
            <w:tcBorders>
              <w:top w:val="single" w:sz="8" w:color="0000FF"/>
            </w:tcBorders>
            <w:gridSpan w:val="3"/>
          </w:tcPr>
          <w:p>
            <w:pPr>
              <w:spacing w:after="0"/>
              <w:rPr>
                <w:sz w:val="14"/>
                <w:szCs w:val="14"/>
                <w:color w:val="auto"/>
              </w:rPr>
            </w:pPr>
          </w:p>
        </w:tc>
        <w:tc>
          <w:tcPr>
            <w:tcW w:w="440" w:type="dxa"/>
            <w:vAlign w:val="bottom"/>
            <w:tcBorders>
              <w:right w:val="single" w:sz="8" w:color="auto"/>
            </w:tcBorders>
            <w:gridSpan w:val="1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24">
              <w:r>
                <w:rPr>
                  <w:rFonts w:ascii="Arial" w:cs="Arial" w:eastAsia="Arial" w:hAnsi="Arial"/>
                  <w:sz w:val="16"/>
                  <w:szCs w:val="16"/>
                  <w:color w:val="0000FF"/>
                </w:rPr>
                <w:t>Exhibit 10.2 to the Company’s Current Report on Form 8-K dated March 5, 2013).</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32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10.50(b)</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bottom w:val="single" w:sz="8" w:color="0000FF"/>
            </w:tcBorders>
            <w:gridSpan w:val="23"/>
          </w:tcPr>
          <w:p>
            <w:pPr>
              <w:spacing w:after="0" w:line="183" w:lineRule="exact"/>
              <w:rPr>
                <w:rFonts w:ascii="Arial" w:cs="Arial" w:eastAsia="Arial" w:hAnsi="Arial"/>
                <w:sz w:val="16"/>
                <w:szCs w:val="16"/>
                <w:color w:val="0000FF"/>
              </w:rPr>
            </w:pPr>
            <w:hyperlink r:id="rId225">
              <w:r>
                <w:rPr>
                  <w:rFonts w:ascii="Arial" w:cs="Arial" w:eastAsia="Arial" w:hAnsi="Arial"/>
                  <w:sz w:val="16"/>
                  <w:szCs w:val="16"/>
                  <w:color w:val="0000FF"/>
                </w:rPr>
                <w:t>Second Amendment to the Amended and Restated Guarantee &amp; Collateral Agreement, dated as of October 3, 2014, among Avis Budget</w:t>
              </w:r>
            </w:hyperlink>
          </w:p>
        </w:tc>
        <w:tc>
          <w:tcPr>
            <w:tcW w:w="340" w:type="dxa"/>
            <w:vAlign w:val="bottom"/>
            <w:tcBorders>
              <w:right w:val="single" w:sz="8" w:color="auto"/>
            </w:tcBorders>
            <w:gridSpan w:val="11"/>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bottom w:val="single" w:sz="8" w:color="0000FF"/>
            </w:tcBorders>
            <w:gridSpan w:val="32"/>
          </w:tcPr>
          <w:p>
            <w:pPr>
              <w:spacing w:after="0" w:line="169" w:lineRule="exact"/>
              <w:rPr>
                <w:rFonts w:ascii="Arial" w:cs="Arial" w:eastAsia="Arial" w:hAnsi="Arial"/>
                <w:sz w:val="16"/>
                <w:szCs w:val="16"/>
                <w:color w:val="0000FF"/>
              </w:rPr>
            </w:pPr>
            <w:hyperlink r:id="rId225">
              <w:r>
                <w:rPr>
                  <w:rFonts w:ascii="Arial" w:cs="Arial" w:eastAsia="Arial" w:hAnsi="Arial"/>
                  <w:sz w:val="16"/>
                  <w:szCs w:val="16"/>
                  <w:color w:val="0000FF"/>
                </w:rPr>
                <w:t>Holdings, LLC, Avis Budget Car Rental, LLC and certain of its Subsidiaries, in favor of JPMorgan Chase Bank, N.A., as Administrative Agent</w:t>
              </w:r>
            </w:hyperlink>
          </w:p>
        </w:tc>
        <w:tc>
          <w:tcPr>
            <w:tcW w:w="80" w:type="dxa"/>
            <w:vAlign w:val="bottom"/>
            <w:tcBorders>
              <w:right w:val="single" w:sz="8" w:color="auto"/>
            </w:tcBorders>
            <w:gridSpan w:val="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25">
              <w:r>
                <w:rPr>
                  <w:rFonts w:ascii="Arial" w:cs="Arial" w:eastAsia="Arial" w:hAnsi="Arial"/>
                  <w:sz w:val="16"/>
                  <w:szCs w:val="16"/>
                  <w:color w:val="0000FF"/>
                </w:rPr>
                <w:t>(Incorporated by reference to Exhibit 10.2 to the Company’s Current Report on Form 8-K dated October 6,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32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4"/>
          </w:tcPr>
          <w:p>
            <w:pPr>
              <w:spacing w:after="0" w:line="183" w:lineRule="exact"/>
              <w:rPr>
                <w:rFonts w:ascii="Arial" w:cs="Arial" w:eastAsia="Arial" w:hAnsi="Arial"/>
                <w:sz w:val="16"/>
                <w:szCs w:val="16"/>
                <w:color w:val="0000FF"/>
              </w:rPr>
            </w:pPr>
            <w:hyperlink r:id="rId226">
              <w:r>
                <w:rPr>
                  <w:rFonts w:ascii="Arial" w:cs="Arial" w:eastAsia="Arial" w:hAnsi="Arial"/>
                  <w:sz w:val="16"/>
                  <w:szCs w:val="16"/>
                  <w:color w:val="0000FF"/>
                </w:rPr>
                <w:t>Agreement of Resignation, Appointment And Acceptance, dated as of September 5, 2013, by and among Avis Budget Car Rental, LLC, Avis</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bottom w:val="single" w:sz="8" w:color="0000FF"/>
            </w:tcBorders>
            <w:gridSpan w:val="20"/>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Budget Finance, Inc., The Bank of Nova Scotia Trust Company of New York, as the retiring trustee, and Deutsche Bank Trust Company</w:t>
              </w:r>
            </w:hyperlink>
          </w:p>
        </w:tc>
        <w:tc>
          <w:tcPr>
            <w:tcW w:w="340" w:type="dxa"/>
            <w:vAlign w:val="bottom"/>
            <w:tcBorders>
              <w:top w:val="single" w:sz="8" w:color="0000FF"/>
            </w:tcBorders>
            <w:gridSpan w:val="11"/>
          </w:tcPr>
          <w:p>
            <w:pPr>
              <w:spacing w:after="0"/>
              <w:rPr>
                <w:sz w:val="14"/>
                <w:szCs w:val="14"/>
                <w:color w:val="auto"/>
              </w:rPr>
            </w:pPr>
          </w:p>
        </w:tc>
        <w:tc>
          <w:tcPr>
            <w:tcW w:w="100" w:type="dxa"/>
            <w:vAlign w:val="bottom"/>
            <w:tcBorders>
              <w:right w:val="single" w:sz="8" w:color="auto"/>
            </w:tcBorders>
            <w:gridSpan w:val="3"/>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Americas, as the successor trustee under the indentures described therein (Incorporated by reference to Exhibit 10.4 to the Company’s</w:t>
              </w:r>
            </w:hyperlink>
          </w:p>
        </w:tc>
        <w:tc>
          <w:tcPr>
            <w:tcW w:w="440" w:type="dxa"/>
            <w:vAlign w:val="bottom"/>
            <w:tcBorders>
              <w:right w:val="single" w:sz="8" w:color="auto"/>
            </w:tcBorders>
            <w:gridSpan w:val="15"/>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Quarterly Report on Form 10-Q for the period ended September 30, 2013, dated November 1, 2013).</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32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bottom w:val="single" w:sz="8" w:color="0000FF"/>
            </w:tcBorders>
            <w:gridSpan w:val="18"/>
          </w:tcPr>
          <w:p>
            <w:pPr>
              <w:spacing w:after="0" w:line="183" w:lineRule="exact"/>
              <w:rPr>
                <w:rFonts w:ascii="Arial" w:cs="Arial" w:eastAsia="Arial" w:hAnsi="Arial"/>
                <w:sz w:val="16"/>
                <w:szCs w:val="16"/>
                <w:color w:val="0000FF"/>
              </w:rPr>
            </w:pPr>
            <w:hyperlink r:id="rId227">
              <w:r>
                <w:rPr>
                  <w:rFonts w:ascii="Arial" w:cs="Arial" w:eastAsia="Arial" w:hAnsi="Arial"/>
                  <w:sz w:val="16"/>
                  <w:szCs w:val="16"/>
                  <w:color w:val="0000FF"/>
                </w:rPr>
                <w:t>Fourth Master Amendment and Restatement Deed, by and among CarFin Finance International Limited, Credit Agricole Corporate And</w:t>
              </w:r>
            </w:hyperlink>
          </w:p>
        </w:tc>
        <w:tc>
          <w:tcPr>
            <w:tcW w:w="460" w:type="dxa"/>
            <w:vAlign w:val="bottom"/>
            <w:tcBorders>
              <w:right w:val="single" w:sz="8" w:color="auto"/>
            </w:tcBorders>
            <w:gridSpan w:val="16"/>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Investment Bank, Deutsche Trustee Company Limited, Credit Agricole Corporate And Investment Bank, the Opcos, Servicers, Lessees and</w:t>
              </w:r>
            </w:hyperlink>
          </w:p>
        </w:tc>
        <w:tc>
          <w:tcPr>
            <w:tcW w:w="140" w:type="dxa"/>
            <w:vAlign w:val="bottom"/>
            <w:tcBorders>
              <w:right w:val="single" w:sz="8" w:color="auto"/>
            </w:tcBorders>
            <w:gridSpan w:val="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bottom w:val="single" w:sz="8" w:color="0000FF"/>
            </w:tcBorders>
            <w:gridSpan w:val="28"/>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Fleetcos listed therein, Avis Budget Car Rental, LLC, Avis Finance Company Limited, Avis Budget EMEA Limited, the Account Banks listed</w:t>
              </w:r>
            </w:hyperlink>
          </w:p>
        </w:tc>
        <w:tc>
          <w:tcPr>
            <w:tcW w:w="180" w:type="dxa"/>
            <w:vAlign w:val="bottom"/>
            <w:tcBorders>
              <w:right w:val="single" w:sz="8" w:color="auto"/>
            </w:tcBorders>
            <w:gridSpan w:val="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bottom w:val="single" w:sz="8" w:color="0000FF"/>
            </w:tcBorders>
            <w:gridSpan w:val="33"/>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therein, Deutsche Bank Ag, London Branch, the Senior Noteholders listed therein, Structured Finance Management (Ireland) Limited, CarFin</w:t>
              </w:r>
            </w:hyperlink>
          </w:p>
        </w:tc>
        <w:tc>
          <w:tcPr>
            <w:tcW w:w="60" w:type="dxa"/>
            <w:vAlign w:val="bottom"/>
            <w:tcBorders>
              <w:right w:val="single" w:sz="8" w:color="auto"/>
            </w:tcBorders>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Finance Holdings Limited, Intertrust (Netherlands) B.V. And Vistra B.V., Credit Agricole Corporate And Investment Bank, FCT CarFin, Caceis</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bottom w:val="single" w:sz="8" w:color="0000FF"/>
            </w:tcBorders>
            <w:gridSpan w:val="25"/>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Bank France, Caceis Corporate Trust, Deutsche Bank Luxembourg S.A. and Fiserv Automotive Solutions, Inc., dated December 15, 2014</w:t>
              </w:r>
            </w:hyperlink>
          </w:p>
        </w:tc>
        <w:tc>
          <w:tcPr>
            <w:tcW w:w="200" w:type="dxa"/>
            <w:vAlign w:val="bottom"/>
            <w:tcBorders>
              <w:top w:val="single" w:sz="8" w:color="0000FF"/>
            </w:tcBorders>
            <w:gridSpan w:val="7"/>
          </w:tcPr>
          <w:p>
            <w:pPr>
              <w:spacing w:after="0"/>
              <w:rPr>
                <w:sz w:val="14"/>
                <w:szCs w:val="14"/>
                <w:color w:val="auto"/>
              </w:rPr>
            </w:pPr>
          </w:p>
        </w:tc>
        <w:tc>
          <w:tcPr>
            <w:tcW w:w="80" w:type="dxa"/>
            <w:vAlign w:val="bottom"/>
            <w:tcBorders>
              <w:right w:val="single" w:sz="8" w:color="auto"/>
            </w:tcBorders>
            <w:gridSpan w:val="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(Incorporated by reference to Exhibit 10.1 to the Company’s Current Report on Form 8-K dated December 19, 2014).††</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32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top w:val="single" w:sz="8" w:color="0000FF"/>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bottom w:val="single" w:sz="8" w:color="0000FF"/>
            </w:tcBorders>
            <w:gridSpan w:val="23"/>
          </w:tcPr>
          <w:p>
            <w:pPr>
              <w:spacing w:after="0" w:line="183" w:lineRule="exact"/>
              <w:rPr>
                <w:rFonts w:ascii="Arial" w:cs="Arial" w:eastAsia="Arial" w:hAnsi="Arial"/>
                <w:sz w:val="16"/>
                <w:szCs w:val="16"/>
                <w:color w:val="0000FF"/>
              </w:rPr>
            </w:pPr>
            <w:hyperlink r:id="rId228">
              <w:r>
                <w:rPr>
                  <w:rFonts w:ascii="Arial" w:cs="Arial" w:eastAsia="Arial" w:hAnsi="Arial"/>
                  <w:sz w:val="16"/>
                  <w:szCs w:val="16"/>
                  <w:color w:val="0000FF"/>
                </w:rPr>
                <w:t>Seventh Master Amendment and Restatement Deed, by and among CarFin Finance International Limited, Credit Agricole Corporate And</w:t>
              </w:r>
            </w:hyperlink>
          </w:p>
        </w:tc>
        <w:tc>
          <w:tcPr>
            <w:tcW w:w="340" w:type="dxa"/>
            <w:vAlign w:val="bottom"/>
            <w:tcBorders>
              <w:right w:val="single" w:sz="8" w:color="auto"/>
            </w:tcBorders>
            <w:gridSpan w:val="11"/>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228">
              <w:r>
                <w:rPr>
                  <w:rFonts w:ascii="Arial" w:cs="Arial" w:eastAsia="Arial" w:hAnsi="Arial"/>
                  <w:sz w:val="16"/>
                  <w:szCs w:val="16"/>
                  <w:color w:val="0000FF"/>
                </w:rPr>
                <w:t>Investment Bank, Deutsche Trustee Company Limited, Credit Agricole Corporate And Investment Bank, the Opcos, Servicers, Lessees and</w:t>
              </w:r>
            </w:hyperlink>
          </w:p>
        </w:tc>
        <w:tc>
          <w:tcPr>
            <w:tcW w:w="140" w:type="dxa"/>
            <w:vAlign w:val="bottom"/>
            <w:tcBorders>
              <w:right w:val="single" w:sz="8" w:color="auto"/>
            </w:tcBorders>
            <w:gridSpan w:val="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bottom w:val="single" w:sz="8" w:color="0000FF"/>
            </w:tcBorders>
            <w:gridSpan w:val="28"/>
          </w:tcPr>
          <w:p>
            <w:pPr>
              <w:spacing w:after="0" w:line="169" w:lineRule="exact"/>
              <w:rPr>
                <w:rFonts w:ascii="Arial" w:cs="Arial" w:eastAsia="Arial" w:hAnsi="Arial"/>
                <w:sz w:val="16"/>
                <w:szCs w:val="16"/>
                <w:color w:val="0000FF"/>
              </w:rPr>
            </w:pPr>
            <w:hyperlink r:id="rId228">
              <w:r>
                <w:rPr>
                  <w:rFonts w:ascii="Arial" w:cs="Arial" w:eastAsia="Arial" w:hAnsi="Arial"/>
                  <w:sz w:val="16"/>
                  <w:szCs w:val="16"/>
                  <w:color w:val="0000FF"/>
                </w:rPr>
                <w:t>Fleetcos listed therein, Avis Budget Car Rental, LLC, Avis Finance Company Limited, Avis Budget EMEA Limited, the Account Banks listed</w:t>
              </w:r>
            </w:hyperlink>
          </w:p>
        </w:tc>
        <w:tc>
          <w:tcPr>
            <w:tcW w:w="180" w:type="dxa"/>
            <w:vAlign w:val="bottom"/>
            <w:tcBorders>
              <w:right w:val="single" w:sz="8" w:color="auto"/>
            </w:tcBorders>
            <w:gridSpan w:val="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28">
              <w:r>
                <w:rPr>
                  <w:rFonts w:ascii="Arial" w:cs="Arial" w:eastAsia="Arial" w:hAnsi="Arial"/>
                  <w:sz w:val="16"/>
                  <w:szCs w:val="16"/>
                  <w:color w:val="0000FF"/>
                </w:rPr>
                <w:t>therein, Deutsche Bank Ag, London Branch, the Senior Noteholders and certain other entities named therein, dated January 22, 2016</w:t>
              </w:r>
            </w:hyperlink>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228">
              <w:r>
                <w:rPr>
                  <w:rFonts w:ascii="Arial" w:cs="Arial" w:eastAsia="Arial" w:hAnsi="Arial"/>
                  <w:sz w:val="16"/>
                  <w:szCs w:val="16"/>
                  <w:color w:val="0000FF"/>
                </w:rPr>
                <w:t>(Incorporated by reference to Exhibit 10.6 to the Company’s Current Report on Form 8-K dated April 21, 2016).††</w:t>
              </w:r>
            </w:hyperlink>
          </w:p>
        </w:tc>
        <w:tc>
          <w:tcPr>
            <w:tcW w:w="580" w:type="dxa"/>
            <w:vAlign w:val="bottom"/>
            <w:tcBorders>
              <w:right w:val="single" w:sz="8" w:color="auto"/>
            </w:tcBorders>
            <w:gridSpan w:val="19"/>
          </w:tcPr>
          <w:p>
            <w:pPr>
              <w:spacing w:after="0"/>
              <w:rPr>
                <w:sz w:val="14"/>
                <w:szCs w:val="14"/>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32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bottom w:val="single" w:sz="8" w:color="0000FF"/>
            </w:tcBorders>
            <w:gridSpan w:val="16"/>
          </w:tcPr>
          <w:p>
            <w:pPr>
              <w:spacing w:after="0" w:line="183" w:lineRule="exact"/>
              <w:rPr>
                <w:rFonts w:ascii="Arial" w:cs="Arial" w:eastAsia="Arial" w:hAnsi="Arial"/>
                <w:sz w:val="16"/>
                <w:szCs w:val="16"/>
                <w:color w:val="0000FF"/>
              </w:rPr>
            </w:pPr>
            <w:hyperlink r:id="rId229">
              <w:r>
                <w:rPr>
                  <w:rFonts w:ascii="Arial" w:cs="Arial" w:eastAsia="Arial" w:hAnsi="Arial"/>
                  <w:sz w:val="16"/>
                  <w:szCs w:val="16"/>
                  <w:color w:val="0000FF"/>
                </w:rPr>
                <w:t>Ninth Master Amendment and Restatement Deed, by and among CarFin Finance International Limited, Credit Agricole Corporate And</w:t>
              </w:r>
            </w:hyperlink>
          </w:p>
        </w:tc>
        <w:tc>
          <w:tcPr>
            <w:tcW w:w="560" w:type="dxa"/>
            <w:vAlign w:val="bottom"/>
            <w:tcBorders>
              <w:right w:val="single" w:sz="8" w:color="auto"/>
            </w:tcBorders>
            <w:gridSpan w:val="18"/>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229">
              <w:r>
                <w:rPr>
                  <w:rFonts w:ascii="Arial" w:cs="Arial" w:eastAsia="Arial" w:hAnsi="Arial"/>
                  <w:sz w:val="16"/>
                  <w:szCs w:val="16"/>
                  <w:color w:val="0000FF"/>
                </w:rPr>
                <w:t>Investment Bank, Deutsche Trustee Company Limited, Credit Agricole Corporate And Investment Bank, the Opcos, Servicers, Lessees and</w:t>
              </w:r>
            </w:hyperlink>
          </w:p>
        </w:tc>
        <w:tc>
          <w:tcPr>
            <w:tcW w:w="140" w:type="dxa"/>
            <w:vAlign w:val="bottom"/>
            <w:tcBorders>
              <w:right w:val="single" w:sz="8" w:color="auto"/>
            </w:tcBorders>
            <w:gridSpan w:val="4"/>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bottom w:val="single" w:sz="8" w:color="0000FF"/>
            </w:tcBorders>
            <w:gridSpan w:val="28"/>
          </w:tcPr>
          <w:p>
            <w:pPr>
              <w:spacing w:after="0" w:line="169" w:lineRule="exact"/>
              <w:rPr>
                <w:rFonts w:ascii="Arial" w:cs="Arial" w:eastAsia="Arial" w:hAnsi="Arial"/>
                <w:sz w:val="16"/>
                <w:szCs w:val="16"/>
                <w:color w:val="0000FF"/>
              </w:rPr>
            </w:pPr>
            <w:hyperlink r:id="rId229">
              <w:r>
                <w:rPr>
                  <w:rFonts w:ascii="Arial" w:cs="Arial" w:eastAsia="Arial" w:hAnsi="Arial"/>
                  <w:sz w:val="16"/>
                  <w:szCs w:val="16"/>
                  <w:color w:val="0000FF"/>
                </w:rPr>
                <w:t>Fleetcos listed therein, Avis Budget Car Rental, LLC, Avis Finance Company Limited, Avis Budget EMEA Limited, the Account Banks listed</w:t>
              </w:r>
            </w:hyperlink>
          </w:p>
        </w:tc>
        <w:tc>
          <w:tcPr>
            <w:tcW w:w="180" w:type="dxa"/>
            <w:vAlign w:val="bottom"/>
            <w:tcBorders>
              <w:right w:val="single" w:sz="8" w:color="auto"/>
            </w:tcBorders>
            <w:gridSpan w:val="6"/>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229">
              <w:r>
                <w:rPr>
                  <w:rFonts w:ascii="Arial" w:cs="Arial" w:eastAsia="Arial" w:hAnsi="Arial"/>
                  <w:sz w:val="16"/>
                  <w:szCs w:val="16"/>
                  <w:color w:val="0000FF"/>
                </w:rPr>
                <w:t>therein, Deutsche Bank Ag, London Branch, the Senior Noteholders and certain other entities named therein, dated May 16, 2017</w:t>
              </w:r>
            </w:hyperlink>
          </w:p>
        </w:tc>
        <w:tc>
          <w:tcPr>
            <w:tcW w:w="840" w:type="dxa"/>
            <w:vAlign w:val="bottom"/>
            <w:tcBorders>
              <w:right w:val="single" w:sz="8" w:color="auto"/>
            </w:tcBorders>
            <w:gridSpan w:val="2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29">
              <w:r>
                <w:rPr>
                  <w:rFonts w:ascii="Arial" w:cs="Arial" w:eastAsia="Arial" w:hAnsi="Arial"/>
                  <w:sz w:val="16"/>
                  <w:szCs w:val="16"/>
                  <w:color w:val="0000FF"/>
                </w:rPr>
                <w:t>(Incorporated by reference to Exhibit 10.1 to the Company’s Current Report on Form 8-K dated May 22, 2017).††</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32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10.55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4"/>
          </w:tcPr>
          <w:p>
            <w:pPr>
              <w:spacing w:after="0" w:line="183" w:lineRule="exact"/>
              <w:rPr>
                <w:rFonts w:ascii="Arial" w:cs="Arial" w:eastAsia="Arial" w:hAnsi="Arial"/>
                <w:sz w:val="16"/>
                <w:szCs w:val="16"/>
                <w:color w:val="0000FF"/>
              </w:rPr>
            </w:pPr>
            <w:hyperlink r:id="rId230">
              <w:r>
                <w:rPr>
                  <w:rFonts w:ascii="Arial" w:cs="Arial" w:eastAsia="Arial" w:hAnsi="Arial"/>
                  <w:sz w:val="16"/>
                  <w:szCs w:val="16"/>
                  <w:color w:val="0000FF"/>
                </w:rPr>
                <w:t>Tenth Master Amendment and Restatement Deed, by and among CarFin Finance International, DAC, Credit Agricole Corporate and</w:t>
              </w:r>
            </w:hyperlink>
          </w:p>
        </w:tc>
      </w:tr>
      <w:tr>
        <w:trPr>
          <w:trHeight w:val="20"/>
        </w:trPr>
        <w:tc>
          <w:tcPr>
            <w:tcW w:w="11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0" w:type="dxa"/>
            <w:vAlign w:val="bottom"/>
            <w:gridSpan w:val="4"/>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Borders>
              <w:right w:val="single" w:sz="8" w:color="auto"/>
            </w:tcBorders>
            <w:gridSpan w:val="5"/>
          </w:tcPr>
          <w:p>
            <w:pPr>
              <w:spacing w:after="0" w:line="20" w:lineRule="exact"/>
              <w:rPr>
                <w:sz w:val="1"/>
                <w:szCs w:val="1"/>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29"/>
          </w:tcPr>
          <w:p>
            <w:pPr>
              <w:spacing w:after="0" w:line="169" w:lineRule="exact"/>
              <w:rPr>
                <w:rFonts w:ascii="Arial" w:cs="Arial" w:eastAsia="Arial" w:hAnsi="Arial"/>
                <w:sz w:val="16"/>
                <w:szCs w:val="16"/>
                <w:color w:val="0000FF"/>
              </w:rPr>
            </w:pPr>
            <w:hyperlink r:id="rId230">
              <w:r>
                <w:rPr>
                  <w:rFonts w:ascii="Arial" w:cs="Arial" w:eastAsia="Arial" w:hAnsi="Arial"/>
                  <w:sz w:val="16"/>
                  <w:szCs w:val="16"/>
                  <w:color w:val="0000FF"/>
                </w:rPr>
                <w:t>Investment Bank, Deutsche Trustee Company Limited, Credit Agricole Corporate and Investment Bank, the Opcos, Servicers, Lessees and</w:t>
              </w:r>
            </w:hyperlink>
          </w:p>
        </w:tc>
        <w:tc>
          <w:tcPr>
            <w:tcW w:w="160" w:type="dxa"/>
            <w:vAlign w:val="bottom"/>
            <w:tcBorders>
              <w:right w:val="single" w:sz="8" w:color="auto"/>
            </w:tcBorders>
            <w:gridSpan w:val="5"/>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bottom w:val="single" w:sz="8" w:color="0000FF"/>
            </w:tcBorders>
            <w:gridSpan w:val="27"/>
          </w:tcPr>
          <w:p>
            <w:pPr>
              <w:spacing w:after="0" w:line="169" w:lineRule="exact"/>
              <w:rPr>
                <w:rFonts w:ascii="Arial" w:cs="Arial" w:eastAsia="Arial" w:hAnsi="Arial"/>
                <w:sz w:val="16"/>
                <w:szCs w:val="16"/>
                <w:color w:val="0000FF"/>
              </w:rPr>
            </w:pPr>
            <w:hyperlink r:id="rId230">
              <w:r>
                <w:rPr>
                  <w:rFonts w:ascii="Arial" w:cs="Arial" w:eastAsia="Arial" w:hAnsi="Arial"/>
                  <w:sz w:val="16"/>
                  <w:szCs w:val="16"/>
                  <w:color w:val="0000FF"/>
                </w:rPr>
                <w:t>FleetCos listed herein. Avis Budget Car Rental, LLC, Avis Finance Company Limited, Avis Budget EMEA Limited, the Account Banks listed</w:t>
              </w:r>
            </w:hyperlink>
          </w:p>
        </w:tc>
        <w:tc>
          <w:tcPr>
            <w:tcW w:w="200" w:type="dxa"/>
            <w:vAlign w:val="bottom"/>
            <w:tcBorders>
              <w:right w:val="single" w:sz="8" w:color="auto"/>
            </w:tcBorders>
            <w:gridSpan w:val="7"/>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230">
              <w:r>
                <w:rPr>
                  <w:rFonts w:ascii="Arial" w:cs="Arial" w:eastAsia="Arial" w:hAnsi="Arial"/>
                  <w:sz w:val="16"/>
                  <w:szCs w:val="16"/>
                  <w:color w:val="0000FF"/>
                </w:rPr>
                <w:t>therein, Deutsche Bank Ag. London Branch, the Senior Noteholders and certain other entities named therein, dated May 30, 2018</w:t>
              </w:r>
            </w:hyperlink>
          </w:p>
        </w:tc>
        <w:tc>
          <w:tcPr>
            <w:tcW w:w="840" w:type="dxa"/>
            <w:vAlign w:val="bottom"/>
            <w:tcBorders>
              <w:right w:val="single" w:sz="8" w:color="auto"/>
            </w:tcBorders>
            <w:gridSpan w:val="22"/>
          </w:tcPr>
          <w:p>
            <w:pPr>
              <w:spacing w:after="0"/>
              <w:rPr>
                <w:sz w:val="14"/>
                <w:szCs w:val="14"/>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30">
              <w:r>
                <w:rPr>
                  <w:rFonts w:ascii="Arial" w:cs="Arial" w:eastAsia="Arial" w:hAnsi="Arial"/>
                  <w:sz w:val="16"/>
                  <w:szCs w:val="16"/>
                  <w:color w:val="0000FF"/>
                </w:rPr>
                <w:t>(Incorporated by reference to Exhibit 10.1 to the Company’s Current Report on Form 8-K dated June 5, 2018).††</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324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820" w:type="dxa"/>
            <w:vAlign w:val="bottom"/>
            <w:tcBorders>
              <w:top w:val="single" w:sz="8" w:color="0000FF"/>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21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4"/>
          </w:tcPr>
          <w:p>
            <w:pPr>
              <w:spacing w:after="0" w:line="183" w:lineRule="exact"/>
              <w:rPr>
                <w:rFonts w:ascii="Arial" w:cs="Arial" w:eastAsia="Arial" w:hAnsi="Arial"/>
                <w:sz w:val="16"/>
                <w:szCs w:val="16"/>
                <w:color w:val="0000FF"/>
              </w:rPr>
            </w:pPr>
            <w:hyperlink w:anchor="page148">
              <w:r>
                <w:rPr>
                  <w:rFonts w:ascii="Arial" w:cs="Arial" w:eastAsia="Arial" w:hAnsi="Arial"/>
                  <w:sz w:val="16"/>
                  <w:szCs w:val="16"/>
                  <w:color w:val="0000FF"/>
                </w:rPr>
                <w:t>Subsidiaries of Registrant.</w:t>
              </w:r>
            </w:hyperlink>
          </w:p>
        </w:tc>
      </w:tr>
      <w:tr>
        <w:trPr>
          <w:trHeight w:val="61"/>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0" w:type="dxa"/>
            <w:vAlign w:val="bottom"/>
            <w:tcBorders>
              <w:top w:val="single" w:sz="8" w:color="0000FF"/>
              <w:bottom w:val="single" w:sz="8" w:color="auto"/>
            </w:tcBorders>
          </w:tcPr>
          <w:p>
            <w:pPr>
              <w:spacing w:after="0"/>
              <w:rPr>
                <w:sz w:val="5"/>
                <w:szCs w:val="5"/>
                <w:color w:val="auto"/>
              </w:rPr>
            </w:pPr>
          </w:p>
        </w:tc>
        <w:tc>
          <w:tcPr>
            <w:tcW w:w="500" w:type="dxa"/>
            <w:vAlign w:val="bottom"/>
            <w:tcBorders>
              <w:top w:val="single" w:sz="8" w:color="0000FF"/>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23.1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4"/>
          </w:tcPr>
          <w:p>
            <w:pPr>
              <w:spacing w:after="0" w:line="183" w:lineRule="exact"/>
              <w:rPr>
                <w:rFonts w:ascii="Arial" w:cs="Arial" w:eastAsia="Arial" w:hAnsi="Arial"/>
                <w:sz w:val="16"/>
                <w:szCs w:val="16"/>
                <w:color w:val="0000FF"/>
              </w:rPr>
            </w:pPr>
            <w:hyperlink w:anchor="page153">
              <w:r>
                <w:rPr>
                  <w:rFonts w:ascii="Arial" w:cs="Arial" w:eastAsia="Arial" w:hAnsi="Arial"/>
                  <w:sz w:val="16"/>
                  <w:szCs w:val="16"/>
                  <w:color w:val="0000FF"/>
                </w:rPr>
                <w:t>Consent of Deloitte &amp; Touche LLP.</w:t>
              </w:r>
            </w:hyperlink>
          </w:p>
        </w:tc>
      </w:tr>
      <w:tr>
        <w:trPr>
          <w:trHeight w:val="61"/>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0" w:type="dxa"/>
            <w:vAlign w:val="bottom"/>
            <w:tcBorders>
              <w:top w:val="single" w:sz="8" w:color="0000FF"/>
              <w:bottom w:val="single" w:sz="8" w:color="auto"/>
            </w:tcBorders>
          </w:tcPr>
          <w:p>
            <w:pPr>
              <w:spacing w:after="0"/>
              <w:rPr>
                <w:sz w:val="5"/>
                <w:szCs w:val="5"/>
                <w:color w:val="auto"/>
              </w:rPr>
            </w:pPr>
          </w:p>
        </w:tc>
        <w:tc>
          <w:tcPr>
            <w:tcW w:w="500" w:type="dxa"/>
            <w:vAlign w:val="bottom"/>
            <w:tcBorders>
              <w:top w:val="single" w:sz="8" w:color="0000FF"/>
              <w:bottom w:val="single" w:sz="8" w:color="auto"/>
            </w:tcBorders>
          </w:tcPr>
          <w:p>
            <w:pPr>
              <w:spacing w:after="0"/>
              <w:rPr>
                <w:sz w:val="5"/>
                <w:szCs w:val="5"/>
                <w:color w:val="auto"/>
              </w:rPr>
            </w:pPr>
          </w:p>
        </w:tc>
        <w:tc>
          <w:tcPr>
            <w:tcW w:w="560" w:type="dxa"/>
            <w:vAlign w:val="bottom"/>
            <w:tcBorders>
              <w:top w:val="single" w:sz="8" w:color="0000FF"/>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31.1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bottom w:val="single" w:sz="8" w:color="0000FF"/>
            </w:tcBorders>
            <w:gridSpan w:val="21"/>
          </w:tcPr>
          <w:p>
            <w:pPr>
              <w:spacing w:after="0" w:line="183" w:lineRule="exact"/>
              <w:rPr>
                <w:rFonts w:ascii="Arial" w:cs="Arial" w:eastAsia="Arial" w:hAnsi="Arial"/>
                <w:sz w:val="16"/>
                <w:szCs w:val="16"/>
                <w:color w:val="0000FF"/>
              </w:rPr>
            </w:pPr>
            <w:hyperlink w:anchor="page154">
              <w:r>
                <w:rPr>
                  <w:rFonts w:ascii="Arial" w:cs="Arial" w:eastAsia="Arial" w:hAnsi="Arial"/>
                  <w:sz w:val="16"/>
                  <w:szCs w:val="16"/>
                  <w:color w:val="0000FF"/>
                </w:rPr>
                <w:t>Certification of Chief Executive Officer pursuant to Rules 13(a)-14(a) and 15(d)-14(a) promulgated under the Securities Exchange Act of</w:t>
              </w:r>
            </w:hyperlink>
          </w:p>
        </w:tc>
        <w:tc>
          <w:tcPr>
            <w:tcW w:w="400" w:type="dxa"/>
            <w:vAlign w:val="bottom"/>
            <w:tcBorders>
              <w:right w:val="single" w:sz="8" w:color="auto"/>
            </w:tcBorders>
            <w:gridSpan w:val="13"/>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w:anchor="page154">
              <w:r>
                <w:rPr>
                  <w:rFonts w:ascii="Arial" w:cs="Arial" w:eastAsia="Arial" w:hAnsi="Arial"/>
                  <w:sz w:val="16"/>
                  <w:szCs w:val="16"/>
                  <w:color w:val="0000FF"/>
                </w:rPr>
                <w:t>1934, as amended.</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31.2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bottom w:val="single" w:sz="8" w:color="0000FF"/>
            </w:tcBorders>
            <w:gridSpan w:val="18"/>
          </w:tcPr>
          <w:p>
            <w:pPr>
              <w:spacing w:after="0" w:line="183" w:lineRule="exact"/>
              <w:rPr>
                <w:rFonts w:ascii="Arial" w:cs="Arial" w:eastAsia="Arial" w:hAnsi="Arial"/>
                <w:sz w:val="16"/>
                <w:szCs w:val="16"/>
                <w:color w:val="0000FF"/>
              </w:rPr>
            </w:pPr>
            <w:hyperlink w:anchor="page155">
              <w:r>
                <w:rPr>
                  <w:rFonts w:ascii="Arial" w:cs="Arial" w:eastAsia="Arial" w:hAnsi="Arial"/>
                  <w:sz w:val="16"/>
                  <w:szCs w:val="16"/>
                  <w:color w:val="0000FF"/>
                </w:rPr>
                <w:t>Certification of Chief Financial Officer pursuant to Rules 13(a)-14(a) and 15(d)-14(a) promulgated under the Securities Exchange Act of</w:t>
              </w:r>
            </w:hyperlink>
          </w:p>
        </w:tc>
        <w:tc>
          <w:tcPr>
            <w:tcW w:w="460" w:type="dxa"/>
            <w:vAlign w:val="bottom"/>
            <w:tcBorders>
              <w:right w:val="single" w:sz="8" w:color="auto"/>
            </w:tcBorders>
            <w:gridSpan w:val="16"/>
          </w:tcPr>
          <w:p>
            <w:pPr>
              <w:spacing w:after="0"/>
              <w:rPr>
                <w:sz w:val="15"/>
                <w:szCs w:val="15"/>
                <w:color w:val="auto"/>
              </w:rPr>
            </w:pPr>
          </w:p>
        </w:tc>
      </w:tr>
      <w:tr>
        <w:trPr>
          <w:trHeight w:val="169"/>
        </w:trPr>
        <w:tc>
          <w:tcPr>
            <w:tcW w:w="116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w:anchor="page155">
              <w:r>
                <w:rPr>
                  <w:rFonts w:ascii="Arial" w:cs="Arial" w:eastAsia="Arial" w:hAnsi="Arial"/>
                  <w:sz w:val="16"/>
                  <w:szCs w:val="16"/>
                  <w:color w:val="0000FF"/>
                </w:rPr>
                <w:t>1934, as amended.</w:t>
              </w:r>
            </w:hyperlink>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top w:val="single" w:sz="8" w:color="0000FF"/>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83"/>
        </w:trPr>
        <w:tc>
          <w:tcPr>
            <w:tcW w:w="1160" w:type="dxa"/>
            <w:vAlign w:val="bottom"/>
            <w:tcBorders>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32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right w:val="single" w:sz="8" w:color="auto"/>
            </w:tcBorders>
            <w:gridSpan w:val="34"/>
          </w:tcPr>
          <w:p>
            <w:pPr>
              <w:spacing w:after="0" w:line="183" w:lineRule="exact"/>
              <w:rPr>
                <w:rFonts w:ascii="Arial" w:cs="Arial" w:eastAsia="Arial" w:hAnsi="Arial"/>
                <w:sz w:val="16"/>
                <w:szCs w:val="16"/>
                <w:color w:val="0000FF"/>
              </w:rPr>
            </w:pPr>
            <w:hyperlink w:anchor="page156">
              <w:r>
                <w:rPr>
                  <w:rFonts w:ascii="Arial" w:cs="Arial" w:eastAsia="Arial" w:hAnsi="Arial"/>
                  <w:sz w:val="16"/>
                  <w:szCs w:val="16"/>
                  <w:color w:val="0000FF"/>
                </w:rPr>
                <w:t>Certifications Pursuant to 18 U.S.C. Section 1350, as Adopted Pursuant to Section 906 of the Sarbanes-Oxley Act of 2002.</w:t>
              </w:r>
            </w:hyperlink>
          </w:p>
        </w:tc>
      </w:tr>
      <w:tr>
        <w:trPr>
          <w:trHeight w:val="61"/>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0" w:type="dxa"/>
            <w:vAlign w:val="bottom"/>
            <w:tcBorders>
              <w:top w:val="single" w:sz="8" w:color="0000FF"/>
              <w:bottom w:val="single" w:sz="8" w:color="auto"/>
            </w:tcBorders>
          </w:tcPr>
          <w:p>
            <w:pPr>
              <w:spacing w:after="0"/>
              <w:rPr>
                <w:sz w:val="5"/>
                <w:szCs w:val="5"/>
                <w:color w:val="auto"/>
              </w:rPr>
            </w:pPr>
          </w:p>
        </w:tc>
        <w:tc>
          <w:tcPr>
            <w:tcW w:w="500" w:type="dxa"/>
            <w:vAlign w:val="bottom"/>
            <w:tcBorders>
              <w:top w:val="single" w:sz="8" w:color="0000FF"/>
              <w:bottom w:val="single" w:sz="8" w:color="auto"/>
            </w:tcBorders>
          </w:tcPr>
          <w:p>
            <w:pPr>
              <w:spacing w:after="0"/>
              <w:rPr>
                <w:sz w:val="5"/>
                <w:szCs w:val="5"/>
                <w:color w:val="auto"/>
              </w:rPr>
            </w:pPr>
          </w:p>
        </w:tc>
        <w:tc>
          <w:tcPr>
            <w:tcW w:w="560" w:type="dxa"/>
            <w:vAlign w:val="bottom"/>
            <w:tcBorders>
              <w:top w:val="single" w:sz="8" w:color="0000FF"/>
              <w:bottom w:val="single" w:sz="8" w:color="auto"/>
            </w:tcBorders>
          </w:tcPr>
          <w:p>
            <w:pPr>
              <w:spacing w:after="0"/>
              <w:rPr>
                <w:sz w:val="5"/>
                <w:szCs w:val="5"/>
                <w:color w:val="auto"/>
              </w:rPr>
            </w:pPr>
          </w:p>
        </w:tc>
        <w:tc>
          <w:tcPr>
            <w:tcW w:w="3240" w:type="dxa"/>
            <w:vAlign w:val="bottom"/>
            <w:tcBorders>
              <w:top w:val="single" w:sz="8" w:color="0000FF"/>
              <w:bottom w:val="single" w:sz="8" w:color="auto"/>
            </w:tcBorders>
          </w:tcPr>
          <w:p>
            <w:pPr>
              <w:spacing w:after="0"/>
              <w:rPr>
                <w:sz w:val="5"/>
                <w:szCs w:val="5"/>
                <w:color w:val="auto"/>
              </w:rPr>
            </w:pPr>
          </w:p>
        </w:tc>
        <w:tc>
          <w:tcPr>
            <w:tcW w:w="140" w:type="dxa"/>
            <w:vAlign w:val="bottom"/>
            <w:tcBorders>
              <w:top w:val="single" w:sz="8" w:color="0000FF"/>
              <w:bottom w:val="single" w:sz="8" w:color="auto"/>
            </w:tcBorders>
          </w:tcPr>
          <w:p>
            <w:pPr>
              <w:spacing w:after="0"/>
              <w:rPr>
                <w:sz w:val="5"/>
                <w:szCs w:val="5"/>
                <w:color w:val="auto"/>
              </w:rPr>
            </w:pPr>
          </w:p>
        </w:tc>
        <w:tc>
          <w:tcPr>
            <w:tcW w:w="1400" w:type="dxa"/>
            <w:vAlign w:val="bottom"/>
            <w:tcBorders>
              <w:top w:val="single" w:sz="8" w:color="0000FF"/>
              <w:bottom w:val="single" w:sz="8" w:color="auto"/>
            </w:tcBorders>
          </w:tcPr>
          <w:p>
            <w:pPr>
              <w:spacing w:after="0"/>
              <w:rPr>
                <w:sz w:val="5"/>
                <w:szCs w:val="5"/>
                <w:color w:val="auto"/>
              </w:rPr>
            </w:pPr>
          </w:p>
        </w:tc>
        <w:tc>
          <w:tcPr>
            <w:tcW w:w="820" w:type="dxa"/>
            <w:vAlign w:val="bottom"/>
            <w:tcBorders>
              <w:top w:val="single" w:sz="8" w:color="0000FF"/>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20" w:type="dxa"/>
            <w:vAlign w:val="bottom"/>
            <w:tcBorders>
              <w:top w:val="single" w:sz="8" w:color="0000FF"/>
              <w:bottom w:val="single" w:sz="8" w:color="auto"/>
            </w:tcBorders>
          </w:tcPr>
          <w:p>
            <w:pPr>
              <w:spacing w:after="0"/>
              <w:rPr>
                <w:sz w:val="5"/>
                <w:szCs w:val="5"/>
                <w:color w:val="auto"/>
              </w:rPr>
            </w:pPr>
          </w:p>
        </w:tc>
        <w:tc>
          <w:tcPr>
            <w:tcW w:w="440" w:type="dxa"/>
            <w:vAlign w:val="bottom"/>
            <w:tcBorders>
              <w:top w:val="single" w:sz="8" w:color="0000FF"/>
              <w:bottom w:val="single" w:sz="8" w:color="auto"/>
            </w:tcBorders>
          </w:tcPr>
          <w:p>
            <w:pPr>
              <w:spacing w:after="0"/>
              <w:rPr>
                <w:sz w:val="5"/>
                <w:szCs w:val="5"/>
                <w:color w:val="auto"/>
              </w:rPr>
            </w:pPr>
          </w:p>
        </w:tc>
        <w:tc>
          <w:tcPr>
            <w:tcW w:w="240" w:type="dxa"/>
            <w:vAlign w:val="bottom"/>
            <w:tcBorders>
              <w:top w:val="single" w:sz="8" w:color="0000FF"/>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r>
      <w:tr>
        <w:trPr>
          <w:trHeight w:val="211"/>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101.INS</w:t>
            </w: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Borders>
              <w:right w:val="single" w:sz="8" w:color="auto"/>
            </w:tcBorders>
            <w:gridSpan w:val="34"/>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208"/>
        </w:trPr>
        <w:tc>
          <w:tcPr>
            <w:tcW w:w="116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40" w:type="dxa"/>
            <w:vAlign w:val="bottom"/>
            <w:tcBorders>
              <w:bottom w:val="single" w:sz="8" w:color="auto"/>
              <w:right w:val="single" w:sz="8" w:color="auto"/>
            </w:tcBorders>
            <w:gridSpan w:val="34"/>
          </w:tcPr>
          <w:p>
            <w:pPr>
              <w:spacing w:after="0"/>
              <w:rPr>
                <w:sz w:val="20"/>
                <w:szCs w:val="20"/>
                <w:color w:val="auto"/>
              </w:rPr>
            </w:pPr>
            <w:r>
              <w:rPr>
                <w:rFonts w:ascii="Arial" w:cs="Arial" w:eastAsia="Arial" w:hAnsi="Arial"/>
                <w:sz w:val="16"/>
                <w:szCs w:val="16"/>
                <w:color w:val="auto"/>
              </w:rPr>
              <w:t>the Inline XBRL document.</w:t>
            </w:r>
          </w:p>
        </w:tc>
      </w:tr>
      <w:tr>
        <w:trPr>
          <w:trHeight w:val="224"/>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140" w:type="dxa"/>
            <w:vAlign w:val="bottom"/>
            <w:tcBorders>
              <w:right w:val="single" w:sz="8" w:color="auto"/>
            </w:tcBorders>
            <w:gridSpan w:val="34"/>
          </w:tcPr>
          <w:p>
            <w:pPr>
              <w:spacing w:after="0"/>
              <w:rPr>
                <w:sz w:val="20"/>
                <w:szCs w:val="20"/>
                <w:color w:val="auto"/>
              </w:rPr>
            </w:pPr>
            <w:r>
              <w:rPr>
                <w:rFonts w:ascii="Arial" w:cs="Arial" w:eastAsia="Arial" w:hAnsi="Arial"/>
                <w:sz w:val="16"/>
                <w:szCs w:val="16"/>
                <w:color w:val="auto"/>
              </w:rPr>
              <w:t>XBRL Taxonomy Extension Schema.</w:t>
            </w:r>
          </w:p>
        </w:tc>
      </w:tr>
      <w:tr>
        <w:trPr>
          <w:trHeight w:val="47"/>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217"/>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1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Borders>
              <w:right w:val="single" w:sz="8" w:color="auto"/>
            </w:tcBorders>
            <w:gridSpan w:val="34"/>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47"/>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42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80" w:type="dxa"/>
            <w:vAlign w:val="bottom"/>
            <w:gridSpan w:val="31"/>
          </w:tcPr>
          <w:p>
            <w:pPr>
              <w:ind w:left="1800"/>
              <w:spacing w:after="0"/>
              <w:rPr>
                <w:sz w:val="20"/>
                <w:szCs w:val="20"/>
                <w:color w:val="auto"/>
              </w:rPr>
            </w:pPr>
            <w:r>
              <w:rPr>
                <w:rFonts w:ascii="Arial" w:cs="Arial" w:eastAsia="Arial" w:hAnsi="Arial"/>
                <w:sz w:val="18"/>
                <w:szCs w:val="18"/>
                <w:color w:val="auto"/>
              </w:rPr>
              <w:t>H-6</w:t>
            </w:r>
          </w:p>
        </w:tc>
      </w:tr>
    </w:tbl>
    <w:p>
      <w:pPr>
        <w:sectPr>
          <w:pgSz w:w="11900" w:h="16838" w:orient="portrait"/>
          <w:cols w:equalWidth="0" w:num="1">
            <w:col w:w="11440"/>
          </w:cols>
          <w:pgMar w:left="240" w:top="140" w:right="21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54875" cy="548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1">
                      <a:extLst>
                        <a:ext uri="{28A0092B-C50C-407E-A947-70E740481C1C}"/>
                      </a:extLst>
                    </a:blip>
                    <a:srcRect/>
                    <a:stretch>
                      <a:fillRect/>
                    </a:stretch>
                  </pic:blipFill>
                  <pic:spPr bwMode="auto">
                    <a:xfrm>
                      <a:off x="0" y="0"/>
                      <a:ext cx="7254875" cy="548640"/>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Pr>
          <w:p>
            <w:pPr>
              <w:ind w:left="40"/>
              <w:spacing w:after="0"/>
              <w:rPr>
                <w:sz w:val="20"/>
                <w:szCs w:val="20"/>
                <w:color w:val="auto"/>
              </w:rPr>
            </w:pPr>
            <w:r>
              <w:rPr>
                <w:rFonts w:ascii="Arial" w:cs="Arial" w:eastAsia="Arial" w:hAnsi="Arial"/>
                <w:sz w:val="16"/>
                <w:szCs w:val="16"/>
                <w:color w:val="auto"/>
              </w:rPr>
              <w:t>101.DEF</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Definition Linkbase.</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101.LAB</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Label Linkbase.</w:t>
            </w:r>
          </w:p>
        </w:tc>
      </w:tr>
      <w:tr>
        <w:trPr>
          <w:trHeight w:val="47"/>
        </w:trPr>
        <w:tc>
          <w:tcPr>
            <w:tcW w:w="10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r>
      <w:tr>
        <w:trPr>
          <w:trHeight w:val="217"/>
        </w:trPr>
        <w:tc>
          <w:tcPr>
            <w:tcW w:w="1000" w:type="dxa"/>
            <w:vAlign w:val="bottom"/>
          </w:tcPr>
          <w:p>
            <w:pPr>
              <w:ind w:left="40"/>
              <w:spacing w:after="0"/>
              <w:rPr>
                <w:sz w:val="20"/>
                <w:szCs w:val="20"/>
                <w:color w:val="auto"/>
              </w:rPr>
            </w:pPr>
            <w:r>
              <w:rPr>
                <w:rFonts w:ascii="Arial" w:cs="Arial" w:eastAsia="Arial" w:hAnsi="Arial"/>
                <w:sz w:val="16"/>
                <w:szCs w:val="16"/>
                <w:color w:val="auto"/>
              </w:rPr>
              <w:t>101.PRE</w:t>
            </w:r>
          </w:p>
        </w:tc>
        <w:tc>
          <w:tcPr>
            <w:tcW w:w="10440" w:type="dxa"/>
            <w:vAlign w:val="bottom"/>
          </w:tcPr>
          <w:p>
            <w:pPr>
              <w:ind w:left="30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4" w:lineRule="exact"/>
        <w:rPr>
          <w:sz w:val="20"/>
          <w:szCs w:val="20"/>
          <w:color w:val="auto"/>
        </w:rPr>
      </w:pPr>
    </w:p>
    <w:p>
      <w:pPr>
        <w:ind w:left="1080" w:hanging="1045"/>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Cendant Corporation is now known as Avis Budget Group, Inc.</w:t>
      </w:r>
    </w:p>
    <w:p>
      <w:pPr>
        <w:spacing w:after="0" w:line="59" w:lineRule="exact"/>
        <w:rPr>
          <w:sz w:val="20"/>
          <w:szCs w:val="20"/>
          <w:color w:val="auto"/>
        </w:rPr>
      </w:pPr>
    </w:p>
    <w:p>
      <w:pPr>
        <w:ind w:left="1080" w:hanging="1045"/>
        <w:spacing w:after="0"/>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Cendant Car Rental Group, LLC (formerly known as Cendant Car Rental Group, Inc.) is now known as Avis Budget Car Rental, LLC.</w:t>
      </w:r>
    </w:p>
    <w:p>
      <w:pPr>
        <w:spacing w:after="0" w:line="59" w:lineRule="exact"/>
        <w:rPr>
          <w:rFonts w:ascii="Arial" w:cs="Arial" w:eastAsia="Arial" w:hAnsi="Arial"/>
          <w:sz w:val="16"/>
          <w:szCs w:val="16"/>
          <w:color w:val="auto"/>
        </w:rPr>
      </w:pPr>
    </w:p>
    <w:p>
      <w:pPr>
        <w:ind w:left="1080" w:right="400" w:hanging="1045"/>
        <w:spacing w:after="0" w:line="260"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Cendant Rental Car Funding (AESOP) LLC, formerly known as AESOP Funding II L.L.C, is now known as Avis Budget Rental Car Funding (AESOP) LLC.</w:t>
      </w:r>
    </w:p>
    <w:p>
      <w:pPr>
        <w:spacing w:after="0" w:line="33" w:lineRule="exact"/>
        <w:rPr>
          <w:rFonts w:ascii="Arial" w:cs="Arial" w:eastAsia="Arial" w:hAnsi="Arial"/>
          <w:sz w:val="16"/>
          <w:szCs w:val="16"/>
          <w:color w:val="auto"/>
        </w:rPr>
      </w:pPr>
    </w:p>
    <w:p>
      <w:pPr>
        <w:ind w:left="1080" w:hanging="1045"/>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Avis Rent A Car System, Inc. is now known as Avis Rent A Car System, LLC.</w:t>
      </w:r>
    </w:p>
    <w:p>
      <w:pPr>
        <w:spacing w:after="0" w:line="59" w:lineRule="exact"/>
        <w:rPr>
          <w:rFonts w:ascii="Arial" w:cs="Arial" w:eastAsia="Arial" w:hAnsi="Arial"/>
          <w:sz w:val="16"/>
          <w:szCs w:val="16"/>
          <w:color w:val="auto"/>
        </w:rPr>
      </w:pPr>
    </w:p>
    <w:p>
      <w:pPr>
        <w:ind w:left="1080" w:hanging="1045"/>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Avis Group Holdings, Inc. is now known as Avis Group Holdings, LLC.</w:t>
      </w:r>
    </w:p>
    <w:p>
      <w:pPr>
        <w:spacing w:after="0" w:line="59" w:lineRule="exact"/>
        <w:rPr>
          <w:sz w:val="20"/>
          <w:szCs w:val="20"/>
          <w:color w:val="auto"/>
        </w:rPr>
      </w:pPr>
    </w:p>
    <w:p>
      <w:pPr>
        <w:ind w:left="1080" w:hanging="1045"/>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Denotes management contract or compensatory plan.</w:t>
      </w:r>
    </w:p>
    <w:p>
      <w:pPr>
        <w:spacing w:after="0" w:line="59" w:lineRule="exact"/>
        <w:rPr>
          <w:sz w:val="20"/>
          <w:szCs w:val="20"/>
          <w:color w:val="auto"/>
        </w:rPr>
      </w:pPr>
    </w:p>
    <w:p>
      <w:pPr>
        <w:ind w:left="1080" w:right="120" w:hanging="1045"/>
        <w:spacing w:after="0" w:line="260"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H-7</w:t>
      </w:r>
    </w:p>
    <w:p>
      <w:pPr>
        <w:sectPr>
          <w:pgSz w:w="11900" w:h="16838" w:orient="portrait"/>
          <w:cols w:equalWidth="0" w:num="1">
            <w:col w:w="11440"/>
          </w:cols>
          <w:pgMar w:left="240" w:top="140" w:right="219" w:bottom="1440" w:gutter="0" w:footer="0" w:header="0"/>
        </w:sectPr>
      </w:pPr>
    </w:p>
    <w:bookmarkStart w:id="124" w:name="page125"/>
    <w:bookmarkEnd w:id="124"/>
    <w:p>
      <w:pPr>
        <w:ind w:left="10480"/>
        <w:spacing w:after="0"/>
        <w:rPr>
          <w:sz w:val="20"/>
          <w:szCs w:val="20"/>
          <w:color w:val="auto"/>
        </w:rPr>
      </w:pPr>
      <w:r>
        <w:rPr>
          <w:rFonts w:ascii="Arial" w:cs="Arial" w:eastAsia="Arial" w:hAnsi="Arial"/>
          <w:sz w:val="16"/>
          <w:szCs w:val="16"/>
          <w:b w:val="1"/>
          <w:bCs w:val="1"/>
          <w:color w:val="auto"/>
        </w:rPr>
        <w:t>Exhibit 4.15</w:t>
      </w:r>
    </w:p>
    <w:p>
      <w:pPr>
        <w:spacing w:after="0" w:line="248" w:lineRule="exact"/>
        <w:rPr>
          <w:sz w:val="20"/>
          <w:szCs w:val="20"/>
          <w:color w:val="auto"/>
        </w:rPr>
      </w:pPr>
    </w:p>
    <w:p>
      <w:pPr>
        <w:jc w:val="center"/>
        <w:ind w:left="260" w:right="160"/>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66" w:lineRule="exact"/>
        <w:rPr>
          <w:sz w:val="20"/>
          <w:szCs w:val="20"/>
          <w:color w:val="auto"/>
        </w:rPr>
      </w:pPr>
    </w:p>
    <w:p>
      <w:pPr>
        <w:ind w:right="280" w:firstLine="4214"/>
        <w:spacing w:after="0" w:line="277" w:lineRule="auto"/>
        <w:rPr>
          <w:sz w:val="20"/>
          <w:szCs w:val="20"/>
          <w:color w:val="auto"/>
        </w:rPr>
      </w:pPr>
      <w:r>
        <w:rPr>
          <w:rFonts w:ascii="Arial" w:cs="Arial" w:eastAsia="Arial" w:hAnsi="Arial"/>
          <w:sz w:val="18"/>
          <w:szCs w:val="18"/>
          <w:color w:val="auto"/>
        </w:rPr>
        <w:t>Avis Budget Group, Inc., a Delaware corporation (the “Company”), has the following classes of securities registered pursuant to Section 12 of the Securities Exchange Act of 1934, as amended.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following description of the Company’s common stock, par value $0.01 per share (the “Common Stock”), is a summary and does not purport to be complete. It is subject to and qualified in its entirety by reference to the Company’s amended and restated certificate of incorporation (the “Certificate of Incorporation”) and amended and restated bylaws (the “Bylaws”), which are incorporated by reference as exhibits to the Annual Report on Form 10-K of which this exhibit is a part, and which we encourage you to refer to. In addition, you should refer to the General Corporation Law of Delaware, as amended (the “DGCL”), which may also affect the terms of the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229" w:lineRule="exact"/>
        <w:rPr>
          <w:sz w:val="20"/>
          <w:szCs w:val="20"/>
          <w:color w:val="auto"/>
        </w:rPr>
      </w:pPr>
    </w:p>
    <w:p>
      <w:pPr>
        <w:ind w:right="860" w:firstLine="648"/>
        <w:spacing w:after="0" w:line="342" w:lineRule="auto"/>
        <w:rPr>
          <w:sz w:val="20"/>
          <w:szCs w:val="20"/>
          <w:color w:val="auto"/>
        </w:rPr>
      </w:pPr>
      <w:r>
        <w:rPr>
          <w:rFonts w:ascii="Arial" w:cs="Arial" w:eastAsia="Arial" w:hAnsi="Arial"/>
          <w:sz w:val="16"/>
          <w:szCs w:val="16"/>
          <w:color w:val="auto"/>
        </w:rPr>
        <w:t>The amended and restated certificate of incorporation of the Company authorizes the Company to issue 260,000,000 shares, consisting of 250,000,000 shares of Common Stock and 10,000,000 shares of preferred stock, par value $0.01 per share (the “Preferred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Paid and Nonassessable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outstanding shares of Common Stock are fully 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holder of each share of Common Stock is entitled to cast one vote on all matters submitted to a vote of stockholders. Holders of Common Stock do not have cumulative voting rights. Each share will continue to have one vote following a stock split, stock dividend or similar reclassification.</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affirmative vote of the holders of at least 80% of the voting power of all shares of Common Stock shall be required to alter, amend, adopt any provision inconsistent with, or repeal certain provisions in the Company’s Certificate of Incorporation related to the election of directors, stockholder nomination of directors, newly created directorships and vacancies, stockholder action, by-law amendments or charter amendments, and certain provisions in the Bylaws related to annual or special meetings of stockholders or stockholder action.</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as further described below, the affirmative vote of the holders of at least 80% of the voting power of all shares of Common Stock shall be required to approve certain transactions with an interested stockholder or affiliate thereof, unless such transaction meets certain pricing requirements and is approved by a majority of disinterested directors. This voting requirement is notwithstanding the requirements of any law, agreement with any national securities exchange or otherwise. An “interested stockholder” is any person that (i) is the beneficial owner of 5% or more of the Common Stock, (ii) is an affiliate of the Company and within the last two years was the beneficial owner of 5% or more of the Common Stock or (iii) is an assignee of or successor to shares of Common Stock which were owned by such persons within the last two years. The Board of Directors of the Company (the “Board”), by majority vote, has the power and authority to determine whether a person is an “interested stockholder” or an affiliate thereof, the beneficial ownership of such person, and whether any transaction meets the pricing requirements referred to above.</w:t>
      </w:r>
    </w:p>
    <w:p>
      <w:pPr>
        <w:sectPr>
          <w:pgSz w:w="11900" w:h="16838" w:orient="portrait"/>
          <w:cols w:equalWidth="0" w:num="1">
            <w:col w:w="11420"/>
          </w:cols>
          <w:pgMar w:left="240" w:top="351"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Subject to the rights of the holders of Preferred Stock, the Company is permitted to pay dividends from time to time on Common Stock out of the assets or funds of the Company legally available for the payment of dividends under Delaware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After payment of or provision for all liabilities, including contingent liabilities, of the Company and payment of the liquidation preference payable to any holders of Preferred Stock, if any, holders of Common Stock are entitled, upon voluntary or involuntary liquidation, dissolution or winding-up of the Company, to receive their proportionate interest in the net assets of the Company, if any, remaining for distribution to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holders of Common Stock have no preemptive or conversion rights and are not subject to further calls or assessments. There are no redemption or sinking fund provisions or restrictions on alienability applicable to the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Takeover Defense</w:t>
      </w:r>
    </w:p>
    <w:p>
      <w:pPr>
        <w:spacing w:after="0" w:line="256" w:lineRule="exact"/>
        <w:rPr>
          <w:sz w:val="20"/>
          <w:szCs w:val="20"/>
          <w:color w:val="auto"/>
        </w:rPr>
      </w:pPr>
    </w:p>
    <w:p>
      <w:pPr>
        <w:ind w:right="120" w:firstLine="648"/>
        <w:spacing w:after="0" w:line="335" w:lineRule="auto"/>
        <w:rPr>
          <w:sz w:val="20"/>
          <w:szCs w:val="20"/>
          <w:color w:val="auto"/>
        </w:rPr>
      </w:pPr>
      <w:r>
        <w:rPr>
          <w:rFonts w:ascii="Arial" w:cs="Arial" w:eastAsia="Arial" w:hAnsi="Arial"/>
          <w:sz w:val="17"/>
          <w:szCs w:val="17"/>
          <w:color w:val="auto"/>
        </w:rPr>
        <w:t xml:space="preserve">Certain provisions of the Certificate of Incorporation, the By-laws and the DGCL have anti-takeover effects and could delay, discourage, defer or prevent a tender offer or takeover attempt that a shareholder might consider to be in the shareholder’s best interests, including attempts that might result in a premium over the market price for the shares held by shareholders, and may make removal of the incumbent management and directors more difficult. For a discussion of the Company's Rights Agreement, which could have a similar effect, please see " </w:t>
      </w:r>
      <w:r>
        <w:rPr>
          <w:rFonts w:ascii="Arial" w:cs="Arial" w:eastAsia="Arial" w:hAnsi="Arial"/>
          <w:sz w:val="17"/>
          <w:szCs w:val="17"/>
          <w:color w:val="3C4043"/>
        </w:rPr>
        <w:t>—</w:t>
      </w:r>
      <w:r>
        <w:rPr>
          <w:rFonts w:ascii="Arial" w:cs="Arial" w:eastAsia="Arial" w:hAnsi="Arial"/>
          <w:sz w:val="17"/>
          <w:szCs w:val="17"/>
          <w:color w:val="auto"/>
        </w:rPr>
        <w:t xml:space="preserve"> Description of Rights."</w:t>
      </w:r>
    </w:p>
    <w:p>
      <w:pPr>
        <w:spacing w:after="0" w:line="13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The authorized but unissued shares of Common Stock and Preferred Stock will be available for future issuance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the Company by means of a proxy contest, tender offer, merger or otherwise.</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Board will have the sole authority to determine the terms of any one or more series of Preferred Stock, including voting rights, dividend rates, conversion and redemption rights and liquidation preferences. As a result of the ability to fix voting rights for a series of Preferred Stock, the Board will have the power to the extent consistent with its legal duties to issue a series of Preferred Stock to persons friendly to management in order to attempt to block a tender offer, merger or other transaction by which a third-party seeks control of the Company, and thereby assist members of management to retain their positions.</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No Stockholder Action by Written Consent; Special Meetings</w:t>
      </w:r>
      <w:r>
        <w:rPr>
          <w:rFonts w:ascii="Arial" w:cs="Arial" w:eastAsia="Arial" w:hAnsi="Arial"/>
          <w:sz w:val="16"/>
          <w:szCs w:val="16"/>
          <w:color w:val="auto"/>
        </w:rPr>
        <w:t>. Any action required or permitted to be taken by the stockholders of the Company must</w:t>
      </w:r>
      <w:r>
        <w:rPr>
          <w:rFonts w:ascii="Arial" w:cs="Arial" w:eastAsia="Arial" w:hAnsi="Arial"/>
          <w:sz w:val="16"/>
          <w:szCs w:val="16"/>
          <w:i w:val="1"/>
          <w:iCs w:val="1"/>
          <w:color w:val="auto"/>
        </w:rPr>
        <w:t xml:space="preserve"> </w:t>
      </w:r>
      <w:r>
        <w:rPr>
          <w:rFonts w:ascii="Arial" w:cs="Arial" w:eastAsia="Arial" w:hAnsi="Arial"/>
          <w:sz w:val="16"/>
          <w:szCs w:val="16"/>
          <w:color w:val="auto"/>
        </w:rPr>
        <w:t>be duly effected at an annual or special meeting of such holders and may not be taken by any consent in writing by such holders. Special meetings of stockholders of the Company may be called only by the Chairman of the Board, the President or a majority of the full Board pursuant to a resolution stating the purpose or purposes of the special meeting. No business other than that stated in the notice shall be transacted at any special meeting.</w:t>
      </w:r>
    </w:p>
    <w:p>
      <w:pPr>
        <w:spacing w:after="0" w:line="15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Advance Notice for Stockholder Nominations and Proposals of New Business</w:t>
      </w:r>
      <w:r>
        <w:rPr>
          <w:rFonts w:ascii="Arial" w:cs="Arial" w:eastAsia="Arial" w:hAnsi="Arial"/>
          <w:sz w:val="17"/>
          <w:szCs w:val="17"/>
          <w:color w:val="auto"/>
        </w:rPr>
        <w:t>. The Bylaws establish an advance notice procedure. This procedure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stockholders to deliver to the Company notice of any proposal to be presented at an annual meeting of stockholders not less than 60 nor more than 90 days prior to the anniversary of the preceding annual meeting of stockholders, and notice of a candidate to be nominated for election as a director of the Company at an annual meeting of stockholders not less than 90 days prior to such anniversary. However, in both</w:t>
      </w:r>
    </w:p>
    <w:p>
      <w:pPr>
        <w:sectPr>
          <w:pgSz w:w="11900" w:h="16838" w:orient="portrait"/>
          <w:cols w:equalWidth="0" w:num="1">
            <w:col w:w="11400"/>
          </w:cols>
          <w:pgMar w:left="240" w:top="337" w:right="259" w:bottom="1440" w:gutter="0" w:footer="0" w:header="0"/>
        </w:sectPr>
      </w:pPr>
    </w:p>
    <w:bookmarkStart w:id="126" w:name="page127"/>
    <w:bookmarkEnd w:id="126"/>
    <w:p>
      <w:pPr>
        <w:ind w:right="80"/>
        <w:spacing w:after="0" w:line="264" w:lineRule="auto"/>
        <w:rPr>
          <w:sz w:val="20"/>
          <w:szCs w:val="20"/>
          <w:color w:val="auto"/>
        </w:rPr>
      </w:pPr>
      <w:r>
        <w:rPr>
          <w:rFonts w:ascii="Arial" w:cs="Arial" w:eastAsia="Arial" w:hAnsi="Arial"/>
          <w:sz w:val="18"/>
          <w:szCs w:val="18"/>
          <w:color w:val="auto"/>
        </w:rPr>
        <w:t>instances, if the date of the meeting is not within 25 days of such anniversary or with respect to director nominations for an election to be held at a special meeting of stockholders, advance notice shall be given not later than 10 days after the actual meeting date is first so announced or notice thereof was mailed, whichever first occurs.</w:t>
      </w:r>
    </w:p>
    <w:p>
      <w:pPr>
        <w:spacing w:after="0" w:line="18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Delaware Business Combination Statute</w:t>
      </w:r>
      <w:r>
        <w:rPr>
          <w:rFonts w:ascii="Arial" w:cs="Arial" w:eastAsia="Arial" w:hAnsi="Arial"/>
          <w:sz w:val="17"/>
          <w:szCs w:val="17"/>
          <w:color w:val="auto"/>
        </w:rPr>
        <w:t>. The Company is subject to Section 203 of the DGCL, an anti-takeover law. In general, Section 203</w:t>
      </w:r>
      <w:r>
        <w:rPr>
          <w:rFonts w:ascii="Arial" w:cs="Arial" w:eastAsia="Arial" w:hAnsi="Arial"/>
          <w:sz w:val="17"/>
          <w:szCs w:val="17"/>
          <w:i w:val="1"/>
          <w:iCs w:val="1"/>
          <w:color w:val="auto"/>
        </w:rPr>
        <w:t xml:space="preserve"> </w:t>
      </w:r>
      <w:r>
        <w:rPr>
          <w:rFonts w:ascii="Arial" w:cs="Arial" w:eastAsia="Arial" w:hAnsi="Arial"/>
          <w:sz w:val="17"/>
          <w:szCs w:val="17"/>
          <w:color w:val="auto"/>
        </w:rPr>
        <w:t>prohibits a publicly held Delaware corporation from engaging in a business combination with an interested stockholder for a period of three years following the date such person becomes an interested stockholder, unless the business combination or the transaction in which such person becomes an interested stockholder is approved in a prescribed manner. Generally, a “business combination” includes a merger, asset or stock sale, or other transaction resulting in a financial benefit to the interested stockholder. Generally, an “interested stockholder” is a person that, together with affiliates and associates, owns, or within three years prior to the determination of interested stockholder status did own, 15% or more of a corporation’s voting stock. The existence of this provision may have an anti-takeover effect with respect to transactions not approved in advance by the Board and the anti-takeover effect includes discouraging attempts that might result in a premium over the market price for the shares of Common Stock.</w:t>
      </w:r>
    </w:p>
    <w:p>
      <w:pPr>
        <w:spacing w:after="0" w:line="17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addition to the approval requirements under Delaware law, the Certificate of Incorporation includes additional requirements concerning certain “business combinations” which is defined in the Certificate of Incorporation to include any of the following:</w:t>
      </w:r>
    </w:p>
    <w:p>
      <w:pPr>
        <w:spacing w:after="0" w:line="184" w:lineRule="exact"/>
        <w:rPr>
          <w:sz w:val="20"/>
          <w:szCs w:val="20"/>
          <w:color w:val="auto"/>
        </w:rPr>
      </w:pPr>
    </w:p>
    <w:p>
      <w:pPr>
        <w:jc w:val="both"/>
        <w:ind w:left="980" w:right="80" w:hanging="324"/>
        <w:spacing w:after="0" w:line="300" w:lineRule="auto"/>
        <w:tabs>
          <w:tab w:leader="none" w:pos="9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merger or consolidation of the Company or any majority-owned subsidiary with (a) any interested stockholder or (b) any other corporation (whether or not itself an interested stockholder) that is, or after such merger or consolidation would be, an affiliate of an interested stockholder;</w:t>
      </w:r>
    </w:p>
    <w:p>
      <w:pPr>
        <w:spacing w:after="0" w:line="12" w:lineRule="exact"/>
        <w:rPr>
          <w:rFonts w:ascii="Arial" w:cs="Arial" w:eastAsia="Arial" w:hAnsi="Arial"/>
          <w:sz w:val="16"/>
          <w:szCs w:val="16"/>
          <w:color w:val="auto"/>
        </w:rPr>
      </w:pPr>
    </w:p>
    <w:p>
      <w:pPr>
        <w:ind w:left="980" w:right="60" w:hanging="324"/>
        <w:spacing w:after="0" w:line="305"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6"/>
          <w:szCs w:val="16"/>
          <w:color w:val="auto"/>
        </w:rPr>
        <w:t>any sale, lease, exchange, mortgage, pledge, transfer or other disposition (in one transaction or a series of transactions) to or with any interested stockholder of any assets of the Company or any majority-owned subsidiary having an aggregate fair market value of $10 million or more;</w:t>
      </w:r>
    </w:p>
    <w:p>
      <w:pPr>
        <w:spacing w:after="0" w:line="16" w:lineRule="exact"/>
        <w:rPr>
          <w:rFonts w:ascii="Arial" w:cs="Arial" w:eastAsia="Arial" w:hAnsi="Arial"/>
          <w:sz w:val="18"/>
          <w:szCs w:val="18"/>
          <w:color w:val="auto"/>
        </w:rPr>
      </w:pPr>
    </w:p>
    <w:p>
      <w:pPr>
        <w:ind w:left="980" w:right="140" w:hanging="324"/>
        <w:spacing w:after="0" w:line="280" w:lineRule="auto"/>
        <w:tabs>
          <w:tab w:leader="none" w:pos="980" w:val="left"/>
        </w:tabs>
        <w:numPr>
          <w:ilvl w:val="0"/>
          <w:numId w:val="92"/>
        </w:numPr>
        <w:rPr>
          <w:rFonts w:ascii="Arial" w:cs="Arial" w:eastAsia="Arial" w:hAnsi="Arial"/>
          <w:sz w:val="20"/>
          <w:szCs w:val="20"/>
          <w:color w:val="auto"/>
        </w:rPr>
      </w:pPr>
      <w:r>
        <w:rPr>
          <w:rFonts w:ascii="Arial" w:cs="Arial" w:eastAsia="Arial" w:hAnsi="Arial"/>
          <w:sz w:val="18"/>
          <w:szCs w:val="18"/>
          <w:color w:val="auto"/>
        </w:rPr>
        <w:t>the issuance or transfer by the Company or any majority-owned subsidiary (in one transaction or series of transactions) of any securities of the Company or any majority-owned subsidiary to any interested stockholder in exchange for cash, securities or other property (or a combination thereof) having an aggregate fair market value of $10 million or more;</w:t>
      </w:r>
    </w:p>
    <w:p>
      <w:pPr>
        <w:spacing w:after="0" w:line="18" w:lineRule="exact"/>
        <w:rPr>
          <w:rFonts w:ascii="Arial" w:cs="Arial" w:eastAsia="Arial" w:hAnsi="Arial"/>
          <w:sz w:val="20"/>
          <w:szCs w:val="20"/>
          <w:color w:val="auto"/>
        </w:rPr>
      </w:pPr>
    </w:p>
    <w:p>
      <w:pPr>
        <w:ind w:left="980" w:right="40" w:hanging="324"/>
        <w:spacing w:after="0" w:line="273" w:lineRule="auto"/>
        <w:tabs>
          <w:tab w:leader="none" w:pos="980" w:val="left"/>
        </w:tabs>
        <w:numPr>
          <w:ilvl w:val="0"/>
          <w:numId w:val="92"/>
        </w:numPr>
        <w:rPr>
          <w:rFonts w:ascii="Arial" w:cs="Arial" w:eastAsia="Arial" w:hAnsi="Arial"/>
          <w:sz w:val="20"/>
          <w:szCs w:val="20"/>
          <w:color w:val="auto"/>
        </w:rPr>
      </w:pPr>
      <w:r>
        <w:rPr>
          <w:rFonts w:ascii="Arial" w:cs="Arial" w:eastAsia="Arial" w:hAnsi="Arial"/>
          <w:sz w:val="18"/>
          <w:szCs w:val="18"/>
          <w:color w:val="auto"/>
        </w:rPr>
        <w:t>the adoption of any plan or proposal for the liquidation or dissolution of the Company proposed by or on behalf of any interested stockholder or any affiliate of any interested stockholder; or</w:t>
      </w:r>
    </w:p>
    <w:p>
      <w:pPr>
        <w:spacing w:after="0" w:line="16" w:lineRule="exact"/>
        <w:rPr>
          <w:rFonts w:ascii="Arial" w:cs="Arial" w:eastAsia="Arial" w:hAnsi="Arial"/>
          <w:sz w:val="20"/>
          <w:szCs w:val="20"/>
          <w:color w:val="auto"/>
        </w:rPr>
      </w:pPr>
    </w:p>
    <w:p>
      <w:pPr>
        <w:ind w:left="980" w:right="100" w:hanging="324"/>
        <w:spacing w:after="0" w:line="324"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6"/>
          <w:szCs w:val="16"/>
          <w:color w:val="auto"/>
        </w:rPr>
        <w:t>any reclassification of securities (including any reverse stock split) or recapitalization of the Company or any merger or consolidation of the Company with any of its majority-owned subsidiaries or any other transaction (whether or not with or into or otherwise involving an interested stockholder) which has the effect, directly or indirectly, of increasing the proportionate share of the outstanding shares of any class of equity security of the Company or any majority-owned subsidiary that is directly or indirectly owned by any interested stockholder or any affiliate of</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any interested stockholder.</w:t>
      </w:r>
    </w:p>
    <w:p>
      <w:pPr>
        <w:spacing w:after="0" w:line="23" w:lineRule="exact"/>
        <w:rPr>
          <w:sz w:val="20"/>
          <w:szCs w:val="20"/>
          <w:color w:val="auto"/>
        </w:rPr>
      </w:pPr>
    </w:p>
    <w:p>
      <w:pPr>
        <w:ind w:firstLine="446"/>
        <w:spacing w:after="0" w:line="307" w:lineRule="auto"/>
        <w:rPr>
          <w:sz w:val="20"/>
          <w:szCs w:val="20"/>
          <w:color w:val="auto"/>
        </w:rPr>
      </w:pPr>
      <w:r>
        <w:rPr>
          <w:rFonts w:ascii="Arial" w:cs="Arial" w:eastAsia="Arial" w:hAnsi="Arial"/>
          <w:sz w:val="17"/>
          <w:szCs w:val="17"/>
          <w:color w:val="auto"/>
        </w:rPr>
        <w:t>Any business combination defined above requires approval by the affirmative vote of at least 80% of the voting power of the then outstanding shares of the Company’s capital stock entitled to vote generally in the election of directors, voting together as a single class, unless:</w:t>
      </w:r>
    </w:p>
    <w:p>
      <w:pPr>
        <w:spacing w:after="0" w:line="147" w:lineRule="exact"/>
        <w:rPr>
          <w:sz w:val="20"/>
          <w:szCs w:val="20"/>
          <w:color w:val="auto"/>
        </w:rPr>
      </w:pPr>
    </w:p>
    <w:p>
      <w:pPr>
        <w:ind w:left="1100" w:hanging="322"/>
        <w:spacing w:after="0"/>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business combination is approved by a majority of the disinterested directors; or</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minimum price criteria and procedural requirements are satisfied.</w:t>
      </w:r>
    </w:p>
    <w:p>
      <w:pPr>
        <w:spacing w:after="0" w:line="9" w:lineRule="exact"/>
        <w:rPr>
          <w:sz w:val="20"/>
          <w:szCs w:val="20"/>
          <w:color w:val="auto"/>
        </w:rPr>
      </w:pPr>
    </w:p>
    <w:p>
      <w:pPr>
        <w:ind w:right="200" w:firstLine="446"/>
        <w:spacing w:after="0" w:line="261" w:lineRule="auto"/>
        <w:rPr>
          <w:sz w:val="20"/>
          <w:szCs w:val="20"/>
          <w:color w:val="auto"/>
        </w:rPr>
      </w:pPr>
      <w:r>
        <w:rPr>
          <w:rFonts w:ascii="Arial" w:cs="Arial" w:eastAsia="Arial" w:hAnsi="Arial"/>
          <w:sz w:val="18"/>
          <w:szCs w:val="18"/>
          <w:color w:val="auto"/>
        </w:rPr>
        <w:t>In general, a “disinterested director” means a director that is not affiliated with the interested stockholder and was a member of the board of directors prior to the time that the interested stockholder became an interested stockholder.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Common Stock has been listed on the NASDAQ Global Select Market under the ticker symbol “CAR”.</w:t>
      </w:r>
    </w:p>
    <w:p>
      <w:pPr>
        <w:sectPr>
          <w:pgSz w:w="11900" w:h="16838" w:orient="portrait"/>
          <w:cols w:equalWidth="0" w:num="1">
            <w:col w:w="11380"/>
          </w:cols>
          <w:pgMar w:left="240" w:top="341" w:right="27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for the Common Stock is Computershare.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firstLine="4214"/>
        <w:spacing w:after="0" w:line="273" w:lineRule="auto"/>
        <w:rPr>
          <w:sz w:val="20"/>
          <w:szCs w:val="20"/>
          <w:color w:val="auto"/>
        </w:rPr>
      </w:pPr>
      <w:r>
        <w:rPr>
          <w:rFonts w:ascii="Arial" w:cs="Arial" w:eastAsia="Arial" w:hAnsi="Arial"/>
          <w:sz w:val="17"/>
          <w:szCs w:val="17"/>
          <w:color w:val="auto"/>
        </w:rPr>
        <w:t xml:space="preserve">On January 27, 2020, a duly authorized committee of the Board declared a dividend of one common share purchase right (a “Right”), </w:t>
      </w:r>
      <w:r>
        <w:rPr>
          <w:rFonts w:ascii="Arial" w:cs="Arial" w:eastAsia="Arial" w:hAnsi="Arial"/>
          <w:sz w:val="17"/>
          <w:szCs w:val="17"/>
          <w:color w:val="212529"/>
        </w:rPr>
        <w:t>payable on February 7, 2020, for each share of Common Stock outstanding on February 7, 2020 (the “Record</w:t>
      </w:r>
      <w:r>
        <w:rPr>
          <w:rFonts w:ascii="Arial" w:cs="Arial" w:eastAsia="Arial" w:hAnsi="Arial"/>
          <w:sz w:val="17"/>
          <w:szCs w:val="17"/>
          <w:color w:val="auto"/>
        </w:rPr>
        <w:t xml:space="preserve"> </w:t>
      </w:r>
      <w:r>
        <w:rPr>
          <w:rFonts w:ascii="Arial" w:cs="Arial" w:eastAsia="Arial" w:hAnsi="Arial"/>
          <w:sz w:val="17"/>
          <w:szCs w:val="17"/>
          <w:color w:val="212529"/>
        </w:rPr>
        <w:t>Date”) to the stockholders of record on that date. In connection with the distribution of the Rights, the Company entered into a Rights Agreement (the “Rights Agreement”), dated as of January 27, 2020, between the Company and Computershare Inc., as Rights Agent. Each Right entitles the registered holder to purchase from the Company one share of Common Stock of the Company at a price of $110.00 per Right (the “Purchase Price”), subject to adjustment. The Rights are in all respects subject to and governed by the provisions of the Rights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Distribution Date; Exercisability; Expiration</w:t>
      </w:r>
    </w:p>
    <w:p>
      <w:pPr>
        <w:spacing w:after="0" w:line="337"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212529"/>
        </w:rPr>
        <w:t>Initially, the Rights will be attached to all Common Stock certificates and no separate certificates evidencing the Rights (“Right Certificates”) will be issued. Until the Distribution Date (as defined below), the Rights will be transferred with and only with the Common Stock. As long as the Rights are attached to the Common Stock, the Company will issue one Right with each new share of Common Stock so that all such shares of Common Stock will have Rights attached.</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212529"/>
        </w:rPr>
        <w:t>The Rights will separate and begin trading separately from the Common Stock, and Right Certificates will be caused to evidence the Rights, on the earlier to occur of (i) the Close of Business (as such term is defined in the Rights Agreement) on the tenth day following a public announcement, or the public disclosure of facts indicating (or the Board becoming aware), that a Person (as such term is defined in the Rights Agreement) or group of affiliated or associated Persons has acquired Beneficial Ownership (as defined below) of 20% or more of the outstanding Common Stock (an “Acquiring Person”) (or, in the event the Board determines to effect an exchange in accordance with Section 24 of the Rights Agreement and the Board determines that a later date is advisable, then such later date) or (ii) the Close of Business on the tenth Business Day (as such term is defined in the Rights Agreement) (or such later date as may be determined by action of the Board prior to such time as any Person becomes an Acquiring Person) following the commencement of a tender offer or exchange offer the consummation of which would result in the Beneficial Ownership by a Person or group of 20% or more of the outstanding Common Stock (the earlier of such dates, the “Distribution Date”). As soon as practicable after the Distribution Date, unless the Rights are recorded in book-entry or other uncertificated form, the Company will prepare and cause the Right Certificates to be sent to each record holder of Common Stock as of the Distribution Date.</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212529"/>
        </w:rPr>
        <w:t>An “Acquiring Person” will not include (i) the Company, (ii) any Subsidiary (as such term is defined in the Rights Agreement) of the Company,</w:t>
      </w:r>
    </w:p>
    <w:p>
      <w:pPr>
        <w:spacing w:after="0" w:line="35" w:lineRule="exact"/>
        <w:rPr>
          <w:sz w:val="20"/>
          <w:szCs w:val="20"/>
          <w:color w:val="auto"/>
        </w:rPr>
      </w:pPr>
    </w:p>
    <w:p>
      <w:pPr>
        <w:ind w:right="80" w:firstLine="8"/>
        <w:spacing w:after="0" w:line="286" w:lineRule="auto"/>
        <w:tabs>
          <w:tab w:leader="none" w:pos="315" w:val="left"/>
        </w:tabs>
        <w:numPr>
          <w:ilvl w:val="0"/>
          <w:numId w:val="94"/>
        </w:numPr>
        <w:rPr>
          <w:rFonts w:ascii="Arial" w:cs="Arial" w:eastAsia="Arial" w:hAnsi="Arial"/>
          <w:sz w:val="16"/>
          <w:szCs w:val="16"/>
          <w:color w:val="212529"/>
        </w:rPr>
      </w:pPr>
      <w:r>
        <w:rPr>
          <w:rFonts w:ascii="Arial" w:cs="Arial" w:eastAsia="Arial" w:hAnsi="Arial"/>
          <w:sz w:val="16"/>
          <w:szCs w:val="16"/>
          <w:color w:val="212529"/>
        </w:rPr>
        <w:t>any employee benefit plan of the Company or of any Subsidiary of the Company, (iv) any entity holding Common Stock for or pursuant to the terms of any such employee benefit plan or (v) any Person who or which, at the time of the first public announcement of the Rights Agreement, is a Beneficial Owner of 20% or more of the Common Stock then outstanding (a “Grandfathered Shareholder”). However if a Grandfathered Shareholder becomes, after such time, the Beneficial Owner of any additional Common Stock (regardless of whether, thereafter or as a result thereof, there is an increase, decrease or no change in the percentage of Common Stock then outstanding Beneficially Owned (as such term is defined in the Rights Agreement) by such Grandfathered Stockholder) then such Grandfathered Stockholder shall be deemed to be an Acquiring Person unless, upon such acquisition of Beneficial Ownership of additional Common Stock, such person is not the Beneficial Owner of 20% or more of the Common Stock then outstanding. In addition, upon the first decrease of a Grandfathered Stockholder’s Beneficial Ownership below 20%, such Grandfathered Stockholder will no longer be deemed to be a Grandfathered Stockholder. For the avoidance of doubt, any derivative that is not by its express terms capable of being settled directly into Common Stock and does not otherwise directly or indirectly convey any voting rights in Common Stock to any Person will not be included in the calculation of Beneficial Ownership for purposes of determining whether and the extent to which a Person may be deemed to be a Grandfathered</w:t>
      </w:r>
    </w:p>
    <w:p>
      <w:pPr>
        <w:sectPr>
          <w:pgSz w:w="11900" w:h="16838" w:orient="portrait"/>
          <w:cols w:equalWidth="0" w:num="1">
            <w:col w:w="11400"/>
          </w:cols>
          <w:pgMar w:left="240" w:top="337" w:right="259" w:bottom="1440" w:gutter="0" w:footer="0" w:header="0"/>
        </w:sectPr>
      </w:pPr>
    </w:p>
    <w:bookmarkStart w:id="128" w:name="page129"/>
    <w:bookmarkEnd w:id="128"/>
    <w:p>
      <w:pPr>
        <w:spacing w:after="0" w:line="272" w:lineRule="auto"/>
        <w:rPr>
          <w:sz w:val="20"/>
          <w:szCs w:val="20"/>
          <w:color w:val="auto"/>
        </w:rPr>
      </w:pPr>
      <w:r>
        <w:rPr>
          <w:rFonts w:ascii="Arial" w:cs="Arial" w:eastAsia="Arial" w:hAnsi="Arial"/>
          <w:sz w:val="17"/>
          <w:szCs w:val="17"/>
          <w:color w:val="212529"/>
        </w:rPr>
        <w:t>Stockholder. In the event that after the time of the first public announcement of the Rights Agreement, any agreement, arrangement or understanding pursuant to which any Grandfathered Stockholder is deemed to be the Beneficial Owner of Common Stock expires, is settled in whole or in part, terminates or no longer confers any benefit to or imposes any obligation on the Grandfathered Stockholder, any direct or indirect replacement, extension or substitution of such agreement, arrangement or understanding with respect to the same or different Common Stock that confers Beneficial Ownership of Common Stock shall be considered the acquisition of Beneficial Ownership of additional Common Stock by the Grandfathered Stockholder and render such Grandfathered Stockholder an Acquiring Person for purposes of the Rights Agreement unless, upon such acquisition of Beneficial Ownership of additional Common Stock, such person is not the Beneficial Owner of 20% or more of the Common Stock then outstanding.</w:t>
      </w:r>
    </w:p>
    <w:p>
      <w:pPr>
        <w:spacing w:after="0" w:line="178" w:lineRule="exact"/>
        <w:rPr>
          <w:sz w:val="20"/>
          <w:szCs w:val="20"/>
          <w:color w:val="auto"/>
        </w:rPr>
      </w:pPr>
    </w:p>
    <w:p>
      <w:pPr>
        <w:ind w:right="60" w:firstLine="446"/>
        <w:spacing w:after="0" w:line="271" w:lineRule="auto"/>
        <w:rPr>
          <w:sz w:val="20"/>
          <w:szCs w:val="20"/>
          <w:color w:val="auto"/>
        </w:rPr>
      </w:pPr>
      <w:r>
        <w:rPr>
          <w:rFonts w:ascii="Arial" w:cs="Arial" w:eastAsia="Arial" w:hAnsi="Arial"/>
          <w:sz w:val="17"/>
          <w:szCs w:val="17"/>
          <w:color w:val="212529"/>
        </w:rPr>
        <w:t>“Beneficial Ownership” is defined in the Rights Agreement to include any securities (i) which a Person or any of such Person’s Affiliates or Associates (as such terms are defined in the Rights Agreement) beneficially owns, directly or indirectly, within the meaning of Rules 13d-3 or 13d-5 promulgated under the Exchange Act or has the right or ability to vote, or the right to acquire, pursuant to any agreement, arrangement or understanding (except under limited circumstances), (ii) which are directly or indirectly Beneficially Owned by any other Person with which a Person has any agreement, arrangement or understanding for the purpose of acquiring, holding or voting such securities, or obtaining, changing or influencing control of the Company or (iii) in respect of which a Person or any of such Person’s Affiliates or Associates has a derivative position which is capable of being settled, in whole or in part, through delivery of Common Stock (whether on a required or optional basis, and whether such settlement may occur immediately or only after the passage of time, the occurrence of conditions, the satisfaction of regulatory requirements or otherwise).</w:t>
      </w:r>
    </w:p>
    <w:p>
      <w:pPr>
        <w:spacing w:after="0" w:line="179"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212529"/>
        </w:rPr>
        <w:t>The Rights are not exercisable until the Distribution Date. The Rights will expire on the Close of Business on January 26, 2021 (the “Final Expiration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Exempt Persons and Transactions</w:t>
      </w:r>
    </w:p>
    <w:p>
      <w:pPr>
        <w:spacing w:after="0" w:line="121"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212529"/>
        </w:rPr>
        <w:t>The Board may, in its sole and absolute discretion, determine that a Person is exempt from the Rights Agreement (an “Exempt Person”), so long as such determination is made prior to such time as such Person becomes an Acquiring Person. Any Person will cease to be an Exempt Person if the Board makes a contrary determination with respect to such Person regardless of the reason therefor. In addition, the Board may, in its sole and absolute discretion, exempt any transaction from triggering the Rights Agreement, so long as the determination in respect of such exemption is made prior to such time as any Person becomes an Acquiring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Qualifying Offer Exemption</w:t>
      </w:r>
    </w:p>
    <w:p>
      <w:pPr>
        <w:spacing w:after="0" w:line="121" w:lineRule="exact"/>
        <w:rPr>
          <w:sz w:val="20"/>
          <w:szCs w:val="20"/>
          <w:color w:val="auto"/>
        </w:rPr>
      </w:pPr>
    </w:p>
    <w:p>
      <w:pPr>
        <w:ind w:right="100" w:firstLine="446"/>
        <w:spacing w:after="0" w:line="273" w:lineRule="auto"/>
        <w:rPr>
          <w:sz w:val="20"/>
          <w:szCs w:val="20"/>
          <w:color w:val="auto"/>
        </w:rPr>
      </w:pPr>
      <w:r>
        <w:rPr>
          <w:rFonts w:ascii="Arial" w:cs="Arial" w:eastAsia="Arial" w:hAnsi="Arial"/>
          <w:sz w:val="17"/>
          <w:szCs w:val="17"/>
          <w:color w:val="212529"/>
        </w:rPr>
        <w:t>The Rights Agreement includes a “qualifying offer” provision, whereby the Rights will automatically expire concurrently with (but no earlier than 90 Business Days after the commencement of a Qualifying Offer (as defined in the Rights Agreement)) the acceptance, for purchase or exchange, of more than two-thirds of the Common Stock then outstanding on a fully diluted basis (excluding from the calculation of the number of shares of Common Stock purchased or exchanged any Common Stock Beneficially Owned by the offeror or its Affiliates and Associates) pursuant to a tender or exchange offer for all of the Common Stock then outstanding for the same consideration, provided that the offeror irrevocably commits to purchase all remaining untendered Common Stock for the same per share consideration actually paid pursuant to the offer.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Flip-in Event</w:t>
      </w:r>
    </w:p>
    <w:p>
      <w:pPr>
        <w:spacing w:after="0" w:line="121" w:lineRule="exact"/>
        <w:rPr>
          <w:sz w:val="20"/>
          <w:szCs w:val="20"/>
          <w:color w:val="auto"/>
        </w:rPr>
      </w:pPr>
    </w:p>
    <w:p>
      <w:pPr>
        <w:ind w:right="140" w:firstLine="446"/>
        <w:spacing w:after="0" w:line="257" w:lineRule="auto"/>
        <w:rPr>
          <w:sz w:val="20"/>
          <w:szCs w:val="20"/>
          <w:color w:val="auto"/>
        </w:rPr>
      </w:pPr>
      <w:r>
        <w:rPr>
          <w:rFonts w:ascii="Arial" w:cs="Arial" w:eastAsia="Arial" w:hAnsi="Arial"/>
          <w:sz w:val="18"/>
          <w:szCs w:val="18"/>
          <w:color w:val="212529"/>
        </w:rPr>
        <w:t>If a Person or group becomes an Acquiring Person at any time after the date of the Rights Agreement (with certain limited exceptions), the Rights will become exercisable for Common Stock having a value equal to two times the exercise price of the Right. From and after the announcement that any Person has become an Acquiring Person, if the Rights evidenced by a Right Certificate are or were acquired or Beneficially Owned by an Acquiring Person or any Associate or Affiliate of an Acquiring Person, such Rights shall become void, and any holder of such Rights shall thereafter have no right to exercise such Rights. If the Board so elects, the Company may deliver upon payment</w:t>
      </w:r>
    </w:p>
    <w:p>
      <w:pPr>
        <w:sectPr>
          <w:pgSz w:w="11900" w:h="16838" w:orient="portrait"/>
          <w:cols w:equalWidth="0" w:num="1">
            <w:col w:w="11420"/>
          </w:cols>
          <w:pgMar w:left="240" w:top="341" w:right="239" w:bottom="1440" w:gutter="0" w:footer="0" w:header="0"/>
        </w:sectPr>
      </w:pPr>
    </w:p>
    <w:bookmarkStart w:id="129" w:name="page130"/>
    <w:bookmarkEnd w:id="129"/>
    <w:p>
      <w:pPr>
        <w:ind w:right="220"/>
        <w:spacing w:after="0" w:line="375" w:lineRule="auto"/>
        <w:rPr>
          <w:sz w:val="20"/>
          <w:szCs w:val="20"/>
          <w:color w:val="auto"/>
        </w:rPr>
      </w:pPr>
      <w:r>
        <w:rPr>
          <w:rFonts w:ascii="Arial" w:cs="Arial" w:eastAsia="Arial" w:hAnsi="Arial"/>
          <w:sz w:val="18"/>
          <w:szCs w:val="18"/>
          <w:color w:val="212529"/>
        </w:rPr>
        <w:t xml:space="preserve">of the exercise price of a Right an amount of cash, securities, or other property equivalent in value to the Common Stock issuable upon exercise of a Right. </w:t>
      </w:r>
      <w:r>
        <w:rPr>
          <w:rFonts w:ascii="Arial" w:cs="Arial" w:eastAsia="Arial" w:hAnsi="Arial"/>
          <w:sz w:val="18"/>
          <w:szCs w:val="18"/>
          <w:b w:val="1"/>
          <w:bCs w:val="1"/>
          <w:color w:val="212529"/>
        </w:rPr>
        <w:t>Exchange</w:t>
      </w:r>
    </w:p>
    <w:p>
      <w:pPr>
        <w:spacing w:after="0" w:line="1" w:lineRule="exact"/>
        <w:rPr>
          <w:sz w:val="20"/>
          <w:szCs w:val="20"/>
          <w:color w:val="auto"/>
        </w:rPr>
      </w:pPr>
    </w:p>
    <w:p>
      <w:pPr>
        <w:ind w:right="100" w:firstLine="446"/>
        <w:spacing w:after="0" w:line="297" w:lineRule="auto"/>
        <w:rPr>
          <w:sz w:val="20"/>
          <w:szCs w:val="20"/>
          <w:color w:val="auto"/>
        </w:rPr>
      </w:pPr>
      <w:r>
        <w:rPr>
          <w:rFonts w:ascii="Arial" w:cs="Arial" w:eastAsia="Arial" w:hAnsi="Arial"/>
          <w:sz w:val="16"/>
          <w:szCs w:val="16"/>
          <w:color w:val="212529"/>
        </w:rPr>
        <w:t>At any time after any Person becomes an Acquiring Person, the Board may exchange the Rights (other than Rights owned by any Person which have become void), in whole or in part, at an exchange ratio of one Common Stock per Right (subject to adjustment). The Company may issue, transfer or deposit such Common Stock (or other property as permitted under the Rights Agreement) to or into a trust or other entity created upon such terms as the Board may determine and may direct that all holders of Rights receive such Common Stock or other property only from the trust. In the event the Board determines, before the Distribution Date, to effect an exchange, the Board may delay the occurrence of the Distribution Date to such time as it deems advisable.</w:t>
      </w:r>
    </w:p>
    <w:p>
      <w:pPr>
        <w:spacing w:after="0" w:line="26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212529"/>
        </w:rPr>
        <w:t>Flip-over Event</w:t>
      </w:r>
    </w:p>
    <w:p>
      <w:pPr>
        <w:spacing w:after="0" w:line="121"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212529"/>
        </w:rPr>
        <w:t>If, at any time after a Person becomes an Acquiring Person, (i) the Company consolidates with, or merges with, any other Person (or any Person consolidates with, or merges with, the Company) and, in connection with such consolidation or merger, all or part of the Common Stock is or will be changed into or exchanged for stock or other securities of any other Person or cash or any other property; or (ii) 50% or more of the Company’s consolidated assets or Earning Power (as defined in the Rights Agreement) are sold, then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Redemption</w:t>
      </w:r>
    </w:p>
    <w:p>
      <w:pPr>
        <w:spacing w:after="0" w:line="121"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212529"/>
        </w:rPr>
        <w:t>At any time prior to the time any Person becomes an Acquiring Person, the Board may redeem the Rights in whole, but not in part, at a price of $0.001 per Right (the “Redemption Price”).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Amendment</w:t>
      </w:r>
    </w:p>
    <w:p>
      <w:pPr>
        <w:spacing w:after="0" w:line="121"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212529"/>
        </w:rPr>
        <w:t>The terms of the Rights may be amended by the Board without the consent of the holders of the Rights, except that from and after such time as any Person becomes an Acquiring Person no such amendment may adversely affect the interests of the holders of the Rights (other than the Acquiring Person and its Affiliates and Associates).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Rights of Holders</w:t>
      </w:r>
    </w:p>
    <w:p>
      <w:pPr>
        <w:spacing w:after="0" w:line="121"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212529"/>
        </w:rPr>
        <w:t>Until a Right is exercised, the holder thereof, as such, will have no rights as a stockholder of the Company, including, without limitation, the right to vote or to receive dividends.</w:t>
      </w:r>
    </w:p>
    <w:p>
      <w:pPr>
        <w:sectPr>
          <w:pgSz w:w="11900" w:h="16838" w:orient="portrait"/>
          <w:cols w:equalWidth="0" w:num="1">
            <w:col w:w="11400"/>
          </w:cols>
          <w:pgMar w:left="240" w:top="449" w:right="25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2438400</wp:posOffset>
            </wp:positionH>
            <wp:positionV relativeFrom="page">
              <wp:posOffset>749300</wp:posOffset>
            </wp:positionV>
            <wp:extent cx="2761615" cy="926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276161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80"/>
        <w:spacing w:after="0"/>
        <w:rPr>
          <w:sz w:val="20"/>
          <w:szCs w:val="20"/>
          <w:color w:val="auto"/>
        </w:rPr>
      </w:pPr>
      <w:r>
        <w:rPr>
          <w:rFonts w:ascii="Arial" w:cs="Arial" w:eastAsia="Arial" w:hAnsi="Arial"/>
          <w:sz w:val="20"/>
          <w:szCs w:val="20"/>
          <w:b w:val="1"/>
          <w:bCs w:val="1"/>
          <w:color w:val="auto"/>
        </w:rPr>
        <w:t>DATED: 22 FEBRUARY 2019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580" w:hanging="323"/>
        <w:spacing w:after="0"/>
        <w:tabs>
          <w:tab w:leader="none" w:pos="158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AVIS BUDGET SERVICES LIMITED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53" w:lineRule="exact"/>
        <w:rPr>
          <w:rFonts w:ascii="Arial" w:cs="Arial" w:eastAsia="Arial" w:hAnsi="Arial"/>
          <w:sz w:val="20"/>
          <w:szCs w:val="20"/>
          <w:b w:val="1"/>
          <w:bCs w:val="1"/>
          <w:color w:val="auto"/>
        </w:rPr>
      </w:pPr>
    </w:p>
    <w:p>
      <w:pPr>
        <w:ind w:left="1580"/>
        <w:spacing w:after="0"/>
        <w:rPr>
          <w:rFonts w:ascii="Arial" w:cs="Arial" w:eastAsia="Arial" w:hAnsi="Arial"/>
          <w:sz w:val="20"/>
          <w:szCs w:val="20"/>
          <w:b w:val="1"/>
          <w:bCs w:val="1"/>
          <w:color w:val="auto"/>
        </w:rPr>
      </w:pPr>
      <w:r>
        <w:rPr>
          <w:rFonts w:ascii="Arial" w:cs="Arial" w:eastAsia="Arial" w:hAnsi="Arial"/>
          <w:sz w:val="20"/>
          <w:szCs w:val="20"/>
          <w:color w:val="auto"/>
        </w:rPr>
        <w:t>Avis Budget House</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61" w:lineRule="exact"/>
        <w:rPr>
          <w:rFonts w:ascii="Arial" w:cs="Arial" w:eastAsia="Arial" w:hAnsi="Arial"/>
          <w:sz w:val="20"/>
          <w:szCs w:val="20"/>
          <w:b w:val="1"/>
          <w:bCs w:val="1"/>
          <w:color w:val="auto"/>
        </w:rPr>
      </w:pPr>
    </w:p>
    <w:p>
      <w:pPr>
        <w:ind w:left="1580"/>
        <w:spacing w:after="0"/>
        <w:rPr>
          <w:rFonts w:ascii="Arial" w:cs="Arial" w:eastAsia="Arial" w:hAnsi="Arial"/>
          <w:sz w:val="20"/>
          <w:szCs w:val="20"/>
          <w:b w:val="1"/>
          <w:bCs w:val="1"/>
          <w:color w:val="auto"/>
        </w:rPr>
      </w:pPr>
      <w:r>
        <w:rPr>
          <w:rFonts w:ascii="Arial" w:cs="Arial" w:eastAsia="Arial" w:hAnsi="Arial"/>
          <w:sz w:val="20"/>
          <w:szCs w:val="20"/>
          <w:color w:val="auto"/>
        </w:rPr>
        <w:t>Park Road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61" w:lineRule="exact"/>
        <w:rPr>
          <w:rFonts w:ascii="Arial" w:cs="Arial" w:eastAsia="Arial" w:hAnsi="Arial"/>
          <w:sz w:val="20"/>
          <w:szCs w:val="20"/>
          <w:b w:val="1"/>
          <w:bCs w:val="1"/>
          <w:color w:val="auto"/>
        </w:rPr>
      </w:pPr>
    </w:p>
    <w:p>
      <w:pPr>
        <w:ind w:left="1580"/>
        <w:spacing w:after="0"/>
        <w:rPr>
          <w:rFonts w:ascii="Arial" w:cs="Arial" w:eastAsia="Arial" w:hAnsi="Arial"/>
          <w:sz w:val="20"/>
          <w:szCs w:val="20"/>
          <w:b w:val="1"/>
          <w:bCs w:val="1"/>
          <w:color w:val="auto"/>
        </w:rPr>
      </w:pPr>
      <w:r>
        <w:rPr>
          <w:rFonts w:ascii="Arial" w:cs="Arial" w:eastAsia="Arial" w:hAnsi="Arial"/>
          <w:sz w:val="20"/>
          <w:szCs w:val="20"/>
          <w:color w:val="auto"/>
        </w:rPr>
        <w:t>Bracknell</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61" w:lineRule="exact"/>
        <w:rPr>
          <w:rFonts w:ascii="Arial" w:cs="Arial" w:eastAsia="Arial" w:hAnsi="Arial"/>
          <w:sz w:val="20"/>
          <w:szCs w:val="20"/>
          <w:b w:val="1"/>
          <w:bCs w:val="1"/>
          <w:color w:val="auto"/>
        </w:rPr>
      </w:pPr>
    </w:p>
    <w:p>
      <w:pPr>
        <w:ind w:left="1580"/>
        <w:spacing w:after="0"/>
        <w:rPr>
          <w:rFonts w:ascii="Arial" w:cs="Arial" w:eastAsia="Arial" w:hAnsi="Arial"/>
          <w:sz w:val="20"/>
          <w:szCs w:val="20"/>
          <w:b w:val="1"/>
          <w:bCs w:val="1"/>
          <w:color w:val="auto"/>
        </w:rPr>
      </w:pPr>
      <w:r>
        <w:rPr>
          <w:rFonts w:ascii="Arial" w:cs="Arial" w:eastAsia="Arial" w:hAnsi="Arial"/>
          <w:sz w:val="20"/>
          <w:szCs w:val="20"/>
          <w:color w:val="auto"/>
        </w:rPr>
        <w:t>RG12 2EW</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41" w:lineRule="exact"/>
        <w:rPr>
          <w:rFonts w:ascii="Arial" w:cs="Arial" w:eastAsia="Arial" w:hAnsi="Arial"/>
          <w:sz w:val="20"/>
          <w:szCs w:val="20"/>
          <w:b w:val="1"/>
          <w:bCs w:val="1"/>
          <w:color w:val="auto"/>
        </w:rPr>
      </w:pPr>
    </w:p>
    <w:p>
      <w:pPr>
        <w:ind w:left="1580" w:right="8300"/>
        <w:spacing w:after="0" w:line="767" w:lineRule="auto"/>
        <w:rPr>
          <w:rFonts w:ascii="Arial" w:cs="Arial" w:eastAsia="Arial" w:hAnsi="Arial"/>
          <w:sz w:val="20"/>
          <w:szCs w:val="20"/>
          <w:b w:val="1"/>
          <w:bCs w:val="1"/>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w:t>
      </w:r>
    </w:p>
    <w:p>
      <w:pPr>
        <w:ind w:left="1580" w:right="7540"/>
        <w:spacing w:after="0" w:line="323" w:lineRule="auto"/>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Patrick Kenneth Rankin </w:t>
      </w:r>
      <w:r>
        <w:rPr>
          <w:rFonts w:ascii="Arial" w:cs="Arial" w:eastAsia="Arial" w:hAnsi="Arial"/>
          <w:sz w:val="18"/>
          <w:szCs w:val="18"/>
          <w:color w:val="auto"/>
        </w:rPr>
        <w:t xml:space="preserve">the </w:t>
      </w:r>
      <w:r>
        <w:rPr>
          <w:rFonts w:ascii="Arial" w:cs="Arial" w:eastAsia="Arial" w:hAnsi="Arial"/>
          <w:sz w:val="18"/>
          <w:szCs w:val="18"/>
          <w:b w:val="1"/>
          <w:bCs w:val="1"/>
          <w:color w:val="auto"/>
        </w:rPr>
        <w:t>“Executive”</w:t>
      </w: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36"/>
          <w:szCs w:val="36"/>
          <w:b w:val="1"/>
          <w:bCs w:val="1"/>
          <w:color w:val="1F3864"/>
        </w:rPr>
        <w:t>SERVICE AGREEMENT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22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In this Agreement the following words and expressions have the following meanings unless inconsistent with the context:</w:t>
      </w:r>
    </w:p>
    <w:p>
      <w:pPr>
        <w:sectPr>
          <w:pgSz w:w="11900" w:h="16838" w:orient="portrait"/>
          <w:cols w:equalWidth="0" w:num="1">
            <w:col w:w="11200"/>
          </w:cols>
          <w:pgMar w:left="240" w:top="1440" w:right="459" w:bottom="0" w:gutter="0" w:footer="0" w:header="0"/>
        </w:sectPr>
      </w:pPr>
    </w:p>
    <w:p>
      <w:pPr>
        <w:spacing w:after="0" w:line="340"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“Avis Budget Group”</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right="680"/>
        <w:spacing w:after="0" w:line="232" w:lineRule="auto"/>
        <w:rPr>
          <w:sz w:val="20"/>
          <w:szCs w:val="20"/>
          <w:color w:val="auto"/>
        </w:rPr>
      </w:pPr>
      <w:r>
        <w:rPr>
          <w:rFonts w:ascii="Arial" w:cs="Arial" w:eastAsia="Arial" w:hAnsi="Arial"/>
          <w:sz w:val="20"/>
          <w:szCs w:val="20"/>
          <w:color w:val="auto"/>
        </w:rPr>
        <w:t>means Avis Budget Group Inc., a Delaware corporation with offices currently located in Parsippany, New Jersey of which the Company is wholly owned indirect subsidiary;</w:t>
      </w:r>
    </w:p>
    <w:p>
      <w:pPr>
        <w:spacing w:after="0" w:line="200" w:lineRule="exact"/>
        <w:rPr>
          <w:sz w:val="20"/>
          <w:szCs w:val="20"/>
          <w:color w:val="auto"/>
        </w:rPr>
      </w:pPr>
    </w:p>
    <w:p>
      <w:pPr>
        <w:sectPr>
          <w:pgSz w:w="11900" w:h="16838" w:orient="portrait"/>
          <w:cols w:equalWidth="0" w:num="2">
            <w:col w:w="3580" w:space="720"/>
            <w:col w:w="6900"/>
          </w:cols>
          <w:pgMar w:left="240" w:top="1440" w:right="459" w:bottom="0" w:gutter="0" w:footer="0" w:header="0"/>
          <w:type w:val="continuous"/>
        </w:sectPr>
      </w:pPr>
    </w:p>
    <w:p>
      <w:pPr>
        <w:spacing w:after="0" w:line="81"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“Basic Salary”</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3580" w:space="720"/>
            <w:col w:w="6900"/>
          </w:cols>
          <w:pgMar w:left="240" w:top="1440" w:right="459" w:bottom="0" w:gutter="0" w:footer="0" w:header="0"/>
          <w:type w:val="continuous"/>
        </w:sectPr>
      </w:pPr>
    </w:p>
    <w:p>
      <w:pPr>
        <w:spacing w:after="0" w:line="86"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“Car Allowance”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3580" w:space="720"/>
            <w:col w:w="6900"/>
          </w:cols>
          <w:pgMar w:left="240" w:top="1440" w:right="459" w:bottom="0" w:gutter="0" w:footer="0" w:header="0"/>
          <w:type w:val="continuous"/>
        </w:sectPr>
      </w:pPr>
    </w:p>
    <w:p>
      <w:pPr>
        <w:spacing w:after="0" w:line="86"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“Commencement Date”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680"/>
        <w:spacing w:after="0" w:line="236" w:lineRule="auto"/>
        <w:rPr>
          <w:sz w:val="20"/>
          <w:szCs w:val="20"/>
          <w:color w:val="auto"/>
        </w:rPr>
      </w:pPr>
      <w:r>
        <w:rPr>
          <w:rFonts w:ascii="Arial" w:cs="Arial" w:eastAsia="Arial" w:hAnsi="Arial"/>
          <w:sz w:val="20"/>
          <w:szCs w:val="20"/>
          <w:color w:val="auto"/>
        </w:rPr>
        <w:t>The effective date of your appointment to this SLT position is third June 2019;</w:t>
      </w:r>
    </w:p>
    <w:p>
      <w:pPr>
        <w:spacing w:after="0" w:line="196" w:lineRule="exact"/>
        <w:rPr>
          <w:sz w:val="20"/>
          <w:szCs w:val="20"/>
          <w:color w:val="auto"/>
        </w:rPr>
      </w:pPr>
    </w:p>
    <w:p>
      <w:pPr>
        <w:sectPr>
          <w:pgSz w:w="11900" w:h="16838" w:orient="portrait"/>
          <w:cols w:equalWidth="0" w:num="2">
            <w:col w:w="3580" w:space="720"/>
            <w:col w:w="6900"/>
          </w:cols>
          <w:pgMar w:left="240" w:top="1440" w:right="459" w:bottom="0" w:gutter="0" w:footer="0" w:header="0"/>
          <w:type w:val="continuous"/>
        </w:sectPr>
      </w:pPr>
    </w:p>
    <w:p>
      <w:pPr>
        <w:ind w:left="4300"/>
        <w:spacing w:after="0"/>
        <w:rPr>
          <w:sz w:val="20"/>
          <w:szCs w:val="20"/>
          <w:color w:val="auto"/>
        </w:rPr>
      </w:pPr>
      <w:r>
        <w:rPr>
          <w:rFonts w:ascii="Arial" w:cs="Arial" w:eastAsia="Arial" w:hAnsi="Arial"/>
          <w:sz w:val="19"/>
          <w:szCs w:val="19"/>
          <w:color w:val="auto"/>
        </w:rPr>
        <w:t>You have continuous service with the Company from third June 2019;</w:t>
      </w:r>
    </w:p>
    <w:p>
      <w:pPr>
        <w:sectPr>
          <w:pgSz w:w="11900" w:h="16838" w:orient="portrait"/>
          <w:cols w:equalWidth="0" w:num="1">
            <w:col w:w="11200"/>
          </w:cols>
          <w:pgMar w:left="240" w:top="1440" w:right="459" w:bottom="0" w:gutter="0" w:footer="0" w:header="0"/>
          <w:type w:val="continuous"/>
        </w:sectPr>
      </w:pPr>
    </w:p>
    <w:p>
      <w:pPr>
        <w:spacing w:after="0" w:line="217"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“Companies Acts”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700"/>
        <w:spacing w:after="0" w:line="236" w:lineRule="auto"/>
        <w:rPr>
          <w:sz w:val="20"/>
          <w:szCs w:val="20"/>
          <w:color w:val="auto"/>
        </w:rPr>
      </w:pPr>
      <w:r>
        <w:rPr>
          <w:rFonts w:ascii="Arial" w:cs="Arial" w:eastAsia="Arial" w:hAnsi="Arial"/>
          <w:sz w:val="20"/>
          <w:szCs w:val="20"/>
          <w:color w:val="auto"/>
        </w:rPr>
        <w:t>means the Companies Act 1985, the Companies Act 1989 and the Companies Act 2006;</w:t>
      </w:r>
    </w:p>
    <w:p>
      <w:pPr>
        <w:sectPr>
          <w:pgSz w:w="11900" w:h="16838" w:orient="portrait"/>
          <w:cols w:equalWidth="0" w:num="2">
            <w:col w:w="3580" w:space="720"/>
            <w:col w:w="6900"/>
          </w:cols>
          <w:pgMar w:left="240" w:top="1440" w:right="459" w:bottom="0" w:gutter="0" w:footer="0" w:header="0"/>
          <w:type w:val="continuous"/>
        </w:sectPr>
      </w:pPr>
    </w:p>
    <w:bookmarkStart w:id="131" w:name="page132"/>
    <w:bookmarkEnd w:id="131"/>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“Competitive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Handbook”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w:t>
      </w:r>
    </w:p>
    <w:p>
      <w:pPr>
        <w:spacing w:after="0" w:line="200" w:lineRule="exact"/>
        <w:rPr>
          <w:sz w:val="20"/>
          <w:szCs w:val="20"/>
          <w:color w:val="auto"/>
        </w:rPr>
      </w:pPr>
    </w:p>
    <w:p>
      <w:pPr>
        <w:spacing w:after="0" w:line="326" w:lineRule="exact"/>
        <w:rPr>
          <w:sz w:val="20"/>
          <w:szCs w:val="20"/>
          <w:color w:val="auto"/>
        </w:rPr>
      </w:pPr>
    </w:p>
    <w:p>
      <w:pPr>
        <w:ind w:right="940"/>
        <w:spacing w:after="0" w:line="560" w:lineRule="auto"/>
        <w:rPr>
          <w:sz w:val="20"/>
          <w:szCs w:val="20"/>
          <w:color w:val="auto"/>
        </w:rPr>
      </w:pPr>
      <w:r>
        <w:rPr>
          <w:rFonts w:ascii="Arial" w:cs="Arial" w:eastAsia="Arial" w:hAnsi="Arial"/>
          <w:sz w:val="20"/>
          <w:szCs w:val="20"/>
          <w:b w:val="1"/>
          <w:bCs w:val="1"/>
          <w:color w:val="auto"/>
        </w:rPr>
        <w:t>“Employment IPRs” “ERA”</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means any person, firm, company or other organisation which supplies or provides (or intends to supply or provide) goods or services in competition with the Restricted Business (including, but not limited to, the provision of vehicle rental, vehicle sales, vehicle leasing, vehicle sharing, ride hailing, fleet management and other mobility services) in the United Kingdom or anywhere else in the world where the Restricted Business operates, including Europe, the Middle East, Africa, Asia Pacific and/or Australasia, United States of America, Canada, Central or South America;</w:t>
      </w:r>
    </w:p>
    <w:p>
      <w:pPr>
        <w:spacing w:after="0" w:line="128" w:lineRule="exact"/>
        <w:rPr>
          <w:sz w:val="20"/>
          <w:szCs w:val="20"/>
          <w:color w:val="auto"/>
        </w:rPr>
      </w:pPr>
    </w:p>
    <w:p>
      <w:pPr>
        <w:jc w:val="center"/>
        <w:ind w:right="1040"/>
        <w:spacing w:after="0"/>
        <w:rPr>
          <w:sz w:val="20"/>
          <w:szCs w:val="20"/>
          <w:color w:val="auto"/>
        </w:rPr>
      </w:pPr>
      <w:r>
        <w:rPr>
          <w:rFonts w:ascii="Arial" w:cs="Arial" w:eastAsia="Arial" w:hAnsi="Arial"/>
          <w:sz w:val="19"/>
          <w:szCs w:val="19"/>
          <w:color w:val="auto"/>
        </w:rPr>
        <w:t>means, in relation to the Company or any Group Company:</w:t>
      </w:r>
    </w:p>
    <w:p>
      <w:pPr>
        <w:spacing w:after="0" w:line="214" w:lineRule="exact"/>
        <w:rPr>
          <w:sz w:val="20"/>
          <w:szCs w:val="20"/>
          <w:color w:val="auto"/>
        </w:rPr>
      </w:pPr>
    </w:p>
    <w:p>
      <w:pPr>
        <w:ind w:left="280" w:hanging="277"/>
        <w:spacing w:after="0"/>
        <w:tabs>
          <w:tab w:leader="none" w:pos="2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trade secrets;</w:t>
      </w:r>
    </w:p>
    <w:p>
      <w:pPr>
        <w:spacing w:after="0" w:line="215" w:lineRule="exact"/>
        <w:rPr>
          <w:rFonts w:ascii="Arial" w:cs="Arial" w:eastAsia="Arial" w:hAnsi="Arial"/>
          <w:sz w:val="20"/>
          <w:szCs w:val="20"/>
          <w:color w:val="auto"/>
        </w:rPr>
      </w:pPr>
    </w:p>
    <w:p>
      <w:pPr>
        <w:jc w:val="both"/>
        <w:ind w:left="320" w:hanging="317"/>
        <w:spacing w:after="0" w:line="231" w:lineRule="auto"/>
        <w:tabs>
          <w:tab w:leader="none" w:pos="4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information relating to research activities, inventions, discoveries, secret processes, designs, know how, technical specifications and processes, formulae, intellectual property rights, computer software, product lines and any other technical information relating to the creation, production or supply of any past, present or future product or service;</w:t>
      </w:r>
    </w:p>
    <w:p>
      <w:pPr>
        <w:spacing w:after="0" w:line="197" w:lineRule="exact"/>
        <w:rPr>
          <w:rFonts w:ascii="Arial" w:cs="Arial" w:eastAsia="Arial" w:hAnsi="Arial"/>
          <w:sz w:val="20"/>
          <w:szCs w:val="20"/>
          <w:color w:val="auto"/>
        </w:rPr>
      </w:pPr>
    </w:p>
    <w:p>
      <w:pPr>
        <w:ind w:left="320" w:right="20" w:hanging="317"/>
        <w:spacing w:after="0" w:line="247" w:lineRule="auto"/>
        <w:tabs>
          <w:tab w:leader="none" w:pos="390" w:val="left"/>
        </w:tabs>
        <w:numPr>
          <w:ilvl w:val="0"/>
          <w:numId w:val="97"/>
        </w:numPr>
        <w:rPr>
          <w:rFonts w:ascii="Arial" w:cs="Arial" w:eastAsia="Arial" w:hAnsi="Arial"/>
          <w:sz w:val="20"/>
          <w:szCs w:val="20"/>
          <w:color w:val="auto"/>
        </w:rPr>
      </w:pPr>
      <w:r>
        <w:rPr>
          <w:rFonts w:ascii="Arial" w:cs="Arial" w:eastAsia="Arial" w:hAnsi="Arial"/>
          <w:sz w:val="20"/>
          <w:szCs w:val="20"/>
          <w:color w:val="auto"/>
        </w:rPr>
        <w:t>any inventions or improvements which the Executive may make or discover during the Employment;</w:t>
      </w:r>
    </w:p>
    <w:p>
      <w:pPr>
        <w:spacing w:after="0" w:line="188" w:lineRule="exact"/>
        <w:rPr>
          <w:rFonts w:ascii="Arial" w:cs="Arial" w:eastAsia="Arial" w:hAnsi="Arial"/>
          <w:sz w:val="20"/>
          <w:szCs w:val="20"/>
          <w:color w:val="auto"/>
        </w:rPr>
      </w:pPr>
    </w:p>
    <w:p>
      <w:pPr>
        <w:ind w:left="380" w:hanging="377"/>
        <w:spacing w:after="0"/>
        <w:tabs>
          <w:tab w:leader="none" w:pos="3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any information relating to the business or prospective business;</w:t>
      </w:r>
    </w:p>
    <w:p>
      <w:pPr>
        <w:spacing w:after="0" w:line="215" w:lineRule="exact"/>
        <w:rPr>
          <w:rFonts w:ascii="Arial" w:cs="Arial" w:eastAsia="Arial" w:hAnsi="Arial"/>
          <w:sz w:val="20"/>
          <w:szCs w:val="20"/>
          <w:color w:val="auto"/>
        </w:rPr>
      </w:pPr>
    </w:p>
    <w:p>
      <w:pPr>
        <w:ind w:left="320" w:hanging="317"/>
        <w:spacing w:after="0"/>
        <w:tabs>
          <w:tab w:leader="none" w:pos="3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details of suppliers, their services and their terms of business;</w:t>
      </w:r>
    </w:p>
    <w:p>
      <w:pPr>
        <w:spacing w:after="0" w:line="215" w:lineRule="exact"/>
        <w:rPr>
          <w:rFonts w:ascii="Arial" w:cs="Arial" w:eastAsia="Arial" w:hAnsi="Arial"/>
          <w:sz w:val="20"/>
          <w:szCs w:val="20"/>
          <w:color w:val="auto"/>
        </w:rPr>
      </w:pPr>
    </w:p>
    <w:p>
      <w:pPr>
        <w:ind w:left="320" w:right="20" w:hanging="317"/>
        <w:spacing w:after="0" w:line="247" w:lineRule="auto"/>
        <w:tabs>
          <w:tab w:leader="none" w:pos="393" w:val="left"/>
        </w:tabs>
        <w:numPr>
          <w:ilvl w:val="0"/>
          <w:numId w:val="97"/>
        </w:numPr>
        <w:rPr>
          <w:rFonts w:ascii="Arial" w:cs="Arial" w:eastAsia="Arial" w:hAnsi="Arial"/>
          <w:sz w:val="20"/>
          <w:szCs w:val="20"/>
          <w:color w:val="auto"/>
        </w:rPr>
      </w:pPr>
      <w:r>
        <w:rPr>
          <w:rFonts w:ascii="Arial" w:cs="Arial" w:eastAsia="Arial" w:hAnsi="Arial"/>
          <w:sz w:val="20"/>
          <w:szCs w:val="20"/>
          <w:color w:val="auto"/>
        </w:rPr>
        <w:t>details of customers and their requirements, the prices charged to them and their terms of business;</w:t>
      </w:r>
    </w:p>
    <w:p>
      <w:pPr>
        <w:spacing w:after="0" w:line="188" w:lineRule="exact"/>
        <w:rPr>
          <w:rFonts w:ascii="Arial" w:cs="Arial" w:eastAsia="Arial" w:hAnsi="Arial"/>
          <w:sz w:val="20"/>
          <w:szCs w:val="20"/>
          <w:color w:val="auto"/>
        </w:rPr>
      </w:pPr>
    </w:p>
    <w:p>
      <w:pPr>
        <w:ind w:left="320" w:right="20" w:hanging="317"/>
        <w:spacing w:after="0" w:line="247" w:lineRule="auto"/>
        <w:tabs>
          <w:tab w:leader="none" w:pos="583" w:val="left"/>
        </w:tabs>
        <w:numPr>
          <w:ilvl w:val="0"/>
          <w:numId w:val="97"/>
        </w:numPr>
        <w:rPr>
          <w:rFonts w:ascii="Arial" w:cs="Arial" w:eastAsia="Arial" w:hAnsi="Arial"/>
          <w:sz w:val="20"/>
          <w:szCs w:val="20"/>
          <w:color w:val="auto"/>
        </w:rPr>
      </w:pPr>
      <w:r>
        <w:rPr>
          <w:rFonts w:ascii="Arial" w:cs="Arial" w:eastAsia="Arial" w:hAnsi="Arial"/>
          <w:sz w:val="20"/>
          <w:szCs w:val="20"/>
          <w:color w:val="auto"/>
        </w:rPr>
        <w:t>pitching material, marketing plans and sales forecasts of any past, present or future products or services;</w:t>
      </w:r>
    </w:p>
    <w:p>
      <w:pPr>
        <w:spacing w:after="0" w:line="188" w:lineRule="exact"/>
        <w:rPr>
          <w:rFonts w:ascii="Arial" w:cs="Arial" w:eastAsia="Arial" w:hAnsi="Arial"/>
          <w:sz w:val="20"/>
          <w:szCs w:val="20"/>
          <w:color w:val="auto"/>
        </w:rPr>
      </w:pPr>
    </w:p>
    <w:p>
      <w:pPr>
        <w:jc w:val="both"/>
        <w:ind w:left="320" w:hanging="317"/>
        <w:spacing w:after="0" w:line="234" w:lineRule="auto"/>
        <w:tabs>
          <w:tab w:leader="none" w:pos="935" w:val="left"/>
        </w:tabs>
        <w:numPr>
          <w:ilvl w:val="0"/>
          <w:numId w:val="97"/>
        </w:numPr>
        <w:rPr>
          <w:rFonts w:ascii="Arial" w:cs="Arial" w:eastAsia="Arial" w:hAnsi="Arial"/>
          <w:sz w:val="20"/>
          <w:szCs w:val="20"/>
          <w:color w:val="auto"/>
        </w:rPr>
      </w:pPr>
      <w:r>
        <w:rPr>
          <w:rFonts w:ascii="Arial" w:cs="Arial" w:eastAsia="Arial" w:hAnsi="Arial"/>
          <w:sz w:val="20"/>
          <w:szCs w:val="20"/>
          <w:color w:val="auto"/>
        </w:rPr>
        <w:t>information relating to the business, corporate plans, management systems, accounts, finances and other financial information, results and forecasts (save to the extent that these are included in published audited accounts);</w:t>
      </w:r>
    </w:p>
    <w:p>
      <w:pPr>
        <w:spacing w:after="0" w:line="197" w:lineRule="exact"/>
        <w:rPr>
          <w:rFonts w:ascii="Arial" w:cs="Arial" w:eastAsia="Arial" w:hAnsi="Arial"/>
          <w:sz w:val="20"/>
          <w:szCs w:val="20"/>
          <w:color w:val="auto"/>
        </w:rPr>
      </w:pPr>
    </w:p>
    <w:p>
      <w:pPr>
        <w:ind w:left="320" w:right="20" w:hanging="317"/>
        <w:spacing w:after="0" w:line="247" w:lineRule="auto"/>
        <w:tabs>
          <w:tab w:leader="none" w:pos="447" w:val="left"/>
        </w:tabs>
        <w:numPr>
          <w:ilvl w:val="0"/>
          <w:numId w:val="97"/>
        </w:numPr>
        <w:rPr>
          <w:rFonts w:ascii="Arial" w:cs="Arial" w:eastAsia="Arial" w:hAnsi="Arial"/>
          <w:sz w:val="20"/>
          <w:szCs w:val="20"/>
          <w:color w:val="auto"/>
        </w:rPr>
      </w:pPr>
      <w:r>
        <w:rPr>
          <w:rFonts w:ascii="Arial" w:cs="Arial" w:eastAsia="Arial" w:hAnsi="Arial"/>
          <w:sz w:val="20"/>
          <w:szCs w:val="20"/>
          <w:color w:val="auto"/>
        </w:rPr>
        <w:t>proposals relating to the acquisition or disposal of a company or business or any part thereof;</w:t>
      </w:r>
    </w:p>
    <w:p>
      <w:pPr>
        <w:spacing w:after="0" w:line="188" w:lineRule="exact"/>
        <w:rPr>
          <w:rFonts w:ascii="Arial" w:cs="Arial" w:eastAsia="Arial" w:hAnsi="Arial"/>
          <w:sz w:val="20"/>
          <w:szCs w:val="20"/>
          <w:color w:val="auto"/>
        </w:rPr>
      </w:pPr>
    </w:p>
    <w:p>
      <w:pPr>
        <w:ind w:left="320" w:hanging="317"/>
        <w:spacing w:after="0" w:line="247" w:lineRule="auto"/>
        <w:tabs>
          <w:tab w:leader="none" w:pos="419" w:val="left"/>
        </w:tabs>
        <w:numPr>
          <w:ilvl w:val="0"/>
          <w:numId w:val="97"/>
        </w:numPr>
        <w:rPr>
          <w:rFonts w:ascii="Arial" w:cs="Arial" w:eastAsia="Arial" w:hAnsi="Arial"/>
          <w:sz w:val="20"/>
          <w:szCs w:val="20"/>
          <w:color w:val="auto"/>
        </w:rPr>
      </w:pPr>
      <w:r>
        <w:rPr>
          <w:rFonts w:ascii="Arial" w:cs="Arial" w:eastAsia="Arial" w:hAnsi="Arial"/>
          <w:sz w:val="20"/>
          <w:szCs w:val="20"/>
          <w:color w:val="auto"/>
        </w:rPr>
        <w:t>proposals for expansion or contraction of activities, or any other proposals relating to the future;</w:t>
      </w:r>
    </w:p>
    <w:p>
      <w:pPr>
        <w:spacing w:after="0" w:line="188" w:lineRule="exact"/>
        <w:rPr>
          <w:rFonts w:ascii="Arial" w:cs="Arial" w:eastAsia="Arial" w:hAnsi="Arial"/>
          <w:sz w:val="20"/>
          <w:szCs w:val="20"/>
          <w:color w:val="auto"/>
        </w:rPr>
      </w:pPr>
    </w:p>
    <w:p>
      <w:pPr>
        <w:ind w:left="320" w:hanging="317"/>
        <w:spacing w:after="0" w:line="247" w:lineRule="auto"/>
        <w:tabs>
          <w:tab w:leader="none" w:pos="501" w:val="left"/>
        </w:tabs>
        <w:numPr>
          <w:ilvl w:val="0"/>
          <w:numId w:val="97"/>
        </w:numPr>
        <w:rPr>
          <w:rFonts w:ascii="Arial" w:cs="Arial" w:eastAsia="Arial" w:hAnsi="Arial"/>
          <w:sz w:val="20"/>
          <w:szCs w:val="20"/>
          <w:color w:val="auto"/>
        </w:rPr>
      </w:pPr>
      <w:r>
        <w:rPr>
          <w:rFonts w:ascii="Arial" w:cs="Arial" w:eastAsia="Arial" w:hAnsi="Arial"/>
          <w:sz w:val="20"/>
          <w:szCs w:val="20"/>
          <w:color w:val="auto"/>
        </w:rPr>
        <w:t>details of employees and officers and of the remuneration and other benefits paid to them;</w:t>
      </w:r>
    </w:p>
    <w:p>
      <w:pPr>
        <w:spacing w:after="0" w:line="188" w:lineRule="exact"/>
        <w:rPr>
          <w:rFonts w:ascii="Arial" w:cs="Arial" w:eastAsia="Arial" w:hAnsi="Arial"/>
          <w:sz w:val="20"/>
          <w:szCs w:val="20"/>
          <w:color w:val="auto"/>
        </w:rPr>
      </w:pPr>
    </w:p>
    <w:p>
      <w:pPr>
        <w:ind w:left="320" w:right="20" w:hanging="317"/>
        <w:spacing w:after="0" w:line="247" w:lineRule="auto"/>
        <w:tabs>
          <w:tab w:leader="none" w:pos="448" w:val="left"/>
        </w:tabs>
        <w:numPr>
          <w:ilvl w:val="0"/>
          <w:numId w:val="97"/>
        </w:numPr>
        <w:rPr>
          <w:rFonts w:ascii="Arial" w:cs="Arial" w:eastAsia="Arial" w:hAnsi="Arial"/>
          <w:sz w:val="20"/>
          <w:szCs w:val="20"/>
          <w:color w:val="auto"/>
        </w:rPr>
      </w:pPr>
      <w:r>
        <w:rPr>
          <w:rFonts w:ascii="Arial" w:cs="Arial" w:eastAsia="Arial" w:hAnsi="Arial"/>
          <w:sz w:val="20"/>
          <w:szCs w:val="20"/>
          <w:color w:val="auto"/>
        </w:rPr>
        <w:t>information given in confidence by clients, customers suppliers or any other person;</w:t>
      </w:r>
    </w:p>
    <w:p>
      <w:pPr>
        <w:spacing w:after="0" w:line="188" w:lineRule="exact"/>
        <w:rPr>
          <w:rFonts w:ascii="Arial" w:cs="Arial" w:eastAsia="Arial" w:hAnsi="Arial"/>
          <w:sz w:val="20"/>
          <w:szCs w:val="20"/>
          <w:color w:val="auto"/>
        </w:rPr>
      </w:pPr>
    </w:p>
    <w:p>
      <w:pPr>
        <w:ind w:left="320" w:right="20" w:hanging="317"/>
        <w:spacing w:after="0" w:line="247" w:lineRule="auto"/>
        <w:tabs>
          <w:tab w:leader="none" w:pos="8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any other information which the Executive is notified is confidential; and</w:t>
      </w:r>
    </w:p>
    <w:p>
      <w:pPr>
        <w:spacing w:after="0" w:line="188" w:lineRule="exact"/>
        <w:rPr>
          <w:sz w:val="20"/>
          <w:szCs w:val="20"/>
          <w:color w:val="auto"/>
        </w:rPr>
      </w:pPr>
    </w:p>
    <w:p>
      <w:pPr>
        <w:jc w:val="both"/>
        <w:ind w:left="320" w:hanging="317"/>
        <w:spacing w:after="0" w:line="230" w:lineRule="auto"/>
        <w:tabs>
          <w:tab w:leader="none" w:pos="569"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other information which the Company (or relevant Group Company) could reasonably be expected to regard as confidential, whether or not such information is reduced to a tangible form or marked in writing as “confidential”, including but not limited to, information which is commercially sensitive, which comes into the Executive’s possession by virtue of the Employment and which is not in the public domain and all information which has been or may be derived or obtained from any such information.</w:t>
      </w:r>
    </w:p>
    <w:p>
      <w:pPr>
        <w:spacing w:after="0" w:line="22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means the Company’s policies and procedures which are in force from time to time. The terms and conditions set out in this Agreement shall prevail in the event of any conflict between the provisions of the Employee Handbook and this Agreement;</w:t>
      </w:r>
    </w:p>
    <w:p>
      <w:pPr>
        <w:spacing w:after="0" w:line="303"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means the Executive’s employment as President, International under this Agreement;</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means the Employment Rights Act 1996;</w:t>
      </w:r>
    </w:p>
    <w:p>
      <w:pPr>
        <w:sectPr>
          <w:pgSz w:w="11900" w:h="17038" w:orient="portrait"/>
          <w:cols w:equalWidth="0" w:num="2">
            <w:col w:w="2820" w:space="720"/>
            <w:col w:w="6220"/>
          </w:cols>
          <w:pgMar w:left="1000" w:top="163" w:right="1139" w:bottom="0" w:gutter="0" w:footer="0" w:header="0"/>
        </w:sectPr>
      </w:pPr>
    </w:p>
    <w:bookmarkStart w:id="132" w:name="page133"/>
    <w:bookmarkEnd w:id="132"/>
    <w:p>
      <w:pPr>
        <w:spacing w:after="0"/>
        <w:tabs>
          <w:tab w:leader="none" w:pos="3520" w:val="left"/>
        </w:tabs>
        <w:rPr>
          <w:sz w:val="20"/>
          <w:szCs w:val="20"/>
          <w:color w:val="auto"/>
        </w:rPr>
      </w:pPr>
      <w:r>
        <w:rPr>
          <w:rFonts w:ascii="Arial" w:cs="Arial" w:eastAsia="Arial" w:hAnsi="Arial"/>
          <w:sz w:val="20"/>
          <w:szCs w:val="20"/>
          <w:b w:val="1"/>
          <w:bCs w:val="1"/>
          <w:color w:val="auto"/>
        </w:rPr>
        <w:t>“Group Company”</w:t>
      </w:r>
      <w:r>
        <w:rPr>
          <w:sz w:val="20"/>
          <w:szCs w:val="20"/>
          <w:color w:val="auto"/>
        </w:rPr>
        <w:tab/>
      </w:r>
      <w:r>
        <w:rPr>
          <w:rFonts w:ascii="Arial" w:cs="Arial" w:eastAsia="Arial" w:hAnsi="Arial"/>
          <w:sz w:val="19"/>
          <w:szCs w:val="19"/>
          <w:color w:val="auto"/>
        </w:rPr>
        <w:t>means any firm, company, corporation or other organisation which is a</w:t>
      </w:r>
    </w:p>
    <w:p>
      <w:pPr>
        <w:ind w:left="3540"/>
        <w:spacing w:after="0" w:line="236" w:lineRule="auto"/>
        <w:rPr>
          <w:sz w:val="20"/>
          <w:szCs w:val="20"/>
          <w:color w:val="auto"/>
        </w:rPr>
      </w:pPr>
      <w:r>
        <w:rPr>
          <w:rFonts w:ascii="Arial" w:cs="Arial" w:eastAsia="Arial" w:hAnsi="Arial"/>
          <w:sz w:val="20"/>
          <w:szCs w:val="20"/>
          <w:color w:val="auto"/>
        </w:rPr>
        <w:t>holding company from time to time of the Company or any subsidiary</w:t>
      </w:r>
    </w:p>
    <w:p>
      <w:pPr>
        <w:ind w:left="3540"/>
        <w:spacing w:after="0" w:line="225" w:lineRule="auto"/>
        <w:rPr>
          <w:sz w:val="20"/>
          <w:szCs w:val="20"/>
          <w:color w:val="auto"/>
        </w:rPr>
      </w:pPr>
      <w:r>
        <w:rPr>
          <w:rFonts w:ascii="Arial" w:cs="Arial" w:eastAsia="Arial" w:hAnsi="Arial"/>
          <w:sz w:val="20"/>
          <w:szCs w:val="20"/>
          <w:color w:val="auto"/>
        </w:rPr>
        <w:t>from time to time of the Company or any such holding company (for</w:t>
      </w:r>
    </w:p>
    <w:p>
      <w:pPr>
        <w:ind w:left="3540"/>
        <w:spacing w:after="0" w:line="226" w:lineRule="auto"/>
        <w:rPr>
          <w:sz w:val="20"/>
          <w:szCs w:val="20"/>
          <w:color w:val="auto"/>
        </w:rPr>
      </w:pPr>
      <w:r>
        <w:rPr>
          <w:rFonts w:ascii="Arial" w:cs="Arial" w:eastAsia="Arial" w:hAnsi="Arial"/>
          <w:sz w:val="20"/>
          <w:szCs w:val="20"/>
          <w:color w:val="auto"/>
        </w:rPr>
        <w:t>which purpose the expressions ‘holding company’ and ‘subsidiary’</w:t>
      </w:r>
    </w:p>
    <w:p>
      <w:pPr>
        <w:ind w:left="3540"/>
        <w:spacing w:after="0" w:line="225" w:lineRule="auto"/>
        <w:rPr>
          <w:sz w:val="20"/>
          <w:szCs w:val="20"/>
          <w:color w:val="auto"/>
        </w:rPr>
      </w:pPr>
      <w:r>
        <w:rPr>
          <w:rFonts w:ascii="Arial" w:cs="Arial" w:eastAsia="Arial" w:hAnsi="Arial"/>
          <w:sz w:val="20"/>
          <w:szCs w:val="20"/>
          <w:color w:val="auto"/>
        </w:rPr>
        <w:t>shall have the meanings given to them by Section 1159 Companies</w:t>
      </w:r>
    </w:p>
    <w:p>
      <w:pPr>
        <w:spacing w:after="0" w:line="1"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Act 2006);</w:t>
      </w:r>
    </w:p>
    <w:p>
      <w:pPr>
        <w:spacing w:after="0" w:line="286" w:lineRule="exact"/>
        <w:rPr>
          <w:sz w:val="20"/>
          <w:szCs w:val="20"/>
          <w:color w:val="auto"/>
        </w:rPr>
      </w:pPr>
    </w:p>
    <w:p>
      <w:pPr>
        <w:spacing w:after="0"/>
        <w:tabs>
          <w:tab w:leader="none" w:pos="3520" w:val="left"/>
        </w:tabs>
        <w:rPr>
          <w:sz w:val="20"/>
          <w:szCs w:val="20"/>
          <w:color w:val="auto"/>
        </w:rPr>
      </w:pPr>
      <w:r>
        <w:rPr>
          <w:rFonts w:ascii="Arial" w:cs="Arial" w:eastAsia="Arial" w:hAnsi="Arial"/>
          <w:sz w:val="20"/>
          <w:szCs w:val="20"/>
          <w:b w:val="1"/>
          <w:bCs w:val="1"/>
          <w:color w:val="auto"/>
        </w:rPr>
        <w:t>“Notice Period”</w:t>
      </w:r>
      <w:r>
        <w:rPr>
          <w:sz w:val="20"/>
          <w:szCs w:val="20"/>
          <w:color w:val="auto"/>
        </w:rPr>
        <w:tab/>
      </w:r>
      <w:r>
        <w:rPr>
          <w:rFonts w:ascii="Arial" w:cs="Arial" w:eastAsia="Arial" w:hAnsi="Arial"/>
          <w:sz w:val="20"/>
          <w:szCs w:val="20"/>
          <w:color w:val="auto"/>
        </w:rPr>
        <w:t>;</w:t>
      </w:r>
    </w:p>
    <w:p>
      <w:pPr>
        <w:spacing w:after="0" w:line="310" w:lineRule="exact"/>
        <w:rPr>
          <w:sz w:val="20"/>
          <w:szCs w:val="20"/>
          <w:color w:val="auto"/>
        </w:rPr>
      </w:pPr>
    </w:p>
    <w:p>
      <w:pPr>
        <w:spacing w:after="0"/>
        <w:tabs>
          <w:tab w:leader="none" w:pos="3520" w:val="left"/>
        </w:tabs>
        <w:rPr>
          <w:sz w:val="20"/>
          <w:szCs w:val="20"/>
          <w:color w:val="auto"/>
        </w:rPr>
      </w:pPr>
      <w:r>
        <w:rPr>
          <w:rFonts w:ascii="Arial" w:cs="Arial" w:eastAsia="Arial" w:hAnsi="Arial"/>
          <w:sz w:val="20"/>
          <w:szCs w:val="20"/>
          <w:b w:val="1"/>
          <w:bCs w:val="1"/>
          <w:color w:val="auto"/>
        </w:rPr>
        <w:t>“Incentive Target”</w:t>
      </w:r>
      <w:r>
        <w:rPr>
          <w:sz w:val="20"/>
          <w:szCs w:val="20"/>
          <w:color w:val="auto"/>
        </w:rPr>
        <w:tab/>
      </w:r>
      <w:r>
        <w:rPr>
          <w:rFonts w:ascii="Arial" w:cs="Arial" w:eastAsia="Arial" w:hAnsi="Arial"/>
          <w:sz w:val="20"/>
          <w:szCs w:val="20"/>
          <w:color w:val="auto"/>
        </w:rPr>
        <w:t>;</w:t>
      </w:r>
    </w:p>
    <w:p>
      <w:pPr>
        <w:spacing w:after="0" w:line="296" w:lineRule="exact"/>
        <w:rPr>
          <w:sz w:val="20"/>
          <w:szCs w:val="20"/>
          <w:color w:val="auto"/>
        </w:rPr>
      </w:pPr>
    </w:p>
    <w:p>
      <w:pPr>
        <w:spacing w:after="0"/>
        <w:tabs>
          <w:tab w:leader="none" w:pos="3520" w:val="left"/>
        </w:tabs>
        <w:rPr>
          <w:sz w:val="20"/>
          <w:szCs w:val="20"/>
          <w:color w:val="auto"/>
        </w:rPr>
      </w:pPr>
      <w:r>
        <w:rPr>
          <w:rFonts w:ascii="Arial" w:cs="Arial" w:eastAsia="Arial" w:hAnsi="Arial"/>
          <w:sz w:val="20"/>
          <w:szCs w:val="20"/>
          <w:b w:val="1"/>
          <w:bCs w:val="1"/>
          <w:color w:val="auto"/>
        </w:rPr>
        <w:t>“Intellectual Property Rights”</w:t>
      </w:r>
      <w:r>
        <w:rPr>
          <w:sz w:val="20"/>
          <w:szCs w:val="20"/>
          <w:color w:val="auto"/>
        </w:rPr>
        <w:tab/>
      </w:r>
      <w:r>
        <w:rPr>
          <w:rFonts w:ascii="Arial" w:cs="Arial" w:eastAsia="Arial" w:hAnsi="Arial"/>
          <w:sz w:val="20"/>
          <w:szCs w:val="20"/>
          <w:color w:val="auto"/>
        </w:rPr>
        <w:t>means patents, rights to inventions, copyright and related rights,</w:t>
      </w:r>
    </w:p>
    <w:p>
      <w:pPr>
        <w:spacing w:after="0" w:line="8" w:lineRule="exact"/>
        <w:rPr>
          <w:sz w:val="20"/>
          <w:szCs w:val="20"/>
          <w:color w:val="auto"/>
        </w:rPr>
      </w:pPr>
    </w:p>
    <w:p>
      <w:pPr>
        <w:ind w:left="3540"/>
        <w:spacing w:after="0"/>
        <w:rPr>
          <w:sz w:val="20"/>
          <w:szCs w:val="20"/>
          <w:color w:val="auto"/>
        </w:rPr>
      </w:pPr>
      <w:r>
        <w:rPr>
          <w:rFonts w:ascii="Arial" w:cs="Arial" w:eastAsia="Arial" w:hAnsi="Arial"/>
          <w:sz w:val="19"/>
          <w:szCs w:val="19"/>
          <w:color w:val="auto"/>
        </w:rPr>
        <w:t>trademarks, trade names and domain names, rights in get-up, rights in</w:t>
      </w:r>
    </w:p>
    <w:p>
      <w:pPr>
        <w:ind w:left="3540"/>
        <w:spacing w:after="0" w:line="225" w:lineRule="auto"/>
        <w:rPr>
          <w:sz w:val="20"/>
          <w:szCs w:val="20"/>
          <w:color w:val="auto"/>
        </w:rPr>
      </w:pPr>
      <w:r>
        <w:rPr>
          <w:rFonts w:ascii="Arial" w:cs="Arial" w:eastAsia="Arial" w:hAnsi="Arial"/>
          <w:sz w:val="20"/>
          <w:szCs w:val="20"/>
          <w:color w:val="auto"/>
        </w:rPr>
        <w:t>goodwill or to sue for passing off, unfair competition rights, rights in</w:t>
      </w:r>
    </w:p>
    <w:p>
      <w:pPr>
        <w:ind w:left="3540"/>
        <w:spacing w:after="0" w:line="226" w:lineRule="auto"/>
        <w:rPr>
          <w:sz w:val="20"/>
          <w:szCs w:val="20"/>
          <w:color w:val="auto"/>
        </w:rPr>
      </w:pPr>
      <w:r>
        <w:rPr>
          <w:rFonts w:ascii="Arial" w:cs="Arial" w:eastAsia="Arial" w:hAnsi="Arial"/>
          <w:sz w:val="20"/>
          <w:szCs w:val="20"/>
          <w:color w:val="auto"/>
        </w:rPr>
        <w:t>designs, rights in computer software, database rights, topography</w:t>
      </w:r>
    </w:p>
    <w:p>
      <w:pPr>
        <w:ind w:left="3540"/>
        <w:spacing w:after="0" w:line="225" w:lineRule="auto"/>
        <w:rPr>
          <w:sz w:val="20"/>
          <w:szCs w:val="20"/>
          <w:color w:val="auto"/>
        </w:rPr>
      </w:pPr>
      <w:r>
        <w:rPr>
          <w:rFonts w:ascii="Arial" w:cs="Arial" w:eastAsia="Arial" w:hAnsi="Arial"/>
          <w:sz w:val="20"/>
          <w:szCs w:val="20"/>
          <w:color w:val="auto"/>
        </w:rPr>
        <w:t>rights, rights in confidential information (including know-how and trade</w:t>
      </w:r>
    </w:p>
    <w:p>
      <w:pPr>
        <w:ind w:left="3540"/>
        <w:spacing w:after="0" w:line="226" w:lineRule="auto"/>
        <w:rPr>
          <w:sz w:val="20"/>
          <w:szCs w:val="20"/>
          <w:color w:val="auto"/>
        </w:rPr>
      </w:pPr>
      <w:r>
        <w:rPr>
          <w:rFonts w:ascii="Arial" w:cs="Arial" w:eastAsia="Arial" w:hAnsi="Arial"/>
          <w:sz w:val="20"/>
          <w:szCs w:val="20"/>
          <w:color w:val="auto"/>
        </w:rPr>
        <w:t>secrets) and any other intellectual property rights, in each case</w:t>
      </w:r>
    </w:p>
    <w:p>
      <w:pPr>
        <w:ind w:left="3540"/>
        <w:spacing w:after="0" w:line="225" w:lineRule="auto"/>
        <w:rPr>
          <w:sz w:val="20"/>
          <w:szCs w:val="20"/>
          <w:color w:val="auto"/>
        </w:rPr>
      </w:pPr>
      <w:r>
        <w:rPr>
          <w:rFonts w:ascii="Arial" w:cs="Arial" w:eastAsia="Arial" w:hAnsi="Arial"/>
          <w:sz w:val="20"/>
          <w:szCs w:val="20"/>
          <w:color w:val="auto"/>
        </w:rPr>
        <w:t>whether registered or unregistered and including all applications (or</w:t>
      </w:r>
    </w:p>
    <w:p>
      <w:pPr>
        <w:ind w:left="3540"/>
        <w:spacing w:after="0" w:line="226" w:lineRule="auto"/>
        <w:rPr>
          <w:sz w:val="20"/>
          <w:szCs w:val="20"/>
          <w:color w:val="auto"/>
        </w:rPr>
      </w:pPr>
      <w:r>
        <w:rPr>
          <w:rFonts w:ascii="Arial" w:cs="Arial" w:eastAsia="Arial" w:hAnsi="Arial"/>
          <w:sz w:val="20"/>
          <w:szCs w:val="20"/>
          <w:color w:val="auto"/>
        </w:rPr>
        <w:t>rights to apply) for, and renewals or extensions of, such rights and all</w:t>
      </w:r>
    </w:p>
    <w:p>
      <w:pPr>
        <w:ind w:left="3540"/>
        <w:spacing w:after="0" w:line="225" w:lineRule="auto"/>
        <w:rPr>
          <w:sz w:val="20"/>
          <w:szCs w:val="20"/>
          <w:color w:val="auto"/>
        </w:rPr>
      </w:pPr>
      <w:r>
        <w:rPr>
          <w:rFonts w:ascii="Arial" w:cs="Arial" w:eastAsia="Arial" w:hAnsi="Arial"/>
          <w:sz w:val="20"/>
          <w:szCs w:val="20"/>
          <w:color w:val="auto"/>
        </w:rPr>
        <w:t>similar or equivalent rights or forms of protection which subsist or will</w:t>
      </w:r>
    </w:p>
    <w:p>
      <w:pPr>
        <w:ind w:left="3540"/>
        <w:spacing w:after="0"/>
        <w:rPr>
          <w:sz w:val="20"/>
          <w:szCs w:val="20"/>
          <w:color w:val="auto"/>
        </w:rPr>
      </w:pPr>
      <w:r>
        <w:rPr>
          <w:rFonts w:ascii="Arial" w:cs="Arial" w:eastAsia="Arial" w:hAnsi="Arial"/>
          <w:sz w:val="20"/>
          <w:szCs w:val="20"/>
          <w:color w:val="auto"/>
        </w:rPr>
        <w:t>subsist now or in the future in any part of the world;</w:t>
      </w:r>
    </w:p>
    <w:p>
      <w:pPr>
        <w:spacing w:after="0" w:line="286" w:lineRule="exact"/>
        <w:rPr>
          <w:sz w:val="20"/>
          <w:szCs w:val="20"/>
          <w:color w:val="auto"/>
        </w:rPr>
      </w:pPr>
    </w:p>
    <w:p>
      <w:pPr>
        <w:spacing w:after="0"/>
        <w:tabs>
          <w:tab w:leader="none" w:pos="3520" w:val="left"/>
        </w:tabs>
        <w:rPr>
          <w:sz w:val="20"/>
          <w:szCs w:val="20"/>
          <w:color w:val="auto"/>
        </w:rPr>
      </w:pPr>
      <w:r>
        <w:rPr>
          <w:rFonts w:ascii="Arial" w:cs="Arial" w:eastAsia="Arial" w:hAnsi="Arial"/>
          <w:sz w:val="20"/>
          <w:szCs w:val="20"/>
          <w:b w:val="1"/>
          <w:bCs w:val="1"/>
          <w:color w:val="auto"/>
        </w:rPr>
        <w:t>“Invention”</w:t>
      </w:r>
      <w:r>
        <w:rPr>
          <w:sz w:val="20"/>
          <w:szCs w:val="20"/>
          <w:color w:val="auto"/>
        </w:rPr>
        <w:tab/>
      </w:r>
      <w:r>
        <w:rPr>
          <w:rFonts w:ascii="Arial" w:cs="Arial" w:eastAsia="Arial" w:hAnsi="Arial"/>
          <w:sz w:val="20"/>
          <w:szCs w:val="20"/>
          <w:color w:val="auto"/>
        </w:rPr>
        <w:t>;</w:t>
      </w:r>
    </w:p>
    <w:p>
      <w:pPr>
        <w:spacing w:after="0" w:line="296" w:lineRule="exact"/>
        <w:rPr>
          <w:sz w:val="20"/>
          <w:szCs w:val="20"/>
          <w:color w:val="auto"/>
        </w:rPr>
      </w:pPr>
    </w:p>
    <w:p>
      <w:pPr>
        <w:spacing w:after="0"/>
        <w:tabs>
          <w:tab w:leader="none" w:pos="3520" w:val="left"/>
        </w:tabs>
        <w:rPr>
          <w:sz w:val="20"/>
          <w:szCs w:val="20"/>
          <w:color w:val="auto"/>
        </w:rPr>
      </w:pPr>
      <w:r>
        <w:rPr>
          <w:rFonts w:ascii="Arial" w:cs="Arial" w:eastAsia="Arial" w:hAnsi="Arial"/>
          <w:sz w:val="20"/>
          <w:szCs w:val="20"/>
          <w:b w:val="1"/>
          <w:bCs w:val="1"/>
          <w:color w:val="auto"/>
        </w:rPr>
        <w:t>“Named Competitors”</w:t>
      </w:r>
      <w:r>
        <w:rPr>
          <w:sz w:val="20"/>
          <w:szCs w:val="20"/>
          <w:color w:val="auto"/>
        </w:rPr>
        <w:tab/>
      </w:r>
      <w:r>
        <w:rPr>
          <w:rFonts w:ascii="Arial" w:cs="Arial" w:eastAsia="Arial" w:hAnsi="Arial"/>
          <w:sz w:val="20"/>
          <w:szCs w:val="20"/>
          <w:color w:val="auto"/>
        </w:rPr>
        <w:t>means  Enterprise  Holdings,  Inc.  and  subsidiaries,  Hertz  Global</w:t>
      </w:r>
    </w:p>
    <w:p>
      <w:pPr>
        <w:ind w:left="3540"/>
        <w:spacing w:after="0"/>
        <w:tabs>
          <w:tab w:leader="none" w:pos="4540" w:val="left"/>
          <w:tab w:leader="none" w:pos="5040" w:val="left"/>
          <w:tab w:leader="none" w:pos="5540" w:val="left"/>
          <w:tab w:leader="none" w:pos="6820" w:val="left"/>
          <w:tab w:leader="none" w:pos="7820" w:val="left"/>
          <w:tab w:leader="none" w:pos="8660" w:val="left"/>
          <w:tab w:leader="none" w:pos="9400" w:val="left"/>
        </w:tabs>
        <w:rPr>
          <w:sz w:val="20"/>
          <w:szCs w:val="20"/>
          <w:color w:val="auto"/>
        </w:rPr>
      </w:pPr>
      <w:r>
        <w:rPr>
          <w:rFonts w:ascii="Arial" w:cs="Arial" w:eastAsia="Arial" w:hAnsi="Arial"/>
          <w:sz w:val="20"/>
          <w:szCs w:val="20"/>
          <w:color w:val="auto"/>
        </w:rPr>
        <w:t>Holdings,</w:t>
        <w:tab/>
        <w:t>Inc.</w:t>
        <w:tab/>
        <w:t>and</w:t>
        <w:tab/>
        <w:t>subsidiaries,</w:t>
        <w:tab/>
        <w:t>Europcar</w:t>
        <w:tab/>
        <w:t>Mobility</w:t>
        <w:tab/>
        <w:t>Group</w:t>
      </w:r>
      <w:r>
        <w:rPr>
          <w:sz w:val="20"/>
          <w:szCs w:val="20"/>
          <w:color w:val="auto"/>
        </w:rPr>
        <w:tab/>
      </w:r>
      <w:r>
        <w:rPr>
          <w:rFonts w:ascii="Arial" w:cs="Arial" w:eastAsia="Arial" w:hAnsi="Arial"/>
          <w:sz w:val="19"/>
          <w:szCs w:val="19"/>
          <w:color w:val="auto"/>
        </w:rPr>
        <w:t>and</w:t>
      </w:r>
    </w:p>
    <w:p>
      <w:pPr>
        <w:ind w:left="3540"/>
        <w:spacing w:after="0" w:line="225" w:lineRule="auto"/>
        <w:rPr>
          <w:sz w:val="20"/>
          <w:szCs w:val="20"/>
          <w:color w:val="auto"/>
        </w:rPr>
      </w:pPr>
      <w:r>
        <w:rPr>
          <w:rFonts w:ascii="Arial" w:cs="Arial" w:eastAsia="Arial" w:hAnsi="Arial"/>
          <w:sz w:val="20"/>
          <w:szCs w:val="20"/>
          <w:color w:val="auto"/>
        </w:rPr>
        <w:t>subsidiaries, Sixt AG and subsidiaries, and other companies which</w:t>
      </w:r>
    </w:p>
    <w:p>
      <w:pPr>
        <w:ind w:left="3540"/>
        <w:spacing w:after="0"/>
        <w:rPr>
          <w:sz w:val="20"/>
          <w:szCs w:val="20"/>
          <w:color w:val="auto"/>
        </w:rPr>
      </w:pPr>
      <w:r>
        <w:rPr>
          <w:rFonts w:ascii="Arial" w:cs="Arial" w:eastAsia="Arial" w:hAnsi="Arial"/>
          <w:sz w:val="20"/>
          <w:szCs w:val="20"/>
          <w:color w:val="auto"/>
        </w:rPr>
        <w:t>operate in the “Restricted Business” as defined below;</w:t>
      </w:r>
    </w:p>
    <w:p>
      <w:pPr>
        <w:spacing w:after="0" w:line="286" w:lineRule="exact"/>
        <w:rPr>
          <w:sz w:val="20"/>
          <w:szCs w:val="20"/>
          <w:color w:val="auto"/>
        </w:rPr>
      </w:pPr>
    </w:p>
    <w:p>
      <w:pPr>
        <w:spacing w:after="0"/>
        <w:tabs>
          <w:tab w:leader="none" w:pos="3520" w:val="left"/>
        </w:tabs>
        <w:rPr>
          <w:sz w:val="20"/>
          <w:szCs w:val="20"/>
          <w:color w:val="auto"/>
        </w:rPr>
      </w:pPr>
      <w:r>
        <w:rPr>
          <w:rFonts w:ascii="Arial" w:cs="Arial" w:eastAsia="Arial" w:hAnsi="Arial"/>
          <w:sz w:val="20"/>
          <w:szCs w:val="20"/>
          <w:b w:val="1"/>
          <w:bCs w:val="1"/>
          <w:color w:val="auto"/>
        </w:rPr>
        <w:t>“Plan”</w:t>
      </w:r>
      <w:r>
        <w:rPr>
          <w:sz w:val="20"/>
          <w:szCs w:val="20"/>
          <w:color w:val="auto"/>
        </w:rPr>
        <w:tab/>
      </w:r>
      <w:r>
        <w:rPr>
          <w:rFonts w:ascii="Arial" w:cs="Arial" w:eastAsia="Arial" w:hAnsi="Arial"/>
          <w:sz w:val="20"/>
          <w:szCs w:val="20"/>
          <w:color w:val="auto"/>
        </w:rPr>
        <w:t>has the meaning set out in clause 8.1;</w:t>
      </w:r>
    </w:p>
    <w:p>
      <w:pPr>
        <w:spacing w:after="0" w:line="296" w:lineRule="exact"/>
        <w:rPr>
          <w:sz w:val="20"/>
          <w:szCs w:val="20"/>
          <w:color w:val="auto"/>
        </w:rPr>
      </w:pPr>
    </w:p>
    <w:p>
      <w:pPr>
        <w:spacing w:after="0"/>
        <w:tabs>
          <w:tab w:leader="none" w:pos="3520" w:val="left"/>
          <w:tab w:leader="none" w:pos="4420" w:val="left"/>
          <w:tab w:leader="none" w:pos="5060" w:val="left"/>
          <w:tab w:leader="none" w:pos="6460" w:val="left"/>
          <w:tab w:leader="none" w:pos="7540" w:val="left"/>
          <w:tab w:leader="none" w:pos="8820" w:val="left"/>
        </w:tabs>
        <w:rPr>
          <w:sz w:val="20"/>
          <w:szCs w:val="20"/>
          <w:color w:val="auto"/>
        </w:rPr>
      </w:pPr>
      <w:r>
        <w:rPr>
          <w:rFonts w:ascii="Arial" w:cs="Arial" w:eastAsia="Arial" w:hAnsi="Arial"/>
          <w:sz w:val="20"/>
          <w:szCs w:val="20"/>
          <w:b w:val="1"/>
          <w:bCs w:val="1"/>
          <w:color w:val="auto"/>
        </w:rPr>
        <w:t>“Pre-Contractual Statement”</w:t>
      </w:r>
      <w:r>
        <w:rPr>
          <w:sz w:val="20"/>
          <w:szCs w:val="20"/>
          <w:color w:val="auto"/>
        </w:rPr>
        <w:tab/>
      </w:r>
      <w:r>
        <w:rPr>
          <w:rFonts w:ascii="Arial" w:cs="Arial" w:eastAsia="Arial" w:hAnsi="Arial"/>
          <w:sz w:val="20"/>
          <w:szCs w:val="20"/>
          <w:color w:val="auto"/>
        </w:rPr>
        <w:t>means</w:t>
        <w:tab/>
        <w:t>any</w:t>
        <w:tab/>
        <w:t>undertaking,</w:t>
        <w:tab/>
        <w:t>promise,</w:t>
        <w:tab/>
        <w:t>assurance,</w:t>
      </w:r>
      <w:r>
        <w:rPr>
          <w:sz w:val="20"/>
          <w:szCs w:val="20"/>
          <w:color w:val="auto"/>
        </w:rPr>
        <w:tab/>
      </w:r>
      <w:r>
        <w:rPr>
          <w:rFonts w:ascii="Arial" w:cs="Arial" w:eastAsia="Arial" w:hAnsi="Arial"/>
          <w:sz w:val="19"/>
          <w:szCs w:val="19"/>
          <w:color w:val="auto"/>
        </w:rPr>
        <w:t>statement,</w:t>
      </w:r>
    </w:p>
    <w:p>
      <w:pPr>
        <w:ind w:left="3540"/>
        <w:spacing w:after="0" w:line="236" w:lineRule="auto"/>
        <w:rPr>
          <w:sz w:val="20"/>
          <w:szCs w:val="20"/>
          <w:color w:val="auto"/>
        </w:rPr>
      </w:pPr>
      <w:r>
        <w:rPr>
          <w:rFonts w:ascii="Arial" w:cs="Arial" w:eastAsia="Arial" w:hAnsi="Arial"/>
          <w:sz w:val="20"/>
          <w:szCs w:val="20"/>
          <w:color w:val="auto"/>
        </w:rPr>
        <w:t>representation or warranty (whether in writing or not) of any person</w:t>
      </w:r>
    </w:p>
    <w:p>
      <w:pPr>
        <w:ind w:left="3540"/>
        <w:spacing w:after="0" w:line="225" w:lineRule="auto"/>
        <w:rPr>
          <w:sz w:val="20"/>
          <w:szCs w:val="20"/>
          <w:color w:val="auto"/>
        </w:rPr>
      </w:pPr>
      <w:r>
        <w:rPr>
          <w:rFonts w:ascii="Arial" w:cs="Arial" w:eastAsia="Arial" w:hAnsi="Arial"/>
          <w:sz w:val="20"/>
          <w:szCs w:val="20"/>
          <w:color w:val="auto"/>
        </w:rPr>
        <w:t>relating to the Employment which is not expressly set out in this</w:t>
      </w:r>
    </w:p>
    <w:p>
      <w:pPr>
        <w:spacing w:after="0" w:line="1"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Agreement or any documents referred to in it;</w:t>
      </w:r>
    </w:p>
    <w:p>
      <w:pPr>
        <w:sectPr>
          <w:pgSz w:w="11900" w:h="16838" w:orient="portrait"/>
          <w:cols w:equalWidth="0" w:num="1">
            <w:col w:w="9760"/>
          </w:cols>
          <w:pgMar w:left="1000" w:top="271" w:right="1139" w:bottom="73"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Prospective Customer</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“Recognised Investment Exchange”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“Relevant Group Company”</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Business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Customer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means any person, firm, company or other organisation (in each case such person, firm, company or other organisation being deemed a “material” or “key” customer by virtue of their potential annual spend or strategic importance) with whom the Company or any Group Company had submitted a tender, taken part in a pitch or made a presentation to, or with which it was otherwise negotiating for the supply of goods and services during the six months immediately preceding the Termination Date and with whom, during that period, the Executive had material dealings in the course of the Employment or for whom the Executive was responsible for developing the relationship on behalf of the Company or any Group Company;</w:t>
      </w:r>
    </w:p>
    <w:p>
      <w:pPr>
        <w:spacing w:after="0" w:line="2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has the meaning given to it in section 285 of the Financial Services and Markets Act 2000;</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means the businesses of the Company and Group Companies (including without limitation, any businesses related to vehicle rental, vehicle sales, vehicle leasing, vehicle sharing, ride hailing, driven/chauffeur services, fleet management, transport-as-a-service or mobility-as-a-service) at the Termination Date with which the Executive was involved during the twelve months immediately preceding the Termination Date;</w:t>
      </w:r>
    </w:p>
    <w:p>
      <w:pPr>
        <w:spacing w:after="0" w:line="9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means any person, firm, company or other organisation (in each case such person, firm, company or other organisation being deemed a “material” or “key” customer by virtue of their annual spend or strategic importance) who, at any time during the twelve months immediately preceding the Termination Date was a customer of or in the habit of dealing with the Company or any Group Company and with whom, during that period, the Executive had material dealings in the course of the Employment or for whom the Executive was responsible on behalf of the Company or any Group Company;</w:t>
      </w:r>
    </w:p>
    <w:p>
      <w:pPr>
        <w:sectPr>
          <w:pgSz w:w="11900" w:h="16838" w:orient="portrait"/>
          <w:cols w:equalWidth="0" w:num="2">
            <w:col w:w="3420" w:space="120"/>
            <w:col w:w="6220"/>
          </w:cols>
          <w:pgMar w:left="1000" w:top="271" w:right="1139" w:bottom="73" w:gutter="0" w:footer="0" w:header="0"/>
          <w:type w:val="continuous"/>
        </w:sectPr>
      </w:pPr>
    </w:p>
    <w:bookmarkStart w:id="133" w:name="page134"/>
    <w:bookmarkEnd w:id="133"/>
    <w:p>
      <w:pPr>
        <w:spacing w:after="0" w:line="95" w:lineRule="exact"/>
        <w:rPr>
          <w:sz w:val="20"/>
          <w:szCs w:val="20"/>
          <w:color w:val="auto"/>
        </w:rPr>
      </w:pPr>
    </w:p>
    <w:tbl>
      <w:tblPr>
        <w:tblLayout w:type="fixed"/>
        <w:tblInd w:w="760" w:type="dxa"/>
        <w:tblCellMar>
          <w:top w:w="0" w:type="dxa"/>
          <w:left w:w="0" w:type="dxa"/>
          <w:bottom w:w="0" w:type="dxa"/>
          <w:right w:w="0" w:type="dxa"/>
        </w:tblCellMar>
      </w:tblPr>
      <w:tr>
        <w:trPr>
          <w:trHeight w:val="261"/>
        </w:trPr>
        <w:tc>
          <w:tcPr>
            <w:tcW w:w="28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Restriction Date</w:t>
            </w:r>
            <w:r>
              <w:rPr>
                <w:rFonts w:ascii="Arial" w:cs="Arial" w:eastAsia="Arial" w:hAnsi="Arial"/>
                <w:sz w:val="20"/>
                <w:szCs w:val="20"/>
                <w:color w:val="auto"/>
              </w:rPr>
              <w:t>”</w:t>
            </w:r>
          </w:p>
        </w:tc>
        <w:tc>
          <w:tcPr>
            <w:tcW w:w="1140" w:type="dxa"/>
            <w:vAlign w:val="bottom"/>
          </w:tcPr>
          <w:p>
            <w:pPr>
              <w:ind w:left="720"/>
              <w:spacing w:after="0"/>
              <w:rPr>
                <w:sz w:val="20"/>
                <w:szCs w:val="20"/>
                <w:color w:val="auto"/>
              </w:rPr>
            </w:pPr>
            <w:r>
              <w:rPr>
                <w:rFonts w:ascii="Arial" w:cs="Arial" w:eastAsia="Arial" w:hAnsi="Arial"/>
                <w:sz w:val="20"/>
                <w:szCs w:val="20"/>
                <w:color w:val="auto"/>
              </w:rPr>
              <w:t>;</w:t>
            </w:r>
          </w:p>
        </w:tc>
        <w:tc>
          <w:tcPr>
            <w:tcW w:w="5800" w:type="dxa"/>
            <w:vAlign w:val="bottom"/>
          </w:tcPr>
          <w:p>
            <w:pPr>
              <w:spacing w:after="0"/>
              <w:rPr>
                <w:sz w:val="22"/>
                <w:szCs w:val="22"/>
                <w:color w:val="auto"/>
              </w:rPr>
            </w:pPr>
          </w:p>
        </w:tc>
      </w:tr>
      <w:tr>
        <w:trPr>
          <w:trHeight w:val="560"/>
        </w:trPr>
        <w:tc>
          <w:tcPr>
            <w:tcW w:w="28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Employee</w:t>
            </w:r>
            <w:r>
              <w:rPr>
                <w:rFonts w:ascii="Arial" w:cs="Arial" w:eastAsia="Arial" w:hAnsi="Arial"/>
                <w:sz w:val="20"/>
                <w:szCs w:val="20"/>
                <w:color w:val="auto"/>
              </w:rPr>
              <w:t>”</w:t>
            </w:r>
          </w:p>
        </w:tc>
        <w:tc>
          <w:tcPr>
            <w:tcW w:w="6940" w:type="dxa"/>
            <w:vAlign w:val="bottom"/>
            <w:gridSpan w:val="2"/>
          </w:tcPr>
          <w:p>
            <w:pPr>
              <w:ind w:left="720"/>
              <w:spacing w:after="0"/>
              <w:rPr>
                <w:sz w:val="20"/>
                <w:szCs w:val="20"/>
                <w:color w:val="auto"/>
              </w:rPr>
            </w:pPr>
            <w:r>
              <w:rPr>
                <w:rFonts w:ascii="Arial" w:cs="Arial" w:eastAsia="Arial" w:hAnsi="Arial"/>
                <w:sz w:val="20"/>
                <w:szCs w:val="20"/>
                <w:color w:val="auto"/>
                <w:w w:val="88"/>
              </w:rPr>
              <w:t>means any person who, at the Termination Date, was employed or engaged by</w:t>
            </w:r>
          </w:p>
        </w:tc>
      </w:tr>
      <w:tr>
        <w:trPr>
          <w:trHeight w:val="230"/>
        </w:trPr>
        <w:tc>
          <w:tcPr>
            <w:tcW w:w="2820" w:type="dxa"/>
            <w:vAlign w:val="bottom"/>
          </w:tcPr>
          <w:p>
            <w:pPr>
              <w:spacing w:after="0"/>
              <w:rPr>
                <w:sz w:val="19"/>
                <w:szCs w:val="19"/>
                <w:color w:val="auto"/>
              </w:rPr>
            </w:pPr>
          </w:p>
        </w:tc>
        <w:tc>
          <w:tcPr>
            <w:tcW w:w="6940" w:type="dxa"/>
            <w:vAlign w:val="bottom"/>
            <w:gridSpan w:val="2"/>
          </w:tcPr>
          <w:p>
            <w:pPr>
              <w:ind w:left="720"/>
              <w:spacing w:after="0"/>
              <w:rPr>
                <w:sz w:val="20"/>
                <w:szCs w:val="20"/>
                <w:color w:val="auto"/>
              </w:rPr>
            </w:pPr>
            <w:r>
              <w:rPr>
                <w:rFonts w:ascii="Arial" w:cs="Arial" w:eastAsia="Arial" w:hAnsi="Arial"/>
                <w:sz w:val="20"/>
                <w:szCs w:val="20"/>
                <w:color w:val="auto"/>
                <w:w w:val="96"/>
              </w:rPr>
              <w:t>the Company or any Group Company in a senior, executive, managerial,</w:t>
            </w:r>
          </w:p>
        </w:tc>
      </w:tr>
      <w:tr>
        <w:trPr>
          <w:trHeight w:val="250"/>
        </w:trPr>
        <w:tc>
          <w:tcPr>
            <w:tcW w:w="2820" w:type="dxa"/>
            <w:vAlign w:val="bottom"/>
          </w:tcPr>
          <w:p>
            <w:pPr>
              <w:spacing w:after="0"/>
              <w:rPr>
                <w:sz w:val="21"/>
                <w:szCs w:val="21"/>
                <w:color w:val="auto"/>
              </w:rPr>
            </w:pPr>
          </w:p>
        </w:tc>
        <w:tc>
          <w:tcPr>
            <w:tcW w:w="6940" w:type="dxa"/>
            <w:vAlign w:val="bottom"/>
            <w:gridSpan w:val="2"/>
          </w:tcPr>
          <w:p>
            <w:pPr>
              <w:ind w:left="720"/>
              <w:spacing w:after="0"/>
              <w:rPr>
                <w:sz w:val="20"/>
                <w:szCs w:val="20"/>
                <w:color w:val="auto"/>
              </w:rPr>
            </w:pPr>
            <w:r>
              <w:rPr>
                <w:rFonts w:ascii="Arial" w:cs="Arial" w:eastAsia="Arial" w:hAnsi="Arial"/>
                <w:sz w:val="20"/>
                <w:szCs w:val="20"/>
                <w:color w:val="auto"/>
              </w:rPr>
              <w:t>professional, technical, marketing, distribution or sales capacity and:</w:t>
            </w:r>
          </w:p>
        </w:tc>
      </w:tr>
      <w:tr>
        <w:trPr>
          <w:trHeight w:val="297"/>
        </w:trPr>
        <w:tc>
          <w:tcPr>
            <w:tcW w:w="2820" w:type="dxa"/>
            <w:vAlign w:val="bottom"/>
          </w:tcPr>
          <w:p>
            <w:pPr>
              <w:spacing w:after="0"/>
              <w:rPr>
                <w:sz w:val="24"/>
                <w:szCs w:val="24"/>
                <w:color w:val="auto"/>
              </w:rPr>
            </w:pPr>
          </w:p>
        </w:tc>
        <w:tc>
          <w:tcPr>
            <w:tcW w:w="1140" w:type="dxa"/>
            <w:vAlign w:val="bottom"/>
          </w:tcPr>
          <w:p>
            <w:pPr>
              <w:ind w:left="720"/>
              <w:spacing w:after="0"/>
              <w:rPr>
                <w:sz w:val="20"/>
                <w:szCs w:val="20"/>
                <w:color w:val="auto"/>
              </w:rPr>
            </w:pPr>
            <w:r>
              <w:rPr>
                <w:rFonts w:ascii="Arial" w:cs="Arial" w:eastAsia="Arial" w:hAnsi="Arial"/>
                <w:sz w:val="20"/>
                <w:szCs w:val="20"/>
                <w:color w:val="auto"/>
              </w:rPr>
              <w:t>•</w:t>
            </w:r>
          </w:p>
        </w:tc>
        <w:tc>
          <w:tcPr>
            <w:tcW w:w="5800" w:type="dxa"/>
            <w:vAlign w:val="bottom"/>
          </w:tcPr>
          <w:p>
            <w:pPr>
              <w:ind w:left="360"/>
              <w:spacing w:after="0"/>
              <w:rPr>
                <w:sz w:val="20"/>
                <w:szCs w:val="20"/>
                <w:color w:val="auto"/>
              </w:rPr>
            </w:pPr>
            <w:r>
              <w:rPr>
                <w:rFonts w:ascii="Arial" w:cs="Arial" w:eastAsia="Arial" w:hAnsi="Arial"/>
                <w:sz w:val="16"/>
                <w:szCs w:val="16"/>
                <w:color w:val="auto"/>
              </w:rPr>
              <w:t>with whom the Executive had material contact in the course of that person’s</w:t>
            </w:r>
          </w:p>
        </w:tc>
      </w:tr>
      <w:tr>
        <w:trPr>
          <w:trHeight w:val="203"/>
        </w:trPr>
        <w:tc>
          <w:tcPr>
            <w:tcW w:w="2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0" w:type="dxa"/>
            <w:vAlign w:val="bottom"/>
          </w:tcPr>
          <w:p>
            <w:pPr>
              <w:ind w:left="360"/>
              <w:spacing w:after="0"/>
              <w:rPr>
                <w:sz w:val="20"/>
                <w:szCs w:val="20"/>
                <w:color w:val="auto"/>
              </w:rPr>
            </w:pPr>
            <w:r>
              <w:rPr>
                <w:rFonts w:ascii="Arial" w:cs="Arial" w:eastAsia="Arial" w:hAnsi="Arial"/>
                <w:sz w:val="16"/>
                <w:szCs w:val="16"/>
                <w:color w:val="auto"/>
              </w:rPr>
              <w:t>employment, appointment or engagement in the twelve months immediately</w:t>
            </w:r>
          </w:p>
        </w:tc>
      </w:tr>
      <w:tr>
        <w:trPr>
          <w:trHeight w:val="196"/>
        </w:trPr>
        <w:tc>
          <w:tcPr>
            <w:tcW w:w="2820" w:type="dxa"/>
            <w:vAlign w:val="bottom"/>
          </w:tcPr>
          <w:p>
            <w:pPr>
              <w:spacing w:after="0"/>
              <w:rPr>
                <w:sz w:val="17"/>
                <w:szCs w:val="17"/>
                <w:color w:val="auto"/>
              </w:rPr>
            </w:pPr>
          </w:p>
        </w:tc>
        <w:tc>
          <w:tcPr>
            <w:tcW w:w="6940" w:type="dxa"/>
            <w:vAlign w:val="bottom"/>
            <w:gridSpan w:val="2"/>
          </w:tcPr>
          <w:p>
            <w:pPr>
              <w:ind w:left="720"/>
              <w:spacing w:after="0"/>
              <w:rPr>
                <w:sz w:val="20"/>
                <w:szCs w:val="20"/>
                <w:color w:val="auto"/>
              </w:rPr>
            </w:pPr>
            <w:r>
              <w:rPr>
                <w:rFonts w:ascii="Arial" w:cs="Arial" w:eastAsia="Arial" w:hAnsi="Arial"/>
                <w:sz w:val="16"/>
                <w:szCs w:val="16"/>
                <w:color w:val="auto"/>
              </w:rPr>
              <w:t>preceding the Termination Date; or</w:t>
            </w:r>
          </w:p>
        </w:tc>
      </w:tr>
      <w:tr>
        <w:trPr>
          <w:trHeight w:val="237"/>
        </w:trPr>
        <w:tc>
          <w:tcPr>
            <w:tcW w:w="2820" w:type="dxa"/>
            <w:vAlign w:val="bottom"/>
          </w:tcPr>
          <w:p>
            <w:pPr>
              <w:spacing w:after="0"/>
              <w:rPr>
                <w:sz w:val="20"/>
                <w:szCs w:val="20"/>
                <w:color w:val="auto"/>
              </w:rPr>
            </w:pPr>
          </w:p>
        </w:tc>
        <w:tc>
          <w:tcPr>
            <w:tcW w:w="6940" w:type="dxa"/>
            <w:vAlign w:val="bottom"/>
            <w:gridSpan w:val="2"/>
          </w:tcPr>
          <w:p>
            <w:pPr>
              <w:ind w:left="700"/>
              <w:spacing w:after="0"/>
              <w:rPr>
                <w:sz w:val="20"/>
                <w:szCs w:val="20"/>
                <w:color w:val="auto"/>
              </w:rPr>
            </w:pPr>
            <w:r>
              <w:rPr>
                <w:rFonts w:ascii="Arial" w:cs="Arial" w:eastAsia="Arial" w:hAnsi="Arial"/>
                <w:sz w:val="20"/>
                <w:szCs w:val="20"/>
                <w:color w:val="auto"/>
                <w:w w:val="94"/>
              </w:rPr>
              <w:t xml:space="preserve">(b)  </w:t>
            </w:r>
            <w:r>
              <w:rPr>
                <w:rFonts w:ascii="Arial" w:cs="Arial" w:eastAsia="Arial" w:hAnsi="Arial"/>
                <w:sz w:val="16"/>
                <w:szCs w:val="16"/>
                <w:color w:val="auto"/>
                <w:w w:val="94"/>
              </w:rPr>
              <w:t>for whose activities on behalf of the Company or relevant Group Company the Executive</w:t>
            </w:r>
          </w:p>
        </w:tc>
      </w:tr>
      <w:tr>
        <w:trPr>
          <w:trHeight w:val="203"/>
        </w:trPr>
        <w:tc>
          <w:tcPr>
            <w:tcW w:w="2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0" w:type="dxa"/>
            <w:vAlign w:val="bottom"/>
          </w:tcPr>
          <w:p>
            <w:pPr>
              <w:ind w:left="360"/>
              <w:spacing w:after="0"/>
              <w:rPr>
                <w:sz w:val="20"/>
                <w:szCs w:val="20"/>
                <w:color w:val="auto"/>
              </w:rPr>
            </w:pPr>
            <w:r>
              <w:rPr>
                <w:rFonts w:ascii="Arial" w:cs="Arial" w:eastAsia="Arial" w:hAnsi="Arial"/>
                <w:sz w:val="16"/>
                <w:szCs w:val="16"/>
                <w:color w:val="auto"/>
                <w:w w:val="92"/>
              </w:rPr>
              <w:t>had direct or indirect responsibility in the twelve months immediately preceding the</w:t>
            </w:r>
          </w:p>
        </w:tc>
      </w:tr>
      <w:tr>
        <w:trPr>
          <w:trHeight w:val="206"/>
        </w:trPr>
        <w:tc>
          <w:tcPr>
            <w:tcW w:w="2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0" w:type="dxa"/>
            <w:vAlign w:val="bottom"/>
          </w:tcPr>
          <w:p>
            <w:pPr>
              <w:ind w:left="360"/>
              <w:spacing w:after="0"/>
              <w:rPr>
                <w:sz w:val="20"/>
                <w:szCs w:val="20"/>
                <w:color w:val="auto"/>
              </w:rPr>
            </w:pPr>
            <w:r>
              <w:rPr>
                <w:rFonts w:ascii="Arial" w:cs="Arial" w:eastAsia="Arial" w:hAnsi="Arial"/>
                <w:sz w:val="16"/>
                <w:szCs w:val="16"/>
                <w:color w:val="auto"/>
              </w:rPr>
              <w:t>Termination Date;</w:t>
            </w:r>
          </w:p>
        </w:tc>
      </w:tr>
      <w:tr>
        <w:trPr>
          <w:trHeight w:val="570"/>
        </w:trPr>
        <w:tc>
          <w:tcPr>
            <w:tcW w:w="282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Supplier</w:t>
            </w:r>
            <w:r>
              <w:rPr>
                <w:rFonts w:ascii="Arial" w:cs="Arial" w:eastAsia="Arial" w:hAnsi="Arial"/>
                <w:sz w:val="20"/>
                <w:szCs w:val="20"/>
                <w:color w:val="auto"/>
              </w:rPr>
              <w:t>”</w:t>
            </w:r>
          </w:p>
        </w:tc>
        <w:tc>
          <w:tcPr>
            <w:tcW w:w="6940" w:type="dxa"/>
            <w:vAlign w:val="bottom"/>
            <w:gridSpan w:val="2"/>
          </w:tcPr>
          <w:p>
            <w:pPr>
              <w:ind w:left="720"/>
              <w:spacing w:after="0"/>
              <w:rPr>
                <w:sz w:val="20"/>
                <w:szCs w:val="20"/>
                <w:color w:val="auto"/>
              </w:rPr>
            </w:pPr>
            <w:r>
              <w:rPr>
                <w:rFonts w:ascii="Arial" w:cs="Arial" w:eastAsia="Arial" w:hAnsi="Arial"/>
                <w:sz w:val="20"/>
                <w:szCs w:val="20"/>
                <w:color w:val="auto"/>
                <w:w w:val="94"/>
              </w:rPr>
              <w:t>means any person, firm, company or other organisation who, in the twelve</w:t>
            </w:r>
          </w:p>
        </w:tc>
      </w:tr>
      <w:tr>
        <w:trPr>
          <w:trHeight w:val="230"/>
        </w:trPr>
        <w:tc>
          <w:tcPr>
            <w:tcW w:w="2820" w:type="dxa"/>
            <w:vAlign w:val="bottom"/>
          </w:tcPr>
          <w:p>
            <w:pPr>
              <w:spacing w:after="0"/>
              <w:rPr>
                <w:sz w:val="19"/>
                <w:szCs w:val="19"/>
                <w:color w:val="auto"/>
              </w:rPr>
            </w:pPr>
          </w:p>
        </w:tc>
        <w:tc>
          <w:tcPr>
            <w:tcW w:w="6940" w:type="dxa"/>
            <w:vAlign w:val="bottom"/>
            <w:gridSpan w:val="2"/>
          </w:tcPr>
          <w:p>
            <w:pPr>
              <w:ind w:left="720"/>
              <w:spacing w:after="0"/>
              <w:rPr>
                <w:sz w:val="20"/>
                <w:szCs w:val="20"/>
                <w:color w:val="auto"/>
              </w:rPr>
            </w:pPr>
            <w:r>
              <w:rPr>
                <w:rFonts w:ascii="Arial" w:cs="Arial" w:eastAsia="Arial" w:hAnsi="Arial"/>
                <w:sz w:val="20"/>
                <w:szCs w:val="20"/>
                <w:color w:val="auto"/>
                <w:w w:val="93"/>
              </w:rPr>
              <w:t>months immediately preceding the Termination Date supplied goods and/or</w:t>
            </w:r>
          </w:p>
        </w:tc>
      </w:tr>
      <w:tr>
        <w:trPr>
          <w:trHeight w:val="230"/>
        </w:trPr>
        <w:tc>
          <w:tcPr>
            <w:tcW w:w="2820" w:type="dxa"/>
            <w:vAlign w:val="bottom"/>
          </w:tcPr>
          <w:p>
            <w:pPr>
              <w:spacing w:after="0"/>
              <w:rPr>
                <w:sz w:val="19"/>
                <w:szCs w:val="19"/>
                <w:color w:val="auto"/>
              </w:rPr>
            </w:pPr>
          </w:p>
        </w:tc>
        <w:tc>
          <w:tcPr>
            <w:tcW w:w="6940" w:type="dxa"/>
            <w:vAlign w:val="bottom"/>
            <w:gridSpan w:val="2"/>
          </w:tcPr>
          <w:p>
            <w:pPr>
              <w:ind w:left="720"/>
              <w:spacing w:after="0"/>
              <w:rPr>
                <w:sz w:val="20"/>
                <w:szCs w:val="20"/>
                <w:color w:val="auto"/>
              </w:rPr>
            </w:pPr>
            <w:r>
              <w:rPr>
                <w:rFonts w:ascii="Arial" w:cs="Arial" w:eastAsia="Arial" w:hAnsi="Arial"/>
                <w:sz w:val="20"/>
                <w:szCs w:val="20"/>
                <w:color w:val="auto"/>
                <w:w w:val="92"/>
              </w:rPr>
              <w:t>services to the Company or any Group Company including but not limited to</w:t>
            </w:r>
          </w:p>
        </w:tc>
      </w:tr>
      <w:tr>
        <w:trPr>
          <w:trHeight w:val="230"/>
        </w:trPr>
        <w:tc>
          <w:tcPr>
            <w:tcW w:w="2820" w:type="dxa"/>
            <w:vAlign w:val="bottom"/>
          </w:tcPr>
          <w:p>
            <w:pPr>
              <w:spacing w:after="0"/>
              <w:rPr>
                <w:sz w:val="19"/>
                <w:szCs w:val="19"/>
                <w:color w:val="auto"/>
              </w:rPr>
            </w:pPr>
          </w:p>
        </w:tc>
        <w:tc>
          <w:tcPr>
            <w:tcW w:w="6940" w:type="dxa"/>
            <w:vAlign w:val="bottom"/>
            <w:gridSpan w:val="2"/>
          </w:tcPr>
          <w:p>
            <w:pPr>
              <w:ind w:left="720"/>
              <w:spacing w:after="0"/>
              <w:rPr>
                <w:sz w:val="20"/>
                <w:szCs w:val="20"/>
                <w:color w:val="auto"/>
              </w:rPr>
            </w:pPr>
            <w:r>
              <w:rPr>
                <w:rFonts w:ascii="Arial" w:cs="Arial" w:eastAsia="Arial" w:hAnsi="Arial"/>
                <w:sz w:val="20"/>
                <w:szCs w:val="20"/>
                <w:color w:val="auto"/>
                <w:w w:val="90"/>
              </w:rPr>
              <w:t>any individual who provided services to the Company or any Group Company</w:t>
            </w:r>
          </w:p>
        </w:tc>
      </w:tr>
      <w:tr>
        <w:trPr>
          <w:trHeight w:val="230"/>
        </w:trPr>
        <w:tc>
          <w:tcPr>
            <w:tcW w:w="2820" w:type="dxa"/>
            <w:vAlign w:val="bottom"/>
          </w:tcPr>
          <w:p>
            <w:pPr>
              <w:spacing w:after="0"/>
              <w:rPr>
                <w:sz w:val="19"/>
                <w:szCs w:val="19"/>
                <w:color w:val="auto"/>
              </w:rPr>
            </w:pPr>
          </w:p>
        </w:tc>
        <w:tc>
          <w:tcPr>
            <w:tcW w:w="6940" w:type="dxa"/>
            <w:vAlign w:val="bottom"/>
            <w:gridSpan w:val="2"/>
          </w:tcPr>
          <w:p>
            <w:pPr>
              <w:ind w:left="720"/>
              <w:spacing w:after="0"/>
              <w:rPr>
                <w:sz w:val="20"/>
                <w:szCs w:val="20"/>
                <w:color w:val="auto"/>
              </w:rPr>
            </w:pPr>
            <w:r>
              <w:rPr>
                <w:rFonts w:ascii="Arial" w:cs="Arial" w:eastAsia="Arial" w:hAnsi="Arial"/>
                <w:sz w:val="20"/>
                <w:szCs w:val="20"/>
                <w:color w:val="auto"/>
                <w:w w:val="98"/>
              </w:rPr>
              <w:t>by way of a consultancy agreement (but excluding utilities or goods and</w:t>
            </w:r>
          </w:p>
        </w:tc>
      </w:tr>
      <w:tr>
        <w:trPr>
          <w:trHeight w:val="230"/>
        </w:trPr>
        <w:tc>
          <w:tcPr>
            <w:tcW w:w="2820" w:type="dxa"/>
            <w:vAlign w:val="bottom"/>
          </w:tcPr>
          <w:p>
            <w:pPr>
              <w:spacing w:after="0"/>
              <w:rPr>
                <w:sz w:val="19"/>
                <w:szCs w:val="19"/>
                <w:color w:val="auto"/>
              </w:rPr>
            </w:pPr>
          </w:p>
        </w:tc>
        <w:tc>
          <w:tcPr>
            <w:tcW w:w="6940" w:type="dxa"/>
            <w:vAlign w:val="bottom"/>
            <w:gridSpan w:val="2"/>
          </w:tcPr>
          <w:p>
            <w:pPr>
              <w:ind w:left="720"/>
              <w:spacing w:after="0"/>
              <w:rPr>
                <w:sz w:val="20"/>
                <w:szCs w:val="20"/>
                <w:color w:val="auto"/>
              </w:rPr>
            </w:pPr>
            <w:r>
              <w:rPr>
                <w:rFonts w:ascii="Arial" w:cs="Arial" w:eastAsia="Arial" w:hAnsi="Arial"/>
                <w:sz w:val="20"/>
                <w:szCs w:val="20"/>
                <w:color w:val="auto"/>
                <w:w w:val="95"/>
              </w:rPr>
              <w:t>services supplied for administrative purposes) and with whom, during that</w:t>
            </w:r>
          </w:p>
        </w:tc>
      </w:tr>
      <w:tr>
        <w:trPr>
          <w:trHeight w:val="250"/>
        </w:trPr>
        <w:tc>
          <w:tcPr>
            <w:tcW w:w="2820" w:type="dxa"/>
            <w:vAlign w:val="bottom"/>
          </w:tcPr>
          <w:p>
            <w:pPr>
              <w:spacing w:after="0"/>
              <w:rPr>
                <w:sz w:val="21"/>
                <w:szCs w:val="21"/>
                <w:color w:val="auto"/>
              </w:rPr>
            </w:pPr>
          </w:p>
        </w:tc>
        <w:tc>
          <w:tcPr>
            <w:tcW w:w="6940" w:type="dxa"/>
            <w:vAlign w:val="bottom"/>
            <w:gridSpan w:val="2"/>
          </w:tcPr>
          <w:p>
            <w:pPr>
              <w:ind w:left="720"/>
              <w:spacing w:after="0"/>
              <w:rPr>
                <w:sz w:val="20"/>
                <w:szCs w:val="20"/>
                <w:color w:val="auto"/>
              </w:rPr>
            </w:pPr>
            <w:r>
              <w:rPr>
                <w:rFonts w:ascii="Arial" w:cs="Arial" w:eastAsia="Arial" w:hAnsi="Arial"/>
                <w:sz w:val="20"/>
                <w:szCs w:val="20"/>
                <w:color w:val="auto"/>
              </w:rPr>
              <w:t>period, the Executive dealt to a material extent;</w:t>
            </w:r>
          </w:p>
        </w:tc>
      </w:tr>
      <w:tr>
        <w:trPr>
          <w:trHeight w:val="554"/>
        </w:trPr>
        <w:tc>
          <w:tcPr>
            <w:tcW w:w="2820" w:type="dxa"/>
            <w:vAlign w:val="bottom"/>
          </w:tcPr>
          <w:p>
            <w:pPr>
              <w:spacing w:after="0"/>
              <w:rPr>
                <w:sz w:val="20"/>
                <w:szCs w:val="20"/>
                <w:color w:val="auto"/>
              </w:rPr>
            </w:pPr>
            <w:r>
              <w:rPr>
                <w:rFonts w:ascii="Arial" w:cs="Arial" w:eastAsia="Arial" w:hAnsi="Arial"/>
                <w:sz w:val="20"/>
                <w:szCs w:val="20"/>
                <w:b w:val="1"/>
                <w:bCs w:val="1"/>
                <w:color w:val="auto"/>
              </w:rPr>
              <w:t>“Schemes”</w:t>
            </w:r>
          </w:p>
        </w:tc>
        <w:tc>
          <w:tcPr>
            <w:tcW w:w="6940" w:type="dxa"/>
            <w:vAlign w:val="bottom"/>
            <w:gridSpan w:val="2"/>
          </w:tcPr>
          <w:p>
            <w:pPr>
              <w:ind w:left="720"/>
              <w:spacing w:after="0"/>
              <w:rPr>
                <w:sz w:val="20"/>
                <w:szCs w:val="20"/>
                <w:color w:val="auto"/>
              </w:rPr>
            </w:pPr>
            <w:r>
              <w:rPr>
                <w:rFonts w:ascii="Arial" w:cs="Arial" w:eastAsia="Arial" w:hAnsi="Arial"/>
                <w:sz w:val="20"/>
                <w:szCs w:val="20"/>
                <w:color w:val="auto"/>
              </w:rPr>
              <w:t>has the meaning set out in clause 9.1; and</w:t>
            </w:r>
          </w:p>
        </w:tc>
      </w:tr>
      <w:tr>
        <w:trPr>
          <w:trHeight w:val="540"/>
        </w:trPr>
        <w:tc>
          <w:tcPr>
            <w:tcW w:w="2820" w:type="dxa"/>
            <w:vAlign w:val="bottom"/>
          </w:tcPr>
          <w:p>
            <w:pPr>
              <w:spacing w:after="0"/>
              <w:rPr>
                <w:sz w:val="20"/>
                <w:szCs w:val="20"/>
                <w:color w:val="auto"/>
              </w:rPr>
            </w:pPr>
            <w:r>
              <w:rPr>
                <w:rFonts w:ascii="Arial" w:cs="Arial" w:eastAsia="Arial" w:hAnsi="Arial"/>
                <w:sz w:val="20"/>
                <w:szCs w:val="20"/>
                <w:b w:val="1"/>
                <w:bCs w:val="1"/>
                <w:color w:val="auto"/>
              </w:rPr>
              <w:t>“Termination Date”</w:t>
            </w:r>
          </w:p>
        </w:tc>
        <w:tc>
          <w:tcPr>
            <w:tcW w:w="6940" w:type="dxa"/>
            <w:vAlign w:val="bottom"/>
            <w:gridSpan w:val="2"/>
          </w:tcPr>
          <w:p>
            <w:pPr>
              <w:ind w:left="720"/>
              <w:spacing w:after="0"/>
              <w:rPr>
                <w:sz w:val="20"/>
                <w:szCs w:val="20"/>
                <w:color w:val="auto"/>
              </w:rPr>
            </w:pPr>
            <w:r>
              <w:rPr>
                <w:rFonts w:ascii="Arial" w:cs="Arial" w:eastAsia="Arial" w:hAnsi="Arial"/>
                <w:sz w:val="20"/>
                <w:szCs w:val="20"/>
                <w:color w:val="auto"/>
              </w:rPr>
              <w:t>the date of termination of the Employment (howsoever caused).</w:t>
            </w:r>
          </w:p>
        </w:tc>
      </w:tr>
    </w:tbl>
    <w:p>
      <w:pPr>
        <w:spacing w:after="0" w:line="290"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References to clauses, sub clauses and schedules are, unless otherwise stated, references to clauses and sub clauses of and schedules to this Agreement. The headings to the clauses are for convenience only and shall not affect the construction or interpretation of this Agreement. References to persons shall include bodies corporate, unincorporated associations and partnerships. Words and expressions defined in or for the purpose of the Companies Acts shall have the same meaning unless the context otherwise requires. Words importing the masculine gender only shall include the feminine gender (as appropriate) and vice versa.</w:t>
      </w:r>
    </w:p>
    <w:p>
      <w:pPr>
        <w:spacing w:after="0" w:line="208"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Any reference to a statutory provision shall include that provision as from time to time modified or re-enacted provided that in the case of modifications or enactments made after the date of this Agreement the same shall not have effected a substantive change to that provision.</w:t>
      </w:r>
    </w:p>
    <w:p>
      <w:pPr>
        <w:spacing w:after="0" w:line="200"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APPOINTMENT</w:t>
      </w:r>
    </w:p>
    <w:p>
      <w:pPr>
        <w:spacing w:after="0" w:line="235"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color w:val="auto"/>
        </w:rPr>
        <w:t>The Employment is subject to the terms and conditions in this Agreement and the Company hereby agrees to employ the Executive and the Executive hereby agrees to such Employment on these terms and conditions.</w:t>
      </w:r>
    </w:p>
    <w:p>
      <w:pPr>
        <w:spacing w:after="0" w:line="183"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COMMENCEMENT</w:t>
      </w:r>
    </w:p>
    <w:p>
      <w:pPr>
        <w:spacing w:after="0" w:line="234"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The Employment shall commence on the Commencement Date.</w:t>
      </w:r>
    </w:p>
    <w:p>
      <w:pPr>
        <w:spacing w:after="0" w:line="196"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SCOPE OF THE EMPLOYMENT</w:t>
      </w:r>
    </w:p>
    <w:p>
      <w:pPr>
        <w:spacing w:after="0" w:line="22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color w:val="auto"/>
        </w:rPr>
        <w:t>The Executive shall:</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9"/>
          <w:szCs w:val="19"/>
          <w:color w:val="auto"/>
        </w:rPr>
        <w:t>devote the whole of the Executive’s time, attention, ability and skills during working time to the Executive’s duties;</w:t>
      </w:r>
    </w:p>
    <w:p>
      <w:pPr>
        <w:spacing w:after="0" w:line="216"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20"/>
          <w:szCs w:val="20"/>
          <w:color w:val="auto"/>
        </w:rPr>
        <w:t>faithfully and diligently perform such duties and exercise such powers consistent with the Executive’s position as may from time to time be assigned to or vested in the Executive by the Company;</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9"/>
          <w:szCs w:val="19"/>
          <w:color w:val="auto"/>
        </w:rPr>
        <w:t>obey all reasonable and lawful directions of the Company;</w:t>
      </w:r>
    </w:p>
    <w:p>
      <w:pPr>
        <w:spacing w:after="0" w:line="216"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20"/>
          <w:szCs w:val="20"/>
          <w:color w:val="auto"/>
        </w:rPr>
        <w:t>comply with all of the Company’s Delegation of Financial Authorities policy and other policies and procedures from time to time in force;</w:t>
      </w:r>
    </w:p>
    <w:p>
      <w:pPr>
        <w:spacing w:after="0" w:line="202"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4.1.5</w:t>
      </w:r>
      <w:r>
        <w:rPr>
          <w:sz w:val="20"/>
          <w:szCs w:val="20"/>
          <w:color w:val="auto"/>
        </w:rPr>
        <w:tab/>
      </w:r>
      <w:r>
        <w:rPr>
          <w:rFonts w:ascii="Arial" w:cs="Arial" w:eastAsia="Arial" w:hAnsi="Arial"/>
          <w:sz w:val="20"/>
          <w:szCs w:val="20"/>
          <w:color w:val="auto"/>
        </w:rPr>
        <w:t>exercise the Executive’s duties in compliance with all applicable law, including without limitation, health and safety, competition/anti-trust, anti-corruption/anti-bribery and Avis Budget Group’s Code of Conduct and use all reasonable endeavours to assist the Company in preventing breaches of such laws and policies;</w:t>
      </w:r>
    </w:p>
    <w:p>
      <w:pPr>
        <w:spacing w:after="0" w:line="206" w:lineRule="exact"/>
        <w:rPr>
          <w:sz w:val="20"/>
          <w:szCs w:val="20"/>
          <w:color w:val="auto"/>
        </w:rPr>
      </w:pPr>
    </w:p>
    <w:p>
      <w:pPr>
        <w:jc w:val="both"/>
        <w:ind w:left="1300" w:right="20" w:hanging="647"/>
        <w:spacing w:after="0" w:line="247" w:lineRule="auto"/>
        <w:tabs>
          <w:tab w:leader="none" w:pos="1280" w:val="left"/>
        </w:tabs>
        <w:rPr>
          <w:sz w:val="20"/>
          <w:szCs w:val="20"/>
          <w:color w:val="auto"/>
        </w:rPr>
      </w:pPr>
      <w:r>
        <w:rPr>
          <w:rFonts w:ascii="Arial" w:cs="Arial" w:eastAsia="Arial" w:hAnsi="Arial"/>
          <w:sz w:val="20"/>
          <w:szCs w:val="20"/>
          <w:color w:val="auto"/>
        </w:rPr>
        <w:t>4.1.6</w:t>
      </w:r>
      <w:r>
        <w:rPr>
          <w:sz w:val="20"/>
          <w:szCs w:val="20"/>
          <w:color w:val="auto"/>
        </w:rPr>
        <w:tab/>
      </w:r>
      <w:r>
        <w:rPr>
          <w:rFonts w:ascii="Arial" w:cs="Arial" w:eastAsia="Arial" w:hAnsi="Arial"/>
          <w:sz w:val="20"/>
          <w:szCs w:val="20"/>
          <w:color w:val="auto"/>
        </w:rPr>
        <w:t>at all times act in the best interests of the Company and use the Executive’s best endeavours to promote and protect the interests of the Company, any of its Group Companies and their employees; and</w:t>
      </w:r>
    </w:p>
    <w:p>
      <w:pPr>
        <w:spacing w:after="0" w:line="202"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4.1.7</w:t>
      </w:r>
      <w:r>
        <w:rPr>
          <w:sz w:val="20"/>
          <w:szCs w:val="20"/>
          <w:color w:val="auto"/>
        </w:rPr>
        <w:tab/>
      </w:r>
      <w:r>
        <w:rPr>
          <w:rFonts w:ascii="Arial" w:cs="Arial" w:eastAsia="Arial" w:hAnsi="Arial"/>
          <w:sz w:val="20"/>
          <w:szCs w:val="20"/>
          <w:color w:val="auto"/>
        </w:rPr>
        <w:t>keep the Company at all times promptly and fully informed of the Executive’s conduct of the business of the Company and any Group Company and provide such explanations in connection with such conduct as the Company may from time to time require.</w:t>
      </w:r>
    </w:p>
    <w:p>
      <w:pPr>
        <w:spacing w:after="0" w:line="206" w:lineRule="exact"/>
        <w:rPr>
          <w:sz w:val="20"/>
          <w:szCs w:val="20"/>
          <w:color w:val="auto"/>
        </w:rPr>
      </w:pPr>
    </w:p>
    <w:p>
      <w:pPr>
        <w:jc w:val="right"/>
        <w:spacing w:after="0" w:line="260" w:lineRule="auto"/>
        <w:rPr>
          <w:sz w:val="20"/>
          <w:szCs w:val="20"/>
          <w:color w:val="auto"/>
        </w:rPr>
      </w:pPr>
      <w:r>
        <w:rPr>
          <w:rFonts w:ascii="Arial" w:cs="Arial" w:eastAsia="Arial" w:hAnsi="Arial"/>
          <w:sz w:val="20"/>
          <w:szCs w:val="20"/>
          <w:color w:val="auto"/>
        </w:rPr>
        <w:t>4.2    When it is reasonable to do so and, subject to clause 4.3 the Company reserves the right to assign the Executive duties of a different nature on a temporary basis either in addition to or instead of those referred to in clause 4.1 above, it being</w:t>
      </w:r>
    </w:p>
    <w:p>
      <w:pPr>
        <w:sectPr>
          <w:pgSz w:w="11900" w:h="16933" w:orient="portrait"/>
          <w:cols w:equalWidth="0" w:num="1">
            <w:col w:w="11420"/>
          </w:cols>
          <w:pgMar w:left="240" w:top="111" w:right="239" w:bottom="0" w:gutter="0" w:footer="0" w:header="0"/>
        </w:sectPr>
      </w:pPr>
    </w:p>
    <w:bookmarkStart w:id="134" w:name="page135"/>
    <w:bookmarkEnd w:id="134"/>
    <w:p>
      <w:pPr>
        <w:spacing w:after="0" w:line="2" w:lineRule="exact"/>
        <w:rPr>
          <w:sz w:val="20"/>
          <w:szCs w:val="20"/>
          <w:color w:val="auto"/>
        </w:rPr>
      </w:pPr>
    </w:p>
    <w:p>
      <w:pPr>
        <w:jc w:val="both"/>
        <w:ind w:left="660"/>
        <w:spacing w:after="0" w:line="242" w:lineRule="auto"/>
        <w:rPr>
          <w:sz w:val="20"/>
          <w:szCs w:val="20"/>
          <w:color w:val="auto"/>
        </w:rPr>
      </w:pPr>
      <w:r>
        <w:rPr>
          <w:rFonts w:ascii="Arial" w:cs="Arial" w:eastAsia="Arial" w:hAnsi="Arial"/>
          <w:sz w:val="20"/>
          <w:szCs w:val="20"/>
          <w:color w:val="auto"/>
        </w:rPr>
        <w:t>understood that the Executive will not be assigned duties which the Executive cannot reasonably perform or which are inconsistent with the Executive’s position and status. In such circumstances, the Company may, having notified the Executive, also appoint any other person(s) temporarily (whether on their own or jointly with the Executive) to perform the Executive’s former duties.</w:t>
      </w:r>
    </w:p>
    <w:p>
      <w:pPr>
        <w:spacing w:after="0" w:line="194"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During any period of notice of termination (whether given by the Company or the Executive), the Company shall have the right to assign the Executive such other duties as the Company shall determine in its absolute discretion and may appoint another person to carry out the Executive’s former duties.</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color w:val="auto"/>
        </w:rPr>
        <w:t>The Executive shall not, without the prior consent of the Company:</w:t>
      </w:r>
    </w:p>
    <w:p>
      <w:pPr>
        <w:spacing w:after="0" w:line="216"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4.4.1</w:t>
      </w:r>
      <w:r>
        <w:rPr>
          <w:sz w:val="20"/>
          <w:szCs w:val="20"/>
          <w:color w:val="auto"/>
        </w:rPr>
        <w:tab/>
      </w:r>
      <w:r>
        <w:rPr>
          <w:rFonts w:ascii="Arial" w:cs="Arial" w:eastAsia="Arial" w:hAnsi="Arial"/>
          <w:sz w:val="20"/>
          <w:szCs w:val="20"/>
          <w:color w:val="auto"/>
        </w:rPr>
        <w:t>on behalf of the Company, enter into any commitment, contract or arrangement otherwise than in the normal course of business and in accordance with Avis Budget Group’s policies or outside the scope of the Executive’s normal duties, or of an unusual, onerous or long term nature;</w:t>
      </w:r>
    </w:p>
    <w:p>
      <w:pPr>
        <w:spacing w:after="0" w:line="206"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4.4.2</w:t>
      </w:r>
      <w:r>
        <w:rPr>
          <w:sz w:val="20"/>
          <w:szCs w:val="20"/>
          <w:color w:val="auto"/>
        </w:rPr>
        <w:tab/>
      </w:r>
      <w:r>
        <w:rPr>
          <w:rFonts w:ascii="Arial" w:cs="Arial" w:eastAsia="Arial" w:hAnsi="Arial"/>
          <w:sz w:val="20"/>
          <w:szCs w:val="20"/>
          <w:color w:val="auto"/>
        </w:rPr>
        <w:t>on behalf of the Company, incur any capital expenditure in excess of such sum as may be authorised from time to time in accordance with the Avis Budget Group’s Delegation of Financial Authorities;</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9"/>
          <w:szCs w:val="19"/>
          <w:color w:val="auto"/>
        </w:rPr>
        <w:t>The Executive shall if and so long as the Company requires and without further remuneration:</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4.5.1</w:t>
      </w:r>
      <w:r>
        <w:rPr>
          <w:sz w:val="20"/>
          <w:szCs w:val="20"/>
          <w:color w:val="auto"/>
        </w:rPr>
        <w:tab/>
      </w:r>
      <w:r>
        <w:rPr>
          <w:rFonts w:ascii="Arial" w:cs="Arial" w:eastAsia="Arial" w:hAnsi="Arial"/>
          <w:sz w:val="19"/>
          <w:szCs w:val="19"/>
          <w:color w:val="auto"/>
        </w:rPr>
        <w:t>carry out the Executive duties on behalf of any Group Company; and</w:t>
      </w:r>
    </w:p>
    <w:p>
      <w:pPr>
        <w:spacing w:after="0" w:line="216"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4.5.2</w:t>
      </w:r>
      <w:r>
        <w:rPr>
          <w:sz w:val="20"/>
          <w:szCs w:val="20"/>
          <w:color w:val="auto"/>
        </w:rPr>
        <w:tab/>
      </w:r>
      <w:r>
        <w:rPr>
          <w:rFonts w:ascii="Arial" w:cs="Arial" w:eastAsia="Arial" w:hAnsi="Arial"/>
          <w:sz w:val="20"/>
          <w:szCs w:val="20"/>
          <w:color w:val="auto"/>
        </w:rPr>
        <w:t>be appointed (subject to the Executive's prior agreement) as a director, officer or consultant of any Group Company.</w:t>
      </w:r>
    </w:p>
    <w:p>
      <w:pPr>
        <w:spacing w:after="0" w:line="202"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color w:val="auto"/>
        </w:rPr>
        <w:t>The Executive confirms that the Executive has disclosed to the Company all circumstances in respect of which there is, or there might be a conflict or possible conflict of interest between the Company or any Group Company and the Executive agrees to disclose fully to the Company any such circumstances that might arise during the Employment. For the avoidance of doubt, this includes but is not limited to, disclosing to the Company any activity by a third party or the Executive which might reasonably be expected to harm the Company or its business or to destabilise its workforce.</w:t>
      </w:r>
    </w:p>
    <w:p>
      <w:pPr>
        <w:spacing w:after="0" w:line="209"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color w:val="auto"/>
        </w:rPr>
        <w:t>The Executive shall disclose to the Company any direct or indirect approach or solicitation by any competitor or potential competitor intended to encourage the Executive and/or any other employee of the Company to terminate their employment.</w:t>
      </w:r>
    </w:p>
    <w:p>
      <w:pPr>
        <w:spacing w:after="0" w:line="206"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20"/>
          <w:szCs w:val="20"/>
          <w:color w:val="auto"/>
        </w:rPr>
        <w:t>If the Executive becomes aware of any wrongdoing or other conduct which might reasonably be regarded as not in the best interests of the Company by any Group Company employees (including the Executive’s own wrongdoing or conduct) the Executive shall promptly report this to the Company.</w:t>
      </w:r>
    </w:p>
    <w:p>
      <w:pPr>
        <w:spacing w:after="0" w:line="200"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DURATION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For the purpose of the ERA the Executive’s period of continuous employment shall begin on the third day of June, 2019.</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Employment is not continuous with any previous employment with any other employer.</w:t>
      </w:r>
    </w:p>
    <w:p>
      <w:pPr>
        <w:spacing w:after="0" w:line="202"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color w:val="auto"/>
        </w:rPr>
        <w:t>Subject to clause 19, the Employment shall continue until terminated by either party giving to the other notice, in writing, which notice shall at a minimum equal the Notice Period.</w:t>
      </w:r>
    </w:p>
    <w:p>
      <w:pPr>
        <w:spacing w:after="0" w:line="202"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The Company reserves the right to terminate the Employment at any time (including where the Executive has given notice to the Company) by giving notice in writing that it is doing so and confirming that it has or will pay the Executive in lieu of the Executive’s period of notice or any remaining period of notice (whether given by the Company or by the Executive). The Executive shall have no entitlement to insist that the Company make such payment in lieu which shall be made entirely at the Company’s discretion. For the avoidance of doubt, any payment in lieu shall be in respect of Basic Salary (as defined at clause 7.1 of this Agreement) and Car Allowance only and shall not include the value of any benefit, bonus, incentive, commission, or holiday entitlement which would have accrued to the Executive had the Executive been employed until the expiry of the notice period.</w:t>
      </w:r>
    </w:p>
    <w:p>
      <w:pPr>
        <w:spacing w:after="0" w:line="213"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color w:val="auto"/>
        </w:rPr>
        <w:t>If the Company elects to terminate the Employment by making a payment in lieu of notice, and it subsequently discovers misconduct by the Executive which would have entitled it to terminate the Employment summarily, without making such a payment, the Company shall be entitled to withhold any outstanding payment in lieu and the Executive shall have no rights to recover such sum as a debt owing.</w:t>
      </w:r>
    </w:p>
    <w:p>
      <w:pPr>
        <w:spacing w:after="0" w:line="20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9"/>
          <w:szCs w:val="19"/>
          <w:color w:val="auto"/>
        </w:rPr>
        <w:t>The Company may elect to pay any sum under clause 5.3 to the Executive in equal monthly instalments. If the Company elects to exercise this discretion, the Executive agrees to continue to take all reasonable steps to obtain other employment and to keep the Company fully informed in respect of any earnings from such employment. The Company may reduce its monthly payments to the Executive by an equivalent amount of the Executive’s earnings in the corresponding period.</w:t>
      </w:r>
    </w:p>
    <w:p>
      <w:pPr>
        <w:spacing w:after="0" w:line="191"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20"/>
          <w:szCs w:val="20"/>
          <w:color w:val="auto"/>
        </w:rPr>
        <w:t>The Company does not have a formal retirement age for employees. However, employees may decide to stop working due to age when they wish and must refer to the Company’s HR department to agree their retirement plan.</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9"/>
          <w:szCs w:val="19"/>
          <w:color w:val="auto"/>
        </w:rPr>
        <w:t>The Executive represents and warrants that, in entering into and performing the duties under this Agreement:</w:t>
      </w:r>
    </w:p>
    <w:p>
      <w:pPr>
        <w:spacing w:after="0" w:line="216" w:lineRule="exact"/>
        <w:rPr>
          <w:sz w:val="20"/>
          <w:szCs w:val="20"/>
          <w:color w:val="auto"/>
        </w:rPr>
      </w:pPr>
    </w:p>
    <w:p>
      <w:pPr>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5.7.1</w:t>
      </w:r>
      <w:r>
        <w:rPr>
          <w:sz w:val="20"/>
          <w:szCs w:val="20"/>
          <w:color w:val="auto"/>
        </w:rPr>
        <w:tab/>
      </w:r>
      <w:r>
        <w:rPr>
          <w:rFonts w:ascii="Arial" w:cs="Arial" w:eastAsia="Arial" w:hAnsi="Arial"/>
          <w:sz w:val="20"/>
          <w:szCs w:val="20"/>
          <w:color w:val="auto"/>
        </w:rPr>
        <w:t>the Executive is not subject to any restriction that might hinder or prevent the Executive from performing any of the duties in full;</w:t>
      </w:r>
    </w:p>
    <w:p>
      <w:pPr>
        <w:sectPr>
          <w:pgSz w:w="11900" w:h="16841" w:orient="portrait"/>
          <w:cols w:equalWidth="0" w:num="1">
            <w:col w:w="11420"/>
          </w:cols>
          <w:pgMar w:left="240" w:top="136" w:right="239" w:bottom="0" w:gutter="0" w:footer="0" w:header="0"/>
        </w:sectPr>
      </w:pPr>
    </w:p>
    <w:bookmarkStart w:id="135" w:name="page136"/>
    <w:bookmarkEnd w:id="135"/>
    <w:p>
      <w:pPr>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5.7.2</w:t>
      </w:r>
      <w:r>
        <w:rPr>
          <w:sz w:val="20"/>
          <w:szCs w:val="20"/>
          <w:color w:val="auto"/>
        </w:rPr>
        <w:tab/>
      </w:r>
      <w:r>
        <w:rPr>
          <w:rFonts w:ascii="Arial" w:cs="Arial" w:eastAsia="Arial" w:hAnsi="Arial"/>
          <w:sz w:val="20"/>
          <w:szCs w:val="20"/>
          <w:color w:val="auto"/>
        </w:rPr>
        <w:t>the Executive will not be in breach of any other contract of employment or any other obligation to any third party; and</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5.7.3</w:t>
      </w:r>
      <w:r>
        <w:rPr>
          <w:sz w:val="20"/>
          <w:szCs w:val="20"/>
          <w:color w:val="auto"/>
        </w:rPr>
        <w:tab/>
      </w:r>
      <w:r>
        <w:rPr>
          <w:rFonts w:ascii="Arial" w:cs="Arial" w:eastAsia="Arial" w:hAnsi="Arial"/>
          <w:sz w:val="19"/>
          <w:szCs w:val="19"/>
          <w:color w:val="auto"/>
        </w:rPr>
        <w:t>this Employment is and shall remain the Executive’s sole and exclusive employment.</w:t>
      </w:r>
    </w:p>
    <w:p>
      <w:pPr>
        <w:spacing w:after="0" w:line="216" w:lineRule="exact"/>
        <w:rPr>
          <w:sz w:val="20"/>
          <w:szCs w:val="20"/>
          <w:color w:val="auto"/>
        </w:rPr>
      </w:pPr>
    </w:p>
    <w:p>
      <w:pPr>
        <w:ind w:left="660" w:hanging="647"/>
        <w:spacing w:after="0" w:line="247" w:lineRule="auto"/>
        <w:tabs>
          <w:tab w:leader="none" w:pos="64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20"/>
          <w:szCs w:val="20"/>
          <w:color w:val="auto"/>
        </w:rPr>
        <w:t>The Executive further warrants that the Executive has no criminal convictions other than minor motoring offences and has never been disqualified from being a company director.</w:t>
      </w:r>
    </w:p>
    <w:p>
      <w:pPr>
        <w:spacing w:after="0" w:line="196"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20"/>
          <w:szCs w:val="20"/>
          <w:b w:val="1"/>
          <w:bCs w:val="1"/>
          <w:color w:val="auto"/>
        </w:rPr>
      </w:pPr>
      <w:r>
        <w:rPr>
          <w:rFonts w:ascii="Arial" w:cs="Arial" w:eastAsia="Arial" w:hAnsi="Arial"/>
          <w:sz w:val="20"/>
          <w:szCs w:val="20"/>
          <w:b w:val="1"/>
          <w:bCs w:val="1"/>
          <w:color w:val="auto"/>
        </w:rPr>
        <w:t>HOURS AND PLACE OF WORK</w:t>
      </w:r>
    </w:p>
    <w:p>
      <w:pPr>
        <w:spacing w:after="0" w:line="22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color w:val="auto"/>
        </w:rPr>
        <w:t>The Executive shall be required to work such hours as are necessary for the proper performance of the duties.</w:t>
      </w:r>
    </w:p>
    <w:p>
      <w:pPr>
        <w:spacing w:after="0" w:line="216"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The Executive agrees that the Employment is such that the Executive may choose or determine the duration of working time and that the working time limits set out in Part II of the Working Time Regulations 1998 do not apply to the Employment.</w:t>
      </w:r>
    </w:p>
    <w:p>
      <w:pPr>
        <w:spacing w:after="0" w:line="206"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The Executive’s principal place of work will be in the Company’s offices at Avis Budget House in Bracknell, Berkshire, or any such reasonable place in England as the Company shall from time to time direct. The Executive will be given reasonable notice of any change in the place of work.</w:t>
      </w:r>
    </w:p>
    <w:p>
      <w:pPr>
        <w:spacing w:after="0" w:line="206"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color w:val="auto"/>
        </w:rPr>
        <w:t>The Executive may be required to travel throughout the United Kingdom and overseas in the performance of the duties throughout each calendar year and, subject to prior consultation and agreement, this may, on occasions, necessitate the Executive working outside the United Kingdom for a reasonable period, not to exceed one month. During any such period the Executive will be paid the normal salary and benefits in sterling in the normal way unless otherwise agreed.</w:t>
      </w:r>
    </w:p>
    <w:p>
      <w:pPr>
        <w:spacing w:after="0" w:line="201"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REMUNERATION</w:t>
      </w:r>
    </w:p>
    <w:p>
      <w:pPr>
        <w:spacing w:after="0" w:line="222" w:lineRule="exact"/>
        <w:rPr>
          <w:sz w:val="20"/>
          <w:szCs w:val="20"/>
          <w:color w:val="auto"/>
        </w:rPr>
      </w:pPr>
    </w:p>
    <w:p>
      <w:pPr>
        <w:jc w:val="both"/>
        <w:ind w:left="660" w:hanging="647"/>
        <w:spacing w:after="0" w:line="227" w:lineRule="auto"/>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The Company shall pay to the Executive the Basic Salary per annum, payable by equal monthly instalments in arrears, normally on the 28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each calendar month (or such earlier date if the 28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falls on a weekend or bank holiday) by credit transfer to a bank account nominated by the Executive and less deductions for tax and National Insurance or other deductions made pursuant to the Employee Handbook.</w:t>
      </w:r>
    </w:p>
    <w:p>
      <w:pPr>
        <w:spacing w:after="0" w:line="210"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color w:val="auto"/>
        </w:rPr>
        <w:t>The Company will review the Executive’s salary annually (usually in the first quarter each year) each review being dependent upon both individual and Company performance. The Company shall not be obliged to make any increase.</w:t>
      </w:r>
    </w:p>
    <w:p>
      <w:pPr>
        <w:spacing w:after="0" w:line="202" w:lineRule="exact"/>
        <w:rPr>
          <w:sz w:val="20"/>
          <w:szCs w:val="20"/>
          <w:color w:val="auto"/>
        </w:rPr>
      </w:pPr>
    </w:p>
    <w:p>
      <w:pPr>
        <w:jc w:val="both"/>
        <w:ind w:left="660" w:right="20" w:hanging="647"/>
        <w:spacing w:after="0" w:line="247" w:lineRule="auto"/>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20"/>
          <w:szCs w:val="20"/>
          <w:color w:val="auto"/>
        </w:rPr>
        <w:t>The salary specified in clause 7.1 shall be inclusive of any fees to which the Executive may be entitled as a director of the Company or any Group Company.</w:t>
      </w:r>
    </w:p>
    <w:p>
      <w:pPr>
        <w:spacing w:after="0" w:line="202"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color w:val="auto"/>
        </w:rPr>
        <w:t>The Company shall pay the Executive the Car Allowance, per month in arrears, less deductions for tax and National Insurance or other deductions made pursuant to the Employee Handbook.</w:t>
      </w:r>
    </w:p>
    <w:p>
      <w:pPr>
        <w:spacing w:after="0" w:line="20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9"/>
          <w:szCs w:val="19"/>
          <w:color w:val="auto"/>
        </w:rPr>
        <w:t>The Executive will be entitled to participate in the Company’s discretionary bonus scheme as are in force from time to time and are deemed to be appropriate to the Executive’s position. The Company's current bonus scheme provides for a 100% pay out of the Executive’s Incentive Target at on-target performance, which percentage payment is subject to an upward adjustment or a downward adjustment as more particularly set out bonus scheme rules, the current years of which is attached hereto for information purposes only. These amounts may be varied by the Company from time to time. The Executive's participation is subject always to the rules and terms of the relevant bonus scheme (including those dealing with, eligibility, notice periods, any targets or performance criteria), which may be amended from time to time. Payment under a bonus scheme in one year should give rise to no expectation on the part of the Executive to payment under a bonus scheme in subsequent years. The Company reserves the right to discontinue the scheme(s) or alter the terms of any bonus scheme(s) provided at any time in line with business requirements. The bonus scheme is discretionary and there is no contractual entitlement to continue the scheme. On termination of the Executive's employment, whether or not in breach of contract or otherwise unlawful, the Executive will only be entitled to such rights as may be provided for under the scheme itself and will not be entitled to any compensation for the loss of any rights under any such bonus scheme.</w:t>
      </w:r>
    </w:p>
    <w:p>
      <w:pPr>
        <w:spacing w:after="0" w:line="196"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20"/>
          <w:szCs w:val="20"/>
          <w:color w:val="auto"/>
        </w:rPr>
        <w:t>The Executive may also be entitled to participate in a Long Term Incentive Plan (“</w:t>
      </w:r>
      <w:r>
        <w:rPr>
          <w:rFonts w:ascii="Arial" w:cs="Arial" w:eastAsia="Arial" w:hAnsi="Arial"/>
          <w:sz w:val="20"/>
          <w:szCs w:val="20"/>
          <w:b w:val="1"/>
          <w:bCs w:val="1"/>
          <w:color w:val="auto"/>
        </w:rPr>
        <w:t>LTIP</w:t>
      </w:r>
      <w:r>
        <w:rPr>
          <w:rFonts w:ascii="Arial" w:cs="Arial" w:eastAsia="Arial" w:hAnsi="Arial"/>
          <w:sz w:val="20"/>
          <w:szCs w:val="20"/>
          <w:color w:val="auto"/>
        </w:rPr>
        <w:t>”). Equity awards under the Company’s Long-Term Incentive Plan are determined by the Compensation Committee in its sole and exclusive discretion. The equity awards described in this paragraph, and in paragraph 7.7, will be subject to the terms and conditions of the Avis Budget Group, Inc. Amended and Restated Equity and Incentive Plan and the applicable award agreements, which include restricted covenants (including non-compete, non-solicit and confidentiality provisions). To the extent the Executive is awarded any shares or cash under the LTIP and accepts such award, the restrictive covenant set out in such award documentation shall supersede any restrictive covenants set out in clause 22. The first eligibility for an annual LTIP award is anticipated to occur in the first quarter 2020.</w:t>
      </w:r>
    </w:p>
    <w:p>
      <w:pPr>
        <w:spacing w:after="0" w:line="193"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20"/>
          <w:szCs w:val="20"/>
          <w:color w:val="auto"/>
        </w:rPr>
        <w:t>The Executive will receive, contingent upon approval by the Compensation Committee in July 2019, a LTIP award with a grant date value of $1,500,000. The award will be comprised of fifty percent Restricted Stock Units (“RSUs”), which will vest one-third per year on the anniversary of the date of grant subject to continued employment, and fifty percent Performance-Based Restricted Stock Units (“PSUs”), which will vest on the third anniversary of the date of the grant, subject to continued employment and the achievement of performance goals.</w:t>
      </w:r>
    </w:p>
    <w:p>
      <w:pPr>
        <w:spacing w:after="0" w:line="209"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20"/>
          <w:szCs w:val="20"/>
          <w:color w:val="auto"/>
        </w:rPr>
        <w:t>The Executive will receive a one-time, sign-on cash bonus award of £200,000 payable after 30 days of employment (the “Sign-on Bonus”). Should the Executive voluntarily terminate employment or be terminated for cause by the Company</w:t>
      </w:r>
    </w:p>
    <w:p>
      <w:pPr>
        <w:sectPr>
          <w:pgSz w:w="11900" w:h="16838" w:orient="portrait"/>
          <w:cols w:equalWidth="0" w:num="1">
            <w:col w:w="11420"/>
          </w:cols>
          <w:pgMar w:left="240" w:top="271" w:right="239" w:bottom="0" w:gutter="0" w:footer="0" w:header="0"/>
        </w:sectPr>
      </w:pPr>
    </w:p>
    <w:bookmarkStart w:id="136" w:name="page137"/>
    <w:bookmarkEnd w:id="136"/>
    <w:p>
      <w:pPr>
        <w:ind w:left="652" w:right="20"/>
        <w:spacing w:after="0" w:line="247" w:lineRule="auto"/>
        <w:rPr>
          <w:sz w:val="20"/>
          <w:szCs w:val="20"/>
          <w:color w:val="auto"/>
        </w:rPr>
      </w:pPr>
      <w:r>
        <w:rPr>
          <w:rFonts w:ascii="Arial" w:cs="Arial" w:eastAsia="Arial" w:hAnsi="Arial"/>
          <w:sz w:val="20"/>
          <w:szCs w:val="20"/>
          <w:color w:val="auto"/>
        </w:rPr>
        <w:t>within twelve months of the Commencement Date, the Executive will be required upon such termination to pay back 100% of the Sign-on Bonus to the Company (and forfeit any right to any cash award payments not yet paid).</w:t>
      </w:r>
    </w:p>
    <w:p>
      <w:pPr>
        <w:spacing w:after="0" w:line="183" w:lineRule="exact"/>
        <w:rPr>
          <w:sz w:val="20"/>
          <w:szCs w:val="20"/>
          <w:color w:val="auto"/>
        </w:rPr>
      </w:pPr>
    </w:p>
    <w:p>
      <w:pPr>
        <w:ind w:left="652" w:hanging="652"/>
        <w:spacing w:after="0"/>
        <w:tabs>
          <w:tab w:leader="none" w:pos="652"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color w:val="auto"/>
        </w:rPr>
        <w:t>PENSION</w:t>
      </w:r>
    </w:p>
    <w:p>
      <w:pPr>
        <w:spacing w:after="0" w:line="211"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The Executive is eligible to join the Defined Contribution Section of the Avis UK Pension Plan (the “</w:t>
      </w:r>
      <w:r>
        <w:rPr>
          <w:rFonts w:ascii="Arial" w:cs="Arial" w:eastAsia="Arial" w:hAnsi="Arial"/>
          <w:sz w:val="20"/>
          <w:szCs w:val="20"/>
          <w:b w:val="1"/>
          <w:bCs w:val="1"/>
          <w:color w:val="auto"/>
        </w:rPr>
        <w:t>Plan</w:t>
      </w:r>
      <w:r>
        <w:rPr>
          <w:rFonts w:ascii="Arial" w:cs="Arial" w:eastAsia="Arial" w:hAnsi="Arial"/>
          <w:sz w:val="20"/>
          <w:szCs w:val="20"/>
          <w:color w:val="auto"/>
        </w:rPr>
        <w:t>”) subject to the terms of its governing documentation (including the Trust Deed and Rules) from time to time in force. A summary of the Plan benefits are set out in the Company’s New Joiner’s guide. The Executive may elect to join at a minimum contribution level of 5% of the Executive’s Pensionable Salary, with the Company contribution amount equal to 4% of the Executive’s Pensionable Salary. Pensionable salary is Basic Salary subject to an earnings cap imposed by H.M. Revenue which is reviewed annually (£160,800 for 2019). The Plan is also subject to further limitations imposed by H.M. Revenue.</w:t>
      </w:r>
    </w:p>
    <w:p>
      <w:pPr>
        <w:spacing w:after="0" w:line="190" w:lineRule="exact"/>
        <w:rPr>
          <w:sz w:val="20"/>
          <w:szCs w:val="20"/>
          <w:color w:val="auto"/>
        </w:rPr>
      </w:pPr>
    </w:p>
    <w:p>
      <w:pPr>
        <w:jc w:val="both"/>
        <w:ind w:left="652" w:hanging="647"/>
        <w:spacing w:after="0" w:line="243" w:lineRule="auto"/>
        <w:tabs>
          <w:tab w:leader="none" w:pos="632"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The Executive will be enrolled into the Plan at the Automatic Enrolment level if the Executive chooses not to join the Plan within the first 3 months of joining the Company unless the Executive exercises the legal right to opt-out in accordance with the relevant legislation.</w:t>
      </w:r>
    </w:p>
    <w:p>
      <w:pPr>
        <w:spacing w:after="0" w:line="206" w:lineRule="exact"/>
        <w:rPr>
          <w:sz w:val="20"/>
          <w:szCs w:val="20"/>
          <w:color w:val="auto"/>
        </w:rPr>
      </w:pPr>
    </w:p>
    <w:p>
      <w:pPr>
        <w:jc w:val="both"/>
        <w:ind w:left="652" w:hanging="647"/>
        <w:spacing w:after="0" w:line="247" w:lineRule="auto"/>
        <w:tabs>
          <w:tab w:leader="none" w:pos="632"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The Employment is not contracted-out of the State Second Pension Scheme, and a contracting out certificate is therefore not currently in force in respect of it for the purposes of the Pension Schemes Act 1993.</w:t>
      </w:r>
    </w:p>
    <w:p>
      <w:pPr>
        <w:spacing w:after="0" w:line="202" w:lineRule="exact"/>
        <w:rPr>
          <w:sz w:val="20"/>
          <w:szCs w:val="20"/>
          <w:color w:val="auto"/>
        </w:rPr>
      </w:pPr>
    </w:p>
    <w:p>
      <w:pPr>
        <w:jc w:val="both"/>
        <w:ind w:left="652" w:hanging="647"/>
        <w:spacing w:after="0" w:line="242" w:lineRule="auto"/>
        <w:tabs>
          <w:tab w:leader="none" w:pos="632"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20"/>
          <w:szCs w:val="20"/>
          <w:color w:val="auto"/>
        </w:rPr>
        <w:t>If the Executive's rights or benefits under the Plan are altered or discontinued pursuant to the trust deed and rules, subject to the Company’s duties under the Pensions Act 2008 in relation to automatic enrolment (the “</w:t>
      </w:r>
      <w:r>
        <w:rPr>
          <w:rFonts w:ascii="Arial" w:cs="Arial" w:eastAsia="Arial" w:hAnsi="Arial"/>
          <w:sz w:val="20"/>
          <w:szCs w:val="20"/>
          <w:b w:val="1"/>
          <w:bCs w:val="1"/>
          <w:color w:val="auto"/>
        </w:rPr>
        <w:t>Auto Enrolment</w:t>
      </w:r>
      <w:r>
        <w:rPr>
          <w:rFonts w:ascii="Arial" w:cs="Arial" w:eastAsia="Arial" w:hAnsi="Arial"/>
          <w:sz w:val="20"/>
          <w:szCs w:val="20"/>
          <w:color w:val="auto"/>
        </w:rPr>
        <w:t xml:space="preserve"> </w:t>
      </w:r>
      <w:r>
        <w:rPr>
          <w:rFonts w:ascii="Arial" w:cs="Arial" w:eastAsia="Arial" w:hAnsi="Arial"/>
          <w:sz w:val="20"/>
          <w:szCs w:val="20"/>
          <w:b w:val="1"/>
          <w:bCs w:val="1"/>
          <w:color w:val="auto"/>
        </w:rPr>
        <w:t>Obligations</w:t>
      </w:r>
      <w:r>
        <w:rPr>
          <w:rFonts w:ascii="Arial" w:cs="Arial" w:eastAsia="Arial" w:hAnsi="Arial"/>
          <w:sz w:val="20"/>
          <w:szCs w:val="20"/>
          <w:color w:val="auto"/>
        </w:rPr>
        <w:t>”), the Company will not be obliged to provide any additional or replacement pension scheme or pension</w:t>
      </w:r>
      <w:r>
        <w:rPr>
          <w:rFonts w:ascii="Arial" w:cs="Arial" w:eastAsia="Arial" w:hAnsi="Arial"/>
          <w:sz w:val="20"/>
          <w:szCs w:val="20"/>
          <w:b w:val="1"/>
          <w:bCs w:val="1"/>
          <w:color w:val="auto"/>
        </w:rPr>
        <w:t xml:space="preserve"> </w:t>
      </w:r>
      <w:r>
        <w:rPr>
          <w:rFonts w:ascii="Arial" w:cs="Arial" w:eastAsia="Arial" w:hAnsi="Arial"/>
          <w:sz w:val="20"/>
          <w:szCs w:val="20"/>
          <w:color w:val="auto"/>
        </w:rPr>
        <w:t>benefits or to pay damages or compensation to the Executive.</w:t>
      </w:r>
    </w:p>
    <w:p>
      <w:pPr>
        <w:spacing w:after="0" w:line="207" w:lineRule="exact"/>
        <w:rPr>
          <w:sz w:val="20"/>
          <w:szCs w:val="20"/>
          <w:color w:val="auto"/>
        </w:rPr>
      </w:pPr>
    </w:p>
    <w:p>
      <w:pPr>
        <w:jc w:val="both"/>
        <w:ind w:left="652" w:right="20" w:hanging="647"/>
        <w:spacing w:after="0" w:line="243" w:lineRule="auto"/>
        <w:tabs>
          <w:tab w:leader="none" w:pos="632"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20"/>
          <w:szCs w:val="20"/>
          <w:color w:val="auto"/>
        </w:rPr>
        <w:t>Subject to the Automatic Enrolment Obligations, the Company reserves the right to vary the benefits payable under the Plan (or any other pension scheme) or, terminate, or substitute another pension scheme for the existing Plan (or any other pension scheme) at any time.</w:t>
      </w:r>
    </w:p>
    <w:p>
      <w:pPr>
        <w:spacing w:after="0" w:line="200" w:lineRule="exact"/>
        <w:rPr>
          <w:sz w:val="20"/>
          <w:szCs w:val="20"/>
          <w:color w:val="auto"/>
        </w:rPr>
      </w:pPr>
    </w:p>
    <w:p>
      <w:pPr>
        <w:ind w:left="652" w:hanging="652"/>
        <w:spacing w:after="0"/>
        <w:tabs>
          <w:tab w:leader="none" w:pos="652"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OTHER BENEFITS</w:t>
      </w:r>
    </w:p>
    <w:p>
      <w:pPr>
        <w:spacing w:after="0" w:line="222" w:lineRule="exact"/>
        <w:rPr>
          <w:sz w:val="20"/>
          <w:szCs w:val="20"/>
          <w:color w:val="auto"/>
        </w:rPr>
      </w:pPr>
    </w:p>
    <w:p>
      <w:pPr>
        <w:jc w:val="both"/>
        <w:ind w:left="652" w:hanging="647"/>
        <w:spacing w:after="0" w:line="241" w:lineRule="auto"/>
        <w:tabs>
          <w:tab w:leader="none" w:pos="632"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The Executive shall be eligible to participate in the private medical insurance scheme and long term disability scheme which the Company may maintain for the benefit of its employees (the “</w:t>
      </w:r>
      <w:r>
        <w:rPr>
          <w:rFonts w:ascii="Arial" w:cs="Arial" w:eastAsia="Arial" w:hAnsi="Arial"/>
          <w:sz w:val="20"/>
          <w:szCs w:val="20"/>
          <w:b w:val="1"/>
          <w:bCs w:val="1"/>
          <w:color w:val="auto"/>
        </w:rPr>
        <w:t>Schemes</w:t>
      </w:r>
      <w:r>
        <w:rPr>
          <w:rFonts w:ascii="Arial" w:cs="Arial" w:eastAsia="Arial" w:hAnsi="Arial"/>
          <w:sz w:val="20"/>
          <w:szCs w:val="20"/>
          <w:color w:val="auto"/>
        </w:rPr>
        <w:t>”) subject to the rules of the Schemes and the terms of any related policies of insurances from time to time in force. Further details of the Schemes and the benefits currently available can be obtained from the HR department, which is made available for information only and should not be regarded as any guarantee of benefits which may be paid under the Schemes.</w:t>
      </w:r>
    </w:p>
    <w:p>
      <w:pPr>
        <w:spacing w:after="0" w:line="209" w:lineRule="exact"/>
        <w:rPr>
          <w:sz w:val="20"/>
          <w:szCs w:val="20"/>
          <w:color w:val="auto"/>
        </w:rPr>
      </w:pPr>
    </w:p>
    <w:p>
      <w:pPr>
        <w:jc w:val="both"/>
        <w:ind w:left="652" w:hanging="647"/>
        <w:spacing w:after="0" w:line="243" w:lineRule="auto"/>
        <w:tabs>
          <w:tab w:leader="none" w:pos="632"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The Company reserves the right, at its absolute discretion, to change the Schemes’ providers, to amend the terms of the Schemes (including but not limited to the level of benefits), to terminate the Schemes without replacement, to substitute another scheme for any of the Schemes and to remove the Executive from membership of the Schemes.</w:t>
      </w:r>
    </w:p>
    <w:p>
      <w:pPr>
        <w:spacing w:after="0" w:line="206" w:lineRule="exact"/>
        <w:rPr>
          <w:sz w:val="20"/>
          <w:szCs w:val="20"/>
          <w:color w:val="auto"/>
        </w:rPr>
      </w:pPr>
    </w:p>
    <w:p>
      <w:pPr>
        <w:jc w:val="both"/>
        <w:ind w:left="652" w:hanging="647"/>
        <w:spacing w:after="0" w:line="241" w:lineRule="auto"/>
        <w:tabs>
          <w:tab w:leader="none" w:pos="632"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The Company shall be under no obligation to make any payment under the long term disability scheme to the Executive unless and until it has received the relevant payment from the scheme provider. If any Scheme provider refuses for any reason (whether based on its own interpretation of the terms of the insurance policy or otherwise) to provide any benefits to the Executive, the Company shall not be liable to provide replacement benefits itself or any compensation in lieu and shall be under no obligation to pursue a claim for unpaid benefits on behalf of the Executive against the Scheme provider, unless the Executive agrees to fully indemnify the Company in respect of all the costs of such claim.</w:t>
      </w:r>
    </w:p>
    <w:p>
      <w:pPr>
        <w:spacing w:after="0" w:line="208" w:lineRule="exact"/>
        <w:rPr>
          <w:sz w:val="20"/>
          <w:szCs w:val="20"/>
          <w:color w:val="auto"/>
        </w:rPr>
      </w:pPr>
    </w:p>
    <w:p>
      <w:pPr>
        <w:jc w:val="both"/>
        <w:ind w:left="652" w:hanging="647"/>
        <w:spacing w:after="0" w:line="241" w:lineRule="auto"/>
        <w:tabs>
          <w:tab w:leader="none" w:pos="632"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Notwithstanding that the Executive or the Executive’s family is receiving benefits under the Schemes and that such termination may result in those benefits being discontinued, the Company reserves the right to terminate the Executive’s employment, where it has good cause to do so (including but not limited to where the Executive is redundant or has committed misconduct). The Executive agrees that the Executive shall have no claim against the Company for damages in respect of the loss of benefits under the Schemes in such circumstances.</w:t>
      </w:r>
    </w:p>
    <w:p>
      <w:pPr>
        <w:spacing w:after="0" w:line="209" w:lineRule="exact"/>
        <w:rPr>
          <w:sz w:val="20"/>
          <w:szCs w:val="20"/>
          <w:color w:val="auto"/>
        </w:rPr>
      </w:pPr>
    </w:p>
    <w:p>
      <w:pPr>
        <w:jc w:val="both"/>
        <w:ind w:left="652" w:hanging="647"/>
        <w:spacing w:after="0" w:line="243" w:lineRule="auto"/>
        <w:tabs>
          <w:tab w:leader="none" w:pos="632"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color w:val="auto"/>
        </w:rPr>
        <w:t>In the event that the Executive is absent by reason of ill-health the Executive will continue to co-operate with and act in good faith towards the Company including but not limited to staying in regular contact with the Company and providing it with such information about their health, prognosis and progress as the Company may require.</w:t>
      </w:r>
    </w:p>
    <w:p>
      <w:pPr>
        <w:spacing w:after="0" w:line="206" w:lineRule="exact"/>
        <w:rPr>
          <w:sz w:val="20"/>
          <w:szCs w:val="20"/>
          <w:color w:val="auto"/>
        </w:rPr>
      </w:pPr>
    </w:p>
    <w:p>
      <w:pPr>
        <w:jc w:val="both"/>
        <w:ind w:left="652" w:hanging="647"/>
        <w:spacing w:after="0" w:line="241" w:lineRule="auto"/>
        <w:tabs>
          <w:tab w:leader="none" w:pos="632"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20"/>
          <w:szCs w:val="20"/>
          <w:color w:val="auto"/>
        </w:rPr>
        <w:t>For the purposes of assessing entitlement and ongoing entitlement to payment under the long term disability scheme the Executive may be required to (and hereby agrees to) undergo medical examinations. The Executive agrees to undergo any requisite tests and examinations and will full cooperate with the provider of the long term disability scheme and the relevant medical practitioner. The Executive further acknowledges that any failure to comply with the provisions of this clause 9.6 may prejudice any entitlement to payments under the long term disability scheme.</w:t>
      </w:r>
    </w:p>
    <w:p>
      <w:pPr>
        <w:spacing w:after="0" w:line="209" w:lineRule="exact"/>
        <w:rPr>
          <w:sz w:val="20"/>
          <w:szCs w:val="20"/>
          <w:color w:val="auto"/>
        </w:rPr>
      </w:pPr>
    </w:p>
    <w:p>
      <w:pPr>
        <w:jc w:val="both"/>
        <w:ind w:left="652" w:hanging="647"/>
        <w:spacing w:after="0" w:line="247" w:lineRule="auto"/>
        <w:tabs>
          <w:tab w:leader="none" w:pos="632"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20"/>
          <w:szCs w:val="20"/>
          <w:color w:val="auto"/>
        </w:rPr>
        <w:t>If the Executive is receiving benefits under the long term disability scheme the Company shall be entitled to appoint a replacement to perform all or any of the Executive’s duties on either a temporary or permanent basis.</w:t>
      </w:r>
    </w:p>
    <w:p>
      <w:pPr>
        <w:spacing w:after="0" w:line="196" w:lineRule="exact"/>
        <w:rPr>
          <w:sz w:val="20"/>
          <w:szCs w:val="20"/>
          <w:color w:val="auto"/>
        </w:rPr>
      </w:pPr>
    </w:p>
    <w:p>
      <w:pPr>
        <w:ind w:left="652" w:hanging="652"/>
        <w:spacing w:after="0"/>
        <w:tabs>
          <w:tab w:leader="none" w:pos="652"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EXPENSES</w:t>
      </w:r>
    </w:p>
    <w:p>
      <w:pPr>
        <w:spacing w:after="0" w:line="234" w:lineRule="exact"/>
        <w:rPr>
          <w:rFonts w:ascii="Arial" w:cs="Arial" w:eastAsia="Arial" w:hAnsi="Arial"/>
          <w:sz w:val="20"/>
          <w:szCs w:val="20"/>
          <w:b w:val="1"/>
          <w:bCs w:val="1"/>
          <w:color w:val="auto"/>
        </w:rPr>
      </w:pPr>
    </w:p>
    <w:p>
      <w:pPr>
        <w:jc w:val="both"/>
        <w:ind w:left="652"/>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The Company shall reimburse the Executive in respect of all expenses reasonably incurred by the Executive in the proper performance of the duties, subject to compliance with any prevailing travel and expense policy and the Executive providing such receipts or other evidence that the Company may require.</w:t>
      </w:r>
    </w:p>
    <w:p>
      <w:pPr>
        <w:sectPr>
          <w:pgSz w:w="11900" w:h="16838" w:orient="portrait"/>
          <w:cols w:equalWidth="0" w:num="1">
            <w:col w:w="11412"/>
          </w:cols>
          <w:pgMar w:left="248" w:top="136" w:right="239" w:bottom="43" w:gutter="0" w:footer="0" w:header="0"/>
        </w:sectPr>
      </w:pPr>
    </w:p>
    <w:bookmarkStart w:id="137" w:name="page138"/>
    <w:bookmarkEnd w:id="137"/>
    <w:p>
      <w:pPr>
        <w:jc w:val="both"/>
        <w:ind w:left="660"/>
        <w:spacing w:after="0" w:line="247" w:lineRule="auto"/>
        <w:rPr>
          <w:sz w:val="20"/>
          <w:szCs w:val="20"/>
          <w:color w:val="auto"/>
        </w:rPr>
      </w:pPr>
      <w:r>
        <w:rPr>
          <w:rFonts w:ascii="Arial" w:cs="Arial" w:eastAsia="Arial" w:hAnsi="Arial"/>
          <w:sz w:val="20"/>
          <w:szCs w:val="20"/>
          <w:color w:val="auto"/>
        </w:rPr>
        <w:t>In addition, the Executive will be eligible to receive reimbursement of eligible expenses under the provisions of the Executive Financial Planning Program, up to an annual maximum of £8,000.</w:t>
      </w:r>
    </w:p>
    <w:p>
      <w:pPr>
        <w:spacing w:after="0" w:line="202" w:lineRule="exact"/>
        <w:rPr>
          <w:sz w:val="20"/>
          <w:szCs w:val="20"/>
          <w:color w:val="auto"/>
        </w:rPr>
      </w:pPr>
    </w:p>
    <w:p>
      <w:pPr>
        <w:jc w:val="both"/>
        <w:ind w:left="660"/>
        <w:spacing w:after="0" w:line="256" w:lineRule="auto"/>
        <w:rPr>
          <w:sz w:val="20"/>
          <w:szCs w:val="20"/>
          <w:color w:val="auto"/>
        </w:rPr>
      </w:pPr>
      <w:r>
        <w:rPr>
          <w:rFonts w:ascii="Arial" w:cs="Arial" w:eastAsia="Arial" w:hAnsi="Arial"/>
          <w:sz w:val="19"/>
          <w:szCs w:val="19"/>
          <w:color w:val="auto"/>
        </w:rPr>
        <w:t>In addition, the Executive will be eligible to receive reimbursement of expenses related to tuition support for the Executive’s two children. Tuition reimbursement will include eligible expenses during the first three years from the Executive’s Commencement Date, with reimbursement of expenses up to £30,000 annually per child. The Company will reimburse the costs of tuition, registration fees, books, and materials, and reasonable transportation (provided by the school) for primary schooling (up to UK grade 13). No reimbursement will be made for uniforms, special programs, lunches, yearbooks, sports, recreational or extra-curricular activities such as musical instruments and lessons, and field trips.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20"/>
          <w:szCs w:val="20"/>
          <w:b w:val="1"/>
          <w:bCs w:val="1"/>
          <w:color w:val="auto"/>
        </w:rPr>
        <w:t>HOLIDAY</w:t>
      </w:r>
    </w:p>
    <w:p>
      <w:pPr>
        <w:spacing w:after="0" w:line="222"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The Executive shall be entitled to receive the Executive’s normal remuneration for all bank and public holidays normally observed in England and a further 25 working days holiday in each holiday year (which includes the Christmas Avis Budget day), being the period from 1 January to 31 December. For each complete year of service with the Company the Executive’s holiday entitlement will increase by 1 day per year to a maximum of 29 days holiday per year excluding bank and public holidays. The Executive may only take holiday at such times as are agreed with the Company.</w:t>
      </w:r>
    </w:p>
    <w:p>
      <w:pPr>
        <w:spacing w:after="0" w:line="209" w:lineRule="exact"/>
        <w:rPr>
          <w:sz w:val="20"/>
          <w:szCs w:val="20"/>
          <w:color w:val="auto"/>
        </w:rPr>
      </w:pPr>
    </w:p>
    <w:p>
      <w:pPr>
        <w:jc w:val="both"/>
        <w:ind w:left="660" w:right="20" w:hanging="647"/>
        <w:spacing w:after="0" w:line="247" w:lineRule="auto"/>
        <w:tabs>
          <w:tab w:leader="none" w:pos="6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color w:val="auto"/>
        </w:rPr>
        <w:t>In the years in which the Employment commences or terminates, the Executive’s entitlement to holiday shall accrue on a pro-rata basis.</w:t>
      </w:r>
    </w:p>
    <w:p>
      <w:pPr>
        <w:spacing w:after="0" w:line="202"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20"/>
          <w:szCs w:val="20"/>
          <w:color w:val="auto"/>
        </w:rPr>
        <w:t>If, on the termination of the Employment, the Executive has exceeded the accrued holiday entitlement, the excess may be deducted from any sums due to the Executive. If the Executive has any unused holiday entitlement, the Company may either require the Executive to take such unused holiday during any notice period or accept payment in lieu in respect of any unused holiday entitlement. Any payment in lieu shall only be made in respect of holiday accrued in accordance with 11.2 above during the Executive’s final holiday year.</w:t>
      </w:r>
    </w:p>
    <w:p>
      <w:pPr>
        <w:spacing w:after="0" w:line="209"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20"/>
          <w:szCs w:val="20"/>
          <w:color w:val="auto"/>
        </w:rPr>
        <w:t>Any unused holiday entitlement for one holiday year may not be taken in subsequent holiday years unless otherwise agreed by the Company. Failure to take holiday entitlement in the appropriate holiday year will normally lead to forfeiture of any accrued holiday not taken, unless agreement has been reached with the Company – further details of the entitlement to carry over holiday entitlement are set out in the Employee Handbook.</w:t>
      </w:r>
    </w:p>
    <w:p>
      <w:pPr>
        <w:spacing w:after="0" w:line="207"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0"/>
          <w:szCs w:val="20"/>
          <w:color w:val="auto"/>
        </w:rPr>
        <w:t>The Executive may take holiday (or part of it) during any period of sickness absence at such times and on such notice as may be agreed with the Company.</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20"/>
          <w:szCs w:val="20"/>
          <w:b w:val="1"/>
          <w:bCs w:val="1"/>
          <w:color w:val="auto"/>
        </w:rPr>
        <w:t>INCAPACITY</w:t>
      </w:r>
    </w:p>
    <w:p>
      <w:pPr>
        <w:spacing w:after="0" w:line="222"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color w:val="auto"/>
        </w:rPr>
        <w:t>The Executive agrees to comply with the Company’s rules from time to time in force regarding sickness notification, details of which are set out in the Employee Handbook.</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color w:val="auto"/>
        </w:rPr>
        <w:t>Subject to the:</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12.2.1</w:t>
      </w:r>
      <w:r>
        <w:rPr>
          <w:sz w:val="20"/>
          <w:szCs w:val="20"/>
          <w:color w:val="auto"/>
        </w:rPr>
        <w:tab/>
      </w:r>
      <w:r>
        <w:rPr>
          <w:rFonts w:ascii="Arial" w:cs="Arial" w:eastAsia="Arial" w:hAnsi="Arial"/>
          <w:sz w:val="19"/>
          <w:szCs w:val="19"/>
          <w:color w:val="auto"/>
        </w:rPr>
        <w:t>Executive’s compliance with the Company’s rules as referred to above; and</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12.2.2</w:t>
      </w:r>
      <w:r>
        <w:rPr>
          <w:sz w:val="20"/>
          <w:szCs w:val="20"/>
          <w:color w:val="auto"/>
        </w:rPr>
        <w:tab/>
      </w:r>
      <w:r>
        <w:rPr>
          <w:rFonts w:ascii="Arial" w:cs="Arial" w:eastAsia="Arial" w:hAnsi="Arial"/>
          <w:sz w:val="19"/>
          <w:szCs w:val="19"/>
          <w:color w:val="auto"/>
        </w:rPr>
        <w:t>Company’s right to terminate the Employment for incapacity or any other reason;</w:t>
      </w:r>
    </w:p>
    <w:p>
      <w:pPr>
        <w:spacing w:after="0" w:line="216"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12.2.3</w:t>
      </w:r>
      <w:r>
        <w:rPr>
          <w:sz w:val="20"/>
          <w:szCs w:val="20"/>
          <w:color w:val="auto"/>
        </w:rPr>
        <w:tab/>
      </w:r>
      <w:r>
        <w:rPr>
          <w:rFonts w:ascii="Arial" w:cs="Arial" w:eastAsia="Arial" w:hAnsi="Arial"/>
          <w:sz w:val="20"/>
          <w:szCs w:val="20"/>
          <w:color w:val="auto"/>
        </w:rPr>
        <w:t>if the Executive is at any time absent on medical grounds the Company shall pay to the Executive Company Sick Pay to the amount of the Executive’s normal Basic Salary and Car Allowance for the periods as set out in Employee Handbook.</w:t>
      </w:r>
    </w:p>
    <w:p>
      <w:pPr>
        <w:spacing w:after="0" w:line="206"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20"/>
          <w:szCs w:val="20"/>
          <w:color w:val="auto"/>
        </w:rPr>
        <w:t>The Company reserves the right to require the Executive to undergo a medical examination by a doctor or consultant nominated by it, where reasonably requested by the Company at any stage of absence at the Company’s expense, and the Executive agrees that he will undergo any requisite tests and examinations and will fully co-operate with the relevant medical practitioner and authorise disclosure to and discussions with the Company (and any relevant third parties) the results of any examination and any matters which arise from it.</w:t>
      </w:r>
    </w:p>
    <w:p>
      <w:pPr>
        <w:spacing w:after="0" w:line="209"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20"/>
          <w:szCs w:val="20"/>
          <w:color w:val="auto"/>
        </w:rPr>
        <w:t>Payment of Company Sick Pay to the Executive pursuant to clause 12.1 shall be inclusive of any Statutory Sick Pay and any Social Security Sickness Benefit or other benefits to which the Executive may be entitled, whether or not claimed.</w:t>
      </w:r>
    </w:p>
    <w:p>
      <w:pPr>
        <w:spacing w:after="0" w:line="202"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20"/>
          <w:szCs w:val="20"/>
          <w:color w:val="auto"/>
        </w:rPr>
        <w:t>If the Executive’s absence shall be caused by the actionable negligence of a third party in respect of which damages are recoverable, then all sums paid by the Company shall constitute loans to the Executive, who shall:</w:t>
      </w:r>
    </w:p>
    <w:p>
      <w:pPr>
        <w:spacing w:after="0" w:line="202" w:lineRule="exact"/>
        <w:rPr>
          <w:sz w:val="20"/>
          <w:szCs w:val="20"/>
          <w:color w:val="auto"/>
        </w:rPr>
      </w:pPr>
    </w:p>
    <w:p>
      <w:pPr>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12.5.1</w:t>
      </w:r>
      <w:r>
        <w:rPr>
          <w:sz w:val="20"/>
          <w:szCs w:val="20"/>
          <w:color w:val="auto"/>
        </w:rPr>
        <w:tab/>
      </w:r>
      <w:r>
        <w:rPr>
          <w:rFonts w:ascii="Arial" w:cs="Arial" w:eastAsia="Arial" w:hAnsi="Arial"/>
          <w:sz w:val="20"/>
          <w:szCs w:val="20"/>
          <w:color w:val="auto"/>
        </w:rPr>
        <w:t>immediately notify the Company of all the relevant circumstances and of any claim, compromise, settlement or judgement made or awarded;</w:t>
      </w:r>
    </w:p>
    <w:p>
      <w:pPr>
        <w:spacing w:after="0" w:line="202" w:lineRule="exact"/>
        <w:rPr>
          <w:sz w:val="20"/>
          <w:szCs w:val="20"/>
          <w:color w:val="auto"/>
        </w:rPr>
      </w:pPr>
    </w:p>
    <w:p>
      <w:pPr>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12.5.2</w:t>
      </w:r>
      <w:r>
        <w:rPr>
          <w:sz w:val="20"/>
          <w:szCs w:val="20"/>
          <w:color w:val="auto"/>
        </w:rPr>
        <w:tab/>
      </w:r>
      <w:r>
        <w:rPr>
          <w:rFonts w:ascii="Arial" w:cs="Arial" w:eastAsia="Arial" w:hAnsi="Arial"/>
          <w:sz w:val="20"/>
          <w:szCs w:val="20"/>
          <w:color w:val="auto"/>
        </w:rPr>
        <w:t>if the Company so requires, refund to the Company such sum as the Company may determine, not exceeding the lesser of:</w:t>
      </w:r>
    </w:p>
    <w:p>
      <w:pPr>
        <w:spacing w:after="0" w:line="215" w:lineRule="exact"/>
        <w:rPr>
          <w:sz w:val="20"/>
          <w:szCs w:val="20"/>
          <w:color w:val="auto"/>
        </w:rPr>
      </w:pPr>
    </w:p>
    <w:p>
      <w:pPr>
        <w:ind w:left="1960" w:hanging="655"/>
        <w:spacing w:after="0"/>
        <w:tabs>
          <w:tab w:leader="none" w:pos="19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amount of damages recovered by the Executive under such compromise, settlement or judgement; and</w:t>
      </w:r>
    </w:p>
    <w:p>
      <w:pPr>
        <w:spacing w:after="0" w:line="227" w:lineRule="exact"/>
        <w:rPr>
          <w:rFonts w:ascii="Arial" w:cs="Arial" w:eastAsia="Arial" w:hAnsi="Arial"/>
          <w:sz w:val="19"/>
          <w:szCs w:val="19"/>
          <w:color w:val="auto"/>
        </w:rPr>
      </w:pPr>
    </w:p>
    <w:p>
      <w:pPr>
        <w:ind w:left="1960" w:hanging="655"/>
        <w:spacing w:after="0"/>
        <w:tabs>
          <w:tab w:leader="none" w:pos="19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sums advanced to the Executive in respect of the period of incapacity.</w:t>
      </w:r>
    </w:p>
    <w:p>
      <w:pPr>
        <w:sectPr>
          <w:pgSz w:w="11900" w:h="16838" w:orient="portrait"/>
          <w:cols w:equalWidth="0" w:num="1">
            <w:col w:w="11420"/>
          </w:cols>
          <w:pgMar w:left="240" w:top="244" w:right="239" w:bottom="0" w:gutter="0" w:footer="0" w:header="0"/>
        </w:sectPr>
      </w:pPr>
    </w:p>
    <w:bookmarkStart w:id="138" w:name="page139"/>
    <w:bookmarkEnd w:id="138"/>
    <w:p>
      <w:pPr>
        <w:spacing w:after="0" w:line="49"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20"/>
          <w:szCs w:val="20"/>
          <w:color w:val="auto"/>
        </w:rPr>
        <w:t>Any actual or prospective entitlement to Company Sick Pay or private medical insurance or long term disability benefits shall not limit or prevent the Company from exercising its right to terminate the Employment in accordance with clauses 5.3 or 19 or otherwise and the Company shall not be liable for any loss arising from such termination.</w:t>
      </w:r>
    </w:p>
    <w:p>
      <w:pPr>
        <w:spacing w:after="0" w:line="201"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color w:val="auto"/>
        </w:rPr>
        <w:t>DEDUCTIONS</w:t>
      </w:r>
    </w:p>
    <w:p>
      <w:pPr>
        <w:spacing w:after="0" w:line="234" w:lineRule="exact"/>
        <w:rPr>
          <w:rFonts w:ascii="Arial" w:cs="Arial" w:eastAsia="Arial" w:hAnsi="Arial"/>
          <w:sz w:val="20"/>
          <w:szCs w:val="20"/>
          <w:b w:val="1"/>
          <w:bCs w:val="1"/>
          <w:color w:val="auto"/>
        </w:rPr>
      </w:pPr>
    </w:p>
    <w:p>
      <w:pPr>
        <w:jc w:val="both"/>
        <w:ind w:left="660"/>
        <w:spacing w:after="0" w:line="241" w:lineRule="auto"/>
        <w:rPr>
          <w:rFonts w:ascii="Arial" w:cs="Arial" w:eastAsia="Arial" w:hAnsi="Arial"/>
          <w:sz w:val="20"/>
          <w:szCs w:val="20"/>
          <w:b w:val="1"/>
          <w:bCs w:val="1"/>
          <w:color w:val="auto"/>
        </w:rPr>
      </w:pPr>
      <w:r>
        <w:rPr>
          <w:rFonts w:ascii="Arial" w:cs="Arial" w:eastAsia="Arial" w:hAnsi="Arial"/>
          <w:sz w:val="20"/>
          <w:szCs w:val="20"/>
          <w:color w:val="auto"/>
        </w:rPr>
        <w:t>For the purposes of the ERA, the Executive hereby authorises the Company to deduct from the Executive’s remuneration any sums due from the Executive to the Company including, without limitation, any overpayments of salary, overpayments of holiday pay whether in respect of holiday taken in excess of that accrued during the holiday year or otherwise, loans or advances made to the Executive by the Company, any fines incurred by the Executive and paid by the Company, the cost of repairing any damage or loss to the Company’s property caused by the Executive and any losses suffered by the Company as a result of any negligence or breach of duty by the Executive.</w:t>
      </w:r>
    </w:p>
    <w:p>
      <w:pPr>
        <w:spacing w:after="0" w:line="188" w:lineRule="exact"/>
        <w:rPr>
          <w:rFonts w:ascii="Arial" w:cs="Arial" w:eastAsia="Arial" w:hAnsi="Arial"/>
          <w:sz w:val="20"/>
          <w:szCs w:val="20"/>
          <w:b w:val="1"/>
          <w:bCs w:val="1"/>
          <w:color w:val="auto"/>
        </w:rPr>
      </w:pPr>
    </w:p>
    <w:p>
      <w:pPr>
        <w:ind w:left="660" w:hanging="652"/>
        <w:spacing w:after="0"/>
        <w:tabs>
          <w:tab w:leader="none" w:pos="660"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ON OTHER ACTIVITIES BY THE EXECUTIVE</w:t>
      </w:r>
    </w:p>
    <w:p>
      <w:pPr>
        <w:spacing w:after="0" w:line="222"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20"/>
          <w:szCs w:val="20"/>
          <w:color w:val="auto"/>
        </w:rPr>
        <w:t>During the Employment the Executive shall not directly or indirectly be employed, engaged, concerned or interested in any other business or undertaking without the prior written consent of the Company or be involved in any activity which the Company reasonably considers may be, or become, harmful to the interests of the Company or any Group Company or which might reasonably be considered to interfere with the performance of the Executive’s duties under this Agreement provided that this clause 14.1 shall not prohibit the holding (directly or through nominees) of investments listed on any recognised stock exchange as long as not more than 5 per cent of the issued shares or other securities of any class of any one company shall be so held.</w:t>
      </w:r>
    </w:p>
    <w:p>
      <w:pPr>
        <w:spacing w:after="0" w:line="21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20"/>
          <w:szCs w:val="20"/>
          <w:color w:val="auto"/>
        </w:rPr>
        <w:t>Subject to any regulations issued by the Company, the Executive shall not be entitled to receive or obtain directly or indirectly any discount, rebate or commission in respect of any sale or purchase of goods effected or other business transacted (whether or not by the Executive by or on behalf of the Company) and if the Executive (or any firm or company in which the Executive is interested) shall obtain any such discount, rebate or commission, the Executive shall account to the Company for the amount receive (or a due proportion of the amount received by such company or firm having regard to the extent of the Executive’s interest in it). For the avoidance of doubt, nothing in this clause shall prevent the Executive from obtaining any discount, rebate or commission solely as a result of transactions legitimately entered into in the Executive’s personal capacity.</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20"/>
          <w:szCs w:val="20"/>
          <w:b w:val="1"/>
          <w:bCs w:val="1"/>
          <w:color w:val="auto"/>
        </w:rPr>
        <w:t>CONFIDENTIALITY</w:t>
      </w:r>
    </w:p>
    <w:p>
      <w:pPr>
        <w:spacing w:after="0" w:line="222"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20"/>
          <w:szCs w:val="20"/>
          <w:color w:val="auto"/>
        </w:rPr>
        <w:t>The Executive shall neither during the Employment (except in the proper performance of the duties) nor at any time (without limit) after the termination of the Employment:</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15.1.1</w:t>
      </w:r>
      <w:r>
        <w:rPr>
          <w:sz w:val="20"/>
          <w:szCs w:val="20"/>
          <w:color w:val="auto"/>
        </w:rPr>
        <w:tab/>
      </w:r>
      <w:r>
        <w:rPr>
          <w:rFonts w:ascii="Arial" w:cs="Arial" w:eastAsia="Arial" w:hAnsi="Arial"/>
          <w:sz w:val="19"/>
          <w:szCs w:val="19"/>
          <w:color w:val="auto"/>
        </w:rPr>
        <w:t>divulge or communicate to any person, company, business entity or other organisation;</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15.1.2</w:t>
      </w:r>
      <w:r>
        <w:rPr>
          <w:sz w:val="20"/>
          <w:szCs w:val="20"/>
          <w:color w:val="auto"/>
        </w:rPr>
        <w:tab/>
      </w:r>
      <w:r>
        <w:rPr>
          <w:rFonts w:ascii="Arial" w:cs="Arial" w:eastAsia="Arial" w:hAnsi="Arial"/>
          <w:sz w:val="19"/>
          <w:szCs w:val="19"/>
          <w:color w:val="auto"/>
        </w:rPr>
        <w:t>use for his own purposes for any purposes other than those of the Company or any Group Company; or</w:t>
      </w:r>
    </w:p>
    <w:p>
      <w:pPr>
        <w:spacing w:after="0" w:line="216" w:lineRule="exact"/>
        <w:rPr>
          <w:sz w:val="20"/>
          <w:szCs w:val="20"/>
          <w:color w:val="auto"/>
        </w:rPr>
      </w:pPr>
    </w:p>
    <w:p>
      <w:pPr>
        <w:jc w:val="both"/>
        <w:ind w:left="1300" w:hanging="647"/>
        <w:spacing w:after="0" w:line="242" w:lineRule="auto"/>
        <w:tabs>
          <w:tab w:leader="none" w:pos="1280" w:val="left"/>
        </w:tabs>
        <w:rPr>
          <w:sz w:val="20"/>
          <w:szCs w:val="20"/>
          <w:color w:val="auto"/>
        </w:rPr>
      </w:pPr>
      <w:r>
        <w:rPr>
          <w:rFonts w:ascii="Arial" w:cs="Arial" w:eastAsia="Arial" w:hAnsi="Arial"/>
          <w:sz w:val="20"/>
          <w:szCs w:val="20"/>
          <w:color w:val="auto"/>
        </w:rPr>
        <w:t>15.1.3</w:t>
      </w:r>
      <w:r>
        <w:rPr>
          <w:sz w:val="20"/>
          <w:szCs w:val="20"/>
          <w:color w:val="auto"/>
        </w:rPr>
        <w:tab/>
      </w:r>
      <w:r>
        <w:rPr>
          <w:rFonts w:ascii="Arial" w:cs="Arial" w:eastAsia="Arial" w:hAnsi="Arial"/>
          <w:sz w:val="20"/>
          <w:szCs w:val="20"/>
          <w:color w:val="auto"/>
        </w:rPr>
        <w:t>through any failure to exercise due care and diligence, permit or cause any unauthorised disclosure of any Confidential Information, provided that these restrictions shall cease to apply to any information which shall become available to the public generally otherwise than through an unauthorised disclosure by the Executive or any other person.</w:t>
      </w:r>
    </w:p>
    <w:p>
      <w:pPr>
        <w:spacing w:after="0" w:line="207"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20"/>
          <w:szCs w:val="20"/>
          <w:color w:val="auto"/>
        </w:rPr>
        <w:t>The Executive acknowledges that all notes, memoranda, records, lists of customers and suppliers and employees, correspondence, documents, computer and other discs and tapes, data listings, databases, codes, designs and drawings and any other documents and material whatsoever (whether made or created by the Executive or otherwise) relating to the business of the Company and any Group Company (and any copies of the same) or which is created or stored on the Company’s equipment and systems:</w:t>
      </w:r>
    </w:p>
    <w:p>
      <w:pPr>
        <w:spacing w:after="0" w:line="20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15.2.1</w:t>
      </w:r>
      <w:r>
        <w:rPr>
          <w:sz w:val="20"/>
          <w:szCs w:val="20"/>
          <w:color w:val="auto"/>
        </w:rPr>
        <w:tab/>
      </w:r>
      <w:r>
        <w:rPr>
          <w:rFonts w:ascii="Arial" w:cs="Arial" w:eastAsia="Arial" w:hAnsi="Arial"/>
          <w:sz w:val="19"/>
          <w:szCs w:val="19"/>
          <w:color w:val="auto"/>
        </w:rPr>
        <w:t>shall be and remain the property of the Company or the relevant Group Company; and</w:t>
      </w:r>
    </w:p>
    <w:p>
      <w:pPr>
        <w:spacing w:after="0" w:line="216"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15.2.2</w:t>
      </w:r>
      <w:r>
        <w:rPr>
          <w:sz w:val="20"/>
          <w:szCs w:val="20"/>
          <w:color w:val="auto"/>
        </w:rPr>
        <w:tab/>
      </w:r>
      <w:r>
        <w:rPr>
          <w:rFonts w:ascii="Arial" w:cs="Arial" w:eastAsia="Arial" w:hAnsi="Arial"/>
          <w:sz w:val="20"/>
          <w:szCs w:val="20"/>
          <w:color w:val="auto"/>
        </w:rPr>
        <w:t>shall be handed over by the Executive to the Company or the relevant Group Company on demand and in any event on the termination of the Employment and the Executive shall certify that all such property has been so handed over and that no copies or extracts have been retained.</w:t>
      </w:r>
    </w:p>
    <w:p>
      <w:pPr>
        <w:spacing w:after="0" w:line="206"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20"/>
          <w:szCs w:val="20"/>
          <w:color w:val="auto"/>
        </w:rPr>
        <w:t>For the avoidance of doubt, social media accounts, any on-line content and contacts operated or created by the Executive during the Employment for work related (including networking) purposes shall be regarded as the property of the Company and the Executive agrees not to use such social media after the termination of the Employment.</w:t>
      </w:r>
    </w:p>
    <w:p>
      <w:pPr>
        <w:spacing w:after="0" w:line="206"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20"/>
          <w:szCs w:val="20"/>
          <w:color w:val="auto"/>
        </w:rPr>
        <w:t>This clause 15 shall only bind the Executive to the extent allowed by law and nothing in this clause shall prevent the Executive from making a statutory disclosure.</w:t>
      </w:r>
    </w:p>
    <w:p>
      <w:pPr>
        <w:spacing w:after="0" w:line="196"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DATA PROTECTION</w:t>
      </w:r>
    </w:p>
    <w:p>
      <w:pPr>
        <w:spacing w:after="0" w:line="234" w:lineRule="exact"/>
        <w:rPr>
          <w:rFonts w:ascii="Arial" w:cs="Arial" w:eastAsia="Arial" w:hAnsi="Arial"/>
          <w:sz w:val="20"/>
          <w:szCs w:val="20"/>
          <w:b w:val="1"/>
          <w:bCs w:val="1"/>
          <w:color w:val="auto"/>
        </w:rPr>
      </w:pPr>
    </w:p>
    <w:p>
      <w:pPr>
        <w:jc w:val="both"/>
        <w:ind w:left="660"/>
        <w:spacing w:after="0" w:line="256" w:lineRule="auto"/>
        <w:rPr>
          <w:rFonts w:ascii="Arial" w:cs="Arial" w:eastAsia="Arial" w:hAnsi="Arial"/>
          <w:sz w:val="20"/>
          <w:szCs w:val="20"/>
          <w:b w:val="1"/>
          <w:bCs w:val="1"/>
          <w:color w:val="auto"/>
        </w:rPr>
      </w:pPr>
      <w:r>
        <w:rPr>
          <w:rFonts w:ascii="Arial" w:cs="Arial" w:eastAsia="Arial" w:hAnsi="Arial"/>
          <w:sz w:val="19"/>
          <w:szCs w:val="19"/>
          <w:color w:val="auto"/>
        </w:rPr>
        <w:t>The Executive consents to the Company holding and processing, both electronically and manually, the data it collects in relation to the Executive in the course of the Employment (including, without limitation the Executive’s employment application, references, bank details, appraisals, holiday and sickness records, salary reviews, remuneration details, employment benefits and other records which may include sensitive personal data relating to his health) for the purposes of the Company’s administration and management of its employees and its business, the evaluation of assets and liabilities before any acquisition, merger or re-organisation of the Company's business, to fulfil any obligation of the Company to</w:t>
      </w:r>
    </w:p>
    <w:p>
      <w:pPr>
        <w:sectPr>
          <w:pgSz w:w="11900" w:h="16887" w:orient="portrait"/>
          <w:cols w:equalWidth="0" w:num="1">
            <w:col w:w="11420"/>
          </w:cols>
          <w:pgMar w:left="240" w:top="121" w:right="239" w:bottom="0" w:gutter="0" w:footer="0" w:header="0"/>
        </w:sectPr>
      </w:pPr>
    </w:p>
    <w:bookmarkStart w:id="139" w:name="page140"/>
    <w:bookmarkEnd w:id="139"/>
    <w:p>
      <w:pPr>
        <w:jc w:val="both"/>
        <w:ind w:left="660"/>
        <w:spacing w:after="0" w:line="243" w:lineRule="auto"/>
        <w:rPr>
          <w:sz w:val="20"/>
          <w:szCs w:val="20"/>
          <w:color w:val="auto"/>
        </w:rPr>
      </w:pPr>
      <w:r>
        <w:rPr>
          <w:rFonts w:ascii="Arial" w:cs="Arial" w:eastAsia="Arial" w:hAnsi="Arial"/>
          <w:sz w:val="20"/>
          <w:szCs w:val="20"/>
          <w:color w:val="auto"/>
        </w:rPr>
        <w:t>transfer records to any successor employer and for compliance with applicable procedures, laws and regulations. Such processing may involve the transfer, storage and processing by the Company of such data outside the United Kingdom, the European Economic Area or the European Union, to which the Executive consents.</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20"/>
          <w:szCs w:val="20"/>
          <w:b w:val="1"/>
          <w:bCs w:val="1"/>
          <w:color w:val="auto"/>
        </w:rPr>
        <w:t>INVENTIONS AND INTELLECTUAL PROPERTY RIGHTS</w:t>
      </w:r>
    </w:p>
    <w:p>
      <w:pPr>
        <w:spacing w:after="0" w:line="222"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20"/>
          <w:szCs w:val="20"/>
          <w:color w:val="auto"/>
        </w:rPr>
        <w:t>The Company is entitled on request to full details in writing of all Inventions and of all works embodying Intellectual Property Rights made wholly or partially by him/her at any time during the course of the Appointment which relate to, or are reasonably capable of being used in, the business of the Company or any Group Company. The Executive acknowledges that all Intellectual Property Rights subsisting (or which may in the future subsist) in all such Inventions and works shall automatically, on creation, vest in the Company absolutely. To the extent that they do not vest automatically, the Executive holds them on trust for the Company. The Executive agrees promptly to execute all documents and do all acts as may, in the opinion of the Company, be necessary to give effect to this clause 17.</w:t>
      </w:r>
    </w:p>
    <w:p>
      <w:pPr>
        <w:spacing w:after="0" w:line="213"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20"/>
          <w:szCs w:val="20"/>
          <w:color w:val="auto"/>
        </w:rPr>
        <w:t>The Executive hereby irrevocably waives all moral rights under the Copyright, Designs and Patents Act 1988 (and all similar rights in other jurisdictions) which the Executive has or will have in any existing or future works referred to in clause 17.</w:t>
      </w:r>
    </w:p>
    <w:p>
      <w:pPr>
        <w:spacing w:after="0" w:line="206"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20"/>
          <w:szCs w:val="20"/>
          <w:color w:val="auto"/>
        </w:rPr>
        <w:t>The Executive hereby agrees that upon request from the Company to execute such documents as may be required necessary to irrevocably appoint the Company to be the Executive’s attorney to execute and do any such instrument or thing and generally to use the Executive’s name for the purpose of giving the Company or its nominee the benefit of this clause 17 and acknowledges in favour of a third party that a certificate in writing signed by any Director or the Secretary of the Company that any instrument or act falls within the authority conferred by this clause 17 shall be conclusive evidence that such is the case.</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20"/>
          <w:szCs w:val="20"/>
          <w:b w:val="1"/>
          <w:bCs w:val="1"/>
          <w:color w:val="auto"/>
        </w:rPr>
        <w:t>STATEMENTS</w:t>
      </w:r>
    </w:p>
    <w:p>
      <w:pPr>
        <w:spacing w:after="0" w:line="222"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20"/>
          <w:szCs w:val="20"/>
          <w:color w:val="auto"/>
        </w:rPr>
        <w:t>The Executive shall not make, publish (in any format) or otherwise communicate any derogatory statements, whether in writing or otherwise, at any time either during the Employment or at any time after its termination in relation to the Company, any Group Company or any of its or their officers or other personnel.</w:t>
      </w:r>
    </w:p>
    <w:p>
      <w:pPr>
        <w:spacing w:after="0" w:line="206"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20"/>
          <w:szCs w:val="20"/>
          <w:color w:val="auto"/>
        </w:rPr>
        <w:t>The Executive shall not make any statements to the press or other media in connection with the Company and or any Group Company at any time either during or after the Employment without the prior written consent of the Company.</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20"/>
          <w:szCs w:val="20"/>
          <w:b w:val="1"/>
          <w:bCs w:val="1"/>
          <w:color w:val="auto"/>
        </w:rPr>
        <w:t>TERMINATION OF EMPLOYMENT</w:t>
      </w:r>
    </w:p>
    <w:p>
      <w:pPr>
        <w:spacing w:after="0" w:line="22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9"/>
          <w:szCs w:val="19"/>
          <w:color w:val="auto"/>
        </w:rPr>
        <w:t>The Company may terminate the Employment immediately by notice in writing if the Executive shall have:</w:t>
      </w:r>
    </w:p>
    <w:p>
      <w:pPr>
        <w:spacing w:after="0" w:line="216" w:lineRule="exact"/>
        <w:rPr>
          <w:sz w:val="20"/>
          <w:szCs w:val="20"/>
          <w:color w:val="auto"/>
        </w:rPr>
      </w:pPr>
    </w:p>
    <w:p>
      <w:pPr>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19.1.1</w:t>
      </w:r>
      <w:r>
        <w:rPr>
          <w:sz w:val="20"/>
          <w:szCs w:val="20"/>
          <w:color w:val="auto"/>
        </w:rPr>
        <w:tab/>
      </w:r>
      <w:r>
        <w:rPr>
          <w:rFonts w:ascii="Arial" w:cs="Arial" w:eastAsia="Arial" w:hAnsi="Arial"/>
          <w:sz w:val="20"/>
          <w:szCs w:val="20"/>
          <w:color w:val="auto"/>
        </w:rPr>
        <w:t>committed any serious breach or repeated or continued breach of the Executive’s obligations under this Agreement; or</w:t>
      </w:r>
    </w:p>
    <w:p>
      <w:pPr>
        <w:spacing w:after="0" w:line="202" w:lineRule="exact"/>
        <w:rPr>
          <w:sz w:val="20"/>
          <w:szCs w:val="20"/>
          <w:color w:val="auto"/>
        </w:rPr>
      </w:pPr>
    </w:p>
    <w:p>
      <w:pPr>
        <w:ind w:left="1300" w:right="20" w:hanging="647"/>
        <w:spacing w:after="0" w:line="247" w:lineRule="auto"/>
        <w:tabs>
          <w:tab w:leader="none" w:pos="1280" w:val="left"/>
        </w:tabs>
        <w:rPr>
          <w:sz w:val="20"/>
          <w:szCs w:val="20"/>
          <w:color w:val="auto"/>
        </w:rPr>
      </w:pPr>
      <w:r>
        <w:rPr>
          <w:rFonts w:ascii="Arial" w:cs="Arial" w:eastAsia="Arial" w:hAnsi="Arial"/>
          <w:sz w:val="20"/>
          <w:szCs w:val="20"/>
          <w:color w:val="auto"/>
        </w:rPr>
        <w:t>19.1.2</w:t>
      </w:r>
      <w:r>
        <w:rPr>
          <w:sz w:val="20"/>
          <w:szCs w:val="20"/>
          <w:color w:val="auto"/>
        </w:rPr>
        <w:tab/>
      </w:r>
      <w:r>
        <w:rPr>
          <w:rFonts w:ascii="Arial" w:cs="Arial" w:eastAsia="Arial" w:hAnsi="Arial"/>
          <w:sz w:val="20"/>
          <w:szCs w:val="20"/>
          <w:color w:val="auto"/>
        </w:rPr>
        <w:t>failed to perform the duties to a satisfactory standard, after having received a written warning from the Company relating to the same; or</w:t>
      </w:r>
    </w:p>
    <w:p>
      <w:pPr>
        <w:spacing w:after="0" w:line="202" w:lineRule="exact"/>
        <w:rPr>
          <w:sz w:val="20"/>
          <w:szCs w:val="20"/>
          <w:color w:val="auto"/>
        </w:rPr>
      </w:pPr>
    </w:p>
    <w:p>
      <w:pPr>
        <w:ind w:left="1300" w:right="20" w:hanging="647"/>
        <w:spacing w:after="0" w:line="247" w:lineRule="auto"/>
        <w:tabs>
          <w:tab w:leader="none" w:pos="1280" w:val="left"/>
        </w:tabs>
        <w:rPr>
          <w:sz w:val="20"/>
          <w:szCs w:val="20"/>
          <w:color w:val="auto"/>
        </w:rPr>
      </w:pPr>
      <w:r>
        <w:rPr>
          <w:rFonts w:ascii="Arial" w:cs="Arial" w:eastAsia="Arial" w:hAnsi="Arial"/>
          <w:sz w:val="20"/>
          <w:szCs w:val="20"/>
          <w:color w:val="auto"/>
        </w:rPr>
        <w:t>19.1.3</w:t>
      </w:r>
      <w:r>
        <w:rPr>
          <w:sz w:val="20"/>
          <w:szCs w:val="20"/>
          <w:color w:val="auto"/>
        </w:rPr>
        <w:tab/>
      </w:r>
      <w:r>
        <w:rPr>
          <w:rFonts w:ascii="Arial" w:cs="Arial" w:eastAsia="Arial" w:hAnsi="Arial"/>
          <w:sz w:val="20"/>
          <w:szCs w:val="20"/>
          <w:color w:val="auto"/>
        </w:rPr>
        <w:t>has acted, in the reasonable opinion of the Company, negligently or incompetently in the performance of the duties; or</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19.1.4</w:t>
      </w:r>
      <w:r>
        <w:rPr>
          <w:sz w:val="20"/>
          <w:szCs w:val="20"/>
          <w:color w:val="auto"/>
        </w:rPr>
        <w:tab/>
      </w:r>
      <w:r>
        <w:rPr>
          <w:rFonts w:ascii="Arial" w:cs="Arial" w:eastAsia="Arial" w:hAnsi="Arial"/>
          <w:sz w:val="19"/>
          <w:szCs w:val="19"/>
          <w:color w:val="auto"/>
        </w:rPr>
        <w:t>been guilty of conduct tending to bring the Executive, the Company or any Group Company into disrepute; or</w:t>
      </w:r>
    </w:p>
    <w:p>
      <w:pPr>
        <w:spacing w:after="0" w:line="216" w:lineRule="exact"/>
        <w:rPr>
          <w:sz w:val="20"/>
          <w:szCs w:val="20"/>
          <w:color w:val="auto"/>
        </w:rPr>
      </w:pPr>
    </w:p>
    <w:p>
      <w:pPr>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19.1.5</w:t>
      </w:r>
      <w:r>
        <w:rPr>
          <w:sz w:val="20"/>
          <w:szCs w:val="20"/>
          <w:color w:val="auto"/>
        </w:rPr>
        <w:tab/>
      </w:r>
      <w:r>
        <w:rPr>
          <w:rFonts w:ascii="Arial" w:cs="Arial" w:eastAsia="Arial" w:hAnsi="Arial"/>
          <w:sz w:val="20"/>
          <w:szCs w:val="20"/>
          <w:color w:val="auto"/>
        </w:rPr>
        <w:t>been convicted of an offence under any statutory enactment or regulation (other than a motoring offence for which no custodial sentence is given); or</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19.1.6</w:t>
      </w:r>
      <w:r>
        <w:rPr>
          <w:sz w:val="20"/>
          <w:szCs w:val="20"/>
          <w:color w:val="auto"/>
        </w:rPr>
        <w:tab/>
      </w:r>
      <w:r>
        <w:rPr>
          <w:rFonts w:ascii="Arial" w:cs="Arial" w:eastAsia="Arial" w:hAnsi="Arial"/>
          <w:sz w:val="19"/>
          <w:szCs w:val="19"/>
          <w:color w:val="auto"/>
        </w:rPr>
        <w:t>failed to comply with:</w:t>
      </w:r>
    </w:p>
    <w:p>
      <w:pPr>
        <w:spacing w:after="0" w:line="229" w:lineRule="exact"/>
        <w:rPr>
          <w:sz w:val="20"/>
          <w:szCs w:val="20"/>
          <w:color w:val="auto"/>
        </w:rPr>
      </w:pPr>
    </w:p>
    <w:p>
      <w:pPr>
        <w:ind w:left="1960" w:hanging="655"/>
        <w:spacing w:after="0" w:line="247" w:lineRule="auto"/>
        <w:tabs>
          <w:tab w:leader="none" w:pos="19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any applicable anti-bribery/anti-corruption legislation (including the UK Bribery Act 2010 and the US Foreign Corrupt Practices Act) or policy; or</w:t>
      </w:r>
    </w:p>
    <w:p>
      <w:pPr>
        <w:spacing w:after="0" w:line="201" w:lineRule="exact"/>
        <w:rPr>
          <w:rFonts w:ascii="Arial" w:cs="Arial" w:eastAsia="Arial" w:hAnsi="Arial"/>
          <w:sz w:val="20"/>
          <w:szCs w:val="20"/>
          <w:color w:val="auto"/>
        </w:rPr>
      </w:pPr>
    </w:p>
    <w:p>
      <w:pPr>
        <w:ind w:left="1960" w:hanging="655"/>
        <w:spacing w:after="0"/>
        <w:tabs>
          <w:tab w:leader="none" w:pos="19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any applicable anti-trust/competition legislation or policy;</w:t>
      </w:r>
    </w:p>
    <w:p>
      <w:pPr>
        <w:spacing w:after="0" w:line="215" w:lineRule="exact"/>
        <w:rPr>
          <w:rFonts w:ascii="Arial" w:cs="Arial" w:eastAsia="Arial" w:hAnsi="Arial"/>
          <w:sz w:val="20"/>
          <w:szCs w:val="20"/>
          <w:color w:val="auto"/>
        </w:rPr>
      </w:pPr>
    </w:p>
    <w:p>
      <w:pPr>
        <w:jc w:val="both"/>
        <w:ind w:left="1960" w:hanging="655"/>
        <w:spacing w:after="0" w:line="242" w:lineRule="auto"/>
        <w:tabs>
          <w:tab w:leader="none" w:pos="19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or any other similar policies, legislation, regulations or rules in any relevant jurisdiction related to, anti-trust/competition, anti-corruption/anti-bribery, giving payments, gifts or entertainment to obtain a business advantage unlawfully, or adopted to implement the OECD Convention on Combating Bribery of Foreign Officials in International Transactions; or</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19.1.7</w:t>
      </w:r>
      <w:r>
        <w:rPr>
          <w:sz w:val="20"/>
          <w:szCs w:val="20"/>
          <w:color w:val="auto"/>
        </w:rPr>
        <w:tab/>
      </w:r>
      <w:r>
        <w:rPr>
          <w:rFonts w:ascii="Arial" w:cs="Arial" w:eastAsia="Arial" w:hAnsi="Arial"/>
          <w:sz w:val="19"/>
          <w:szCs w:val="19"/>
          <w:color w:val="auto"/>
        </w:rPr>
        <w:t>during the Employment, committed any breach of clauses 14, 15, 17 and/or 18.</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9"/>
          <w:szCs w:val="19"/>
          <w:color w:val="auto"/>
        </w:rPr>
        <w:t>Any delay by the Company in exercising such right of termination shall not constitute a waiver thereof.</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20"/>
          <w:szCs w:val="20"/>
          <w:b w:val="1"/>
          <w:bCs w:val="1"/>
          <w:color w:val="auto"/>
        </w:rPr>
        <w:t>GARDEN LEAVE</w:t>
      </w:r>
    </w:p>
    <w:p>
      <w:pPr>
        <w:spacing w:after="0" w:line="222"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20"/>
          <w:szCs w:val="20"/>
          <w:color w:val="auto"/>
        </w:rPr>
        <w:t>The Company reserves the right in its absolute discretion, at any time on or after notice of termination of the Employment has been given by either party, to suspend all or any of the Executive's duties and powers on terms it considers expedient or to require the Executive to perform only such duties, specific projects or tasks as are assigned expressly by the</w:t>
      </w:r>
    </w:p>
    <w:p>
      <w:pPr>
        <w:sectPr>
          <w:pgSz w:w="11900" w:h="16838" w:orient="portrait"/>
          <w:cols w:equalWidth="0" w:num="1">
            <w:col w:w="11420"/>
          </w:cols>
          <w:pgMar w:left="240" w:top="135" w:right="239" w:bottom="0" w:gutter="0" w:footer="0" w:header="0"/>
        </w:sectPr>
      </w:pPr>
    </w:p>
    <w:bookmarkStart w:id="140" w:name="page141"/>
    <w:bookmarkEnd w:id="140"/>
    <w:p>
      <w:pPr>
        <w:ind w:left="660" w:right="20"/>
        <w:spacing w:after="0" w:line="247" w:lineRule="auto"/>
        <w:rPr>
          <w:sz w:val="20"/>
          <w:szCs w:val="20"/>
          <w:color w:val="auto"/>
        </w:rPr>
      </w:pPr>
      <w:r>
        <w:rPr>
          <w:rFonts w:ascii="Arial" w:cs="Arial" w:eastAsia="Arial" w:hAnsi="Arial"/>
          <w:sz w:val="20"/>
          <w:szCs w:val="20"/>
          <w:color w:val="auto"/>
        </w:rPr>
        <w:t>Company in any case for such period or periods and at such place or places (including, without limitation, the Executive's home) as the Company in its absolute discretion deems necessary (“</w:t>
      </w:r>
      <w:r>
        <w:rPr>
          <w:rFonts w:ascii="Arial" w:cs="Arial" w:eastAsia="Arial" w:hAnsi="Arial"/>
          <w:sz w:val="20"/>
          <w:szCs w:val="20"/>
          <w:b w:val="1"/>
          <w:bCs w:val="1"/>
          <w:color w:val="auto"/>
        </w:rPr>
        <w:t>Garden Leave</w:t>
      </w:r>
      <w:r>
        <w:rPr>
          <w:rFonts w:ascii="Arial" w:cs="Arial" w:eastAsia="Arial" w:hAnsi="Arial"/>
          <w:sz w:val="20"/>
          <w:szCs w:val="20"/>
          <w:color w:val="auto"/>
        </w:rPr>
        <w: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9"/>
          <w:szCs w:val="19"/>
          <w:color w:val="auto"/>
        </w:rPr>
        <w:t>The Company may, at its sole discretion, require that during the Garden Leave the Executive will not: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20.2.1</w:t>
      </w:r>
      <w:r>
        <w:rPr>
          <w:sz w:val="20"/>
          <w:szCs w:val="20"/>
          <w:color w:val="auto"/>
        </w:rPr>
        <w:tab/>
      </w:r>
      <w:r>
        <w:rPr>
          <w:rFonts w:ascii="Arial" w:cs="Arial" w:eastAsia="Arial" w:hAnsi="Arial"/>
          <w:sz w:val="19"/>
          <w:szCs w:val="19"/>
          <w:color w:val="auto"/>
        </w:rPr>
        <w:t>enter or attend the premises of the Company or any Group Company;</w:t>
      </w:r>
    </w:p>
    <w:p>
      <w:pPr>
        <w:spacing w:after="0" w:line="216" w:lineRule="exact"/>
        <w:rPr>
          <w:sz w:val="20"/>
          <w:szCs w:val="20"/>
          <w:color w:val="auto"/>
        </w:rPr>
      </w:pPr>
    </w:p>
    <w:p>
      <w:pPr>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20.2.2</w:t>
      </w:r>
      <w:r>
        <w:rPr>
          <w:sz w:val="20"/>
          <w:szCs w:val="20"/>
          <w:color w:val="auto"/>
        </w:rPr>
        <w:tab/>
      </w:r>
      <w:r>
        <w:rPr>
          <w:rFonts w:ascii="Arial" w:cs="Arial" w:eastAsia="Arial" w:hAnsi="Arial"/>
          <w:sz w:val="20"/>
          <w:szCs w:val="20"/>
          <w:color w:val="auto"/>
        </w:rPr>
        <w:t>contact or have any communication with any client or prospective client or supplier of the Company or any Group Company in relation to the business of the Company or any Group Company;</w:t>
      </w:r>
    </w:p>
    <w:p>
      <w:pPr>
        <w:spacing w:after="0" w:line="202" w:lineRule="exact"/>
        <w:rPr>
          <w:sz w:val="20"/>
          <w:szCs w:val="20"/>
          <w:color w:val="auto"/>
        </w:rPr>
      </w:pPr>
    </w:p>
    <w:p>
      <w:pPr>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20.2.3</w:t>
      </w:r>
      <w:r>
        <w:rPr>
          <w:sz w:val="20"/>
          <w:szCs w:val="20"/>
          <w:color w:val="auto"/>
        </w:rPr>
        <w:tab/>
      </w:r>
      <w:r>
        <w:rPr>
          <w:rFonts w:ascii="Arial" w:cs="Arial" w:eastAsia="Arial" w:hAnsi="Arial"/>
          <w:sz w:val="20"/>
          <w:szCs w:val="20"/>
          <w:color w:val="auto"/>
        </w:rPr>
        <w:t>contact or have any communication with any employee, officer, director, agent or consultant of the Company or any Group Company in relation to the business of the Company or any Group Company;</w:t>
      </w:r>
    </w:p>
    <w:p>
      <w:pPr>
        <w:spacing w:after="0" w:line="202" w:lineRule="exact"/>
        <w:rPr>
          <w:sz w:val="20"/>
          <w:szCs w:val="20"/>
          <w:color w:val="auto"/>
        </w:rPr>
      </w:pPr>
    </w:p>
    <w:p>
      <w:pPr>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20.2.4</w:t>
      </w:r>
      <w:r>
        <w:rPr>
          <w:sz w:val="20"/>
          <w:szCs w:val="20"/>
          <w:color w:val="auto"/>
        </w:rPr>
        <w:tab/>
      </w:r>
      <w:r>
        <w:rPr>
          <w:rFonts w:ascii="Arial" w:cs="Arial" w:eastAsia="Arial" w:hAnsi="Arial"/>
          <w:sz w:val="20"/>
          <w:szCs w:val="20"/>
          <w:color w:val="auto"/>
        </w:rPr>
        <w:t>remain or become involved in any aspect of the business of the Company or any Group Company except as required by such companies; or</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20.2.5</w:t>
      </w:r>
      <w:r>
        <w:rPr>
          <w:sz w:val="20"/>
          <w:szCs w:val="20"/>
          <w:color w:val="auto"/>
        </w:rPr>
        <w:tab/>
      </w:r>
      <w:r>
        <w:rPr>
          <w:rFonts w:ascii="Arial" w:cs="Arial" w:eastAsia="Arial" w:hAnsi="Arial"/>
          <w:sz w:val="19"/>
          <w:szCs w:val="19"/>
          <w:color w:val="auto"/>
        </w:rPr>
        <w:t>work either on the Executive’s own account or on behalf of any other person.</w:t>
      </w:r>
    </w:p>
    <w:p>
      <w:pPr>
        <w:spacing w:after="0" w:line="216"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20"/>
          <w:szCs w:val="20"/>
          <w:color w:val="auto"/>
        </w:rPr>
        <w:t>During the Garden Leave, the Executive will continue to receive Basic Salary and Car Allowance and any other contractual benefits due under this Agreement.</w:t>
      </w:r>
    </w:p>
    <w:p>
      <w:pPr>
        <w:spacing w:after="0" w:line="202"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20"/>
          <w:szCs w:val="20"/>
          <w:color w:val="auto"/>
        </w:rPr>
        <w:t>Save as expressly varied in accordance with this Agreement, the Executive will continue to be bound by all express and implied obligations and duties to the Company and any Group Company during the period of any Garden Leave including, without prejudice to the generality of the foregoing, any fiduciary duties and express and implied obligations of good faith and fidelity.</w:t>
      </w:r>
    </w:p>
    <w:p>
      <w:pPr>
        <w:spacing w:after="0" w:line="207" w:lineRule="exact"/>
        <w:rPr>
          <w:sz w:val="20"/>
          <w:szCs w:val="20"/>
          <w:color w:val="auto"/>
        </w:rPr>
      </w:pPr>
    </w:p>
    <w:p>
      <w:pPr>
        <w:jc w:val="both"/>
        <w:ind w:left="660" w:right="20" w:hanging="647"/>
        <w:spacing w:after="0" w:line="247" w:lineRule="auto"/>
        <w:tabs>
          <w:tab w:leader="none" w:pos="64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20"/>
          <w:szCs w:val="20"/>
          <w:color w:val="auto"/>
        </w:rPr>
        <w:t>Any termination of the Employment by either party under Clause 20 or otherwise will be without prejudice to the continuing obligations of the Executive under this Agreement which are stated to survive such termination.</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20"/>
          <w:szCs w:val="20"/>
          <w:b w:val="1"/>
          <w:bCs w:val="1"/>
          <w:color w:val="auto"/>
        </w:rPr>
        <w:t>DIRECTORSHIP AND RETURN OF MATERIALS</w:t>
      </w:r>
    </w:p>
    <w:p>
      <w:pPr>
        <w:spacing w:after="0" w:line="222"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20"/>
          <w:szCs w:val="20"/>
          <w:color w:val="auto"/>
        </w:rPr>
        <w:t>On the termination of the Employment (however arising) or on either the Company or the Executive having served notice of such termination, the Executive shall:</w:t>
      </w:r>
    </w:p>
    <w:p>
      <w:pPr>
        <w:spacing w:after="0" w:line="202"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21.1.1</w:t>
      </w:r>
      <w:r>
        <w:rPr>
          <w:sz w:val="20"/>
          <w:szCs w:val="20"/>
          <w:color w:val="auto"/>
        </w:rPr>
        <w:tab/>
      </w:r>
      <w:r>
        <w:rPr>
          <w:rFonts w:ascii="Arial" w:cs="Arial" w:eastAsia="Arial" w:hAnsi="Arial"/>
          <w:sz w:val="20"/>
          <w:szCs w:val="20"/>
          <w:color w:val="auto"/>
        </w:rPr>
        <w:t>at the request of the Company resign as a Director or Officer from all offices held in any Group Company, provided however that such resignation shall be without prejudice to any claims which the Executive may have against the Company or any Group Company arising out of the termination of the Employment; and</w:t>
      </w:r>
    </w:p>
    <w:p>
      <w:pPr>
        <w:spacing w:after="0" w:line="206"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21.1.2</w:t>
      </w:r>
      <w:r>
        <w:rPr>
          <w:sz w:val="20"/>
          <w:szCs w:val="20"/>
          <w:color w:val="auto"/>
        </w:rPr>
        <w:tab/>
      </w:r>
      <w:r>
        <w:rPr>
          <w:rFonts w:ascii="Arial" w:cs="Arial" w:eastAsia="Arial" w:hAnsi="Arial"/>
          <w:sz w:val="20"/>
          <w:szCs w:val="20"/>
          <w:color w:val="auto"/>
        </w:rPr>
        <w:t>immediately deliver to the Company all materials within the scope of clause 15.2 and all credit cards, keys and other property of or relating to the business of the Company or of any Group Company which may be in the Executive’s possession or under the Executive’s power or control,</w:t>
      </w:r>
    </w:p>
    <w:p>
      <w:pPr>
        <w:spacing w:after="0" w:line="206"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9"/>
          <w:szCs w:val="19"/>
          <w:color w:val="auto"/>
        </w:rPr>
        <w:t>and if the Executive should fail to do so the Company is hereby irrevocably authorised to appoint another person to sign any documents and/or do any other things necessary in order to give effect to the Executive’s undertaking in this clause 21.</w:t>
      </w:r>
    </w:p>
    <w:p>
      <w:pPr>
        <w:spacing w:after="0" w:line="153"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20"/>
          <w:szCs w:val="20"/>
          <w:color w:val="auto"/>
        </w:rPr>
        <w:t>The appointment of the Executive as a director of any Group Company is not a term of this Agreement and the Company reserves the right to remove the Executive from any such directorship at any time and for any reason. Where the Company exercises this right, this shall not amount to a breach of this Agreement and shall not give rise to a claim for damages or compensation.</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b w:val="1"/>
          <w:bCs w:val="1"/>
          <w:color w:val="auto"/>
        </w:rPr>
        <w:t>POST TERMINATION OBLIGATIONS OF THE EXECUTIVE</w:t>
      </w:r>
    </w:p>
    <w:p>
      <w:pPr>
        <w:spacing w:after="0" w:line="222"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20"/>
          <w:szCs w:val="20"/>
          <w:color w:val="auto"/>
        </w:rPr>
        <w:t>The Executive acknowledges that by reason of the Employment the Executive will have access to trade secrets, Confidential Information, business connections and the workforce of the Company and the Group Companies and that in order to protect its and their legitimate business interests it is reasonable for the Executive to enter into these post termination restrictive covenants, and the Executive agrees that the restrictions contained in this clause 22 (each of which constitutes an entirely separate, severable and independent restriction) are reasonable.</w:t>
      </w:r>
    </w:p>
    <w:p>
      <w:pPr>
        <w:spacing w:after="0" w:line="19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20"/>
          <w:szCs w:val="20"/>
          <w:color w:val="auto"/>
        </w:rPr>
        <w:t>Reference in this clause to the “</w:t>
      </w:r>
      <w:r>
        <w:rPr>
          <w:rFonts w:ascii="Arial" w:cs="Arial" w:eastAsia="Arial" w:hAnsi="Arial"/>
          <w:sz w:val="20"/>
          <w:szCs w:val="20"/>
          <w:b w:val="1"/>
          <w:bCs w:val="1"/>
          <w:color w:val="auto"/>
        </w:rPr>
        <w:t>Company</w:t>
      </w:r>
      <w:r>
        <w:rPr>
          <w:rFonts w:ascii="Arial" w:cs="Arial" w:eastAsia="Arial" w:hAnsi="Arial"/>
          <w:sz w:val="20"/>
          <w:szCs w:val="20"/>
          <w:color w:val="auto"/>
        </w:rPr>
        <w:t>” shall apply as though there were included reference to any Relevant Group Company. The Executive covenants with the Company for itself and as trustee and agent for each Group Company that the Executive will not without the prior written consent of the Company:</w:t>
      </w:r>
    </w:p>
    <w:p>
      <w:pPr>
        <w:spacing w:after="0" w:line="183"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22.2.1</w:t>
      </w:r>
      <w:r>
        <w:rPr>
          <w:sz w:val="20"/>
          <w:szCs w:val="20"/>
          <w:color w:val="auto"/>
        </w:rPr>
        <w:tab/>
      </w:r>
      <w:r>
        <w:rPr>
          <w:rFonts w:ascii="Arial" w:cs="Arial" w:eastAsia="Arial" w:hAnsi="Arial"/>
          <w:sz w:val="20"/>
          <w:szCs w:val="20"/>
          <w:color w:val="auto"/>
        </w:rPr>
        <w:t>for twenty-four months after the Restriction Date solicit or endeavour to entice away from the Company the business or custom of a Restricted Customer with a view to providing goods or services in competition with any Restricted Business;</w:t>
      </w:r>
    </w:p>
    <w:p>
      <w:pPr>
        <w:spacing w:after="0" w:line="206"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22.2.2</w:t>
      </w:r>
      <w:r>
        <w:rPr>
          <w:sz w:val="20"/>
          <w:szCs w:val="20"/>
          <w:color w:val="auto"/>
        </w:rPr>
        <w:tab/>
      </w:r>
      <w:r>
        <w:rPr>
          <w:rFonts w:ascii="Arial" w:cs="Arial" w:eastAsia="Arial" w:hAnsi="Arial"/>
          <w:sz w:val="20"/>
          <w:szCs w:val="20"/>
          <w:color w:val="auto"/>
        </w:rPr>
        <w:t>for twenty-four months after the Restriction Date solicit or endeavour to entice away from the Company the business or custom of a Prospective Customer with a view to providing goods or services in competition with any Restricted Business;</w:t>
      </w:r>
    </w:p>
    <w:p>
      <w:pPr>
        <w:spacing w:after="0" w:line="206"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22.2.3</w:t>
      </w:r>
      <w:r>
        <w:rPr>
          <w:sz w:val="20"/>
          <w:szCs w:val="20"/>
          <w:color w:val="auto"/>
        </w:rPr>
        <w:tab/>
      </w:r>
      <w:r>
        <w:rPr>
          <w:rFonts w:ascii="Arial" w:cs="Arial" w:eastAsia="Arial" w:hAnsi="Arial"/>
          <w:sz w:val="20"/>
          <w:szCs w:val="20"/>
          <w:color w:val="auto"/>
        </w:rPr>
        <w:t>for twenty-four months after the Restriction Date provide goods or services to, or otherwise have any business dealings with, any Restricted Customer in the course of any business concern which is in competition with any Restricted Business;</w:t>
      </w:r>
    </w:p>
    <w:p>
      <w:pPr>
        <w:sectPr>
          <w:pgSz w:w="11900" w:h="16838" w:orient="portrait"/>
          <w:cols w:equalWidth="0" w:num="1">
            <w:col w:w="11420"/>
          </w:cols>
          <w:pgMar w:left="240" w:top="135" w:right="239" w:bottom="0" w:gutter="0" w:footer="0" w:header="0"/>
        </w:sectPr>
      </w:pPr>
    </w:p>
    <w:bookmarkStart w:id="141" w:name="page142"/>
    <w:bookmarkEnd w:id="141"/>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22.2.4</w:t>
      </w:r>
      <w:r>
        <w:rPr>
          <w:sz w:val="20"/>
          <w:szCs w:val="20"/>
          <w:color w:val="auto"/>
        </w:rPr>
        <w:tab/>
      </w:r>
      <w:r>
        <w:rPr>
          <w:rFonts w:ascii="Arial" w:cs="Arial" w:eastAsia="Arial" w:hAnsi="Arial"/>
          <w:sz w:val="20"/>
          <w:szCs w:val="20"/>
          <w:color w:val="auto"/>
        </w:rPr>
        <w:t>for twenty-four months after the Restriction Date provide goods or services to, or otherwise have any business dealings with, any Prospective Customer in the course of any business concern which is in competition with any Restricted Business;</w:t>
      </w:r>
    </w:p>
    <w:p>
      <w:pPr>
        <w:spacing w:after="0" w:line="206"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22.2.5</w:t>
      </w:r>
      <w:r>
        <w:rPr>
          <w:sz w:val="20"/>
          <w:szCs w:val="20"/>
          <w:color w:val="auto"/>
        </w:rPr>
        <w:tab/>
      </w:r>
      <w:r>
        <w:rPr>
          <w:rFonts w:ascii="Arial" w:cs="Arial" w:eastAsia="Arial" w:hAnsi="Arial"/>
          <w:sz w:val="20"/>
          <w:szCs w:val="20"/>
          <w:color w:val="auto"/>
        </w:rPr>
        <w:t>for twenty-four months after the Restriction Date induce, solicit or otherwise endeavour to entice away from the Company any Restricted Employee;</w:t>
      </w:r>
    </w:p>
    <w:p>
      <w:pPr>
        <w:spacing w:after="0" w:line="202"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22.2.6</w:t>
      </w:r>
      <w:r>
        <w:rPr>
          <w:sz w:val="20"/>
          <w:szCs w:val="20"/>
          <w:color w:val="auto"/>
        </w:rPr>
        <w:tab/>
      </w:r>
      <w:r>
        <w:rPr>
          <w:rFonts w:ascii="Arial" w:cs="Arial" w:eastAsia="Arial" w:hAnsi="Arial"/>
          <w:sz w:val="20"/>
          <w:szCs w:val="20"/>
          <w:color w:val="auto"/>
        </w:rPr>
        <w:t>for twenty-four months after the Restriction Date employ or engage or facilitate the employment or engagement of any Restricted Employee;</w:t>
      </w:r>
    </w:p>
    <w:p>
      <w:pPr>
        <w:spacing w:after="0" w:line="202"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22.2.7</w:t>
      </w:r>
      <w:r>
        <w:rPr>
          <w:sz w:val="20"/>
          <w:szCs w:val="20"/>
          <w:color w:val="auto"/>
        </w:rPr>
        <w:tab/>
      </w:r>
      <w:r>
        <w:rPr>
          <w:rFonts w:ascii="Arial" w:cs="Arial" w:eastAsia="Arial" w:hAnsi="Arial"/>
          <w:sz w:val="20"/>
          <w:szCs w:val="20"/>
          <w:color w:val="auto"/>
        </w:rPr>
        <w:t>for twenty-four months after the Restriction Date interfere or endeavour to interfere with the supply of goods and/or services by any Restricted Supplier to the Company or any Group Company; and</w:t>
      </w:r>
    </w:p>
    <w:p>
      <w:pPr>
        <w:spacing w:after="0" w:line="202" w:lineRule="exact"/>
        <w:rPr>
          <w:sz w:val="20"/>
          <w:szCs w:val="20"/>
          <w:color w:val="auto"/>
        </w:rPr>
      </w:pPr>
    </w:p>
    <w:p>
      <w:pPr>
        <w:jc w:val="both"/>
        <w:ind w:left="1300" w:hanging="647"/>
        <w:spacing w:after="0" w:line="242" w:lineRule="auto"/>
        <w:tabs>
          <w:tab w:leader="none" w:pos="1280" w:val="left"/>
        </w:tabs>
        <w:rPr>
          <w:sz w:val="20"/>
          <w:szCs w:val="20"/>
          <w:color w:val="auto"/>
        </w:rPr>
      </w:pPr>
      <w:r>
        <w:rPr>
          <w:rFonts w:ascii="Arial" w:cs="Arial" w:eastAsia="Arial" w:hAnsi="Arial"/>
          <w:sz w:val="20"/>
          <w:szCs w:val="20"/>
          <w:color w:val="auto"/>
        </w:rPr>
        <w:t>22.2.8</w:t>
      </w:r>
      <w:r>
        <w:rPr>
          <w:sz w:val="20"/>
          <w:szCs w:val="20"/>
          <w:color w:val="auto"/>
        </w:rPr>
        <w:tab/>
      </w:r>
      <w:r>
        <w:rPr>
          <w:rFonts w:ascii="Arial" w:cs="Arial" w:eastAsia="Arial" w:hAnsi="Arial"/>
          <w:sz w:val="20"/>
          <w:szCs w:val="20"/>
          <w:color w:val="auto"/>
        </w:rPr>
        <w:t>for twenty-four months from the Restriction Date be employed, engaged, concerned or interested in or provide technical, commercial or professional advice to any other business (whether conducted on its own or as part of a wider entity) which is a Competitive Business with those parts of the business of the Company with which the Executive was involved in the 12 months prior to the Restriction Date.</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9"/>
          <w:szCs w:val="19"/>
          <w:color w:val="auto"/>
        </w:rPr>
        <w:t>For the avoidance of doubt, nothing in this clause 22 shall prevent the Executive from:</w:t>
      </w:r>
    </w:p>
    <w:p>
      <w:pPr>
        <w:spacing w:after="0" w:line="216"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0"/>
          <w:szCs w:val="20"/>
          <w:color w:val="auto"/>
        </w:rPr>
        <w:t>22.3.1</w:t>
      </w:r>
      <w:r>
        <w:rPr>
          <w:sz w:val="20"/>
          <w:szCs w:val="20"/>
          <w:color w:val="auto"/>
        </w:rPr>
        <w:tab/>
      </w:r>
      <w:r>
        <w:rPr>
          <w:rFonts w:ascii="Arial" w:cs="Arial" w:eastAsia="Arial" w:hAnsi="Arial"/>
          <w:sz w:val="20"/>
          <w:szCs w:val="20"/>
          <w:color w:val="auto"/>
        </w:rPr>
        <w:t>holding as an investment by way of shares or other securities not more than 5% of the total issued share capital of any company listed on a Recognised Stock Exchange; or</w:t>
      </w:r>
    </w:p>
    <w:p>
      <w:pPr>
        <w:spacing w:after="0" w:line="202" w:lineRule="exact"/>
        <w:rPr>
          <w:sz w:val="20"/>
          <w:szCs w:val="20"/>
          <w:color w:val="auto"/>
        </w:rPr>
      </w:pPr>
    </w:p>
    <w:p>
      <w:pPr>
        <w:jc w:val="both"/>
        <w:ind w:left="1300" w:hanging="647"/>
        <w:spacing w:after="0" w:line="243" w:lineRule="auto"/>
        <w:tabs>
          <w:tab w:leader="none" w:pos="1280" w:val="left"/>
        </w:tabs>
        <w:rPr>
          <w:sz w:val="20"/>
          <w:szCs w:val="20"/>
          <w:color w:val="auto"/>
        </w:rPr>
      </w:pPr>
      <w:r>
        <w:rPr>
          <w:rFonts w:ascii="Arial" w:cs="Arial" w:eastAsia="Arial" w:hAnsi="Arial"/>
          <w:sz w:val="20"/>
          <w:szCs w:val="20"/>
          <w:color w:val="auto"/>
        </w:rPr>
        <w:t>22.3.2</w:t>
      </w:r>
      <w:r>
        <w:rPr>
          <w:sz w:val="20"/>
          <w:szCs w:val="20"/>
          <w:color w:val="auto"/>
        </w:rPr>
        <w:tab/>
      </w:r>
      <w:r>
        <w:rPr>
          <w:rFonts w:ascii="Arial" w:cs="Arial" w:eastAsia="Arial" w:hAnsi="Arial"/>
          <w:sz w:val="20"/>
          <w:szCs w:val="20"/>
          <w:color w:val="auto"/>
        </w:rPr>
        <w:t>being engaged or concerned in any business concern where the Executive’s work or duties relate solely to services or activities of a kind with which the Executive was not concerned to a material extent in the twelve months before the Restriction Date.</w:t>
      </w:r>
    </w:p>
    <w:p>
      <w:pPr>
        <w:spacing w:after="0" w:line="206"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20"/>
          <w:szCs w:val="20"/>
          <w:color w:val="auto"/>
        </w:rPr>
        <w:t>The obligations undertaken by the Executive pursuant to this clause 22 extend to the Executive acting not only on the Executive’s own account but also on behalf of any other firm, company or other person and shall apply whether the Executive acts directly or indirectly.</w:t>
      </w:r>
    </w:p>
    <w:p>
      <w:pPr>
        <w:spacing w:after="0" w:line="206"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20"/>
          <w:szCs w:val="20"/>
          <w:color w:val="auto"/>
        </w:rPr>
        <w:t>The Executive hereby undertakes with the Company that the Executive will not at any time after the Termination Date in the course of carrying on any trade or business, claim, represent or otherwise indicate any present association with the Company or any Group Company or for the purpose of carrying on or retaining any business or custom, claim, represent or otherwise indicate any past association with the Company or any Group Company to its detriment.</w:t>
      </w:r>
    </w:p>
    <w:p>
      <w:pPr>
        <w:spacing w:after="0" w:line="207"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22.6</w:t>
      </w:r>
      <w:r>
        <w:rPr>
          <w:sz w:val="20"/>
          <w:szCs w:val="20"/>
          <w:color w:val="auto"/>
        </w:rPr>
        <w:tab/>
      </w:r>
      <w:r>
        <w:rPr>
          <w:rFonts w:ascii="Arial" w:cs="Arial" w:eastAsia="Arial" w:hAnsi="Arial"/>
          <w:sz w:val="20"/>
          <w:szCs w:val="20"/>
          <w:color w:val="auto"/>
        </w:rPr>
        <w:t>While the restrictions in this clause 22 (on which the Executive has had the opportunity to take independent advice, as the Executive hereby acknowledges) are considered by the parties to be reasonable in all the circumstances, it is agreed that if any such restrictions, by themselves, or taken together, shall be found to go beyond what is reasonable in all the circumstances for the protection of the legitimate interests of the Company or any Group Company but would be considered reasonable if part or parts of the wording of such restrictions were deleted, the relevant restriction or restrictions shall apply with such deletion(s) as may be necessary to make it or them valid and effective.</w:t>
      </w:r>
    </w:p>
    <w:p>
      <w:pPr>
        <w:spacing w:after="0" w:line="208"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22.7</w:t>
      </w:r>
      <w:r>
        <w:rPr>
          <w:sz w:val="20"/>
          <w:szCs w:val="20"/>
          <w:color w:val="auto"/>
        </w:rPr>
        <w:tab/>
      </w:r>
      <w:r>
        <w:rPr>
          <w:rFonts w:ascii="Arial" w:cs="Arial" w:eastAsia="Arial" w:hAnsi="Arial"/>
          <w:sz w:val="20"/>
          <w:szCs w:val="20"/>
          <w:color w:val="auto"/>
        </w:rPr>
        <w:t>If the Executive accepts alternative employment or engagement with any third party during the period of any of the restrictions in this clause 22 the Executive will provide the third party with full details of these restrictions.</w:t>
      </w:r>
    </w:p>
    <w:p>
      <w:pPr>
        <w:spacing w:after="0" w:line="202"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22.8</w:t>
      </w:r>
      <w:r>
        <w:rPr>
          <w:sz w:val="20"/>
          <w:szCs w:val="20"/>
          <w:color w:val="auto"/>
        </w:rPr>
        <w:tab/>
      </w:r>
      <w:r>
        <w:rPr>
          <w:rFonts w:ascii="Arial" w:cs="Arial" w:eastAsia="Arial" w:hAnsi="Arial"/>
          <w:sz w:val="20"/>
          <w:szCs w:val="20"/>
          <w:color w:val="auto"/>
        </w:rPr>
        <w:t>If the Executive’s employment is transferred by reason of the Transfer of Undertakings (Protection of Employment) Regulations 2006 the Executive will, if requested, enter into an agreement with the new employer that contains provisions that reflect the protections provided by the Company under this clause 22.</w:t>
      </w:r>
    </w:p>
    <w:p>
      <w:pPr>
        <w:spacing w:after="0" w:line="206"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0"/>
          <w:szCs w:val="20"/>
          <w:color w:val="auto"/>
        </w:rPr>
        <w:t>22.9</w:t>
      </w:r>
      <w:r>
        <w:rPr>
          <w:sz w:val="20"/>
          <w:szCs w:val="20"/>
          <w:color w:val="auto"/>
        </w:rPr>
        <w:tab/>
      </w:r>
      <w:r>
        <w:rPr>
          <w:rFonts w:ascii="Arial" w:cs="Arial" w:eastAsia="Arial" w:hAnsi="Arial"/>
          <w:sz w:val="20"/>
          <w:szCs w:val="20"/>
          <w:color w:val="auto"/>
        </w:rPr>
        <w:t>If the Executive's contract of employment is expected to transfer to a new entity by virtue of the Transfer of Undertakings (Protection of Employment) Regulations 2006 but the Executive objects or otherwise resigns before any such transfer takes place, the Executive acknowledges that the Company may assign the benefit of these restrictive covenants to the relevant successor entity. Consequently, the Executive agrees to continue to observe the restrictions set out in this clause 22 for the benefit of any successor and will not be released from the obligations under this clause in the event of such assignment. The Executive agrees to co-operate with, and use best endeavours to assist the Company and any successor in such circumstances including but not limited to providing such information, executing such documents and giving such assurances and undertakings as they may reasonably request.</w:t>
      </w:r>
    </w:p>
    <w:p>
      <w:pPr>
        <w:spacing w:after="0" w:line="207"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WHISTLEBLOWING</w:t>
      </w:r>
    </w:p>
    <w:p>
      <w:pPr>
        <w:spacing w:after="0" w:line="234"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 xml:space="preserve">If the Executive wishes to make a disclosure under Sections 43A-L of the ERA the Executive should do so without delay either by contacting the Company’s HR Department in writing, expressly stating that the Executive wishes to make a qualifying disclosure or using the Company’s Integrity Hotline. A </w:t>
      </w:r>
      <w:r>
        <w:rPr>
          <w:rFonts w:ascii="Arial" w:cs="Arial" w:eastAsia="Arial" w:hAnsi="Arial"/>
          <w:sz w:val="20"/>
          <w:szCs w:val="20"/>
          <w:b w:val="1"/>
          <w:bCs w:val="1"/>
          <w:color w:val="auto"/>
        </w:rPr>
        <w:t>‘qualifying disclosure’</w:t>
      </w:r>
      <w:r>
        <w:rPr>
          <w:rFonts w:ascii="Arial" w:cs="Arial" w:eastAsia="Arial" w:hAnsi="Arial"/>
          <w:sz w:val="20"/>
          <w:szCs w:val="20"/>
          <w:color w:val="auto"/>
        </w:rPr>
        <w:t xml:space="preserve"> is defined for these purposes as a disclosure of information which, in the reasonable belief of the Executive, is made in the public interest and tends to show one or more of the following: a criminal offence, a risk to health and safety, a failure to comply with a legal obligation, a miscarriage of justice, environmental damage or concealment of any of these. The Executive should also refer to the Avis Budget Group Code of Conduct.</w:t>
      </w:r>
    </w:p>
    <w:p>
      <w:pPr>
        <w:spacing w:after="0" w:line="194" w:lineRule="exact"/>
        <w:rPr>
          <w:rFonts w:ascii="Arial" w:cs="Arial" w:eastAsia="Arial" w:hAnsi="Arial"/>
          <w:sz w:val="20"/>
          <w:szCs w:val="20"/>
          <w:b w:val="1"/>
          <w:bCs w:val="1"/>
          <w:color w:val="auto"/>
        </w:rPr>
      </w:pPr>
    </w:p>
    <w:p>
      <w:pPr>
        <w:ind w:left="660" w:hanging="652"/>
        <w:spacing w:after="0"/>
        <w:tabs>
          <w:tab w:leader="none" w:pos="66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AMALGAMATION AND RECONSTRUCTION</w:t>
      </w:r>
    </w:p>
    <w:p>
      <w:pPr>
        <w:spacing w:after="0" w:line="22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20"/>
          <w:szCs w:val="20"/>
          <w:color w:val="auto"/>
        </w:rPr>
        <w:t>If the Company is wound up for the purposes of reconstruction or amalgamation the Executive shall not as a result or by</w:t>
      </w:r>
    </w:p>
    <w:p>
      <w:pPr>
        <w:sectPr>
          <w:pgSz w:w="11900" w:h="16838" w:orient="portrait"/>
          <w:cols w:equalWidth="0" w:num="1">
            <w:col w:w="11420"/>
          </w:cols>
          <w:pgMar w:left="240" w:top="244" w:right="239" w:bottom="0" w:gutter="0" w:footer="0" w:header="0"/>
        </w:sectPr>
      </w:pPr>
    </w:p>
    <w:bookmarkStart w:id="142" w:name="page143"/>
    <w:bookmarkEnd w:id="142"/>
    <w:p>
      <w:pPr>
        <w:jc w:val="both"/>
        <w:ind w:left="660"/>
        <w:spacing w:after="0" w:line="241" w:lineRule="auto"/>
        <w:rPr>
          <w:sz w:val="20"/>
          <w:szCs w:val="20"/>
          <w:color w:val="auto"/>
        </w:rPr>
      </w:pPr>
      <w:r>
        <w:rPr>
          <w:rFonts w:ascii="Arial" w:cs="Arial" w:eastAsia="Arial" w:hAnsi="Arial"/>
          <w:sz w:val="20"/>
          <w:szCs w:val="20"/>
          <w:color w:val="auto"/>
        </w:rPr>
        <w:t>reason of any termination of the Employment or the redefinition of the Executive’s duties within the Company or any Group Company arising or resulting from any reorganisation of the Company or any Group Company have any claim against the Company for damages for termination of the Employment or otherwise so long as the Executive shall be offered employment with any concern or undertaking resulting from such reconstruction reorganisation or amalgamation on terms and conditions no less favourable to the Executive than the terms contained in this Agreement.</w:t>
      </w:r>
    </w:p>
    <w:p>
      <w:pPr>
        <w:spacing w:after="0" w:line="196"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20"/>
          <w:szCs w:val="20"/>
          <w:color w:val="auto"/>
        </w:rPr>
        <w:t>If the Executive shall at any time have been offered but shall have unreasonably refused or failed to agree to the transfer of this Agreement by way of novation to a company which has acquired or agreed to acquire the whole or substantially the whole of the undertaking and assets or not less than 50 per cent of the equity share capital of the Company the Company may terminate the Employment by such notice as is required by s.86 of the ERA within one month of such offer being refused by the Executive.</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20"/>
          <w:szCs w:val="20"/>
          <w:b w:val="1"/>
          <w:bCs w:val="1"/>
          <w:color w:val="auto"/>
        </w:rPr>
        <w:t>DISCIPLINARY AND GRIEVANCE PROCEDURES AND SUSPENSION</w:t>
      </w:r>
    </w:p>
    <w:p>
      <w:pPr>
        <w:spacing w:after="0" w:line="222"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20"/>
          <w:szCs w:val="20"/>
          <w:color w:val="auto"/>
        </w:rPr>
        <w:t xml:space="preserve">The Company aims to follow applicable best practice in relation to any disciplinary matter or dismissal involving the Executive. However, such practice is </w:t>
      </w:r>
      <w:r>
        <w:rPr>
          <w:rFonts w:ascii="Arial" w:cs="Arial" w:eastAsia="Arial" w:hAnsi="Arial"/>
          <w:sz w:val="20"/>
          <w:szCs w:val="20"/>
          <w:b w:val="1"/>
          <w:bCs w:val="1"/>
          <w:u w:val="single" w:color="auto"/>
          <w:color w:val="auto"/>
        </w:rPr>
        <w:t>not</w:t>
      </w:r>
      <w:r>
        <w:rPr>
          <w:rFonts w:ascii="Arial" w:cs="Arial" w:eastAsia="Arial" w:hAnsi="Arial"/>
          <w:sz w:val="20"/>
          <w:szCs w:val="20"/>
          <w:color w:val="auto"/>
        </w:rPr>
        <w:t xml:space="preserve"> a contractual entitlement of the Executive and the Company reserves the right not to do so.</w:t>
      </w:r>
    </w:p>
    <w:p>
      <w:pPr>
        <w:spacing w:after="0" w:line="206"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25.2</w:t>
      </w:r>
      <w:r>
        <w:rPr>
          <w:sz w:val="20"/>
          <w:szCs w:val="20"/>
          <w:color w:val="auto"/>
        </w:rPr>
        <w:tab/>
      </w:r>
      <w:r>
        <w:rPr>
          <w:rFonts w:ascii="Arial" w:cs="Arial" w:eastAsia="Arial" w:hAnsi="Arial"/>
          <w:sz w:val="20"/>
          <w:szCs w:val="20"/>
          <w:color w:val="auto"/>
        </w:rPr>
        <w:t>If the Executive wishes to obtain redress of any grievance relating to the Employment or is dissatisfied with any reprimand, suspension or other disciplinary step taken by the Company, the Executive shall apply in writing to the HR department setting out the nature and details of any such grievance or dissatisfaction.</w:t>
      </w:r>
    </w:p>
    <w:p>
      <w:pPr>
        <w:spacing w:after="0" w:line="206"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25.3</w:t>
      </w:r>
      <w:r>
        <w:rPr>
          <w:sz w:val="20"/>
          <w:szCs w:val="20"/>
          <w:color w:val="auto"/>
        </w:rPr>
        <w:tab/>
      </w:r>
      <w:r>
        <w:rPr>
          <w:rFonts w:ascii="Arial" w:cs="Arial" w:eastAsia="Arial" w:hAnsi="Arial"/>
          <w:sz w:val="20"/>
          <w:szCs w:val="20"/>
          <w:color w:val="auto"/>
        </w:rPr>
        <w:t>The Company reserves the right to suspend the Executive on full pay and benefits, for so long as it reasonably thinks fit, in order to (i) investigate any allegations made against the Executive (whether in the context of the internal disciplinary process or otherwise); and (2) satisfy itself as to the Executive's fitness for work.</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20"/>
          <w:szCs w:val="20"/>
          <w:b w:val="1"/>
          <w:bCs w:val="1"/>
          <w:color w:val="auto"/>
        </w:rPr>
        <w:t>NOTICES</w:t>
      </w:r>
    </w:p>
    <w:p>
      <w:pPr>
        <w:spacing w:after="0" w:line="222"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26.1</w:t>
      </w:r>
      <w:r>
        <w:rPr>
          <w:sz w:val="20"/>
          <w:szCs w:val="20"/>
          <w:color w:val="auto"/>
        </w:rPr>
        <w:tab/>
      </w:r>
      <w:r>
        <w:rPr>
          <w:rFonts w:ascii="Arial" w:cs="Arial" w:eastAsia="Arial" w:hAnsi="Arial"/>
          <w:sz w:val="20"/>
          <w:szCs w:val="20"/>
          <w:color w:val="auto"/>
        </w:rPr>
        <w:t>Any notice or other document to be given under this Agreement shall be in writing and may be given personally to the Executive or to the Secretary of the Company (as the case may be) or may be sent by first class post or by facsimile transmission to, in the case of the Company, its registered office for the time being and in the case of the Executive either to the address shown on the face of this Agreement or to the Executive’s last known place of residence.</w:t>
      </w:r>
    </w:p>
    <w:p>
      <w:pPr>
        <w:spacing w:after="0" w:line="207"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20"/>
          <w:szCs w:val="20"/>
          <w:color w:val="auto"/>
        </w:rPr>
        <w:t>26.2</w:t>
      </w:r>
      <w:r>
        <w:rPr>
          <w:sz w:val="20"/>
          <w:szCs w:val="20"/>
          <w:color w:val="auto"/>
        </w:rPr>
        <w:tab/>
      </w:r>
      <w:r>
        <w:rPr>
          <w:rFonts w:ascii="Arial" w:cs="Arial" w:eastAsia="Arial" w:hAnsi="Arial"/>
          <w:sz w:val="20"/>
          <w:szCs w:val="20"/>
          <w:color w:val="auto"/>
        </w:rPr>
        <w:t>Any such notice shall (unless contrary is proved) be deemed served when in the ordinary course of the means of transmission it would first be received by the addressee in normal business hours. In proving such service it shall be sufficient to prove, where appropriate, that the notice was addressed properly and posted or that the facsimile transmission was dispatched.</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20"/>
          <w:szCs w:val="20"/>
          <w:b w:val="1"/>
          <w:bCs w:val="1"/>
          <w:color w:val="auto"/>
        </w:rPr>
        <w:t>ENTIRE AGREEMENT AND FORMER SERVICE AGREEMENT(S)</w:t>
      </w:r>
    </w:p>
    <w:p>
      <w:pPr>
        <w:spacing w:after="0" w:line="222"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20"/>
          <w:szCs w:val="20"/>
          <w:color w:val="auto"/>
        </w:rPr>
        <w:t>27.1</w:t>
      </w:r>
      <w:r>
        <w:rPr>
          <w:sz w:val="20"/>
          <w:szCs w:val="20"/>
          <w:color w:val="auto"/>
        </w:rPr>
        <w:tab/>
      </w:r>
      <w:r>
        <w:rPr>
          <w:rFonts w:ascii="Arial" w:cs="Arial" w:eastAsia="Arial" w:hAnsi="Arial"/>
          <w:sz w:val="19"/>
          <w:szCs w:val="19"/>
          <w:color w:val="auto"/>
        </w:rPr>
        <w:t>This Agreement constitutes the entire agreement and understanding between the parties and the Executive agrees that the Executive has not been induced to enter into the Employment by and has not relied upon any Pre-Contractual Statement.</w:t>
      </w:r>
    </w:p>
    <w:p>
      <w:pPr>
        <w:spacing w:after="0" w:line="180"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27.2</w:t>
      </w:r>
      <w:r>
        <w:rPr>
          <w:sz w:val="20"/>
          <w:szCs w:val="20"/>
          <w:color w:val="auto"/>
        </w:rPr>
        <w:tab/>
      </w:r>
      <w:r>
        <w:rPr>
          <w:rFonts w:ascii="Arial" w:cs="Arial" w:eastAsia="Arial" w:hAnsi="Arial"/>
          <w:sz w:val="20"/>
          <w:szCs w:val="20"/>
          <w:color w:val="auto"/>
        </w:rPr>
        <w:t>This Agreement shall be in substitution for any previous letters of appointment, agreements or arrangements, (whether written, oral or implied), relating to the employment of the Executive, which shall be deemed to have been terminated by mutual consent.</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27.3</w:t>
      </w:r>
      <w:r>
        <w:rPr>
          <w:sz w:val="20"/>
          <w:szCs w:val="20"/>
          <w:color w:val="auto"/>
        </w:rPr>
        <w:tab/>
      </w:r>
      <w:r>
        <w:rPr>
          <w:rFonts w:ascii="Arial" w:cs="Arial" w:eastAsia="Arial" w:hAnsi="Arial"/>
          <w:sz w:val="19"/>
          <w:szCs w:val="19"/>
          <w:color w:val="auto"/>
        </w:rPr>
        <w:t>There are no collective agreements affecting the Executive’s employment.</w:t>
      </w:r>
    </w:p>
    <w:p>
      <w:pPr>
        <w:spacing w:after="0" w:line="210"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234" w:lineRule="exact"/>
        <w:rPr>
          <w:rFonts w:ascii="Arial" w:cs="Arial" w:eastAsia="Arial" w:hAnsi="Arial"/>
          <w:sz w:val="20"/>
          <w:szCs w:val="20"/>
          <w:b w:val="1"/>
          <w:bCs w:val="1"/>
          <w:color w:val="auto"/>
        </w:rPr>
      </w:pPr>
    </w:p>
    <w:p>
      <w:pPr>
        <w:ind w:left="66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This Agreement shall be governed by and interpreted in accordance with English law and the parties irrevocably agree to the exclusive jurisdiction of the English Courts.</w:t>
      </w:r>
    </w:p>
    <w:p>
      <w:pPr>
        <w:spacing w:after="0" w:line="182" w:lineRule="exact"/>
        <w:rPr>
          <w:rFonts w:ascii="Arial" w:cs="Arial" w:eastAsia="Arial" w:hAnsi="Arial"/>
          <w:sz w:val="20"/>
          <w:szCs w:val="20"/>
          <w:b w:val="1"/>
          <w:bCs w:val="1"/>
          <w:color w:val="auto"/>
        </w:rPr>
      </w:pPr>
    </w:p>
    <w:p>
      <w:pPr>
        <w:ind w:left="660" w:hanging="652"/>
        <w:spacing w:after="0"/>
        <w:tabs>
          <w:tab w:leader="none" w:pos="66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THIRD PARTY RIGHTS</w:t>
      </w:r>
    </w:p>
    <w:p>
      <w:pPr>
        <w:spacing w:after="0" w:line="234" w:lineRule="exact"/>
        <w:rPr>
          <w:rFonts w:ascii="Arial" w:cs="Arial" w:eastAsia="Arial" w:hAnsi="Arial"/>
          <w:sz w:val="20"/>
          <w:szCs w:val="20"/>
          <w:b w:val="1"/>
          <w:bCs w:val="1"/>
          <w:color w:val="auto"/>
        </w:rPr>
      </w:pPr>
    </w:p>
    <w:p>
      <w:pPr>
        <w:ind w:left="66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The Executive and the Company do not intend that any term of this Agreement should be enforceable, by virtue of the Contracts (Right of Third Parties) Act 1999 by any third party.</w:t>
      </w:r>
    </w:p>
    <w:p>
      <w:pPr>
        <w:spacing w:after="0" w:line="182" w:lineRule="exact"/>
        <w:rPr>
          <w:rFonts w:ascii="Arial" w:cs="Arial" w:eastAsia="Arial" w:hAnsi="Arial"/>
          <w:sz w:val="20"/>
          <w:szCs w:val="20"/>
          <w:b w:val="1"/>
          <w:bCs w:val="1"/>
          <w:color w:val="auto"/>
        </w:rPr>
      </w:pPr>
    </w:p>
    <w:p>
      <w:pPr>
        <w:ind w:left="660" w:hanging="652"/>
        <w:spacing w:after="0"/>
        <w:tabs>
          <w:tab w:leader="none" w:pos="66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222"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20"/>
          <w:szCs w:val="20"/>
          <w:color w:val="auto"/>
        </w:rPr>
        <w:t>This Agreement constitutes the written statement of the terms of Employment of the Executive provided in compliance with part 1 of the ERA.</w:t>
      </w:r>
    </w:p>
    <w:p>
      <w:pPr>
        <w:spacing w:after="0" w:line="202"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20"/>
          <w:szCs w:val="20"/>
          <w:color w:val="auto"/>
        </w:rPr>
        <w:t>The expiration or termination of this Agreement, however arising, shall not operate to affect such of the provisions of this Agreement as are expressed to operate or have effect after that time and shall be without prejudice to any accrued rights or remedies of the parties.</w:t>
      </w:r>
    </w:p>
    <w:p>
      <w:pPr>
        <w:spacing w:after="0" w:line="206"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20"/>
          <w:szCs w:val="20"/>
          <w:color w:val="auto"/>
        </w:rPr>
        <w:t>The various provisions and sub-provisions of this Agreement are severable and if any provision or any identifiable part of any provision is held to be unenforceable by any court of competent jurisdiction then such unenforceability shall not affect the enforceability of the remaining provisions or identifiable parts of them.</w:t>
      </w:r>
    </w:p>
    <w:p>
      <w:pPr>
        <w:sectPr>
          <w:pgSz w:w="11900" w:h="16838" w:orient="portrait"/>
          <w:cols w:equalWidth="0" w:num="1">
            <w:col w:w="11420"/>
          </w:cols>
          <w:pgMar w:left="240" w:top="136" w:right="239" w:bottom="110" w:gutter="0" w:footer="0" w:header="0"/>
        </w:sectPr>
      </w:pPr>
    </w:p>
    <w:bookmarkStart w:id="143" w:name="page144"/>
    <w:bookmarkEnd w:id="143"/>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has been entered into on the date stated at the beginning of 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60" w:type="dxa"/>
            <w:vAlign w:val="bottom"/>
          </w:tcPr>
          <w:p>
            <w:pPr>
              <w:spacing w:after="0"/>
              <w:rPr>
                <w:sz w:val="20"/>
                <w:szCs w:val="20"/>
                <w:color w:val="auto"/>
              </w:rPr>
            </w:pPr>
            <w:r>
              <w:rPr>
                <w:rFonts w:ascii="Arial" w:cs="Arial" w:eastAsia="Arial" w:hAnsi="Arial"/>
                <w:sz w:val="20"/>
                <w:szCs w:val="20"/>
                <w:color w:val="auto"/>
              </w:rPr>
              <w:t>Signed for and on behalf of</w:t>
            </w:r>
          </w:p>
        </w:tc>
        <w:tc>
          <w:tcPr>
            <w:tcW w:w="2940" w:type="dxa"/>
            <w:vAlign w:val="bottom"/>
          </w:tcPr>
          <w:p>
            <w:pPr>
              <w:jc w:val="right"/>
              <w:ind w:right="2441"/>
              <w:spacing w:after="0"/>
              <w:rPr>
                <w:sz w:val="20"/>
                <w:szCs w:val="20"/>
                <w:color w:val="auto"/>
              </w:rPr>
            </w:pPr>
            <w:r>
              <w:rPr>
                <w:rFonts w:ascii="Arial" w:cs="Arial" w:eastAsia="Arial" w:hAnsi="Arial"/>
                <w:sz w:val="20"/>
                <w:szCs w:val="20"/>
                <w:color w:val="auto"/>
              </w:rPr>
              <w:t>)</w:t>
            </w:r>
          </w:p>
        </w:tc>
        <w:tc>
          <w:tcPr>
            <w:tcW w:w="3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460" w:type="dxa"/>
            <w:vAlign w:val="bottom"/>
          </w:tcPr>
          <w:p>
            <w:pPr>
              <w:spacing w:after="0"/>
              <w:rPr>
                <w:sz w:val="20"/>
                <w:szCs w:val="20"/>
                <w:color w:val="auto"/>
              </w:rPr>
            </w:pPr>
            <w:r>
              <w:rPr>
                <w:rFonts w:ascii="Arial" w:cs="Arial" w:eastAsia="Arial" w:hAnsi="Arial"/>
                <w:sz w:val="20"/>
                <w:szCs w:val="20"/>
                <w:b w:val="1"/>
                <w:bCs w:val="1"/>
                <w:color w:val="auto"/>
              </w:rPr>
              <w:t>AVIS BUDGET SERVICES LIMITED</w:t>
            </w:r>
          </w:p>
        </w:tc>
        <w:tc>
          <w:tcPr>
            <w:tcW w:w="2940" w:type="dxa"/>
            <w:vAlign w:val="bottom"/>
          </w:tcPr>
          <w:p>
            <w:pPr>
              <w:jc w:val="right"/>
              <w:ind w:right="2441"/>
              <w:spacing w:after="0"/>
              <w:rPr>
                <w:sz w:val="20"/>
                <w:szCs w:val="20"/>
                <w:color w:val="auto"/>
              </w:rPr>
            </w:pPr>
            <w:r>
              <w:rPr>
                <w:rFonts w:ascii="Arial" w:cs="Arial" w:eastAsia="Arial" w:hAnsi="Arial"/>
                <w:sz w:val="20"/>
                <w:szCs w:val="20"/>
                <w:color w:val="auto"/>
              </w:rPr>
              <w:t>)</w:t>
            </w:r>
          </w:p>
        </w:tc>
        <w:tc>
          <w:tcPr>
            <w:tcW w:w="3980" w:type="dxa"/>
            <w:vAlign w:val="bottom"/>
          </w:tcPr>
          <w:p>
            <w:pPr>
              <w:ind w:left="20"/>
              <w:spacing w:after="0"/>
              <w:rPr>
                <w:sz w:val="20"/>
                <w:szCs w:val="20"/>
                <w:color w:val="auto"/>
              </w:rPr>
            </w:pPr>
            <w:r>
              <w:rPr>
                <w:rFonts w:ascii="Arial" w:cs="Arial" w:eastAsia="Arial" w:hAnsi="Arial"/>
                <w:sz w:val="20"/>
                <w:szCs w:val="20"/>
                <w:color w:val="auto"/>
              </w:rPr>
              <w:t>/s/ Ned Linnen</w:t>
            </w: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2940" w:type="dxa"/>
            <w:vAlign w:val="bottom"/>
            <w:vMerge w:val="restart"/>
          </w:tcPr>
          <w:p>
            <w:pPr>
              <w:jc w:val="right"/>
              <w:ind w:right="2441"/>
              <w:spacing w:after="0"/>
              <w:rPr>
                <w:sz w:val="20"/>
                <w:szCs w:val="20"/>
                <w:color w:val="auto"/>
              </w:rPr>
            </w:pPr>
            <w:r>
              <w:rPr>
                <w:rFonts w:ascii="Arial" w:cs="Arial" w:eastAsia="Arial" w:hAnsi="Arial"/>
                <w:sz w:val="20"/>
                <w:szCs w:val="20"/>
                <w:color w:val="auto"/>
              </w:rPr>
              <w:t>)</w:t>
            </w:r>
          </w:p>
        </w:tc>
        <w:tc>
          <w:tcPr>
            <w:tcW w:w="3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460" w:type="dxa"/>
            <w:vAlign w:val="bottom"/>
          </w:tcPr>
          <w:p>
            <w:pPr>
              <w:spacing w:after="0"/>
              <w:rPr>
                <w:sz w:val="20"/>
                <w:szCs w:val="20"/>
                <w:color w:val="auto"/>
              </w:rPr>
            </w:pPr>
          </w:p>
        </w:tc>
        <w:tc>
          <w:tcPr>
            <w:tcW w:w="2940" w:type="dxa"/>
            <w:vAlign w:val="bottom"/>
            <w:vMerge w:val="continue"/>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4"/>
                <w:szCs w:val="14"/>
                <w:i w:val="1"/>
                <w:iCs w:val="1"/>
                <w:color w:val="auto"/>
              </w:rPr>
              <w:t>(Signature)</w:t>
            </w:r>
          </w:p>
        </w:tc>
        <w:tc>
          <w:tcPr>
            <w:tcW w:w="0" w:type="dxa"/>
            <w:vAlign w:val="bottom"/>
          </w:tcPr>
          <w:p>
            <w:pPr>
              <w:spacing w:after="0"/>
              <w:rPr>
                <w:sz w:val="1"/>
                <w:szCs w:val="1"/>
                <w:color w:val="auto"/>
              </w:rPr>
            </w:pPr>
          </w:p>
        </w:tc>
      </w:tr>
      <w:tr>
        <w:trPr>
          <w:trHeight w:val="284"/>
        </w:trPr>
        <w:tc>
          <w:tcPr>
            <w:tcW w:w="4460" w:type="dxa"/>
            <w:vAlign w:val="bottom"/>
          </w:tcPr>
          <w:p>
            <w:pPr>
              <w:spacing w:after="0"/>
              <w:rPr>
                <w:sz w:val="24"/>
                <w:szCs w:val="24"/>
                <w:color w:val="auto"/>
              </w:rPr>
            </w:pPr>
          </w:p>
        </w:tc>
        <w:tc>
          <w:tcPr>
            <w:tcW w:w="2940" w:type="dxa"/>
            <w:vAlign w:val="bottom"/>
          </w:tcPr>
          <w:p>
            <w:pPr>
              <w:jc w:val="right"/>
              <w:ind w:right="2441"/>
              <w:spacing w:after="0"/>
              <w:rPr>
                <w:sz w:val="20"/>
                <w:szCs w:val="20"/>
                <w:color w:val="auto"/>
              </w:rPr>
            </w:pPr>
            <w:r>
              <w:rPr>
                <w:rFonts w:ascii="Arial" w:cs="Arial" w:eastAsia="Arial" w:hAnsi="Arial"/>
                <w:sz w:val="20"/>
                <w:szCs w:val="20"/>
                <w:color w:val="auto"/>
              </w:rPr>
              <w: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460" w:type="dxa"/>
            <w:vAlign w:val="bottom"/>
          </w:tcPr>
          <w:p>
            <w:pPr>
              <w:spacing w:after="0"/>
              <w:rPr>
                <w:sz w:val="24"/>
                <w:szCs w:val="24"/>
                <w:color w:val="auto"/>
              </w:rPr>
            </w:pPr>
          </w:p>
        </w:tc>
        <w:tc>
          <w:tcPr>
            <w:tcW w:w="2940" w:type="dxa"/>
            <w:vAlign w:val="bottom"/>
          </w:tcPr>
          <w:p>
            <w:pPr>
              <w:jc w:val="right"/>
              <w:ind w:right="2441"/>
              <w:spacing w:after="0"/>
              <w:rPr>
                <w:sz w:val="20"/>
                <w:szCs w:val="20"/>
                <w:color w:val="auto"/>
              </w:rPr>
            </w:pPr>
            <w:r>
              <w:rPr>
                <w:rFonts w:ascii="Arial" w:cs="Arial" w:eastAsia="Arial" w:hAnsi="Arial"/>
                <w:sz w:val="20"/>
                <w:szCs w:val="20"/>
                <w:color w:val="auto"/>
              </w:rPr>
              <w:t>)</w:t>
            </w:r>
          </w:p>
        </w:tc>
        <w:tc>
          <w:tcPr>
            <w:tcW w:w="3980" w:type="dxa"/>
            <w:vAlign w:val="bottom"/>
          </w:tcPr>
          <w:p>
            <w:pPr>
              <w:ind w:left="20"/>
              <w:spacing w:after="0"/>
              <w:rPr>
                <w:sz w:val="20"/>
                <w:szCs w:val="20"/>
                <w:color w:val="auto"/>
              </w:rPr>
            </w:pPr>
            <w:r>
              <w:rPr>
                <w:rFonts w:ascii="Arial" w:cs="Arial" w:eastAsia="Arial" w:hAnsi="Arial"/>
                <w:sz w:val="20"/>
                <w:szCs w:val="20"/>
                <w:color w:val="auto"/>
              </w:rPr>
              <w:t>Ned Linnen, EVP Chief HR Officer</w:t>
            </w: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2940" w:type="dxa"/>
            <w:vAlign w:val="bottom"/>
            <w:vMerge w:val="restart"/>
          </w:tcPr>
          <w:p>
            <w:pPr>
              <w:jc w:val="right"/>
              <w:ind w:right="2441"/>
              <w:spacing w:after="0"/>
              <w:rPr>
                <w:sz w:val="20"/>
                <w:szCs w:val="20"/>
                <w:color w:val="auto"/>
              </w:rPr>
            </w:pPr>
            <w:r>
              <w:rPr>
                <w:rFonts w:ascii="Arial" w:cs="Arial" w:eastAsia="Arial" w:hAnsi="Arial"/>
                <w:sz w:val="20"/>
                <w:szCs w:val="20"/>
                <w:color w:val="auto"/>
              </w:rPr>
              <w:t>)</w:t>
            </w:r>
          </w:p>
        </w:tc>
        <w:tc>
          <w:tcPr>
            <w:tcW w:w="3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460" w:type="dxa"/>
            <w:vAlign w:val="bottom"/>
          </w:tcPr>
          <w:p>
            <w:pPr>
              <w:spacing w:after="0"/>
              <w:rPr>
                <w:sz w:val="20"/>
                <w:szCs w:val="20"/>
                <w:color w:val="auto"/>
              </w:rPr>
            </w:pPr>
          </w:p>
        </w:tc>
        <w:tc>
          <w:tcPr>
            <w:tcW w:w="2940" w:type="dxa"/>
            <w:vAlign w:val="bottom"/>
            <w:vMerge w:val="continue"/>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4"/>
                <w:szCs w:val="14"/>
                <w:i w:val="1"/>
                <w:iCs w:val="1"/>
                <w:color w:val="auto"/>
              </w:rPr>
              <w:t>(Name)</w:t>
            </w:r>
          </w:p>
        </w:tc>
        <w:tc>
          <w:tcPr>
            <w:tcW w:w="0" w:type="dxa"/>
            <w:vAlign w:val="bottom"/>
          </w:tcPr>
          <w:p>
            <w:pPr>
              <w:spacing w:after="0"/>
              <w:rPr>
                <w:sz w:val="1"/>
                <w:szCs w:val="1"/>
                <w:color w:val="auto"/>
              </w:rPr>
            </w:pPr>
          </w:p>
        </w:tc>
      </w:tr>
      <w:tr>
        <w:trPr>
          <w:trHeight w:val="581"/>
        </w:trPr>
        <w:tc>
          <w:tcPr>
            <w:tcW w:w="4460" w:type="dxa"/>
            <w:vAlign w:val="bottom"/>
          </w:tcPr>
          <w:p>
            <w:pPr>
              <w:spacing w:after="0"/>
              <w:rPr>
                <w:sz w:val="20"/>
                <w:szCs w:val="20"/>
                <w:color w:val="auto"/>
              </w:rPr>
            </w:pPr>
            <w:r>
              <w:rPr>
                <w:rFonts w:ascii="Arial" w:cs="Arial" w:eastAsia="Arial" w:hAnsi="Arial"/>
                <w:sz w:val="20"/>
                <w:szCs w:val="20"/>
                <w:color w:val="auto"/>
              </w:rPr>
              <w:t>Signed by</w:t>
            </w:r>
          </w:p>
        </w:tc>
        <w:tc>
          <w:tcPr>
            <w:tcW w:w="29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460" w:type="dxa"/>
            <w:vAlign w:val="bottom"/>
          </w:tcPr>
          <w:p>
            <w:pPr>
              <w:spacing w:after="0"/>
              <w:rPr>
                <w:sz w:val="20"/>
                <w:szCs w:val="20"/>
                <w:color w:val="auto"/>
              </w:rPr>
            </w:pPr>
            <w:r>
              <w:rPr>
                <w:rFonts w:ascii="Arial" w:cs="Arial" w:eastAsia="Arial" w:hAnsi="Arial"/>
                <w:sz w:val="20"/>
                <w:szCs w:val="20"/>
                <w:b w:val="1"/>
                <w:bCs w:val="1"/>
                <w:color w:val="auto"/>
              </w:rPr>
              <w:t>PATRICK KENNETH RANKIN (EXECUTIVE)</w:t>
            </w:r>
          </w:p>
        </w:tc>
        <w:tc>
          <w:tcPr>
            <w:tcW w:w="2940" w:type="dxa"/>
            <w:vAlign w:val="bottom"/>
          </w:tcPr>
          <w:p>
            <w:pPr>
              <w:jc w:val="right"/>
              <w:ind w:right="2441"/>
              <w:spacing w:after="0"/>
              <w:rPr>
                <w:sz w:val="20"/>
                <w:szCs w:val="20"/>
                <w:color w:val="auto"/>
              </w:rPr>
            </w:pPr>
            <w:r>
              <w:rPr>
                <w:rFonts w:ascii="Arial" w:cs="Arial" w:eastAsia="Arial" w:hAnsi="Arial"/>
                <w:sz w:val="20"/>
                <w:szCs w:val="20"/>
                <w:color w:val="auto"/>
              </w:rPr>
              <w: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460" w:type="dxa"/>
            <w:vAlign w:val="bottom"/>
          </w:tcPr>
          <w:p>
            <w:pPr>
              <w:spacing w:after="0"/>
              <w:rPr>
                <w:sz w:val="24"/>
                <w:szCs w:val="24"/>
                <w:color w:val="auto"/>
              </w:rPr>
            </w:pPr>
          </w:p>
        </w:tc>
        <w:tc>
          <w:tcPr>
            <w:tcW w:w="2940" w:type="dxa"/>
            <w:vAlign w:val="bottom"/>
          </w:tcPr>
          <w:p>
            <w:pPr>
              <w:jc w:val="right"/>
              <w:ind w:right="2441"/>
              <w:spacing w:after="0"/>
              <w:rPr>
                <w:sz w:val="20"/>
                <w:szCs w:val="20"/>
                <w:color w:val="auto"/>
              </w:rPr>
            </w:pPr>
            <w:r>
              <w:rPr>
                <w:rFonts w:ascii="Arial" w:cs="Arial" w:eastAsia="Arial" w:hAnsi="Arial"/>
                <w:sz w:val="20"/>
                <w:szCs w:val="20"/>
                <w:color w:val="auto"/>
              </w:rPr>
              <w:t>)</w:t>
            </w:r>
          </w:p>
        </w:tc>
        <w:tc>
          <w:tcPr>
            <w:tcW w:w="3980" w:type="dxa"/>
            <w:vAlign w:val="bottom"/>
          </w:tcPr>
          <w:p>
            <w:pPr>
              <w:ind w:left="20"/>
              <w:spacing w:after="0"/>
              <w:rPr>
                <w:sz w:val="20"/>
                <w:szCs w:val="20"/>
                <w:color w:val="auto"/>
              </w:rPr>
            </w:pPr>
            <w:r>
              <w:rPr>
                <w:rFonts w:ascii="Arial" w:cs="Arial" w:eastAsia="Arial" w:hAnsi="Arial"/>
                <w:sz w:val="20"/>
                <w:szCs w:val="20"/>
                <w:color w:val="auto"/>
              </w:rPr>
              <w:t>/s/ Patrick K. Rankin</w:t>
            </w: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2940" w:type="dxa"/>
            <w:vAlign w:val="bottom"/>
            <w:vMerge w:val="restart"/>
          </w:tcPr>
          <w:p>
            <w:pPr>
              <w:jc w:val="right"/>
              <w:ind w:right="2441"/>
              <w:spacing w:after="0"/>
              <w:rPr>
                <w:sz w:val="20"/>
                <w:szCs w:val="20"/>
                <w:color w:val="auto"/>
              </w:rPr>
            </w:pPr>
            <w:r>
              <w:rPr>
                <w:rFonts w:ascii="Arial" w:cs="Arial" w:eastAsia="Arial" w:hAnsi="Arial"/>
                <w:sz w:val="20"/>
                <w:szCs w:val="20"/>
                <w:color w:val="auto"/>
              </w:rPr>
              <w:t>)</w:t>
            </w:r>
          </w:p>
        </w:tc>
        <w:tc>
          <w:tcPr>
            <w:tcW w:w="3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460" w:type="dxa"/>
            <w:vAlign w:val="bottom"/>
          </w:tcPr>
          <w:p>
            <w:pPr>
              <w:spacing w:after="0"/>
              <w:rPr>
                <w:sz w:val="20"/>
                <w:szCs w:val="20"/>
                <w:color w:val="auto"/>
              </w:rPr>
            </w:pPr>
          </w:p>
        </w:tc>
        <w:tc>
          <w:tcPr>
            <w:tcW w:w="2940" w:type="dxa"/>
            <w:vAlign w:val="bottom"/>
            <w:vMerge w:val="continue"/>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4"/>
                <w:szCs w:val="14"/>
                <w:i w:val="1"/>
                <w:iCs w:val="1"/>
                <w:color w:val="auto"/>
              </w:rPr>
              <w:t>(Signature)</w:t>
            </w:r>
          </w:p>
        </w:tc>
        <w:tc>
          <w:tcPr>
            <w:tcW w:w="0" w:type="dxa"/>
            <w:vAlign w:val="bottom"/>
          </w:tcPr>
          <w:p>
            <w:pPr>
              <w:spacing w:after="0"/>
              <w:rPr>
                <w:sz w:val="1"/>
                <w:szCs w:val="1"/>
                <w:color w:val="auto"/>
              </w:rPr>
            </w:pPr>
          </w:p>
        </w:tc>
      </w:tr>
      <w:tr>
        <w:trPr>
          <w:trHeight w:val="284"/>
        </w:trPr>
        <w:tc>
          <w:tcPr>
            <w:tcW w:w="4460" w:type="dxa"/>
            <w:vAlign w:val="bottom"/>
          </w:tcPr>
          <w:p>
            <w:pPr>
              <w:spacing w:after="0"/>
              <w:rPr>
                <w:sz w:val="24"/>
                <w:szCs w:val="24"/>
                <w:color w:val="auto"/>
              </w:rPr>
            </w:pPr>
          </w:p>
        </w:tc>
        <w:tc>
          <w:tcPr>
            <w:tcW w:w="2940" w:type="dxa"/>
            <w:vAlign w:val="bottom"/>
          </w:tcPr>
          <w:p>
            <w:pPr>
              <w:jc w:val="right"/>
              <w:ind w:right="2441"/>
              <w:spacing w:after="0"/>
              <w:rPr>
                <w:sz w:val="20"/>
                <w:szCs w:val="20"/>
                <w:color w:val="auto"/>
              </w:rPr>
            </w:pPr>
            <w:r>
              <w:rPr>
                <w:rFonts w:ascii="Arial" w:cs="Arial" w:eastAsia="Arial" w:hAnsi="Arial"/>
                <w:sz w:val="20"/>
                <w:szCs w:val="20"/>
                <w:color w:val="auto"/>
              </w:rPr>
              <w: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460" w:type="dxa"/>
            <w:vAlign w:val="bottom"/>
          </w:tcPr>
          <w:p>
            <w:pPr>
              <w:spacing w:after="0"/>
              <w:rPr>
                <w:sz w:val="24"/>
                <w:szCs w:val="24"/>
                <w:color w:val="auto"/>
              </w:rPr>
            </w:pPr>
          </w:p>
        </w:tc>
        <w:tc>
          <w:tcPr>
            <w:tcW w:w="2940" w:type="dxa"/>
            <w:vAlign w:val="bottom"/>
          </w:tcPr>
          <w:p>
            <w:pPr>
              <w:jc w:val="right"/>
              <w:ind w:right="2441"/>
              <w:spacing w:after="0"/>
              <w:rPr>
                <w:sz w:val="20"/>
                <w:szCs w:val="20"/>
                <w:color w:val="auto"/>
              </w:rPr>
            </w:pPr>
            <w:r>
              <w:rPr>
                <w:rFonts w:ascii="Arial" w:cs="Arial" w:eastAsia="Arial" w:hAnsi="Arial"/>
                <w:sz w:val="20"/>
                <w:szCs w:val="20"/>
                <w:color w:val="auto"/>
              </w:rPr>
              <w:t>)</w:t>
            </w:r>
          </w:p>
        </w:tc>
        <w:tc>
          <w:tcPr>
            <w:tcW w:w="3980" w:type="dxa"/>
            <w:vAlign w:val="bottom"/>
          </w:tcPr>
          <w:p>
            <w:pPr>
              <w:ind w:left="20"/>
              <w:spacing w:after="0"/>
              <w:rPr>
                <w:sz w:val="20"/>
                <w:szCs w:val="20"/>
                <w:color w:val="auto"/>
              </w:rPr>
            </w:pPr>
            <w:r>
              <w:rPr>
                <w:rFonts w:ascii="Arial" w:cs="Arial" w:eastAsia="Arial" w:hAnsi="Arial"/>
                <w:sz w:val="20"/>
                <w:szCs w:val="20"/>
                <w:color w:val="auto"/>
              </w:rPr>
              <w:t>Patrick K. Rankin</w:t>
            </w: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2940" w:type="dxa"/>
            <w:vAlign w:val="bottom"/>
            <w:vMerge w:val="restart"/>
          </w:tcPr>
          <w:p>
            <w:pPr>
              <w:jc w:val="right"/>
              <w:ind w:right="2441"/>
              <w:spacing w:after="0"/>
              <w:rPr>
                <w:sz w:val="20"/>
                <w:szCs w:val="20"/>
                <w:color w:val="auto"/>
              </w:rPr>
            </w:pPr>
            <w:r>
              <w:rPr>
                <w:rFonts w:ascii="Arial" w:cs="Arial" w:eastAsia="Arial" w:hAnsi="Arial"/>
                <w:sz w:val="20"/>
                <w:szCs w:val="20"/>
                <w:color w:val="auto"/>
              </w:rPr>
              <w:t>)</w:t>
            </w:r>
          </w:p>
        </w:tc>
        <w:tc>
          <w:tcPr>
            <w:tcW w:w="3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460" w:type="dxa"/>
            <w:vAlign w:val="bottom"/>
          </w:tcPr>
          <w:p>
            <w:pPr>
              <w:spacing w:after="0"/>
              <w:rPr>
                <w:sz w:val="20"/>
                <w:szCs w:val="20"/>
                <w:color w:val="auto"/>
              </w:rPr>
            </w:pPr>
          </w:p>
        </w:tc>
        <w:tc>
          <w:tcPr>
            <w:tcW w:w="2940" w:type="dxa"/>
            <w:vAlign w:val="bottom"/>
            <w:vMerge w:val="continue"/>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4"/>
                <w:szCs w:val="14"/>
                <w:i w:val="1"/>
                <w:iCs w:val="1"/>
                <w:color w:val="auto"/>
              </w:rPr>
              <w:t>(Name)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80"/>
          </w:cols>
          <w:pgMar w:left="280" w:top="118" w:right="2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color w:val="auto"/>
        </w:rPr>
        <w:t>August 15, 2019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Mr. Patrick Kenneth Rankin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Keith:</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Reference is made to your agreement dated February 22, 2019 (the “Agreement”) pursuant to which you are employed by Avis Budget Services Ltd (“ABSL” or the “Company”), a subsidiary of Avis Budget Group, Inc. (“ABG”).</w:t>
      </w:r>
    </w:p>
    <w:p>
      <w:pPr>
        <w:spacing w:after="0" w:line="19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This letter is to confirm that if your employment is terminated by the Company other than: (i) for “Cause" (as defined below); (ii) in connection with your disability which prevents you or is reasonably expected to prevent you from performing services for the Company for a period of 12 months (your "Disability"); or (iii) your death, you will receive a lump-sum severance payment within 15 days following the Release Date (as defined below) equal to 200% of the sum of: (1) your base salary plus (2) your target annual incentive under the Company’s discretionary management bonus scheme plus (3) your annual car and financial planning allowance. All other programs and benefits would cease on the date of termination of your employment.</w:t>
      </w:r>
    </w:p>
    <w:p>
      <w:pPr>
        <w:spacing w:after="0" w:line="210"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The provision of all payments and benefits under this letter is subject to, and contingent upon, your executing within forty-five days following your termination of employment a formal settlement agreement with the Company (the date on which this comes into effect being the "Release Date"), in such form determined by the Company, which requires you, amongst other things, to release all actual and purported claims against the Company and its affiliates and which also requires you to agree to: (i) protect and not disclose all confidential and proprietary information of the Company and its affiliates; (ii) not compete, directly or indirectly, against the Company or any of its affiliates for a period of up to two years after your employment separation; and (iii) not solicit any employees, consultants, agents or customers of the Company or any of its affiliates during and for up to two years after your employment separation.</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9"/>
          <w:szCs w:val="19"/>
          <w:color w:val="auto"/>
        </w:rPr>
        <w:t>In addition, if your employment is terminated by the Company other than for “Cause," and other than as a result of your Disability, death or resignation, including, for the avoidance of doubt, but not limited to any resignation in order for you to retire, your then outstanding unvested stock-based awards granted by ABG and scheduled to vest within two years following your separation of employment will become vested effective as of the date of termination, subject to the execution of a formal settlement agreement referred to in the preceding paragraph of this letter; provided that, any awards that vest based on the achievement of specified objective performance goals shall not vest as of the date of termination, but instead, shall remain outstanding and become vested or be forfeited at such time(s) as provided in accordance with the terms and conditions of the applicable award agreement based on actual achievement of the performance goals. If you experience a termination of employment from the Company due to your Disability or death, your then outstanding unvested stock-based awards granted by ABG will become fully vested effective as of the date of termination, subject to the satisfaction of a formal settlement agreement referred to in the preceding paragraph of this letter.</w:t>
      </w:r>
    </w:p>
    <w:p>
      <w:pPr>
        <w:spacing w:after="0" w:line="19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"Termination for Cause" shall mean: (i) termination of your employment on grounds of your wilful failure to substantially perform your duties as an employee of the Company or any affiliate and/or subsidiary (other than due to your incapacity due to physical or mental illness); (ii) gross misconduct, including but not limited to any act of fraud, misappropriation, dishonesty, embezzlement or similar conduct against the Company or any affiliate and/or subsidiary or (iii) termination of your employment following you being convicted with any criminal offence, save that in the event of withdrawal in full of the relevant criminal charge or a final not-guilty decision of the relevant court (which decision is not subject to further appeal), payment under this letter would not be due within 15 days of the Release Date but within 15 days of such withdrawal or not-guilty decision.</w:t>
      </w:r>
    </w:p>
    <w:p>
      <w:pPr>
        <w:spacing w:after="0" w:line="200" w:lineRule="exact"/>
        <w:rPr>
          <w:sz w:val="20"/>
          <w:szCs w:val="20"/>
          <w:color w:val="auto"/>
        </w:rPr>
      </w:pPr>
    </w:p>
    <w:p>
      <w:pPr>
        <w:spacing w:after="0" w:line="23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payments and benefits described in this letter are in lieu of and supersede any other termination or severance benefits otherwise payable to you by law or under any other agreement or severance plan of the Company or its affiliates, including, for the avoidance of doubt, but not limited to, any entitlement to notice or payment in lieu of notice or a statutory or enhanced redundancy payment. To the extent that termination or severance or other benefits are payable to you under the Agreement, any rule, law or regulation, such amounts shall reduce the payments and benefits set out in this letter, in particular, your entitlement to notice or payment in lieu of notice and, if applicable, any entitlement to a statutory or enhanced redundancy payment shall reduce the payments and benefits set out in this letter.</w:t>
      </w:r>
    </w:p>
    <w:p>
      <w:pPr>
        <w:spacing w:after="0" w:line="179"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terms of this letter shall be governed by English law and any dispute shall be subject to the jurisdiction of the English courts. You agree that the terms of this letter may be enforced by the Company or its successors or assigns.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Regards,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Avis Budget Services Limited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Understood and accepted:</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0"/>
          <w:szCs w:val="20"/>
          <w:color w:val="auto"/>
        </w:rPr>
        <w:t>/s/ Patrick K.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27305</wp:posOffset>
            </wp:positionV>
            <wp:extent cx="41763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33">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4660" w:val="left"/>
        </w:tabs>
        <w:rPr>
          <w:sz w:val="20"/>
          <w:szCs w:val="20"/>
          <w:color w:val="auto"/>
        </w:rPr>
      </w:pPr>
      <w:r>
        <w:rPr>
          <w:rFonts w:ascii="Arial" w:cs="Arial" w:eastAsia="Arial" w:hAnsi="Arial"/>
          <w:sz w:val="20"/>
          <w:szCs w:val="20"/>
          <w:b w:val="1"/>
          <w:bCs w:val="1"/>
          <w:color w:val="auto"/>
        </w:rPr>
        <w:t>Patrick Kenneth Rankin</w:t>
      </w:r>
      <w:r>
        <w:rPr>
          <w:sz w:val="20"/>
          <w:szCs w:val="20"/>
          <w:color w:val="auto"/>
        </w:rPr>
        <w:tab/>
      </w:r>
      <w:r>
        <w:rPr>
          <w:rFonts w:ascii="Arial" w:cs="Arial" w:eastAsia="Arial" w:hAnsi="Arial"/>
          <w:sz w:val="16"/>
          <w:szCs w:val="16"/>
          <w:b w:val="1"/>
          <w:bCs w:val="1"/>
          <w:color w:val="auto"/>
        </w:rPr>
        <w:t>Date: August 16, 2019</w:t>
      </w:r>
    </w:p>
    <w:p>
      <w:pPr>
        <w:spacing w:after="0" w:line="60"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0"/>
          <w:szCs w:val="20"/>
          <w:color w:val="auto"/>
        </w:rPr>
        <w:t>/s/ Ned Linnen</w:t>
      </w:r>
      <w:r>
        <w:rPr>
          <w:sz w:val="20"/>
          <w:szCs w:val="20"/>
          <w:color w:val="auto"/>
        </w:rPr>
        <w:tab/>
      </w:r>
      <w:r>
        <w:rPr>
          <w:rFonts w:ascii="Arial" w:cs="Arial" w:eastAsia="Arial" w:hAnsi="Arial"/>
          <w:sz w:val="18"/>
          <w:szCs w:val="18"/>
          <w:color w:val="auto"/>
        </w:rPr>
        <w:t>8/16/19</w:t>
      </w:r>
    </w:p>
    <w:p>
      <w:pPr>
        <w:sectPr>
          <w:pgSz w:w="11900" w:h="16838" w:orient="portrait"/>
          <w:cols w:equalWidth="0" w:num="1">
            <w:col w:w="11400"/>
          </w:cols>
          <w:pgMar w:left="240" w:top="501" w:right="259"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333333"/>
        </w:rPr>
        <w:t>1</w:t>
      </w:r>
    </w:p>
    <w:p>
      <w:pPr>
        <w:sectPr>
          <w:pgSz w:w="11900" w:h="16838" w:orient="portrait"/>
          <w:cols w:equalWidth="0" w:num="1">
            <w:col w:w="11400"/>
          </w:cols>
          <w:pgMar w:left="240" w:top="501" w:right="259" w:bottom="0" w:gutter="0" w:footer="0" w:header="0"/>
          <w:type w:val="continuous"/>
        </w:sectPr>
      </w:pPr>
    </w:p>
    <w:bookmarkStart w:id="145" w:name="page146"/>
    <w:bookmarkEnd w:id="145"/>
    <w:p>
      <w:pPr>
        <w:spacing w:after="0" w:line="3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69440" cy="411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869440" cy="41148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April 20, 2015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Mr. Ned Linnen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Chief Human Resources Officer</w:t>
      </w:r>
    </w:p>
    <w:p>
      <w:pPr>
        <w:spacing w:after="0"/>
        <w:rPr>
          <w:sz w:val="20"/>
          <w:szCs w:val="20"/>
          <w:color w:val="auto"/>
        </w:rPr>
      </w:pPr>
      <w:r>
        <w:rPr>
          <w:rFonts w:ascii="Arial" w:cs="Arial" w:eastAsia="Arial" w:hAnsi="Arial"/>
          <w:sz w:val="20"/>
          <w:szCs w:val="20"/>
          <w:color w:val="auto"/>
        </w:rPr>
        <w:t>Avis Budget Group</w:t>
      </w:r>
    </w:p>
    <w:p>
      <w:pPr>
        <w:spacing w:after="0"/>
        <w:rPr>
          <w:sz w:val="20"/>
          <w:szCs w:val="20"/>
          <w:color w:val="auto"/>
        </w:rPr>
      </w:pPr>
      <w:r>
        <w:rPr>
          <w:rFonts w:ascii="Arial" w:cs="Arial" w:eastAsia="Arial" w:hAnsi="Arial"/>
          <w:sz w:val="20"/>
          <w:szCs w:val="20"/>
          <w:color w:val="auto"/>
        </w:rPr>
        <w:t>6 Sylvan Way</w:t>
      </w:r>
    </w:p>
    <w:p>
      <w:pPr>
        <w:spacing w:after="0"/>
        <w:rPr>
          <w:sz w:val="20"/>
          <w:szCs w:val="20"/>
          <w:color w:val="auto"/>
        </w:rPr>
      </w:pPr>
      <w:r>
        <w:rPr>
          <w:rFonts w:ascii="Arial" w:cs="Arial" w:eastAsia="Arial" w:hAnsi="Arial"/>
          <w:sz w:val="20"/>
          <w:szCs w:val="20"/>
          <w:color w:val="auto"/>
        </w:rPr>
        <w:t>Parsippany, NJ 07054</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Ned:</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letter is to confirm that if your employment with Avis Budget Car Rental, LLC (“ABCR” or the “Company”), a subsidiary of Avis Budget Group, Inc., is terminated by ABCR other than: (i) for "Cause" (as defined below); (ii) in connection with your disability which prevents you or is reasonably expected to prevent you from performing services for ABCR for a period of 12 months (your "disability"); or (iii) your death, you will receive (1) a lump-sum severance payment within 15 days following the Release Date (as defined below) equal to 200% of the sum of (x) your base salary and (y) your target bonus, (2) continued access to company car usage and financial planning for a period of 24 months and (3) the Company will subsidize the total cost of COBRA coverage such that the contributions required of you for health plan participation during the 24- month period following your termination shall be substantially equal to the contributions required of active employed executives of ABG (collectively, the “Severance Benefits”). Any other programs and perquisites will be governed by their respective program documents. The provision of the Severance Benefits is subject to, and contingent upon, your executing within forty-five days following your termination of employment and not revoking a separation agreement with ABCR (the date on which the release is no longer revocable, the "Release Date"), in such form determined by ABCR, which requires you, in part, to release all actual and purported claims against ABCR and its affiliates and which also requires you to agree to: (i) protect and not disclose all confidential and proprietary information of ABCR; (ii) not compete, directly or indirectly, against ABCR for a period of no longer than two years after your employment separation or for a period of time and within a geographic scope determined by ABCR to be reasonable to protect ABCR's business interests; and (iii) not solicit any ABCR employees, consultants, agents or customers during and for two years after your employment separation.</w:t>
      </w:r>
    </w:p>
    <w:p>
      <w:pPr>
        <w:spacing w:after="0" w:line="194"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"Cause" shall mean: (i) your willful failure to substantially perform your duties as an employee of the Company or any subsidiary, including your willful failure to provide services to Avis Budget Group, Inc., (other than any such failure resulting from your incapacity due to physical or mental illness); (ii) any act of fraud, misappropriation, dishonesty, embezzlement or similar conduct against Avis Budget Group, Inc., the Company or any subsidiary; or (iii) conviction of a felony or any crime involving moral turpitude (which conviction, due to the passage of time or otherwise, is not subject to further appeal).</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The payments and benefits described in this letter are intended to comply with Section 409A of the Internal Revenue Code of 1986, as amended (“Section 409A”) and, accordingly, to the maximum extent permitted, the terms of this letter shall be interpreted and administered to be in compliance with Section 409A. Each amount to be paid or benefit to be provided in this letter shall be construed as a separate identified payment for purposes of Section 409A. Any payments described in this letter that are due within the "short term deferral period" as defined in Section 409A shall not be treated as deferred compensation unless applicable law requires otherwise.</w:t>
      </w:r>
    </w:p>
    <w:p>
      <w:pPr>
        <w:spacing w:after="0" w:line="3"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The Severance Benefits as set forth in this letter are in lieu of and supersede any other severance benefits otherwise payable to you under any other agreement or severance plan of ABCR or its affiliates.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You also agree to the following terms:</w:t>
      </w:r>
    </w:p>
    <w:p>
      <w:pPr>
        <w:spacing w:after="0" w:line="229" w:lineRule="exact"/>
        <w:rPr>
          <w:sz w:val="20"/>
          <w:szCs w:val="20"/>
          <w:color w:val="auto"/>
        </w:rPr>
      </w:pPr>
    </w:p>
    <w:p>
      <w:pPr>
        <w:ind w:left="980" w:right="660" w:hanging="324"/>
        <w:spacing w:after="0" w:line="316" w:lineRule="auto"/>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During your employment with the Company you will not engage in any activity that competes with or adversely affects the Company, nor will you begin to organize or develop any competing entity (or assist anyone else in doing so).</w:t>
      </w:r>
    </w:p>
    <w:p>
      <w:pPr>
        <w:spacing w:after="0" w:line="143" w:lineRule="exact"/>
        <w:rPr>
          <w:rFonts w:ascii="Arial" w:cs="Arial" w:eastAsia="Arial" w:hAnsi="Arial"/>
          <w:sz w:val="18"/>
          <w:szCs w:val="18"/>
          <w:color w:val="auto"/>
        </w:rPr>
      </w:pPr>
    </w:p>
    <w:p>
      <w:pPr>
        <w:ind w:left="980" w:right="80" w:hanging="324"/>
        <w:spacing w:after="0" w:line="291" w:lineRule="auto"/>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You will not disclose at any time (except for business purposes on behalf of the Company) any confidential or proprietary material of the Company. That material shall include, but is not limited to, the names and addresses of customers, customer contacts, contracts, bidding information, business strategies, pricing information, and the Company’s policies and procedures.</w:t>
      </w:r>
    </w:p>
    <w:p>
      <w:pPr>
        <w:spacing w:after="0" w:line="165" w:lineRule="exact"/>
        <w:rPr>
          <w:rFonts w:ascii="Arial" w:cs="Arial" w:eastAsia="Arial" w:hAnsi="Arial"/>
          <w:sz w:val="18"/>
          <w:szCs w:val="18"/>
          <w:color w:val="auto"/>
        </w:rPr>
      </w:pPr>
    </w:p>
    <w:p>
      <w:pPr>
        <w:ind w:left="980" w:right="820" w:hanging="324"/>
        <w:spacing w:after="0" w:line="287" w:lineRule="auto"/>
        <w:tabs>
          <w:tab w:leader="none" w:pos="9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All documents (paper or electronic) and other information related in any way to the Company shall be the property of the Company, and will be returned to the Company upon the end of your employment with the Company.</w:t>
      </w:r>
    </w:p>
    <w:p>
      <w:pPr>
        <w:spacing w:after="0" w:line="166" w:lineRule="exact"/>
        <w:rPr>
          <w:rFonts w:ascii="Arial" w:cs="Arial" w:eastAsia="Arial" w:hAnsi="Arial"/>
          <w:sz w:val="19"/>
          <w:szCs w:val="19"/>
          <w:color w:val="auto"/>
        </w:rPr>
      </w:pPr>
    </w:p>
    <w:p>
      <w:pPr>
        <w:ind w:left="980" w:hanging="324"/>
        <w:spacing w:after="0" w:line="246" w:lineRule="auto"/>
        <w:tabs>
          <w:tab w:leader="none" w:pos="98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For a period of 24 months following the termination of your employment with the Company (whether such termination is voluntary or involuntary), you will not become employed with a competitor of the Company, solicit business from any of the Company’s customers, or solicit business from an entity solicited by the Company at any time during the twelve months prior to your termination of employment with the Company.</w:t>
      </w:r>
    </w:p>
    <w:p>
      <w:pPr>
        <w:spacing w:after="0" w:line="205" w:lineRule="exact"/>
        <w:rPr>
          <w:rFonts w:ascii="Arial" w:cs="Arial" w:eastAsia="Arial" w:hAnsi="Arial"/>
          <w:sz w:val="20"/>
          <w:szCs w:val="20"/>
          <w:color w:val="auto"/>
        </w:rPr>
      </w:pPr>
    </w:p>
    <w:p>
      <w:pPr>
        <w:ind w:left="980" w:hanging="324"/>
        <w:spacing w:after="0" w:line="287" w:lineRule="auto"/>
        <w:tabs>
          <w:tab w:leader="none" w:pos="9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For a period of 24 months following the termination of your employment with the Company (whether such termination is voluntary or involuntary), you shall not solicit, aid or induce any employee of the Company to leave such employment.</w:t>
      </w:r>
    </w:p>
    <w:p>
      <w:pPr>
        <w:spacing w:after="0" w:line="166" w:lineRule="exact"/>
        <w:rPr>
          <w:rFonts w:ascii="Arial" w:cs="Arial" w:eastAsia="Arial" w:hAnsi="Arial"/>
          <w:sz w:val="19"/>
          <w:szCs w:val="19"/>
          <w:color w:val="auto"/>
        </w:rPr>
      </w:pPr>
    </w:p>
    <w:p>
      <w:pPr>
        <w:ind w:left="980" w:right="160" w:hanging="324"/>
        <w:spacing w:after="0" w:line="269" w:lineRule="auto"/>
        <w:tabs>
          <w:tab w:leader="none" w:pos="9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Should a court issue injunctive relief to enforce any of the terms of this Agreement, or if a court (or jury) determine that you breached any provision of this Agreement, you will reimburse the Company for all attorney’s fees and costs incurred in enforcing the terms of the Agreement, and you will also be liable for any other damages or relief permitted by law.</w:t>
      </w:r>
    </w:p>
    <w:p>
      <w:pPr>
        <w:sectPr>
          <w:pgSz w:w="11900" w:h="16899" w:orient="portrait"/>
          <w:cols w:equalWidth="0" w:num="1">
            <w:col w:w="11400"/>
          </w:cols>
          <w:pgMar w:left="240" w:top="1440" w:right="259" w:bottom="0" w:gutter="0" w:footer="0" w:header="0"/>
        </w:sectPr>
      </w:pPr>
    </w:p>
    <w:bookmarkStart w:id="146" w:name="page147"/>
    <w:bookmarkEnd w:id="146"/>
    <w:p>
      <w:pPr>
        <w:ind w:right="80"/>
        <w:spacing w:after="0" w:line="316" w:lineRule="auto"/>
        <w:rPr>
          <w:sz w:val="20"/>
          <w:szCs w:val="20"/>
          <w:color w:val="auto"/>
        </w:rPr>
      </w:pPr>
      <w:r>
        <w:rPr>
          <w:rFonts w:ascii="Arial" w:cs="Arial" w:eastAsia="Arial" w:hAnsi="Arial"/>
          <w:sz w:val="18"/>
          <w:szCs w:val="18"/>
          <w:color w:val="auto"/>
        </w:rPr>
        <w:t>You agree that any disputes over the above terms shall be governed by New Jersey law, shall be resolved in a New Jersey Court or in a federal Court located in New Jersey, and that the terms of this agreement may be enforced by the Company or its successors or assigns.</w:t>
      </w:r>
    </w:p>
    <w:p>
      <w:pPr>
        <w:spacing w:after="0" w:line="14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Per ABCR's standard policy, this letter is not intended, nor should it be considered, to be an employment contract for a definite or indefinite period of time. As you know, employment with ABCR is at will, and either you or ABCR may terminate your employment at any time, with or without cause.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Regards,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Ronald L. Nelson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Chairman &amp; 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Understood and accepted: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Ned Linnen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943610"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5">
                      <a:extLst>
                        <a:ext uri="{28A0092B-C50C-407E-A947-70E740481C1C}"/>
                      </a:extLst>
                    </a:blip>
                    <a:srcRect/>
                    <a:stretch>
                      <a:fillRect/>
                    </a:stretch>
                  </pic:blipFill>
                  <pic:spPr bwMode="auto">
                    <a:xfrm>
                      <a:off x="0" y="0"/>
                      <a:ext cx="943610" cy="180340"/>
                    </a:xfrm>
                    <a:prstGeom prst="rect">
                      <a:avLst/>
                    </a:prstGeom>
                    <a:noFill/>
                  </pic:spPr>
                </pic:pic>
              </a:graphicData>
            </a:graphic>
          </wp:anchor>
        </w:drawing>
      </w:r>
    </w:p>
    <w:p>
      <w:pPr>
        <w:sectPr>
          <w:pgSz w:w="11900" w:h="16838" w:orient="portrait"/>
          <w:cols w:equalWidth="0" w:num="1">
            <w:col w:w="11340"/>
          </w:cols>
          <w:pgMar w:left="240" w:top="352" w:right="31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b w:val="1"/>
          <w:bCs w:val="1"/>
          <w:u w:val="single" w:color="auto"/>
          <w:color w:val="auto"/>
        </w:rPr>
        <w:t>EXHIBIT 21</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32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237"/>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2233516 Ontario, Inc.</w:t>
            </w:r>
          </w:p>
        </w:tc>
        <w:tc>
          <w:tcPr>
            <w:tcW w:w="420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AAA France Cars SAS</w:t>
            </w:r>
          </w:p>
        </w:tc>
        <w:tc>
          <w:tcPr>
            <w:tcW w:w="420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Canada Holdings I Limited Partnership</w:t>
            </w:r>
          </w:p>
        </w:tc>
        <w:tc>
          <w:tcPr>
            <w:tcW w:w="420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Canada Holdings II Partnership</w:t>
            </w:r>
          </w:p>
        </w:tc>
        <w:tc>
          <w:tcPr>
            <w:tcW w:w="420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Canada Holdings III Limited Partnership</w:t>
            </w:r>
          </w:p>
        </w:tc>
        <w:tc>
          <w:tcPr>
            <w:tcW w:w="420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Car Rental Services Inc.</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FleetCo SAS</w:t>
            </w:r>
          </w:p>
        </w:tc>
        <w:tc>
          <w:tcPr>
            <w:tcW w:w="420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Funding Pty Ltd.</w:t>
            </w:r>
          </w:p>
        </w:tc>
        <w:tc>
          <w:tcPr>
            <w:tcW w:w="42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Group Financial Services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Luxembourg Holdings S.á r.l.</w:t>
            </w:r>
          </w:p>
        </w:tc>
        <w:tc>
          <w:tcPr>
            <w:tcW w:w="4200" w:type="dxa"/>
            <w:vAlign w:val="bottom"/>
          </w:tcPr>
          <w:p>
            <w:pPr>
              <w:ind w:left="20"/>
              <w:spacing w:after="0"/>
              <w:rPr>
                <w:sz w:val="20"/>
                <w:szCs w:val="20"/>
                <w:color w:val="auto"/>
              </w:rPr>
            </w:pPr>
            <w:r>
              <w:rPr>
                <w:rFonts w:ascii="Arial" w:cs="Arial" w:eastAsia="Arial" w:hAnsi="Arial"/>
                <w:sz w:val="16"/>
                <w:szCs w:val="16"/>
                <w:color w:val="auto"/>
              </w:rPr>
              <w:t>Luxembourg</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Scotland Finance I, LP</w:t>
            </w:r>
          </w:p>
        </w:tc>
        <w:tc>
          <w:tcPr>
            <w:tcW w:w="420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 Scotland Finance II, LP</w:t>
            </w:r>
          </w:p>
        </w:tc>
        <w:tc>
          <w:tcPr>
            <w:tcW w:w="420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ABG Car Services Holdings, LLC</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ABG Commerce Consultancy (Shanghai) Co., Ltd.</w:t>
            </w:r>
          </w:p>
        </w:tc>
        <w:tc>
          <w:tcPr>
            <w:tcW w:w="4200" w:type="dxa"/>
            <w:vAlign w:val="bottom"/>
          </w:tcPr>
          <w:p>
            <w:pPr>
              <w:ind w:left="20"/>
              <w:spacing w:after="0"/>
              <w:rPr>
                <w:sz w:val="20"/>
                <w:szCs w:val="20"/>
                <w:color w:val="auto"/>
              </w:rPr>
            </w:pPr>
            <w:r>
              <w:rPr>
                <w:rFonts w:ascii="Arial" w:cs="Arial" w:eastAsia="Arial" w:hAnsi="Arial"/>
                <w:sz w:val="16"/>
                <w:szCs w:val="16"/>
                <w:color w:val="auto"/>
              </w:rPr>
              <w:t>China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ABG Scandinavia Holdings AS</w:t>
            </w:r>
          </w:p>
        </w:tc>
        <w:tc>
          <w:tcPr>
            <w:tcW w:w="4200" w:type="dxa"/>
            <w:vAlign w:val="bottom"/>
          </w:tcPr>
          <w:p>
            <w:pPr>
              <w:ind w:left="20"/>
              <w:spacing w:after="0"/>
              <w:rPr>
                <w:sz w:val="20"/>
                <w:szCs w:val="20"/>
                <w:color w:val="auto"/>
              </w:rPr>
            </w:pPr>
            <w:r>
              <w:rPr>
                <w:rFonts w:ascii="Arial" w:cs="Arial" w:eastAsia="Arial" w:hAnsi="Arial"/>
                <w:sz w:val="16"/>
                <w:szCs w:val="16"/>
                <w:color w:val="auto"/>
              </w:rPr>
              <w:t>Norway</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ACE Administracao e Participacao Ltda.</w:t>
            </w:r>
          </w:p>
        </w:tc>
        <w:tc>
          <w:tcPr>
            <w:tcW w:w="4200" w:type="dxa"/>
            <w:vAlign w:val="bottom"/>
          </w:tcPr>
          <w:p>
            <w:pPr>
              <w:ind w:left="20"/>
              <w:spacing w:after="0"/>
              <w:rPr>
                <w:sz w:val="20"/>
                <w:szCs w:val="20"/>
                <w:color w:val="auto"/>
              </w:rPr>
            </w:pPr>
            <w:r>
              <w:rPr>
                <w:rFonts w:ascii="Arial" w:cs="Arial" w:eastAsia="Arial" w:hAnsi="Arial"/>
                <w:sz w:val="16"/>
                <w:szCs w:val="16"/>
                <w:color w:val="auto"/>
              </w:rPr>
              <w:t>Brazil</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ACL Hire Ltd.</w:t>
            </w:r>
          </w:p>
        </w:tc>
        <w:tc>
          <w:tcPr>
            <w:tcW w:w="420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Advance Ross Corporation</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Advance Ross Intermediate Corporation</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Advance Ross Sub Company</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 Consolidation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 Holdco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Aegis Motor Insurance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Isle of Man</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AESOP Funding Corp.</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AESOP Leasing Corp.</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AESOP Leasing L.P.</w:t>
            </w:r>
          </w:p>
        </w:tc>
        <w:tc>
          <w:tcPr>
            <w:tcW w:w="42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Apex Car Rentals Pty Ltd.</w:t>
            </w:r>
          </w:p>
        </w:tc>
        <w:tc>
          <w:tcPr>
            <w:tcW w:w="42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Apex Rent A Car Ltd.</w:t>
            </w:r>
          </w:p>
        </w:tc>
        <w:tc>
          <w:tcPr>
            <w:tcW w:w="4200" w:type="dxa"/>
            <w:vAlign w:val="bottom"/>
          </w:tcPr>
          <w:p>
            <w:pPr>
              <w:ind w:left="20"/>
              <w:spacing w:after="0"/>
              <w:rPr>
                <w:sz w:val="20"/>
                <w:szCs w:val="20"/>
                <w:color w:val="auto"/>
              </w:rPr>
            </w:pPr>
            <w:r>
              <w:rPr>
                <w:rFonts w:ascii="Arial" w:cs="Arial" w:eastAsia="Arial" w:hAnsi="Arial"/>
                <w:sz w:val="16"/>
                <w:szCs w:val="16"/>
                <w:color w:val="auto"/>
              </w:rPr>
              <w:t>New Zealand</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Arbitra S.A.</w:t>
            </w:r>
          </w:p>
        </w:tc>
        <w:tc>
          <w:tcPr>
            <w:tcW w:w="4200" w:type="dxa"/>
            <w:vAlign w:val="bottom"/>
          </w:tcPr>
          <w:p>
            <w:pPr>
              <w:ind w:left="20"/>
              <w:spacing w:after="0"/>
              <w:rPr>
                <w:sz w:val="20"/>
                <w:szCs w:val="20"/>
                <w:color w:val="auto"/>
              </w:rPr>
            </w:pPr>
            <w:r>
              <w:rPr>
                <w:rFonts w:ascii="Arial" w:cs="Arial" w:eastAsia="Arial" w:hAnsi="Arial"/>
                <w:sz w:val="16"/>
                <w:szCs w:val="16"/>
                <w:color w:val="auto"/>
              </w:rPr>
              <w:t>Argentina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AU Holdco Pty Ltd.</w:t>
            </w:r>
          </w:p>
        </w:tc>
        <w:tc>
          <w:tcPr>
            <w:tcW w:w="42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Auto Accident Consultants Pty.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Auto-Hall S.A.</w:t>
            </w:r>
          </w:p>
        </w:tc>
        <w:tc>
          <w:tcPr>
            <w:tcW w:w="4200" w:type="dxa"/>
            <w:vAlign w:val="bottom"/>
          </w:tcPr>
          <w:p>
            <w:pPr>
              <w:ind w:left="20"/>
              <w:spacing w:after="0"/>
              <w:rPr>
                <w:sz w:val="20"/>
                <w:szCs w:val="20"/>
                <w:color w:val="auto"/>
              </w:rPr>
            </w:pPr>
            <w:r>
              <w:rPr>
                <w:rFonts w:ascii="Arial" w:cs="Arial" w:eastAsia="Arial" w:hAnsi="Arial"/>
                <w:sz w:val="16"/>
                <w:szCs w:val="16"/>
                <w:color w:val="auto"/>
              </w:rPr>
              <w:t>Monaco</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Avis (US) Holdings BV</w:t>
            </w:r>
          </w:p>
        </w:tc>
        <w:tc>
          <w:tcPr>
            <w:tcW w:w="420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Avis Africa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Avis Alquile un Coche S.A.</w:t>
            </w:r>
          </w:p>
        </w:tc>
        <w:tc>
          <w:tcPr>
            <w:tcW w:w="4200" w:type="dxa"/>
            <w:vAlign w:val="bottom"/>
          </w:tcPr>
          <w:p>
            <w:pPr>
              <w:ind w:left="20"/>
              <w:spacing w:after="0"/>
              <w:rPr>
                <w:sz w:val="20"/>
                <w:szCs w:val="20"/>
                <w:color w:val="auto"/>
              </w:rPr>
            </w:pPr>
            <w:r>
              <w:rPr>
                <w:rFonts w:ascii="Arial" w:cs="Arial" w:eastAsia="Arial" w:hAnsi="Arial"/>
                <w:sz w:val="16"/>
                <w:szCs w:val="16"/>
                <w:color w:val="auto"/>
              </w:rPr>
              <w:t>Spain</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Avis Asia Limited</w:t>
            </w:r>
          </w:p>
        </w:tc>
        <w:tc>
          <w:tcPr>
            <w:tcW w:w="420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Avis Autovermietung Beteiligungsgesellschaft mbH</w:t>
            </w:r>
          </w:p>
        </w:tc>
        <w:tc>
          <w:tcPr>
            <w:tcW w:w="4200" w:type="dxa"/>
            <w:vAlign w:val="bottom"/>
          </w:tcPr>
          <w:p>
            <w:pPr>
              <w:ind w:left="20"/>
              <w:spacing w:after="0"/>
              <w:rPr>
                <w:sz w:val="20"/>
                <w:szCs w:val="20"/>
                <w:color w:val="auto"/>
              </w:rPr>
            </w:pPr>
            <w:r>
              <w:rPr>
                <w:rFonts w:ascii="Arial" w:cs="Arial" w:eastAsia="Arial" w:hAnsi="Arial"/>
                <w:sz w:val="16"/>
                <w:szCs w:val="16"/>
                <w:color w:val="auto"/>
              </w:rPr>
              <w:t>Germany</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Avis Autovermietung Gesellschaft m.b.H.</w:t>
            </w:r>
          </w:p>
        </w:tc>
        <w:tc>
          <w:tcPr>
            <w:tcW w:w="4200" w:type="dxa"/>
            <w:vAlign w:val="bottom"/>
          </w:tcPr>
          <w:p>
            <w:pPr>
              <w:ind w:left="20"/>
              <w:spacing w:after="0"/>
              <w:rPr>
                <w:sz w:val="20"/>
                <w:szCs w:val="20"/>
                <w:color w:val="auto"/>
              </w:rPr>
            </w:pPr>
            <w:r>
              <w:rPr>
                <w:rFonts w:ascii="Arial" w:cs="Arial" w:eastAsia="Arial" w:hAnsi="Arial"/>
                <w:sz w:val="16"/>
                <w:szCs w:val="16"/>
                <w:color w:val="auto"/>
              </w:rPr>
              <w:t>Austria</w:t>
            </w:r>
          </w:p>
        </w:tc>
      </w:tr>
    </w:tbl>
    <w:p>
      <w:pPr>
        <w:sectPr>
          <w:pgSz w:w="11900" w:h="16838" w:orient="portrait"/>
          <w:cols w:equalWidth="0" w:num="1">
            <w:col w:w="10980"/>
          </w:cols>
          <w:pgMar w:left="680" w:top="336" w:right="23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color w:val="auto"/>
        </w:rPr>
        <w:t>Avis Belgium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 Service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Autoverhuur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AG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GmbH &amp; Co KG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Verwaltungsgesellschaft 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Brasil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Car Rental Canada ULC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Car Rental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Contact Centers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de Puerto Rico,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Denmark 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EMEA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Europe International Reinsurance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Finance,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Finance plc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Business Support Centre Szolgaltato Kft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Contact Centre EMEA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International Capital (Singapore) Pte.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International Financing S.á 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Italia S.p.A.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Italia SpA Fleet Co S.A.P.A.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Leasing Denmark 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Rental Car Funding (AESOP)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Budget UK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Car Rental Group,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Car Sales,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Caribbean,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Group Holdings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Investment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Investments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and Middle East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Overseas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Europe Risk Management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Finance Company (No. 2)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Finance Company (No. 3)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Finance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Financement Vehicules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Group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Belgium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Isle of Man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Jersey Channel Islands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Jersey Channel Islands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5620" w:space="720"/>
            <w:col w:w="3419"/>
          </w:cols>
          <w:pgMar w:left="700" w:top="547" w:right="1440"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color w:val="auto"/>
        </w:rPr>
        <w:t>Avis India Investments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International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International,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Investment Services (No. 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Investment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Leisure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Licence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Location de Voitures S.à 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Location de Voitures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Management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Management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New York General Partnership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Pension Trustees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(Isle Of Man)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Sdn. Bhd.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 Rent A Car System,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AvisBudget Group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Aviscar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Bell’Aria S.p.A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BRC Automoveis de Aluguel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International,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Australia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Operations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Rent A Car System,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 Truck Rental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Budgetcar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Business Rent A Car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Camfox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CCRG Servicios De Automoveis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CD Intellectual Property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Cendant Finance Holding Company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Centre Point Funding,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Chaconne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Cilva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Constellation Reinsurance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Dallas Automoveis e Acessorios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Dallas Rent A Car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DRC Automoveis de Aluguel Ltda.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Europe Leisure Holdings NV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Garage St Martin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Garep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Jersey Channel Islands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Isle of Man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Malaysia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Barbados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ectPr>
          <w:pgSz w:w="11900" w:h="16838" w:orient="portrait"/>
          <w:cols w:equalWidth="0" w:num="2">
            <w:col w:w="5620" w:space="720"/>
            <w:col w:w="3419"/>
          </w:cols>
          <w:pgMar w:left="700" w:top="547" w:right="1440"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t>Gestlas- Gestao Automovel,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J&amp;W Harris Holdings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Jupol-Car Sp. z.o.o.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Maggiore Asset Management S.r.l.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Mercury Car Rentals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Milton Location de Voitures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Morini SpA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Mobility,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Motorent,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National Car Rentals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Payhot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Canada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Car Rental System,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Car Sales,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Payless Parking,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 Holdco,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PV Holding Corp.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PVI Kraftfahrzeug Leasing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Quartx Fleet Management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RAC Norway 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SCA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Servicios Avis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Sovial Sociedade de Viaturas de Aluguer LDA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Sovialma Sociedade de Viaturas de Aluguer da Madeira LDA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Strongdraw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Sweden Rent A Car AB</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Transfercar4U 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Turiscar Rent A Car,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Virgin Islands Enterprises,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(Sub 1)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(Sub 2)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Fleet Leasing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We Try Harder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Wizard Co.,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Wizard Services,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Canada,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Car Rental, ULC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WTH Funding Limited Partnership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Yourway Rent A Car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Australia Pty Ltd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Portugal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Scotland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Tennessee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Nevada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Florida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Virgin Islands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5620" w:space="720"/>
            <w:col w:w="3419"/>
          </w:cols>
          <w:pgMar w:left="700" w:top="547" w:right="1440"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color w:val="auto"/>
        </w:rPr>
        <w:t>Zipcar (UK)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Austria GmbH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Belgium SPRL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Canada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Carsharing 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France S.A.S.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International Finance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International Holdings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Zipcar Securities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Europe Finance Company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Europe Investments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Zodiac Europe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Massachusetts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ectPr>
          <w:pgSz w:w="11900" w:h="16838" w:orient="portrait"/>
          <w:cols w:equalWidth="0" w:num="2">
            <w:col w:w="5620" w:space="720"/>
            <w:col w:w="3419"/>
          </w:cols>
          <w:pgMar w:left="700" w:top="546" w:right="1440"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Nos. 333-78475, 333-38638, 333-58670, 333-98933, 333-114744, 333-124925, 333-144143, 333-161418, 333-197770, 333-212706 and 333-233045 on Form S-8 of our reports dated February 20, 2020, relating to the consolidated financial statements and financial statement schedule of Avis Budget Group, Inc. and subsidiaries, and the effectiveness of Avis Budget Group, Inc. and subsidiaries’ internal control over financial reporting, appearing in this Annual Report on Form 10-K of Avis Budget Group, Inc. for the year ended December 31, 2019.</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ectPr>
          <w:pgSz w:w="11900" w:h="16838" w:orient="portrait"/>
          <w:cols w:equalWidth="0" w:num="1">
            <w:col w:w="11420"/>
          </w:cols>
          <w:pgMar w:left="240" w:top="549"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171"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328"/>
        <w:spacing w:after="0" w:line="256"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p>
      <w:pPr>
        <w:spacing w:after="0" w:line="38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23495</wp:posOffset>
            </wp:positionV>
            <wp:extent cx="15951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Interim President and Chief</w:t>
      </w:r>
    </w:p>
    <w:p>
      <w:pPr>
        <w:jc w:val="center"/>
        <w:ind w:right="4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420"/>
          </w:cols>
          <w:pgMar w:left="240" w:top="549"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John F. North III, certify that:</w:t>
      </w:r>
    </w:p>
    <w:p>
      <w:pPr>
        <w:spacing w:after="0" w:line="171"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328"/>
        <w:spacing w:after="0" w:line="25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p>
      <w:pPr>
        <w:spacing w:after="0" w:line="38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 John F. North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23495</wp:posOffset>
            </wp:positionV>
            <wp:extent cx="25126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420"/>
          </w:cols>
          <w:pgMar w:left="240" w:top="549"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In connection with the Annual Report of Avis Budget Group, Inc. (the “Company”) on Form 10-K for the period ended December 31, 2019, as filed with the Securities and Exchange Commission on the date hereof (the “Report”), Joseph A. Ferraro, as Interim Chief Executive Officer of the Company, and John F. North III, as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40" w:hanging="321"/>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640" w:right="200" w:hanging="321"/>
        <w:spacing w:after="0" w:line="262" w:lineRule="auto"/>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701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A. Ferraro</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20,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F. NORTH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701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F. North III</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w:t>
      </w:r>
    </w:p>
    <w:p>
      <w:pPr>
        <w:ind w:left="40"/>
        <w:spacing w:after="0"/>
        <w:rPr>
          <w:sz w:val="20"/>
          <w:szCs w:val="20"/>
          <w:color w:val="auto"/>
        </w:rPr>
      </w:pPr>
      <w:r>
        <w:rPr>
          <w:rFonts w:ascii="Arial" w:cs="Arial" w:eastAsia="Arial" w:hAnsi="Arial"/>
          <w:sz w:val="18"/>
          <w:szCs w:val="18"/>
          <w:color w:val="auto"/>
        </w:rPr>
        <w:t>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20, 2020</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1"/>
      <w:numFmt w:val="decimal"/>
      <w:start w:val="12"/>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lvl w:ilvl="1">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lvl w:ilvl="1">
      <w:lvlJc w:val="left"/>
      <w:lvlText w:val="•"/>
      <w:numFmt w:val="bullet"/>
      <w:start w:val="1"/>
    </w:lvl>
  </w:abstractNum>
  <w:abstractNum w:abstractNumId="12">
    <w:nsid w:val="2F305DE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1)"/>
      <w:numFmt w:val="lowerLetter"/>
      <w:start w:val="1"/>
    </w:lvl>
  </w:abstractNum>
  <w:abstractNum w:abstractNumId="21">
    <w:nsid w:val="15014ACB"/>
    <w:multiLevelType w:val="hybridMultilevel"/>
    <w:lvl w:ilvl="0">
      <w:lvlJc w:val="left"/>
      <w:lvlText w:val="(%1)"/>
      <w:numFmt w:val="lowerLetter"/>
      <w:start w:val="1"/>
    </w:lvl>
  </w:abstractNum>
  <w:abstractNum w:abstractNumId="22">
    <w:nsid w:val="5F5E7FD0"/>
    <w:multiLevelType w:val="hybridMultilevel"/>
    <w:lvl w:ilvl="0">
      <w:lvlJc w:val="left"/>
      <w:lvlText w:val="(%1)"/>
      <w:numFmt w:val="lowerLetter"/>
      <w:start w:val="2"/>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1)"/>
      <w:numFmt w:val="lowerRoman"/>
      <w:start w:val="4"/>
    </w:lvl>
  </w:abstractNum>
  <w:abstractNum w:abstractNumId="25">
    <w:nsid w:val="6B94764"/>
    <w:multiLevelType w:val="hybridMultilevel"/>
    <w:lvl w:ilvl="0">
      <w:lvlJc w:val="left"/>
      <w:lvlText w:val="(%1)"/>
      <w:numFmt w:val="lowerLetter"/>
      <w:start w:val="1"/>
    </w:lvl>
  </w:abstractNum>
  <w:abstractNum w:abstractNumId="26">
    <w:nsid w:val="42C296BD"/>
    <w:multiLevelType w:val="hybridMultilevel"/>
    <w:lvl w:ilvl="0">
      <w:lvlJc w:val="left"/>
      <w:lvlText w:val="(%1)"/>
      <w:numFmt w:val="lowerRoman"/>
      <w:start w:val="1"/>
    </w:lvl>
  </w:abstractNum>
  <w:abstractNum w:abstractNumId="27">
    <w:nsid w:val="168E121F"/>
    <w:multiLevelType w:val="hybridMultilevel"/>
    <w:lvl w:ilvl="0">
      <w:lvlJc w:val="left"/>
      <w:lvlText w:val="(%1)"/>
      <w:numFmt w:val="lowerLetter"/>
      <w:start w:val="1"/>
    </w:lvl>
  </w:abstractNum>
  <w:abstractNum w:abstractNumId="28">
    <w:nsid w:val="1EBA5D23"/>
    <w:multiLevelType w:val="hybridMultilevel"/>
    <w:lvl w:ilvl="0">
      <w:lvlJc w:val="left"/>
      <w:lvlText w:val="(%1)"/>
      <w:numFmt w:val="lowerLetter"/>
      <w:start w:val="1"/>
    </w:lvl>
  </w:abstractNum>
  <w:abstractNum w:abstractNumId="29">
    <w:nsid w:val="661E3F1E"/>
    <w:multiLevelType w:val="hybridMultilevel"/>
    <w:lvl w:ilvl="0">
      <w:lvlJc w:val="left"/>
      <w:lvlText w:val="•"/>
      <w:numFmt w:val="bullet"/>
      <w:start w:val="1"/>
    </w:lvl>
    <w:lvl w:ilvl="1">
      <w:lvlJc w:val="left"/>
      <w:lvlText w:val="•"/>
      <w:numFmt w:val="bullet"/>
      <w:start w:val="1"/>
    </w:lvl>
  </w:abstractNum>
  <w:abstractNum w:abstractNumId="30">
    <w:nsid w:val="5DC79EA8"/>
    <w:multiLevelType w:val="hybridMultilevel"/>
    <w:lvl w:ilvl="0">
      <w:lvlJc w:val="left"/>
      <w:lvlText w:val="•"/>
      <w:numFmt w:val="bullet"/>
      <w:start w:val="1"/>
    </w:lvl>
    <w:lvl w:ilvl="1">
      <w:lvlJc w:val="left"/>
      <w:lvlText w:val="•"/>
      <w:numFmt w:val="bullet"/>
      <w:start w:val="1"/>
    </w:lvl>
  </w:abstractNum>
  <w:abstractNum w:abstractNumId="31">
    <w:nsid w:val="540A471C"/>
    <w:multiLevelType w:val="hybridMultilevel"/>
    <w:lvl w:ilvl="0">
      <w:lvlJc w:val="left"/>
      <w:lvlText w:val="%1"/>
      <w:numFmt w:val="decimal"/>
      <w:start w:val="19"/>
    </w:lvl>
  </w:abstractNum>
  <w:abstractNum w:abstractNumId="32">
    <w:nsid w:val="7BD3EE7B"/>
    <w:multiLevelType w:val="hybridMultilevel"/>
    <w:lvl w:ilvl="0">
      <w:lvlJc w:val="left"/>
      <w:lvlText w:val="%1"/>
      <w:numFmt w:val="decimal"/>
      <w:start w:val="757"/>
    </w:lvl>
  </w:abstractNum>
  <w:abstractNum w:abstractNumId="33">
    <w:nsid w:val="51D9C564"/>
    <w:multiLevelType w:val="hybridMultilevel"/>
    <w:lvl w:ilvl="0">
      <w:lvlJc w:val="left"/>
      <w:lvlText w:val="%1"/>
      <w:numFmt w:val="decimal"/>
      <w:start w:val="675"/>
    </w:lvl>
  </w:abstractNum>
  <w:abstractNum w:abstractNumId="34">
    <w:nsid w:val="613EFDC5"/>
    <w:multiLevelType w:val="hybridMultilevel"/>
    <w:lvl w:ilvl="0">
      <w:lvlJc w:val="left"/>
      <w:lvlText w:val="(%1)"/>
      <w:numFmt w:val="decimal"/>
      <w:start w:val="785"/>
    </w:lvl>
  </w:abstractNum>
  <w:abstractNum w:abstractNumId="35">
    <w:nsid w:val="BF72B14"/>
    <w:multiLevelType w:val="hybridMultilevel"/>
    <w:lvl w:ilvl="0">
      <w:lvlJc w:val="left"/>
      <w:lvlText w:val="(%1)"/>
      <w:numFmt w:val="decimal"/>
      <w:start w:val="157"/>
    </w:lvl>
  </w:abstractNum>
  <w:abstractNum w:abstractNumId="36">
    <w:nsid w:val="11447B73"/>
    <w:multiLevelType w:val="hybridMultilevel"/>
    <w:lvl w:ilvl="0">
      <w:lvlJc w:val="left"/>
      <w:lvlText w:val="%1"/>
      <w:numFmt w:val="decimal"/>
      <w:start w:val="656"/>
    </w:lvl>
  </w:abstractNum>
  <w:abstractNum w:abstractNumId="37">
    <w:nsid w:val="42963E5A"/>
    <w:multiLevelType w:val="hybridMultilevel"/>
    <w:lvl w:ilvl="0">
      <w:lvlJc w:val="left"/>
      <w:lvlText w:val="%1."/>
      <w:numFmt w:val="decimal"/>
      <w:start w:val="1"/>
    </w:lvl>
    <w:lvl w:ilvl="1">
      <w:lvlJc w:val="left"/>
      <w:lvlText w:val="•"/>
      <w:numFmt w:val="bullet"/>
      <w:start w:val="1"/>
    </w:lvl>
  </w:abstractNum>
  <w:abstractNum w:abstractNumId="38">
    <w:nsid w:val="A0382C5"/>
    <w:multiLevelType w:val="hybridMultilevel"/>
    <w:lvl w:ilvl="0">
      <w:lvlJc w:val="left"/>
      <w:lvlText w:val="%1."/>
      <w:numFmt w:val="decimal"/>
      <w:start w:val="2"/>
    </w:lvl>
  </w:abstractNum>
  <w:abstractNum w:abstractNumId="39">
    <w:nsid w:val="8F2B15E"/>
    <w:multiLevelType w:val="hybridMultilevel"/>
    <w:lvl w:ilvl="0">
      <w:lvlJc w:val="left"/>
      <w:lvlText w:val="(%1)"/>
      <w:numFmt w:val="lowerLetter"/>
      <w:start w:val="1"/>
    </w:lvl>
  </w:abstractNum>
  <w:abstractNum w:abstractNumId="40">
    <w:nsid w:val="1A32234B"/>
    <w:multiLevelType w:val="hybridMultilevel"/>
    <w:lvl w:ilvl="0">
      <w:lvlJc w:val="left"/>
      <w:lvlText w:val="%1."/>
      <w:numFmt w:val="decimal"/>
      <w:start w:val="3"/>
    </w:lvl>
  </w:abstractNum>
  <w:abstractNum w:abstractNumId="41">
    <w:nsid w:val="3B0FD379"/>
    <w:multiLevelType w:val="hybridMultilevel"/>
    <w:lvl w:ilvl="0">
      <w:lvlJc w:val="left"/>
      <w:lvlText w:val="(%1)"/>
      <w:numFmt w:val="lowerLetter"/>
      <w:start w:val="1"/>
    </w:lvl>
  </w:abstractNum>
  <w:abstractNum w:abstractNumId="42">
    <w:nsid w:val="68EB2F63"/>
    <w:multiLevelType w:val="hybridMultilevel"/>
    <w:lvl w:ilvl="0">
      <w:lvlJc w:val="left"/>
      <w:lvlText w:val="(%1)"/>
      <w:numFmt w:val="lowerLetter"/>
      <w:start w:val="1"/>
    </w:lvl>
  </w:abstractNum>
  <w:abstractNum w:abstractNumId="43">
    <w:nsid w:val="4962813B"/>
    <w:multiLevelType w:val="hybridMultilevel"/>
    <w:lvl w:ilvl="0">
      <w:lvlJc w:val="left"/>
      <w:lvlText w:val="%1"/>
      <w:numFmt w:val="decimal"/>
      <w:start w:val="1"/>
    </w:lvl>
    <w:lvl w:ilvl="1">
      <w:lvlJc w:val="left"/>
      <w:lvlText w:val="(%2)"/>
      <w:numFmt w:val="lowerLetter"/>
      <w:start w:val="1"/>
    </w:lvl>
  </w:abstractNum>
  <w:abstractNum w:abstractNumId="44">
    <w:nsid w:val="60B6DF70"/>
    <w:multiLevelType w:val="hybridMultilevel"/>
    <w:lvl w:ilvl="0">
      <w:lvlJc w:val="left"/>
      <w:lvlText w:val="%1."/>
      <w:numFmt w:val="decimal"/>
      <w:start w:val="5"/>
    </w:lvl>
    <w:lvl w:ilvl="1">
      <w:lvlJc w:val="left"/>
      <w:lvlText w:val="%2"/>
      <w:numFmt w:val="lowerLetter"/>
      <w:start w:val="1"/>
    </w:lvl>
  </w:abstractNum>
  <w:abstractNum w:abstractNumId="45">
    <w:nsid w:val="6A5EE64"/>
    <w:multiLevelType w:val="hybridMultilevel"/>
    <w:lvl w:ilvl="0">
      <w:lvlJc w:val="left"/>
      <w:lvlText w:val="(%1)"/>
      <w:numFmt w:val="lowerLetter"/>
      <w:start w:val="1"/>
    </w:lvl>
  </w:abstractNum>
  <w:abstractNum w:abstractNumId="46">
    <w:nsid w:val="14330624"/>
    <w:multiLevelType w:val="hybridMultilevel"/>
    <w:lvl w:ilvl="0">
      <w:lvlJc w:val="left"/>
      <w:lvlText w:val="%1."/>
      <w:numFmt w:val="decimal"/>
      <w:start w:val="6"/>
    </w:lvl>
  </w:abstractNum>
  <w:abstractNum w:abstractNumId="47">
    <w:nsid w:val="7FFFCA11"/>
    <w:multiLevelType w:val="hybridMultilevel"/>
    <w:lvl w:ilvl="0">
      <w:lvlJc w:val="left"/>
      <w:lvlText w:val="(%1)"/>
      <w:numFmt w:val="lowerLetter"/>
      <w:start w:val="1"/>
    </w:lvl>
  </w:abstractNum>
  <w:abstractNum w:abstractNumId="48">
    <w:nsid w:val="1A27709E"/>
    <w:multiLevelType w:val="hybridMultilevel"/>
    <w:lvl w:ilvl="0">
      <w:lvlJc w:val="left"/>
      <w:lvlText w:val="(%1)"/>
      <w:numFmt w:val="lowerLetter"/>
      <w:start w:val="1"/>
    </w:lvl>
  </w:abstractNum>
  <w:abstractNum w:abstractNumId="49">
    <w:nsid w:val="71EA1109"/>
    <w:multiLevelType w:val="hybridMultilevel"/>
    <w:lvl w:ilvl="0">
      <w:lvlJc w:val="left"/>
      <w:lvlText w:val="%1"/>
      <w:numFmt w:val="decimal"/>
      <w:start w:val="1"/>
    </w:lvl>
    <w:lvl w:ilvl="1">
      <w:lvlJc w:val="left"/>
      <w:lvlText w:val="(%2)"/>
      <w:numFmt w:val="lowerLetter"/>
      <w:start w:val="1"/>
    </w:lvl>
  </w:abstractNum>
  <w:abstractNum w:abstractNumId="50">
    <w:nsid w:val="100F59DC"/>
    <w:multiLevelType w:val="hybridMultilevel"/>
    <w:lvl w:ilvl="0">
      <w:lvlJc w:val="left"/>
      <w:lvlText w:val="%1."/>
      <w:numFmt w:val="decimal"/>
      <w:start w:val="10"/>
    </w:lvl>
    <w:lvl w:ilvl="1">
      <w:lvlJc w:val="left"/>
      <w:lvlText w:val="%2"/>
      <w:numFmt w:val="lowerLetter"/>
      <w:start w:val="1"/>
    </w:lvl>
  </w:abstractNum>
  <w:abstractNum w:abstractNumId="51">
    <w:nsid w:val="7FB7E0AA"/>
    <w:multiLevelType w:val="hybridMultilevel"/>
    <w:lvl w:ilvl="0">
      <w:lvlJc w:val="left"/>
      <w:lvlText w:val="%1."/>
      <w:numFmt w:val="decimal"/>
      <w:start w:val="13"/>
    </w:lvl>
  </w:abstractNum>
  <w:abstractNum w:abstractNumId="52">
    <w:nsid w:val="6EB5BD4"/>
    <w:multiLevelType w:val="hybridMultilevel"/>
    <w:lvl w:ilvl="0">
      <w:lvlJc w:val="left"/>
      <w:lvlText w:val="(%1)"/>
      <w:numFmt w:val="lowerLetter"/>
      <w:start w:val="1"/>
    </w:lvl>
  </w:abstractNum>
  <w:abstractNum w:abstractNumId="53">
    <w:nsid w:val="6F6DD9AC"/>
    <w:multiLevelType w:val="hybridMultilevel"/>
    <w:lvl w:ilvl="0">
      <w:lvlJc w:val="left"/>
      <w:lvlText w:val="(%1)"/>
      <w:numFmt w:val="lowerLetter"/>
      <w:start w:val="1"/>
    </w:lvl>
  </w:abstractNum>
  <w:abstractNum w:abstractNumId="54">
    <w:nsid w:val="94211F2"/>
    <w:multiLevelType w:val="hybridMultilevel"/>
    <w:lvl w:ilvl="0">
      <w:lvlJc w:val="left"/>
      <w:lvlText w:val="(%1)"/>
      <w:numFmt w:val="lowerLetter"/>
      <w:start w:val="1"/>
    </w:lvl>
  </w:abstractNum>
  <w:abstractNum w:abstractNumId="55">
    <w:nsid w:val="885E1B"/>
    <w:multiLevelType w:val="hybridMultilevel"/>
    <w:lvl w:ilvl="0">
      <w:lvlJc w:val="left"/>
      <w:lvlText w:val="(%1)"/>
      <w:numFmt w:val="lowerLetter"/>
      <w:start w:val="1"/>
    </w:lvl>
  </w:abstractNum>
  <w:abstractNum w:abstractNumId="56">
    <w:nsid w:val="76272110"/>
    <w:multiLevelType w:val="hybridMultilevel"/>
    <w:lvl w:ilvl="0">
      <w:lvlJc w:val="left"/>
      <w:lvlText w:val="(%1)"/>
      <w:numFmt w:val="lowerLetter"/>
      <w:start w:val="2"/>
    </w:lvl>
  </w:abstractNum>
  <w:abstractNum w:abstractNumId="57">
    <w:nsid w:val="4C04A8AF"/>
    <w:multiLevelType w:val="hybridMultilevel"/>
    <w:lvl w:ilvl="0">
      <w:lvlJc w:val="left"/>
      <w:lvlText w:val="(%1)"/>
      <w:numFmt w:val="lowerLetter"/>
      <w:start w:val="1"/>
    </w:lvl>
  </w:abstractNum>
  <w:abstractNum w:abstractNumId="58">
    <w:nsid w:val="1716703B"/>
    <w:multiLevelType w:val="hybridMultilevel"/>
    <w:lvl w:ilvl="0">
      <w:lvlJc w:val="left"/>
      <w:lvlText w:val="%1."/>
      <w:numFmt w:val="decimal"/>
      <w:start w:val="15"/>
    </w:lvl>
  </w:abstractNum>
  <w:abstractNum w:abstractNumId="59">
    <w:nsid w:val="14E17E33"/>
    <w:multiLevelType w:val="hybridMultilevel"/>
    <w:lvl w:ilvl="0">
      <w:lvlJc w:val="left"/>
      <w:lvlText w:val="%1"/>
      <w:numFmt w:val="decimal"/>
      <w:start w:val="1"/>
    </w:lvl>
    <w:lvl w:ilvl="1">
      <w:lvlJc w:val="left"/>
      <w:lvlText w:val="(%2)"/>
      <w:numFmt w:val="lowerRoman"/>
      <w:start w:val="3"/>
    </w:lvl>
  </w:abstractNum>
  <w:abstractNum w:abstractNumId="60">
    <w:nsid w:val="3222E7CD"/>
    <w:multiLevelType w:val="hybridMultilevel"/>
    <w:lvl w:ilvl="0">
      <w:lvlJc w:val="left"/>
      <w:lvlText w:val="%1"/>
      <w:numFmt w:val="decimal"/>
      <w:start w:val="1"/>
    </w:lvl>
    <w:lvl w:ilvl="1">
      <w:lvlJc w:val="left"/>
      <w:lvlText w:val="(%2)"/>
      <w:numFmt w:val="lowerRoman"/>
      <w:start w:val="2"/>
    </w:lvl>
  </w:abstractNum>
  <w:abstractNum w:abstractNumId="61">
    <w:nsid w:val="74DE0EE3"/>
    <w:multiLevelType w:val="hybridMultilevel"/>
    <w:lvl w:ilvl="0">
      <w:lvlJc w:val="left"/>
      <w:lvlText w:val="%1."/>
      <w:numFmt w:val="decimal"/>
      <w:start w:val="16"/>
    </w:lvl>
    <w:lvl w:ilvl="1">
      <w:lvlJc w:val="left"/>
      <w:lvlText w:val="%2"/>
      <w:numFmt w:val="lowerRoman"/>
      <w:start w:val="1"/>
    </w:lvl>
  </w:abstractNum>
  <w:abstractNum w:abstractNumId="62">
    <w:nsid w:val="68EBC550"/>
    <w:multiLevelType w:val="hybridMultilevel"/>
    <w:lvl w:ilvl="0">
      <w:lvlJc w:val="left"/>
      <w:lvlText w:val="%1"/>
      <w:numFmt w:val="decimal"/>
      <w:start w:val="1"/>
    </w:lvl>
    <w:lvl w:ilvl="1">
      <w:lvlJc w:val="left"/>
      <w:lvlText w:val="(%2)"/>
      <w:numFmt w:val="lowerLetter"/>
      <w:start w:val="1"/>
    </w:lvl>
  </w:abstractNum>
  <w:abstractNum w:abstractNumId="63">
    <w:nsid w:val="2DF6D648"/>
    <w:multiLevelType w:val="hybridMultilevel"/>
    <w:lvl w:ilvl="0">
      <w:lvlJc w:val="left"/>
      <w:lvlText w:val="%1."/>
      <w:numFmt w:val="decimal"/>
      <w:start w:val="17"/>
    </w:lvl>
    <w:lvl w:ilvl="1">
      <w:lvlJc w:val="left"/>
      <w:lvlText w:val="%2"/>
      <w:numFmt w:val="lowerLetter"/>
      <w:start w:val="1"/>
    </w:lvl>
  </w:abstractNum>
  <w:abstractNum w:abstractNumId="64">
    <w:nsid w:val="46B7D447"/>
    <w:multiLevelType w:val="hybridMultilevel"/>
    <w:lvl w:ilvl="0">
      <w:lvlJc w:val="left"/>
      <w:lvlText w:val="(%1)"/>
      <w:numFmt w:val="decimal"/>
      <w:start w:val="502"/>
    </w:lvl>
  </w:abstractNum>
  <w:abstractNum w:abstractNumId="65">
    <w:nsid w:val="4A2AC315"/>
    <w:multiLevelType w:val="hybridMultilevel"/>
    <w:lvl w:ilvl="0">
      <w:lvlJc w:val="left"/>
      <w:lvlText w:val="(%1)"/>
      <w:numFmt w:val="decimal"/>
      <w:start w:val="97"/>
    </w:lvl>
  </w:abstractNum>
  <w:abstractNum w:abstractNumId="66">
    <w:nsid w:val="39EE015C"/>
    <w:multiLevelType w:val="hybridMultilevel"/>
    <w:lvl w:ilvl="0">
      <w:lvlJc w:val="left"/>
      <w:lvlText w:val="%1"/>
      <w:numFmt w:val="decimal"/>
      <w:start w:val="570"/>
    </w:lvl>
  </w:abstractNum>
  <w:abstractNum w:abstractNumId="67">
    <w:nsid w:val="57FC4FBB"/>
    <w:multiLevelType w:val="hybridMultilevel"/>
    <w:lvl w:ilvl="0">
      <w:lvlJc w:val="left"/>
      <w:lvlText w:val="(%1)"/>
      <w:numFmt w:val="decimal"/>
      <w:start w:val="678"/>
    </w:lvl>
  </w:abstractNum>
  <w:abstractNum w:abstractNumId="68">
    <w:nsid w:val="CC1016F"/>
    <w:multiLevelType w:val="hybridMultilevel"/>
    <w:lvl w:ilvl="0">
      <w:lvlJc w:val="left"/>
      <w:lvlText w:val="(%1)"/>
      <w:numFmt w:val="lowerLetter"/>
      <w:start w:val="1"/>
    </w:lvl>
  </w:abstractNum>
  <w:abstractNum w:abstractNumId="69">
    <w:nsid w:val="43F18422"/>
    <w:multiLevelType w:val="hybridMultilevel"/>
    <w:lvl w:ilvl="0">
      <w:lvlJc w:val="left"/>
      <w:lvlText w:val="(%1)"/>
      <w:numFmt w:val="lowerLetter"/>
      <w:start w:val="1"/>
    </w:lvl>
  </w:abstractNum>
  <w:abstractNum w:abstractNumId="70">
    <w:nsid w:val="60EF0119"/>
    <w:multiLevelType w:val="hybridMultilevel"/>
    <w:lvl w:ilvl="0">
      <w:lvlJc w:val="left"/>
      <w:lvlText w:val="(%1)"/>
      <w:numFmt w:val="decimal"/>
      <w:start w:val="4"/>
    </w:lvl>
  </w:abstractNum>
  <w:abstractNum w:abstractNumId="71">
    <w:nsid w:val="26F324BA"/>
    <w:multiLevelType w:val="hybridMultilevel"/>
    <w:lvl w:ilvl="0">
      <w:lvlJc w:val="left"/>
      <w:lvlText w:val="(%1)"/>
      <w:numFmt w:val="decimal"/>
      <w:start w:val="188"/>
    </w:lvl>
  </w:abstractNum>
  <w:abstractNum w:abstractNumId="72">
    <w:nsid w:val="7F01579B"/>
    <w:multiLevelType w:val="hybridMultilevel"/>
    <w:lvl w:ilvl="0">
      <w:lvlJc w:val="left"/>
      <w:lvlText w:val="(%1)"/>
      <w:numFmt w:val="lowerRoman"/>
      <w:start w:val="1"/>
    </w:lvl>
  </w:abstractNum>
  <w:abstractNum w:abstractNumId="73">
    <w:nsid w:val="49DA307D"/>
    <w:multiLevelType w:val="hybridMultilevel"/>
    <w:lvl w:ilvl="0">
      <w:lvlJc w:val="left"/>
      <w:lvlText w:val="(%1)"/>
      <w:numFmt w:val="lowerLetter"/>
      <w:start w:val="1"/>
    </w:lvl>
  </w:abstractNum>
  <w:abstractNum w:abstractNumId="74">
    <w:nsid w:val="7055A5F5"/>
    <w:multiLevelType w:val="hybridMultilevel"/>
    <w:lvl w:ilvl="0">
      <w:lvlJc w:val="left"/>
      <w:lvlText w:val="(%1)"/>
      <w:numFmt w:val="lowerLetter"/>
      <w:start w:val="1"/>
    </w:lvl>
  </w:abstractNum>
  <w:abstractNum w:abstractNumId="75">
    <w:nsid w:val="5FB8370B"/>
    <w:multiLevelType w:val="hybridMultilevel"/>
    <w:lvl w:ilvl="0">
      <w:lvlJc w:val="left"/>
      <w:lvlText w:val="(%1)"/>
      <w:numFmt w:val="lowerLetter"/>
      <w:start w:val="1"/>
    </w:lvl>
  </w:abstractNum>
  <w:abstractNum w:abstractNumId="76">
    <w:nsid w:val="50801EE1"/>
    <w:multiLevelType w:val="hybridMultilevel"/>
    <w:lvl w:ilvl="0">
      <w:lvlJc w:val="left"/>
      <w:lvlText w:val="(%1)"/>
      <w:numFmt w:val="lowerLetter"/>
      <w:start w:val="1"/>
    </w:lvl>
  </w:abstractNum>
  <w:abstractNum w:abstractNumId="77">
    <w:nsid w:val="488AC1A"/>
    <w:multiLevelType w:val="hybridMultilevel"/>
    <w:lvl w:ilvl="0">
      <w:lvlJc w:val="left"/>
      <w:lvlText w:val="(%1)"/>
      <w:numFmt w:val="lowerLetter"/>
      <w:start w:val="1"/>
    </w:lvl>
  </w:abstractNum>
  <w:abstractNum w:abstractNumId="78">
    <w:nsid w:val="5FB8011C"/>
    <w:multiLevelType w:val="hybridMultilevel"/>
    <w:lvl w:ilvl="0">
      <w:lvlJc w:val="left"/>
      <w:lvlText w:val="(%1)"/>
      <w:numFmt w:val="lowerLetter"/>
      <w:start w:val="1"/>
    </w:lvl>
  </w:abstractNum>
  <w:abstractNum w:abstractNumId="79">
    <w:nsid w:val="6AA78F7F"/>
    <w:multiLevelType w:val="hybridMultilevel"/>
    <w:lvl w:ilvl="0">
      <w:lvlJc w:val="left"/>
      <w:lvlText w:val="(%1)"/>
      <w:numFmt w:val="lowerLetter"/>
      <w:start w:val="1"/>
    </w:lvl>
  </w:abstractNum>
  <w:abstractNum w:abstractNumId="80">
    <w:nsid w:val="7672BD23"/>
    <w:multiLevelType w:val="hybridMultilevel"/>
    <w:lvl w:ilvl="0">
      <w:lvlJc w:val="left"/>
      <w:lvlText w:val="(%1)"/>
      <w:numFmt w:val="lowerLetter"/>
      <w:start w:val="1"/>
    </w:lvl>
  </w:abstractNum>
  <w:abstractNum w:abstractNumId="81">
    <w:nsid w:val="6FC75AF8"/>
    <w:multiLevelType w:val="hybridMultilevel"/>
    <w:lvl w:ilvl="0">
      <w:lvlJc w:val="left"/>
      <w:lvlText w:val="%1"/>
      <w:numFmt w:val="decimal"/>
      <w:start w:val="1"/>
    </w:lvl>
    <w:lvl w:ilvl="1">
      <w:lvlJc w:val="left"/>
      <w:lvlText w:val="(%2)"/>
      <w:numFmt w:val="lowerLetter"/>
      <w:start w:val="1"/>
    </w:lvl>
  </w:abstractNum>
  <w:abstractNum w:abstractNumId="82">
    <w:nsid w:val="6A5F7029"/>
    <w:multiLevelType w:val="hybridMultilevel"/>
    <w:lvl w:ilvl="0">
      <w:lvlJc w:val="left"/>
      <w:lvlText w:val="%1."/>
      <w:numFmt w:val="decimal"/>
      <w:start w:val="23"/>
    </w:lvl>
    <w:lvl w:ilvl="1">
      <w:lvlJc w:val="left"/>
      <w:lvlText w:val="%2"/>
      <w:numFmt w:val="lowerLetter"/>
      <w:start w:val="1"/>
    </w:lvl>
  </w:abstractNum>
  <w:abstractNum w:abstractNumId="83">
    <w:nsid w:val="7D5E18F8"/>
    <w:multiLevelType w:val="hybridMultilevel"/>
    <w:lvl w:ilvl="0">
      <w:lvlJc w:val="left"/>
      <w:lvlText w:val="(%1)"/>
      <w:numFmt w:val="lowerLetter"/>
      <w:start w:val="1"/>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
      <w:numFmt w:val="bullet"/>
      <w:start w:val="1"/>
    </w:lvl>
  </w:abstractNum>
  <w:abstractNum w:abstractNumId="86">
    <w:nsid w:val="7DE67713"/>
    <w:multiLevelType w:val="hybridMultilevel"/>
    <w:lvl w:ilvl="0">
      <w:lvlJc w:val="left"/>
      <w:lvlText w:val="***"/>
      <w:numFmt w:val="bullet"/>
      <w:start w:val="1"/>
    </w:lvl>
  </w:abstractNum>
  <w:abstractNum w:abstractNumId="87">
    <w:nsid w:val="555C55B5"/>
    <w:multiLevelType w:val="hybridMultilevel"/>
    <w:lvl w:ilvl="0">
      <w:lvlJc w:val="left"/>
      <w:lvlText w:val="****"/>
      <w:numFmt w:val="bullet"/>
      <w:start w:val="1"/>
    </w:lvl>
  </w:abstractNum>
  <w:abstractNum w:abstractNumId="88">
    <w:nsid w:val="3FA62ACA"/>
    <w:multiLevelType w:val="hybridMultilevel"/>
    <w:lvl w:ilvl="0">
      <w:lvlJc w:val="left"/>
      <w:lvlText w:val="*****"/>
      <w:numFmt w:val="bullet"/>
      <w:start w:val="1"/>
    </w:lvl>
  </w:abstractNum>
  <w:abstractNum w:abstractNumId="89">
    <w:nsid w:val="14FCE74E"/>
    <w:multiLevelType w:val="hybridMultilevel"/>
    <w:lvl w:ilvl="0">
      <w:lvlJc w:val="left"/>
      <w:lvlText w:val="†"/>
      <w:numFmt w:val="bullet"/>
      <w:start w:val="1"/>
    </w:lvl>
  </w:abstractNum>
  <w:abstractNum w:abstractNumId="90">
    <w:nsid w:val="6A3DD3E8"/>
    <w:multiLevelType w:val="hybridMultilevel"/>
    <w:lvl w:ilvl="0">
      <w:lvlJc w:val="left"/>
      <w:lvlText w:val="††"/>
      <w:numFmt w:val="bullet"/>
      <w:start w:val="1"/>
    </w:lvl>
  </w:abstractNum>
  <w:abstractNum w:abstractNumId="91">
    <w:nsid w:val="71C91298"/>
    <w:multiLevelType w:val="hybridMultilevel"/>
    <w:lvl w:ilvl="0">
      <w:lvlJc w:val="left"/>
      <w:lvlText w:val="•"/>
      <w:numFmt w:val="bullet"/>
      <w:start w:val="1"/>
    </w:lvl>
  </w:abstractNum>
  <w:abstractNum w:abstractNumId="92">
    <w:nsid w:val="9DAF632"/>
    <w:multiLevelType w:val="hybridMultilevel"/>
    <w:lvl w:ilvl="0">
      <w:lvlJc w:val="left"/>
      <w:lvlText w:val="•"/>
      <w:numFmt w:val="bullet"/>
      <w:start w:val="1"/>
    </w:lvl>
  </w:abstractNum>
  <w:abstractNum w:abstractNumId="93">
    <w:nsid w:val="53299938"/>
    <w:multiLevelType w:val="hybridMultilevel"/>
    <w:lvl w:ilvl="0">
      <w:lvlJc w:val="left"/>
      <w:lvlText w:val="(%1)"/>
      <w:numFmt w:val="lowerRoman"/>
      <w:start w:val="3"/>
    </w:lvl>
  </w:abstractNum>
  <w:abstractNum w:abstractNumId="94">
    <w:nsid w:val="1FBFE8E0"/>
    <w:multiLevelType w:val="hybridMultilevel"/>
    <w:lvl w:ilvl="0">
      <w:lvlJc w:val="left"/>
      <w:lvlText w:val="%1."/>
      <w:numFmt w:val="decimal"/>
      <w:start w:val="1"/>
    </w:lvl>
  </w:abstractNum>
  <w:abstractNum w:abstractNumId="95">
    <w:nsid w:val="5092CA79"/>
    <w:multiLevelType w:val="hybridMultilevel"/>
    <w:lvl w:ilvl="0">
      <w:lvlJc w:val="left"/>
      <w:lvlText w:val="1"/>
      <w:numFmt w:val="bullet"/>
      <w:start w:val="1"/>
    </w:lvl>
  </w:abstractNum>
  <w:abstractNum w:abstractNumId="96">
    <w:nsid w:val="1D545C4D"/>
    <w:multiLevelType w:val="hybridMultilevel"/>
    <w:lvl w:ilvl="0">
      <w:lvlJc w:val="left"/>
      <w:lvlText w:val="%1."/>
      <w:numFmt w:val="lowerRoman"/>
      <w:start w:val="1"/>
    </w:lvl>
  </w:abstractNum>
  <w:abstractNum w:abstractNumId="97">
    <w:nsid w:val="59ADEA3D"/>
    <w:multiLevelType w:val="hybridMultilevel"/>
    <w:lvl w:ilvl="0">
      <w:lvlJc w:val="left"/>
      <w:lvlText w:val="(%1)"/>
      <w:numFmt w:val="lowerLetter"/>
      <w:start w:val="2"/>
    </w:lvl>
  </w:abstractNum>
  <w:abstractNum w:abstractNumId="98">
    <w:nsid w:val="288F1A34"/>
    <w:multiLevelType w:val="hybridMultilevel"/>
    <w:lvl w:ilvl="0">
      <w:lvlJc w:val="left"/>
      <w:lvlText w:val="2"/>
      <w:numFmt w:val="bullet"/>
      <w:start w:val="1"/>
    </w:lvl>
  </w:abstractNum>
  <w:abstractNum w:abstractNumId="99">
    <w:nsid w:val="2A155DBC"/>
    <w:multiLevelType w:val="hybridMultilevel"/>
    <w:lvl w:ilvl="0">
      <w:lvlJc w:val="left"/>
      <w:lvlText w:val="3"/>
      <w:numFmt w:val="bullet"/>
      <w:start w:val="1"/>
    </w:lvl>
  </w:abstractNum>
  <w:abstractNum w:abstractNumId="100">
    <w:nsid w:val="1D9F6E5F"/>
    <w:multiLevelType w:val="hybridMultilevel"/>
    <w:lvl w:ilvl="0">
      <w:lvlJc w:val="left"/>
      <w:lvlText w:val="4"/>
      <w:numFmt w:val="bullet"/>
      <w:start w:val="1"/>
    </w:lvl>
  </w:abstractNum>
  <w:abstractNum w:abstractNumId="101">
    <w:nsid w:val="97E1B4E"/>
    <w:multiLevelType w:val="hybridMultilevel"/>
    <w:lvl w:ilvl="0">
      <w:lvlJc w:val="left"/>
      <w:lvlText w:val="5"/>
      <w:numFmt w:val="bullet"/>
      <w:start w:val="1"/>
    </w:lvl>
  </w:abstractNum>
  <w:abstractNum w:abstractNumId="102">
    <w:nsid w:val="51088277"/>
    <w:multiLevelType w:val="hybridMultilevel"/>
    <w:lvl w:ilvl="0">
      <w:lvlJc w:val="left"/>
      <w:lvlText w:val="6"/>
      <w:numFmt w:val="bullet"/>
      <w:start w:val="1"/>
    </w:lvl>
  </w:abstractNum>
  <w:abstractNum w:abstractNumId="103">
    <w:nsid w:val="1CA0C5FA"/>
    <w:multiLevelType w:val="hybridMultilevel"/>
    <w:lvl w:ilvl="0">
      <w:lvlJc w:val="left"/>
      <w:lvlText w:val="7"/>
      <w:numFmt w:val="bullet"/>
      <w:start w:val="1"/>
    </w:lvl>
  </w:abstractNum>
  <w:abstractNum w:abstractNumId="104">
    <w:nsid w:val="53584BCB"/>
    <w:multiLevelType w:val="hybridMultilevel"/>
    <w:lvl w:ilvl="0">
      <w:lvlJc w:val="left"/>
      <w:lvlText w:val="8"/>
      <w:numFmt w:val="bullet"/>
      <w:start w:val="1"/>
    </w:lvl>
  </w:abstractNum>
  <w:abstractNum w:abstractNumId="105">
    <w:nsid w:val="415E286C"/>
    <w:multiLevelType w:val="hybridMultilevel"/>
    <w:lvl w:ilvl="0">
      <w:lvlJc w:val="left"/>
      <w:lvlText w:val="9"/>
      <w:numFmt w:val="bullet"/>
      <w:start w:val="1"/>
    </w:lvl>
  </w:abstractNum>
  <w:abstractNum w:abstractNumId="106">
    <w:nsid w:val="7C58FD05"/>
    <w:multiLevelType w:val="hybridMultilevel"/>
    <w:lvl w:ilvl="0">
      <w:lvlJc w:val="left"/>
      <w:lvlText w:val="%1"/>
      <w:numFmt w:val="decimal"/>
      <w:start w:val="10"/>
    </w:lvl>
  </w:abstractNum>
  <w:abstractNum w:abstractNumId="107">
    <w:nsid w:val="23D86AAC"/>
    <w:multiLevelType w:val="hybridMultilevel"/>
    <w:lvl w:ilvl="0">
      <w:lvlJc w:val="left"/>
      <w:lvlText w:val="%1)"/>
      <w:numFmt w:val="lowerLetter"/>
      <w:start w:val="1"/>
    </w:lvl>
  </w:abstractNum>
  <w:abstractNum w:abstractNumId="108">
    <w:nsid w:val="45E6D486"/>
    <w:multiLevelType w:val="hybridMultilevel"/>
    <w:lvl w:ilvl="0">
      <w:lvlJc w:val="left"/>
      <w:lvlText w:val="%1"/>
      <w:numFmt w:val="decimal"/>
      <w:start w:val="13"/>
    </w:lvl>
  </w:abstractNum>
  <w:abstractNum w:abstractNumId="109">
    <w:nsid w:val="5C10FE21"/>
    <w:multiLevelType w:val="hybridMultilevel"/>
    <w:lvl w:ilvl="0">
      <w:lvlJc w:val="left"/>
      <w:lvlText w:val="%1"/>
      <w:numFmt w:val="decimal"/>
      <w:start w:val="16"/>
    </w:lvl>
  </w:abstractNum>
  <w:abstractNum w:abstractNumId="110">
    <w:nsid w:val="E7FFA2B"/>
    <w:multiLevelType w:val="hybridMultilevel"/>
    <w:lvl w:ilvl="0">
      <w:lvlJc w:val="left"/>
      <w:lvlText w:val="%1)"/>
      <w:numFmt w:val="lowerLetter"/>
      <w:start w:val="1"/>
    </w:lvl>
  </w:abstractNum>
  <w:abstractNum w:abstractNumId="111">
    <w:nsid w:val="3C5991AA"/>
    <w:multiLevelType w:val="hybridMultilevel"/>
    <w:lvl w:ilvl="0">
      <w:lvlJc w:val="left"/>
      <w:lvlText w:val="%1"/>
      <w:numFmt w:val="decimal"/>
      <w:start w:val="23"/>
    </w:lvl>
  </w:abstractNum>
  <w:abstractNum w:abstractNumId="112">
    <w:nsid w:val="4BD8591A"/>
    <w:multiLevelType w:val="hybridMultilevel"/>
    <w:lvl w:ilvl="0">
      <w:lvlJc w:val="left"/>
      <w:lvlText w:val="%1"/>
      <w:numFmt w:val="decimal"/>
      <w:start w:val="28"/>
    </w:lvl>
  </w:abstractNum>
  <w:abstractNum w:abstractNumId="113">
    <w:nsid w:val="78DF6A55"/>
    <w:multiLevelType w:val="hybridMultilevel"/>
    <w:lvl w:ilvl="0">
      <w:lvlJc w:val="left"/>
      <w:lvlText w:val="%1."/>
      <w:numFmt w:val="decimal"/>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lvl w:ilvl="1">
      <w:lvlJc w:val="left"/>
      <w:lvlText w:val="%2)"/>
      <w:numFmt w:val="lowerLetter"/>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231" Type="http://schemas.openxmlformats.org/officeDocument/2006/relationships/image" Target="media/image128.png"/><Relationship Id="rId232" Type="http://schemas.openxmlformats.org/officeDocument/2006/relationships/image" Target="media/image129.jpeg"/><Relationship Id="rId233" Type="http://schemas.openxmlformats.org/officeDocument/2006/relationships/image" Target="media/image130.png"/><Relationship Id="rId234" Type="http://schemas.openxmlformats.org/officeDocument/2006/relationships/image" Target="media/image131.jpeg"/><Relationship Id="rId235" Type="http://schemas.openxmlformats.org/officeDocument/2006/relationships/image" Target="media/image132.png"/><Relationship Id="rId236" Type="http://schemas.openxmlformats.org/officeDocument/2006/relationships/image" Target="media/image133.png"/><Relationship Id="rId237" Type="http://schemas.openxmlformats.org/officeDocument/2006/relationships/image" Target="media/image134.png"/><Relationship Id="rId238" Type="http://schemas.openxmlformats.org/officeDocument/2006/relationships/image" Target="media/image135.png"/><Relationship Id="rId239" Type="http://schemas.openxmlformats.org/officeDocument/2006/relationships/image" Target="media/image136.png"/><Relationship Id="rId135" Type="http://schemas.openxmlformats.org/officeDocument/2006/relationships/hyperlink" Target="http://www.sec.gov/Archives/edgar/data/723612/000119312506158308/dex21.htm" TargetMode="External"/><Relationship Id="rId136" Type="http://schemas.openxmlformats.org/officeDocument/2006/relationships/hyperlink" Target="http://www.sec.gov/Archives/edgar/data/723612/000119312507175647/dex22.htm" TargetMode="External"/><Relationship Id="rId137" Type="http://schemas.openxmlformats.org/officeDocument/2006/relationships/hyperlink" Target="http://www.sec.gov/Archives/edgar/data/723612/000072361206000058/articles.htm" TargetMode="External"/><Relationship Id="rId138" Type="http://schemas.openxmlformats.org/officeDocument/2006/relationships/hyperlink" Target="http://www.sec.gov/Archives/edgar/data/723612/000072361218000070/bylaws.htm" TargetMode="External"/><Relationship Id="rId139" Type="http://schemas.openxmlformats.org/officeDocument/2006/relationships/hyperlink" Target="http://www.sec.gov/Archives/edgar/data/723612/000072361213000015/ex41indenture.htm" TargetMode="External"/><Relationship Id="rId140" Type="http://schemas.openxmlformats.org/officeDocument/2006/relationships/hyperlink" Target="http://www.sec.gov/Archives/edgar/data/723612/000119312513267483/d550239dex412b.htm" TargetMode="External"/><Relationship Id="rId141" Type="http://schemas.openxmlformats.org/officeDocument/2006/relationships/hyperlink" Target="http://www.sec.gov/Archives/edgar/data/723612/000072361213000015/ex42seniornotes.htm" TargetMode="External"/><Relationship Id="rId142" Type="http://schemas.openxmlformats.org/officeDocument/2006/relationships/hyperlink" Target="http://www.sec.gov/Archives/edgar/data/723612/000072361215000084/avisindenturemarch2015.htm" TargetMode="External"/><Relationship Id="rId143" Type="http://schemas.openxmlformats.org/officeDocument/2006/relationships/hyperlink" Target="http://www.sec.gov/Archives/edgar/data/723612/000072361215000084/formof525note.htm" TargetMode="External"/><Relationship Id="rId144" Type="http://schemas.openxmlformats.org/officeDocument/2006/relationships/hyperlink" Target="http://www.sec.gov/Archives/edgar/data/723612/000072361216000294/ex4_1xnoteindenture.htm" TargetMode="External"/><Relationship Id="rId145" Type="http://schemas.openxmlformats.org/officeDocument/2006/relationships/hyperlink" Target="http://www.sec.gov/Archives/edgar/data/723612/000072361216000350/exhibit41indenture.htm" TargetMode="External"/><Relationship Id="rId146" Type="http://schemas.openxmlformats.org/officeDocument/2006/relationships/hyperlink" Target="http://www.sec.gov/Archives/edgar/data/723612/000072361216000350/exhibit42formof4125note.htm" TargetMode="External"/><Relationship Id="rId147" Type="http://schemas.openxmlformats.org/officeDocument/2006/relationships/hyperlink" Target="http://www.sec.gov/Archives/edgar/data/723612/000072361217000076/exhibit42-indenture450seni.htm" TargetMode="External"/><Relationship Id="rId148" Type="http://schemas.openxmlformats.org/officeDocument/2006/relationships/hyperlink" Target="http://www.sec.gov/Archives/edgar/data/723612/000072361217000076/exhibit43-formofnote450sen.htm" TargetMode="External"/><Relationship Id="rId149" Type="http://schemas.openxmlformats.org/officeDocument/2006/relationships/hyperlink" Target="http://www.sec.gov/Archives/edgar/data/723612/000072361218000113/exhibit41avisbudgetfinance.htm" TargetMode="External"/><Relationship Id="rId150" Type="http://schemas.openxmlformats.org/officeDocument/2006/relationships/hyperlink" Target="http://www.sec.gov/Archives/edgar/data/723612/000072361218000113/exhibit42avisbudgetfinance.htm" TargetMode="External"/><Relationship Id="rId151" Type="http://schemas.openxmlformats.org/officeDocument/2006/relationships/hyperlink" Target="http://www.sec.gov/Archives/edgar/data/723612/000072361219000112/exhibit41-indenturex57.htm" TargetMode="External"/><Relationship Id="rId152" Type="http://schemas.openxmlformats.org/officeDocument/2006/relationships/hyperlink" Target="http://www.sec.gov/Archives/edgar/data/723612/000072361219000112/exhibit42-formof575sen.htm" TargetMode="External"/><Relationship Id="rId153" Type="http://schemas.openxmlformats.org/officeDocument/2006/relationships/hyperlink" Target="http://www.sec.gov/Archives/edgar/data/723612/000119312520016142/d859980dex41.htm" TargetMode="External"/><Relationship Id="rId154" Type="http://schemas.openxmlformats.org/officeDocument/2006/relationships/hyperlink" Target="http://www.sec.gov/Archives/edgar/data/723612/000072361215000158/exhibit101-deshon.htm" TargetMode="External"/><Relationship Id="rId155" Type="http://schemas.openxmlformats.org/officeDocument/2006/relationships/hyperlink" Target="http://www.sec.gov/Archives/edgar/data/723612/000072361219000093/separationagreement.htm" TargetMode="External"/><Relationship Id="rId156" Type="http://schemas.openxmlformats.org/officeDocument/2006/relationships/hyperlink" Target="http://www.sec.gov/Archives/edgar/data/723612/000072361219000061/separationagreement.htm" TargetMode="External"/><Relationship Id="rId157" Type="http://schemas.openxmlformats.org/officeDocument/2006/relationships/hyperlink" Target="http://www.sec.gov/Archives/edgar/data/723612/000072361216000244/exhibit105-ferraroemployme.htm" TargetMode="External"/><Relationship Id="rId158" Type="http://schemas.openxmlformats.org/officeDocument/2006/relationships/hyperlink" Target="http://www.sec.gov/Archives/edgar/data/723612/000072361219000016/avisbudgetgroupform8k.htm" TargetMode="External"/><Relationship Id="rId159" Type="http://schemas.openxmlformats.org/officeDocument/2006/relationships/hyperlink" Target="http://www.sec.gov/Archives/edgar/data/723612/000072361219000128/martynsmithamendment.htm" TargetMode="External"/><Relationship Id="rId160" Type="http://schemas.openxmlformats.org/officeDocument/2006/relationships/hyperlink" Target="http://www.sec.gov/Archives/edgar/data/723612/000072361219000025/michaeltuckeragreement.htm" TargetMode="External"/><Relationship Id="rId161" Type="http://schemas.openxmlformats.org/officeDocument/2006/relationships/hyperlink" Target="http://www.sec.gov/Archives/edgar/data/723612/000072361219000016/offerletter.htm" TargetMode="External"/><Relationship Id="rId162" Type="http://schemas.openxmlformats.org/officeDocument/2006/relationships/hyperlink" Target="http://www.sec.gov/Archives/edgar/data/723612/000072361219000128/johnnorthseverancelett.htm" TargetMode="External"/><Relationship Id="rId163" Type="http://schemas.openxmlformats.org/officeDocument/2006/relationships/hyperlink" Target="http://www.sec.gov/Archives/edgar/data/723612/000119312518117867/d565219dex101.htm" TargetMode="External"/><Relationship Id="rId164" Type="http://schemas.openxmlformats.org/officeDocument/2006/relationships/hyperlink" Target="http://www.sec.gov/Archives/edgar/data/723612/000120677419001054/avis3494471-def14a.htm" TargetMode="External"/><Relationship Id="rId165" Type="http://schemas.openxmlformats.org/officeDocument/2006/relationships/hyperlink" Target="http://www.sec.gov/Archives/edgar/data/723612/0000950136-97-001205.txt" TargetMode="External"/><Relationship Id="rId166" Type="http://schemas.openxmlformats.org/officeDocument/2006/relationships/hyperlink" Target="http://www.sec.gov/Archives/edgar/data/723612/000091205701505442/a2033484zex-10_12b.txt" TargetMode="External"/><Relationship Id="rId167" Type="http://schemas.openxmlformats.org/officeDocument/2006/relationships/hyperlink" Target="http://www.sec.gov/Archives/edgar/data/723612/000091205701505442/a2033484zex-10_12c.txt" TargetMode="External"/><Relationship Id="rId168" Type="http://schemas.openxmlformats.org/officeDocument/2006/relationships/hyperlink" Target="http://www.sec.gov/Archives/edgar/data/723612/000091205701505442/a2033484zex-10_12d.txt" TargetMode="External"/><Relationship Id="rId169" Type="http://schemas.openxmlformats.org/officeDocument/2006/relationships/hyperlink" Target="http://www.sec.gov/Archives/edgar/data/723612/000095012306002437/y17817exv10w16.htm" TargetMode="External"/><Relationship Id="rId170" Type="http://schemas.openxmlformats.org/officeDocument/2006/relationships/hyperlink" Target="http://www.sec.gov/Archives/edgar/data/723612/000072361209000006/abgemployeestockpurchaseplan.htm" TargetMode="External"/><Relationship Id="rId171" Type="http://schemas.openxmlformats.org/officeDocument/2006/relationships/hyperlink" Target="http://www.sec.gov/Archives/edgar/data/723612/000119312511279055/d237908dex1017b.htm" TargetMode="External"/><Relationship Id="rId172" Type="http://schemas.openxmlformats.org/officeDocument/2006/relationships/hyperlink" Target="http://www.sec.gov/Archives/edgar/data/723612/000072361219000025/formofrsuaward.htm" TargetMode="External"/><Relationship Id="rId173" Type="http://schemas.openxmlformats.org/officeDocument/2006/relationships/hyperlink" Target="http://www.sec.gov/Archives/edgar/data/723612/000072361219000025/formofperformanceaward.htm" TargetMode="External"/><Relationship Id="rId174" Type="http://schemas.openxmlformats.org/officeDocument/2006/relationships/hyperlink" Target="http://www.sec.gov/Archives/edgar/data/723612/000072361219000025/formofdirectoraward.htm" TargetMode="External"/><Relationship Id="rId175" Type="http://schemas.openxmlformats.org/officeDocument/2006/relationships/hyperlink" Target="http://www.sec.gov/Archives/edgar/data/723612/000072361219000025/formofseveranceagmt.htm" TargetMode="External"/><Relationship Id="rId176" Type="http://schemas.openxmlformats.org/officeDocument/2006/relationships/hyperlink" Target="http://www.sec.gov/Archives/edgar/data/723612/000072361219000025/directorplan.htm" TargetMode="External"/><Relationship Id="rId177" Type="http://schemas.openxmlformats.org/officeDocument/2006/relationships/hyperlink" Target="http://www.sec.gov/Archives/edgar/data/723612/000119312509039260/dex1017.htm" TargetMode="External"/><Relationship Id="rId178" Type="http://schemas.openxmlformats.org/officeDocument/2006/relationships/hyperlink" Target="http://www.sec.gov/Archives/edgar/data/723612/000119312509039260/dex1018.htm" TargetMode="External"/><Relationship Id="rId179" Type="http://schemas.openxmlformats.org/officeDocument/2006/relationships/hyperlink" Target="http://www.sec.gov/Archives/edgar/data/723612/000119312508042121/dex1059.htm" TargetMode="External"/><Relationship Id="rId180" Type="http://schemas.openxmlformats.org/officeDocument/2006/relationships/hyperlink" Target="http://www.sec.gov/Archives/edgar/data/723612/000072361219000025/avisrentacarpension.htm" TargetMode="External"/><Relationship Id="rId181" Type="http://schemas.openxmlformats.org/officeDocument/2006/relationships/hyperlink" Target="http://www.sec.gov/Archives/edgar/data/723612/000072361205000004/financialservicespolicy.htm" TargetMode="External"/><Relationship Id="rId182" Type="http://schemas.openxmlformats.org/officeDocument/2006/relationships/hyperlink" Target="http://www.sec.gov/Archives/edgar/data/723612/000119312506158308/dex102.htm" TargetMode="External"/><Relationship Id="rId183" Type="http://schemas.openxmlformats.org/officeDocument/2006/relationships/hyperlink" Target="http://www.sec.gov/Archives/edgar/data/723612/000119312508170083/dex104.htm" TargetMode="External"/><Relationship Id="rId184" Type="http://schemas.openxmlformats.org/officeDocument/2006/relationships/hyperlink" Target="http://www.sec.gov/Archives/edgar/data/723612/000095012304009102/y99348exv10w7.htm" TargetMode="External"/><Relationship Id="rId185" Type="http://schemas.openxmlformats.org/officeDocument/2006/relationships/hyperlink" Target="http://www.sec.gov/Archives/edgar/data/723612/000072361206000002/exhibit-1.htm" TargetMode="External"/><Relationship Id="rId186" Type="http://schemas.openxmlformats.org/officeDocument/2006/relationships/hyperlink" Target="http://www.sec.gov/Archives/edgar/data/723612/000119312507175647/dex106.htm" TargetMode="External"/><Relationship Id="rId187" Type="http://schemas.openxmlformats.org/officeDocument/2006/relationships/hyperlink" Target="http://www.sec.gov/Archives/edgar/data/723612/000072361214000041/exhibit1035csupplementalin.htm" TargetMode="External"/><Relationship Id="rId188" Type="http://schemas.openxmlformats.org/officeDocument/2006/relationships/hyperlink" Target="http://www.sec.gov/Archives/edgar/data/723612/000095012304009102/y99348exv10w8.htm" TargetMode="External"/><Relationship Id="rId189" Type="http://schemas.openxmlformats.org/officeDocument/2006/relationships/hyperlink" Target="http://www.sec.gov/Archives/edgar/data/723612/000072361206000002/exhibit-2.htm" TargetMode="External"/><Relationship Id="rId190" Type="http://schemas.openxmlformats.org/officeDocument/2006/relationships/hyperlink" Target="http://www.sec.gov/Archives/edgar/data/723612/000119312507175647/dex108.htm" TargetMode="External"/><Relationship Id="rId191" Type="http://schemas.openxmlformats.org/officeDocument/2006/relationships/hyperlink" Target="http://www.sec.gov/Archives/edgar/data/723612/000072361214000041/exhibit1036cthirdamendment.htm" TargetMode="External"/><Relationship Id="rId192" Type="http://schemas.openxmlformats.org/officeDocument/2006/relationships/hyperlink" Target="http://www.sec.gov/Archives/edgar/data/723612/000119312507044472/dex1029a.htm" TargetMode="External"/><Relationship Id="rId193" Type="http://schemas.openxmlformats.org/officeDocument/2006/relationships/hyperlink" Target="http://www.sec.gov/Archives/edgar/data/723612/000119312507044472/dex1029b.htm" TargetMode="External"/><Relationship Id="rId194" Type="http://schemas.openxmlformats.org/officeDocument/2006/relationships/hyperlink" Target="http://www.sec.gov/Archives/edgar/data/723612/000119312507175647/dex107.htm" TargetMode="External"/><Relationship Id="rId195" Type="http://schemas.openxmlformats.org/officeDocument/2006/relationships/hyperlink" Target="http://www.sec.gov/Archives/edgar/data/723612/000072361214000041/exhibit1037cthirdamendment.htm" TargetMode="External"/><Relationship Id="rId196" Type="http://schemas.openxmlformats.org/officeDocument/2006/relationships/hyperlink" Target="http://www.sec.gov/Archives/edgar/data/723612/000095012304009102/y99348exv10w9.htm" TargetMode="External"/><Relationship Id="rId197" Type="http://schemas.openxmlformats.org/officeDocument/2006/relationships/hyperlink" Target="http://www.sec.gov/Archives/edgar/data/723612/000072361206000002/exhibit-3.htm" TargetMode="External"/><Relationship Id="rId198" Type="http://schemas.openxmlformats.org/officeDocument/2006/relationships/hyperlink" Target="http://www.sec.gov/Archives/edgar/data/723612/000119312507175647/dex109.htm" TargetMode="External"/><Relationship Id="rId199" Type="http://schemas.openxmlformats.org/officeDocument/2006/relationships/hyperlink" Target="http://www.sec.gov/Archives/edgar/data/723612/000072361214000041/exhibit1038cfourthamendmen.htm" TargetMode="External"/><Relationship Id="rId200" Type="http://schemas.openxmlformats.org/officeDocument/2006/relationships/hyperlink" Target="http://www.sec.gov/Archives/edgar/data/723612/000119312507044472/dex1030a.htm" TargetMode="External"/><Relationship Id="rId201" Type="http://schemas.openxmlformats.org/officeDocument/2006/relationships/hyperlink" Target="http://www.sec.gov/Archives/edgar/data/723612/000119312507044472/dex1030b.htm" TargetMode="External"/><Relationship Id="rId202" Type="http://schemas.openxmlformats.org/officeDocument/2006/relationships/hyperlink" Target="http://www.sec.gov/Archives/edgar/data/723612/000119312507175647/dex1011.htm" TargetMode="External"/><Relationship Id="rId203" Type="http://schemas.openxmlformats.org/officeDocument/2006/relationships/hyperlink" Target="http://www.sec.gov/Archives/edgar/data/723612/000072361214000041/exhibit1039cfourthamendmen.htm" TargetMode="External"/><Relationship Id="rId204" Type="http://schemas.openxmlformats.org/officeDocument/2006/relationships/hyperlink" Target="http://www.sec.gov/Archives/edgar/data/723612/000072361213000018/exhibit101aesopioperatingsu.htm" TargetMode="External"/><Relationship Id="rId205" Type="http://schemas.openxmlformats.org/officeDocument/2006/relationships/hyperlink" Target="http://www.sec.gov/Archives/edgar/data/723612/000095012306002437/y17817exv10w34.htm" TargetMode="External"/><Relationship Id="rId206" Type="http://schemas.openxmlformats.org/officeDocument/2006/relationships/hyperlink" Target="http://www.sec.gov/Archives/edgar/data/723612/000072361214000041/exhibit1041afirstamendment.htm" TargetMode="External"/><Relationship Id="rId207" Type="http://schemas.openxmlformats.org/officeDocument/2006/relationships/hyperlink" Target="http://www.sec.gov/Archives/edgar/data/723612/000072361219000025/aesop2015-3supplement.htm" TargetMode="External"/><Relationship Id="rId208" Type="http://schemas.openxmlformats.org/officeDocument/2006/relationships/hyperlink" Target="http://www.sec.gov/Archives/edgar/data/723612/000072361219000025/series2010-6supplement.htm" TargetMode="External"/><Relationship Id="rId209" Type="http://schemas.openxmlformats.org/officeDocument/2006/relationships/hyperlink" Target="http://www.sec.gov/Archives/edgar/data/723612/000072361214000131/a2014-2supplement.htm" TargetMode="External"/><Relationship Id="rId210" Type="http://schemas.openxmlformats.org/officeDocument/2006/relationships/hyperlink" Target="http://www.sec.gov/Archives/edgar/data/723612/000072361215000040/series2015-1supplement.htm" TargetMode="External"/><Relationship Id="rId211" Type="http://schemas.openxmlformats.org/officeDocument/2006/relationships/hyperlink" Target="http://www.sec.gov/Archives/edgar/data/723612/000072361215000120/aesopseries2015-2supplement.htm" TargetMode="External"/><Relationship Id="rId212" Type="http://schemas.openxmlformats.org/officeDocument/2006/relationships/hyperlink" Target="http://www.sec.gov/Archives/edgar/data/723612/000072361216000282/indenturesupp.htm" TargetMode="External"/><Relationship Id="rId213" Type="http://schemas.openxmlformats.org/officeDocument/2006/relationships/hyperlink" Target="http://www.sec.gov/Archives/edgar/data/723612/000072361216000310/ex10_1.htm" TargetMode="External"/><Relationship Id="rId214" Type="http://schemas.openxmlformats.org/officeDocument/2006/relationships/hyperlink" Target="http://www.sec.gov/Archives/edgar/data/723612/000072361217000067/exhibit101to8-kforaesop201.htm" TargetMode="External"/><Relationship Id="rId215" Type="http://schemas.openxmlformats.org/officeDocument/2006/relationships/hyperlink" Target="http://www.sec.gov/Archives/edgar/data/723612/000072361217000165/ex101series2017-2indenture.htm" TargetMode="External"/><Relationship Id="rId216" Type="http://schemas.openxmlformats.org/officeDocument/2006/relationships/hyperlink" Target="http://www.sec.gov/Archives/edgar/data/723612/000072361218000057/series2018-1indenture.htm" TargetMode="External"/><Relationship Id="rId217" Type="http://schemas.openxmlformats.org/officeDocument/2006/relationships/hyperlink" Target="http://www.sec.gov/Archives/edgar/data/723612/000072361218000106/aesopseries2018-2xindentur.htm" TargetMode="External"/><Relationship Id="rId218" Type="http://schemas.openxmlformats.org/officeDocument/2006/relationships/hyperlink" Target="http://www.sec.gov/Archives/edgar/data/723612/000072361219000017/aesop2019i-1supplement.htm" TargetMode="External"/><Relationship Id="rId219" Type="http://schemas.openxmlformats.org/officeDocument/2006/relationships/hyperlink" Target="http://www.sec.gov/Archives/edgar/data/723612/000072361219000081/indenturesupplement.htm" TargetMode="External"/><Relationship Id="rId220" Type="http://schemas.openxmlformats.org/officeDocument/2006/relationships/hyperlink" Target="http://www.sec.gov/Archives/edgar/data/723612/000072361219000119/indenture.htm" TargetMode="External"/><Relationship Id="rId221" Type="http://schemas.openxmlformats.org/officeDocument/2006/relationships/hyperlink" Target="http://www.sec.gov/Archives/edgar/data/723612/000119312520018528/d880584dex101.htm" TargetMode="External"/><Relationship Id="rId222" Type="http://schemas.openxmlformats.org/officeDocument/2006/relationships/hyperlink" Target="http://www.sec.gov/Archives/edgar/data/723612/000072361218000015/exhibit10_1.htm" TargetMode="External"/><Relationship Id="rId223" Type="http://schemas.openxmlformats.org/officeDocument/2006/relationships/hyperlink" Target="http://www.sec.gov/Archives/edgar/data/723612/000072361211000006/guaranteeandcollateral.htm" TargetMode="External"/><Relationship Id="rId224" Type="http://schemas.openxmlformats.org/officeDocument/2006/relationships/hyperlink" Target="http://www.sec.gov/Archives/edgar/data/723612/000072361213000006/ex102sixthamendment.htm" TargetMode="External"/><Relationship Id="rId225" Type="http://schemas.openxmlformats.org/officeDocument/2006/relationships/hyperlink" Target="http://www.sec.gov/Archives/edgar/data/723612/000072361214000174/gcaamendment.htm" TargetMode="External"/><Relationship Id="rId226" Type="http://schemas.openxmlformats.org/officeDocument/2006/relationships/hyperlink" Target="http://www.sec.gov/Archives/edgar/data/723612/000072361213000062/a104tripartiteagreement-av.htm" TargetMode="External"/><Relationship Id="rId227" Type="http://schemas.openxmlformats.org/officeDocument/2006/relationships/hyperlink" Target="http://www.sec.gov/Archives/edgar/data/723612/000072361214000219/fourthmasteramendment.htm" TargetMode="External"/><Relationship Id="rId228" Type="http://schemas.openxmlformats.org/officeDocument/2006/relationships/hyperlink" Target="http://www.sec.gov/Archives/edgar/data/723612/000072361216000287/ex10_6seventhmasteramdt.htm" TargetMode="External"/><Relationship Id="rId229" Type="http://schemas.openxmlformats.org/officeDocument/2006/relationships/hyperlink" Target="http://www.sec.gov/Archives/edgar/data/723612/000072361217000092/ninthmasteramendmentandres.htm" TargetMode="External"/><Relationship Id="rId230" Type="http://schemas.openxmlformats.org/officeDocument/2006/relationships/hyperlink" Target="http://www.sec.gov/Archives/edgar/data/723612/000072361218000074/tenthmaster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2020-02-20T15:37:03Z</dcterms:created>
  <dcterms:modified xsi:type="dcterms:W3CDTF">2020-02-20T15:37:03Z</dcterms:modified>
</cp:coreProperties>
</file>