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400"/>
          </w:cols>
          <w:pgMar w:left="460" w:top="217" w:right="459" w:bottom="15"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7"/>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3300" w:type="dxa"/>
            <w:vAlign w:val="bottom"/>
            <w:gridSpan w:val="5"/>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AVIS BUDGET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7"/>
            <w:vMerge w:val="continue"/>
          </w:tcPr>
          <w:p>
            <w:pPr>
              <w:spacing w:after="0"/>
              <w:rPr>
                <w:sz w:val="6"/>
                <w:szCs w:val="6"/>
                <w:color w:val="auto"/>
              </w:rPr>
            </w:pPr>
          </w:p>
        </w:tc>
        <w:tc>
          <w:tcPr>
            <w:tcW w:w="120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7"/>
            <w:vMerge w:val="continue"/>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100"/>
              <w:spacing w:after="0"/>
              <w:rPr>
                <w:sz w:val="20"/>
                <w:szCs w:val="20"/>
                <w:color w:val="auto"/>
              </w:rPr>
            </w:pPr>
            <w:r>
              <w:rPr>
                <w:rFonts w:ascii="Arial" w:cs="Arial" w:eastAsia="Arial" w:hAnsi="Arial"/>
                <w:sz w:val="13"/>
                <w:szCs w:val="13"/>
                <w:color w:val="auto"/>
              </w:rPr>
              <w:t>(First)</w:t>
            </w:r>
          </w:p>
        </w:tc>
        <w:tc>
          <w:tcPr>
            <w:tcW w:w="1360" w:type="dxa"/>
            <w:vAlign w:val="bottom"/>
            <w:gridSpan w:val="4"/>
          </w:tcPr>
          <w:p>
            <w:pPr>
              <w:spacing w:after="0"/>
              <w:rPr>
                <w:sz w:val="20"/>
                <w:szCs w:val="20"/>
                <w:color w:val="auto"/>
              </w:rPr>
            </w:pPr>
            <w:r>
              <w:rPr>
                <w:rFonts w:ascii="Arial" w:cs="Arial" w:eastAsia="Arial" w:hAnsi="Arial"/>
                <w:sz w:val="13"/>
                <w:szCs w:val="13"/>
                <w:color w:val="auto"/>
              </w:rPr>
              <w:t>(Middle)</w:t>
            </w:r>
          </w:p>
        </w:tc>
        <w:tc>
          <w:tcPr>
            <w:tcW w:w="2800" w:type="dxa"/>
            <w:vAlign w:val="bottom"/>
            <w:gridSpan w:val="4"/>
          </w:tcPr>
          <w:p>
            <w:pPr>
              <w:spacing w:after="0"/>
              <w:rPr>
                <w:sz w:val="20"/>
                <w:szCs w:val="20"/>
                <w:color w:val="auto"/>
              </w:rPr>
            </w:pPr>
            <w:r>
              <w:rPr>
                <w:rFonts w:ascii="Arial" w:cs="Arial" w:eastAsia="Arial" w:hAnsi="Arial"/>
                <w:sz w:val="13"/>
                <w:szCs w:val="13"/>
                <w:color w:val="auto"/>
                <w:w w:val="98"/>
              </w:rPr>
              <w:t>3. Date of Earliest Transaction (Month/Day/Year)</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04/22/2026</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00" w:type="dxa"/>
            <w:vAlign w:val="bottom"/>
            <w:gridSpan w:val="5"/>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60" w:type="dxa"/>
            <w:vAlign w:val="bottom"/>
          </w:tcPr>
          <w:p>
            <w:pPr>
              <w:spacing w:after="0"/>
              <w:rPr>
                <w:sz w:val="6"/>
                <w:szCs w:val="6"/>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32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vMerge w:val="restart"/>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NAPLES</w:t>
            </w:r>
          </w:p>
        </w:tc>
        <w:tc>
          <w:tcPr>
            <w:tcW w:w="132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0000FF"/>
              </w:rPr>
              <w:t>FL</w:t>
            </w:r>
          </w:p>
        </w:tc>
        <w:tc>
          <w:tcPr>
            <w:tcW w:w="4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46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100"/>
              <w:spacing w:after="0"/>
              <w:rPr>
                <w:sz w:val="20"/>
                <w:szCs w:val="20"/>
                <w:color w:val="auto"/>
              </w:rPr>
            </w:pPr>
            <w:r>
              <w:rPr>
                <w:rFonts w:ascii="Arial" w:cs="Arial" w:eastAsia="Arial" w:hAnsi="Arial"/>
                <w:sz w:val="13"/>
                <w:szCs w:val="13"/>
                <w:color w:val="auto"/>
              </w:rPr>
              <w:t>(State)</w:t>
            </w:r>
          </w:p>
        </w:tc>
        <w:tc>
          <w:tcPr>
            <w:tcW w:w="1360" w:type="dxa"/>
            <w:vAlign w:val="bottom"/>
            <w:gridSpan w:val="4"/>
          </w:tcPr>
          <w:p>
            <w:pPr>
              <w:spacing w:after="0"/>
              <w:rPr>
                <w:sz w:val="20"/>
                <w:szCs w:val="20"/>
                <w:color w:val="auto"/>
              </w:rPr>
            </w:pPr>
            <w:r>
              <w:rPr>
                <w:rFonts w:ascii="Arial" w:cs="Arial" w:eastAsia="Arial" w:hAnsi="Arial"/>
                <w:sz w:val="13"/>
                <w:szCs w:val="13"/>
                <w:color w:val="auto"/>
              </w:rPr>
              <w:t>(Zip)</w:t>
            </w: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3"/>
          </w:tcPr>
          <w:p>
            <w:pPr>
              <w:jc w:val="right"/>
              <w:ind w:right="27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4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w w:val="98"/>
              </w:rPr>
              <w:t>6. Ownership</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(D) or Indirect</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1160" w:type="dxa"/>
            <w:vAlign w:val="bottom"/>
            <w:gridSpan w:val="2"/>
            <w:vMerge w:val="restart"/>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1"/>
              <w:spacing w:after="0" w:line="129" w:lineRule="exact"/>
              <w:rPr>
                <w:sz w:val="20"/>
                <w:szCs w:val="20"/>
                <w:color w:val="auto"/>
              </w:rPr>
            </w:pPr>
            <w:r>
              <w:rPr>
                <w:rFonts w:ascii="Arial" w:cs="Arial" w:eastAsia="Arial" w:hAnsi="Arial"/>
                <w:sz w:val="12"/>
                <w:szCs w:val="12"/>
                <w:b w:val="1"/>
                <w:bCs w:val="1"/>
                <w:color w:val="auto"/>
                <w:w w:val="93"/>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438.74</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04/22/2026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3,347</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6,177,100</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7,602</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6,169,498</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23"/>
              <w:spacing w:after="0"/>
              <w:rPr>
                <w:sz w:val="20"/>
                <w:szCs w:val="20"/>
                <w:color w:val="auto"/>
              </w:rPr>
            </w:pPr>
            <w:r>
              <w:rPr>
                <w:rFonts w:ascii="Times New Roman" w:cs="Times New Roman" w:eastAsia="Times New Roman" w:hAnsi="Times New Roman"/>
                <w:sz w:val="17"/>
                <w:szCs w:val="17"/>
                <w:color w:val="0000FF"/>
                <w:w w:val="93"/>
              </w:rPr>
              <w:t>869</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6,168,629</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vMerge w:val="restart"/>
          </w:tcPr>
          <w:p>
            <w:pPr>
              <w:jc w:val="center"/>
              <w:ind w:left="123"/>
              <w:spacing w:after="0"/>
              <w:rPr>
                <w:sz w:val="20"/>
                <w:szCs w:val="20"/>
                <w:color w:val="auto"/>
              </w:rPr>
            </w:pPr>
            <w:r>
              <w:rPr>
                <w:rFonts w:ascii="Times New Roman" w:cs="Times New Roman" w:eastAsia="Times New Roman" w:hAnsi="Times New Roman"/>
                <w:sz w:val="17"/>
                <w:szCs w:val="17"/>
                <w:color w:val="0000FF"/>
                <w:w w:val="93"/>
              </w:rPr>
              <w:t>145</w:t>
            </w:r>
          </w:p>
        </w:tc>
        <w:tc>
          <w:tcPr>
            <w:tcW w:w="220" w:type="dxa"/>
            <w:vAlign w:val="bottom"/>
          </w:tcPr>
          <w:p>
            <w:pPr>
              <w:spacing w:after="0"/>
              <w:rPr>
                <w:sz w:val="17"/>
                <w:szCs w:val="17"/>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color w:val="0000FF"/>
              </w:rPr>
              <w:t>6,168,484</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32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12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9,802</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6,158,682</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00" w:type="dxa"/>
            <w:vAlign w:val="bottom"/>
          </w:tcPr>
          <w:p>
            <w:pPr>
              <w:jc w:val="center"/>
              <w:ind w:left="143"/>
              <w:spacing w:after="0"/>
              <w:rPr>
                <w:sz w:val="20"/>
                <w:szCs w:val="20"/>
                <w:color w:val="auto"/>
              </w:rPr>
            </w:pPr>
            <w:r>
              <w:rPr>
                <w:rFonts w:ascii="Times New Roman" w:cs="Times New Roman" w:eastAsia="Times New Roman" w:hAnsi="Times New Roman"/>
                <w:sz w:val="17"/>
                <w:szCs w:val="17"/>
                <w:color w:val="0000FF"/>
                <w:w w:val="99"/>
              </w:rPr>
              <w:t>4,815</w:t>
            </w:r>
          </w:p>
        </w:tc>
        <w:tc>
          <w:tcPr>
            <w:tcW w:w="22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6,153,867</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257.31</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46,767</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6,107,100</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320" w:type="dxa"/>
            <w:vAlign w:val="bottom"/>
          </w:tcPr>
          <w:p>
            <w:pPr>
              <w:spacing w:after="0"/>
              <w:rPr>
                <w:sz w:val="17"/>
                <w:szCs w:val="17"/>
                <w:color w:val="auto"/>
              </w:rPr>
            </w:pPr>
          </w:p>
        </w:tc>
        <w:tc>
          <w:tcPr>
            <w:tcW w:w="13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04/23/2026</w:t>
            </w:r>
          </w:p>
        </w:tc>
        <w:tc>
          <w:tcPr>
            <w:tcW w:w="120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22,806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6,084,294</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132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12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60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50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7" w:right="459" w:bottom="15"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6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jc w:val="center"/>
              <w:ind w:left="48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2,606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6,081,688</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436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6,081,252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29,406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6,051,846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14,446</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6,037,400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250.61</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140,300</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5,897,100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17,241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5,879,859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8,813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5,871,046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vMerge w:val="restart"/>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1,341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vMerge w:val="restart"/>
          </w:tcPr>
          <w:p>
            <w:pPr>
              <w:jc w:val="right"/>
              <w:ind w:right="146"/>
              <w:spacing w:after="0"/>
              <w:rPr>
                <w:sz w:val="20"/>
                <w:szCs w:val="20"/>
                <w:color w:val="auto"/>
              </w:rPr>
            </w:pPr>
            <w:r>
              <w:rPr>
                <w:rFonts w:ascii="Times New Roman" w:cs="Times New Roman" w:eastAsia="Times New Roman" w:hAnsi="Times New Roman"/>
                <w:sz w:val="17"/>
                <w:szCs w:val="17"/>
                <w:color w:val="0000FF"/>
              </w:rPr>
              <w:t>5,869,705</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3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99,419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5,770,286</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48,841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5,721,445</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290.38</w:t>
            </w: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474,345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5,247,100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36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278.44</w:t>
            </w: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center"/>
              <w:ind w:left="501"/>
              <w:spacing w:after="0"/>
              <w:rPr>
                <w:sz w:val="20"/>
                <w:szCs w:val="20"/>
                <w:color w:val="auto"/>
              </w:rPr>
            </w:pPr>
            <w:r>
              <w:rPr>
                <w:rFonts w:ascii="Times New Roman" w:cs="Times New Roman" w:eastAsia="Times New Roman" w:hAnsi="Times New Roman"/>
                <w:sz w:val="17"/>
                <w:szCs w:val="17"/>
                <w:color w:val="0000FF"/>
                <w:w w:val="98"/>
              </w:rPr>
              <w:t>04/23/2026</w:t>
            </w:r>
          </w:p>
        </w:tc>
        <w:tc>
          <w:tcPr>
            <w:tcW w:w="10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6,963</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vMerge w:val="continue"/>
          </w:tcPr>
          <w:p>
            <w:pPr>
              <w:spacing w:after="0"/>
              <w:rPr>
                <w:sz w:val="17"/>
                <w:szCs w:val="17"/>
                <w:color w:val="auto"/>
              </w:rPr>
            </w:pPr>
          </w:p>
        </w:tc>
        <w:tc>
          <w:tcPr>
            <w:tcW w:w="1120" w:type="dxa"/>
            <w:vAlign w:val="bottom"/>
          </w:tcPr>
          <w:p>
            <w:pPr>
              <w:jc w:val="right"/>
              <w:ind w:right="146"/>
              <w:spacing w:after="0"/>
              <w:rPr>
                <w:sz w:val="20"/>
                <w:szCs w:val="20"/>
                <w:color w:val="auto"/>
              </w:rPr>
            </w:pPr>
            <w:r>
              <w:rPr>
                <w:rFonts w:ascii="Times New Roman" w:cs="Times New Roman" w:eastAsia="Times New Roman" w:hAnsi="Times New Roman"/>
                <w:sz w:val="17"/>
                <w:szCs w:val="17"/>
                <w:color w:val="0000FF"/>
              </w:rPr>
              <w:t>5,240,137</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1"/>
        </w:trPr>
        <w:tc>
          <w:tcPr>
            <w:tcW w:w="2360" w:type="dxa"/>
            <w:vAlign w:val="bottom"/>
            <w:tcBorders>
              <w:bottom w:val="single" w:sz="8" w:color="808080"/>
            </w:tcBorders>
          </w:tcPr>
          <w:p>
            <w:pPr>
              <w:spacing w:after="0"/>
              <w:rPr>
                <w:sz w:val="23"/>
                <w:szCs w:val="23"/>
                <w:color w:val="auto"/>
              </w:rPr>
            </w:pPr>
          </w:p>
        </w:tc>
        <w:tc>
          <w:tcPr>
            <w:tcW w:w="1660" w:type="dxa"/>
            <w:vAlign w:val="bottom"/>
            <w:tcBorders>
              <w:bottom w:val="single" w:sz="8" w:color="808080"/>
            </w:tcBorders>
          </w:tcPr>
          <w:p>
            <w:pPr>
              <w:spacing w:after="0"/>
              <w:rPr>
                <w:sz w:val="23"/>
                <w:szCs w:val="23"/>
                <w:color w:val="auto"/>
              </w:rPr>
            </w:pPr>
          </w:p>
        </w:tc>
        <w:tc>
          <w:tcPr>
            <w:tcW w:w="10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70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920" w:type="dxa"/>
            <w:vAlign w:val="bottom"/>
            <w:tcBorders>
              <w:bottom w:val="single" w:sz="8" w:color="808080"/>
            </w:tcBorders>
          </w:tcPr>
          <w:p>
            <w:pPr>
              <w:spacing w:after="0"/>
              <w:rPr>
                <w:sz w:val="23"/>
                <w:szCs w:val="23"/>
                <w:color w:val="auto"/>
              </w:rPr>
            </w:pPr>
          </w:p>
        </w:tc>
        <w:tc>
          <w:tcPr>
            <w:tcW w:w="1060" w:type="dxa"/>
            <w:vAlign w:val="bottom"/>
            <w:tcBorders>
              <w:bottom w:val="single" w:sz="8" w:color="808080"/>
            </w:tcBorders>
          </w:tcPr>
          <w:p>
            <w:pPr>
              <w:ind w:left="8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bl>
    <w:p>
      <w:pPr>
        <w:sectPr>
          <w:pgSz w:w="11900" w:h="16838" w:orient="portrait"/>
          <w:cols w:equalWidth="0" w:num="1">
            <w:col w:w="10940"/>
          </w:cols>
          <w:pgMar w:left="480" w:top="191" w:right="479" w:bottom="441"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8"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9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32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34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8"/>
              </w:rPr>
              <w:t>Owned Following</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5"/>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vMerge w:val="restart"/>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1,039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5,239,098</w:t>
            </w:r>
          </w:p>
        </w:tc>
        <w:tc>
          <w:tcPr>
            <w:tcW w:w="4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78,563</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5,160,535</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38,596</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5,121,939</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278.44</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374,839</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4,747,100</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137,058</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4,610,042</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15,664</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4,594,378</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vMerge w:val="restart"/>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vMerge w:val="restart"/>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2,627</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4,591,751</w:t>
            </w:r>
          </w:p>
        </w:tc>
        <w:tc>
          <w:tcPr>
            <w:tcW w:w="440" w:type="dxa"/>
            <w:vAlign w:val="bottom"/>
          </w:tcPr>
          <w:p>
            <w:pPr>
              <w:spacing w:after="0"/>
              <w:rPr>
                <w:sz w:val="17"/>
                <w:szCs w:val="1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1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176,728</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4,415,023</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2"/>
          </w:tcPr>
          <w:p>
            <w:pPr>
              <w:ind w:left="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264.6</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40" w:type="dxa"/>
            <w:vAlign w:val="bottom"/>
            <w:gridSpan w:val="2"/>
          </w:tcPr>
          <w:p>
            <w:pPr>
              <w:jc w:val="center"/>
              <w:ind w:left="346"/>
              <w:spacing w:after="0"/>
              <w:rPr>
                <w:sz w:val="20"/>
                <w:szCs w:val="20"/>
                <w:color w:val="auto"/>
              </w:rPr>
            </w:pPr>
            <w:r>
              <w:rPr>
                <w:rFonts w:ascii="Times New Roman" w:cs="Times New Roman" w:eastAsia="Times New Roman" w:hAnsi="Times New Roman"/>
                <w:sz w:val="17"/>
                <w:szCs w:val="17"/>
                <w:color w:val="0000FF"/>
                <w:w w:val="98"/>
              </w:rPr>
              <w:t>04/23/2026</w:t>
            </w: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86,822</w:t>
            </w:r>
          </w:p>
        </w:tc>
        <w:tc>
          <w:tcPr>
            <w:tcW w:w="5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vMerge w:val="continue"/>
          </w:tcPr>
          <w:p>
            <w:pPr>
              <w:spacing w:after="0"/>
              <w:rPr>
                <w:sz w:val="17"/>
                <w:szCs w:val="17"/>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4,328,201</w:t>
            </w:r>
          </w:p>
        </w:tc>
        <w:tc>
          <w:tcPr>
            <w:tcW w:w="44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9"/>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3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8"/>
          </w:tcPr>
          <w:p>
            <w:pPr>
              <w:jc w:val="center"/>
              <w:ind w:left="64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Form:</w:t>
            </w:r>
          </w:p>
        </w:tc>
        <w:tc>
          <w:tcPr>
            <w:tcW w:w="300" w:type="dxa"/>
            <w:vAlign w:val="bottom"/>
          </w:tcPr>
          <w:p>
            <w:pPr>
              <w:spacing w:after="0"/>
              <w:rPr>
                <w:sz w:val="11"/>
                <w:szCs w:val="11"/>
                <w:color w:val="auto"/>
              </w:rPr>
            </w:pP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jc w:val="center"/>
              <w:ind w:right="279"/>
              <w:spacing w:after="0" w:line="129" w:lineRule="exact"/>
              <w:rPr>
                <w:sz w:val="20"/>
                <w:szCs w:val="20"/>
                <w:color w:val="auto"/>
              </w:rPr>
            </w:pPr>
            <w:r>
              <w:rPr>
                <w:rFonts w:ascii="Arial" w:cs="Arial" w:eastAsia="Arial" w:hAnsi="Arial"/>
                <w:sz w:val="12"/>
                <w:szCs w:val="12"/>
                <w:b w:val="1"/>
                <w:bCs w:val="1"/>
                <w:color w:val="auto"/>
                <w:w w:val="99"/>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260</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04/23/2026</w:t>
            </w:r>
          </w:p>
        </w:tc>
        <w:tc>
          <w:tcPr>
            <w:tcW w:w="114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12"/>
                <w:szCs w:val="12"/>
                <w:color w:val="auto"/>
              </w:rPr>
            </w:pPr>
          </w:p>
        </w:tc>
        <w:tc>
          <w:tcPr>
            <w:tcW w:w="66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0000FF"/>
              </w:rPr>
              <w:t>2</w:t>
            </w:r>
          </w:p>
        </w:tc>
        <w:tc>
          <w:tcPr>
            <w:tcW w:w="800" w:type="dxa"/>
            <w:vAlign w:val="bottom"/>
          </w:tcPr>
          <w:p>
            <w:pPr>
              <w:jc w:val="center"/>
              <w:ind w:left="19"/>
              <w:spacing w:after="0"/>
              <w:rPr>
                <w:sz w:val="20"/>
                <w:szCs w:val="20"/>
                <w:color w:val="auto"/>
              </w:rPr>
            </w:pPr>
            <w:r>
              <w:rPr>
                <w:rFonts w:ascii="Times New Roman" w:cs="Times New Roman" w:eastAsia="Times New Roman" w:hAnsi="Times New Roman"/>
                <w:sz w:val="11"/>
                <w:szCs w:val="11"/>
                <w:color w:val="008000"/>
                <w:w w:val="93"/>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05/08/2026</w:t>
            </w:r>
          </w:p>
        </w:tc>
        <w:tc>
          <w:tcPr>
            <w:tcW w:w="5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200</w:t>
            </w: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340" w:type="dxa"/>
            <w:vAlign w:val="bottom"/>
          </w:tcPr>
          <w:p>
            <w:pPr>
              <w:spacing w:after="0"/>
              <w:rPr>
                <w:sz w:val="12"/>
                <w:szCs w:val="12"/>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w:t>
            </w:r>
          </w:p>
        </w:tc>
        <w:tc>
          <w:tcPr>
            <w:tcW w:w="54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rPr>
              <w:t>I</w:t>
            </w:r>
          </w:p>
        </w:tc>
        <w:tc>
          <w:tcPr>
            <w:tcW w:w="30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8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0" w:type="dxa"/>
            <w:vAlign w:val="bottom"/>
            <w:tcBorders>
              <w:bottom w:val="single" w:sz="8" w:color="808080"/>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808080"/>
            </w:tcBorders>
          </w:tcPr>
          <w:p>
            <w:pPr>
              <w:spacing w:after="0"/>
              <w:rPr>
                <w:sz w:val="20"/>
                <w:szCs w:val="20"/>
                <w:color w:val="auto"/>
              </w:rPr>
            </w:pPr>
          </w:p>
        </w:tc>
        <w:tc>
          <w:tcPr>
            <w:tcW w:w="1040" w:type="dxa"/>
            <w:vAlign w:val="bottom"/>
            <w:tcBorders>
              <w:bottom w:val="single" w:sz="8" w:color="808080"/>
            </w:tcBorders>
          </w:tcPr>
          <w:p>
            <w:pPr>
              <w:spacing w:after="0"/>
              <w:rPr>
                <w:sz w:val="20"/>
                <w:szCs w:val="20"/>
                <w:color w:val="auto"/>
              </w:rPr>
            </w:pPr>
          </w:p>
        </w:tc>
        <w:tc>
          <w:tcPr>
            <w:tcW w:w="114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66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5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74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gridSpan w:val="3"/>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-2198370</wp:posOffset>
            </wp:positionV>
            <wp:extent cx="29210" cy="2247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 cy="2247900"/>
                    </a:xfrm>
                    <a:prstGeom prst="rect">
                      <a:avLst/>
                    </a:prstGeom>
                    <a:noFill/>
                  </pic:spPr>
                </pic:pic>
              </a:graphicData>
            </a:graphic>
          </wp:anchor>
        </w:drawing>
      </w:r>
    </w:p>
    <w:p>
      <w:pPr>
        <w:sectPr>
          <w:pgSz w:w="11900" w:h="16838" w:orient="portrait"/>
          <w:cols w:equalWidth="0" w:num="1">
            <w:col w:w="11080"/>
          </w:cols>
          <w:pgMar w:left="460" w:top="191" w:right="35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260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rPr>
              <w:t>10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27.34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rPr>
              <w:t>10</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7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2</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2</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14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334"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8</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64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300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30.28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4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310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26.39</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3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440" w:type="dxa"/>
            <w:vAlign w:val="bottom"/>
            <w:vMerge w:val="restart"/>
          </w:tcPr>
          <w:p>
            <w:pPr>
              <w:jc w:val="right"/>
              <w:ind w:right="196"/>
              <w:spacing w:after="0" w:line="142" w:lineRule="exact"/>
              <w:rPr>
                <w:sz w:val="20"/>
                <w:szCs w:val="20"/>
                <w:color w:val="auto"/>
              </w:rPr>
            </w:pPr>
            <w:r>
              <w:rPr>
                <w:rFonts w:ascii="Times New Roman" w:cs="Times New Roman" w:eastAsia="Times New Roman" w:hAnsi="Times New Roman"/>
                <w:sz w:val="13"/>
                <w:szCs w:val="13"/>
                <w:color w:val="0000FF"/>
                <w:w w:val="81"/>
              </w:rPr>
              <w:t>220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32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700" w:type="dxa"/>
            <w:vAlign w:val="bottom"/>
            <w:tcBorders>
              <w:bottom w:val="single" w:sz="8" w:color="808080"/>
            </w:tcBorders>
          </w:tcPr>
          <w:p>
            <w:pPr>
              <w:spacing w:after="0"/>
              <w:rPr>
                <w:sz w:val="2"/>
                <w:szCs w:val="2"/>
                <w:color w:val="auto"/>
              </w:rPr>
            </w:pPr>
          </w:p>
        </w:tc>
        <w:tc>
          <w:tcPr>
            <w:tcW w:w="320" w:type="dxa"/>
            <w:vAlign w:val="bottom"/>
            <w:tcBorders>
              <w:bottom w:val="single" w:sz="8" w:color="808080"/>
            </w:tcBorders>
          </w:tcPr>
          <w:p>
            <w:pPr>
              <w:spacing w:after="0"/>
              <w:rPr>
                <w:sz w:val="2"/>
                <w:szCs w:val="2"/>
                <w:color w:val="auto"/>
              </w:rPr>
            </w:pPr>
          </w:p>
        </w:tc>
        <w:tc>
          <w:tcPr>
            <w:tcW w:w="440" w:type="dxa"/>
            <w:vAlign w:val="bottom"/>
            <w:tcBorders>
              <w:bottom w:val="single" w:sz="8" w:color="808080"/>
            </w:tcBorders>
          </w:tcPr>
          <w:p>
            <w:pPr>
              <w:spacing w:after="0"/>
              <w:rPr>
                <w:sz w:val="2"/>
                <w:szCs w:val="2"/>
                <w:color w:val="auto"/>
              </w:rPr>
            </w:pPr>
          </w:p>
        </w:tc>
        <w:tc>
          <w:tcPr>
            <w:tcW w:w="1080" w:type="dxa"/>
            <w:vAlign w:val="bottom"/>
            <w:tcBorders>
              <w:bottom w:val="single" w:sz="8" w:color="808080"/>
            </w:tcBorders>
          </w:tcPr>
          <w:p>
            <w:pPr>
              <w:spacing w:after="0"/>
              <w:rPr>
                <w:sz w:val="2"/>
                <w:szCs w:val="2"/>
                <w:color w:val="auto"/>
              </w:rPr>
            </w:pPr>
          </w:p>
        </w:tc>
        <w:tc>
          <w:tcPr>
            <w:tcW w:w="110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52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94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8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273"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5670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046595" cy="56705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220</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04/23/2026</w:t>
            </w: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3"/>
                <w:szCs w:val="13"/>
                <w:color w:val="0000FF"/>
              </w:rPr>
              <w:t>1</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04/24/2026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100</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20.06</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00FF"/>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78"/>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7"/>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person is the beneficial owner of such securities for purposes of Section 16 or for any other purpose.</w:t>
      </w:r>
    </w:p>
    <w:p>
      <w:pPr>
        <w:spacing w:after="0" w:line="28" w:lineRule="exact"/>
        <w:rPr>
          <w:rFonts w:ascii="Times New Roman" w:cs="Times New Roman" w:eastAsia="Times New Roman" w:hAnsi="Times New Roman"/>
          <w:sz w:val="13"/>
          <w:szCs w:val="13"/>
          <w:color w:val="008000"/>
        </w:rPr>
      </w:pPr>
    </w:p>
    <w:p>
      <w:pPr>
        <w:ind w:left="40" w:right="4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 none of which are a matchable transaction for purposes of Section 16 of the Securities Exchange Act of 1934, as amended, because Oceana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40" w:right="1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 none of which are a matchable transaction for purposes of Section 16 of the Securities Exchange Act of 1934, as amended, because Pentwater Credit Master Fund Ltd. has not purchased any shares of Common Stock since the Reporting Persons became subject to Section 16 of the Securities Exchange Act of 1934, as amended.</w:t>
      </w:r>
    </w:p>
    <w:p>
      <w:pPr>
        <w:spacing w:after="0" w:line="17" w:lineRule="exact"/>
        <w:rPr>
          <w:rFonts w:ascii="Times New Roman" w:cs="Times New Roman" w:eastAsia="Times New Roman" w:hAnsi="Times New Roman"/>
          <w:sz w:val="13"/>
          <w:szCs w:val="13"/>
          <w:color w:val="008000"/>
        </w:rPr>
      </w:pPr>
    </w:p>
    <w:p>
      <w:pPr>
        <w:ind w:left="40" w:right="1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 none of which are a matchable transaction for purposes of Section 16 of the Securities Exchange Act of 1934, as amended, because LMA SPC for and on behalf of the MAP 98 Segregated Portfolio has not purchased any shares of Common Stock since the Reporting Persons became subject to Section 16 of the Securities Exchange Act of 1934, as amended.</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 of which sales of 20,000 shares of Common Stock reported herein are matchable, for purposes of Section 16(b) of the Securities Exchange Act of 1934, as amended, against Pentwater Equity Opportunities Master Fund Ltd.'s deemed purchases of (i) 10,000 shares of Common Stock on March 4, 2026, and (ii) 10,000 shares of Common Stock on March 6,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40" w:right="34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 of which sales of 25,000 shares of Common Stock reported herein are matchable, for purposes of Section 16(b) of the Securities Exchange Act of 1934, as amended, against Crown Managed Accounts SPC acting for and on behalf of Crown/PW Segregated Portfolio's deemed purchase of 25,000 shares of Common Stock on March 4,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jc w:val="both"/>
        <w:ind w:left="40" w:right="180" w:firstLine="2"/>
        <w:spacing w:after="0" w:line="237"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 of which sales of 49,000 shares of Common Stock reported herein are matchable, for purposes of Section 16(b) of the Securities Exchange Act of 1934, as amended, against Pentwater Merger Arbitrage Master Fund Ltd.'s deemed purchases of (i) 30,000 shares of Common Stock on March 6, 2026, and (ii) 19,000 shares of Common Stock on March 9,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2 of 6.</w:t>
      </w:r>
    </w:p>
    <w:p>
      <w:pPr>
        <w:sectPr>
          <w:pgSz w:w="11900" w:h="16838" w:orient="portrait"/>
          <w:cols w:equalWidth="0" w:num="1">
            <w:col w:w="11080"/>
          </w:cols>
          <w:pgMar w:left="460" w:top="191" w:right="359" w:bottom="70" w:gutter="0" w:footer="0" w:header="0"/>
        </w:sectPr>
      </w:pP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886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9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15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56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5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191" w:right="359" w:bottom="7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7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21"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2026-04-28T18:51:40Z</dcterms:created>
  <dcterms:modified xsi:type="dcterms:W3CDTF">2026-04-28T18:51:40Z</dcterms:modified>
</cp:coreProperties>
</file>