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429260</wp:posOffset>
            </wp:positionV>
            <wp:extent cx="7089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454660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263525</wp:posOffset>
            </wp:positionV>
            <wp:extent cx="1448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2851150</wp:posOffset>
            </wp:positionH>
            <wp:positionV relativeFrom="paragraph">
              <wp:posOffset>291465</wp:posOffset>
            </wp:positionV>
            <wp:extent cx="1448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843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left="3880" w:right="1820" w:hanging="2032"/>
        <w:spacing w:after="0" w:line="475" w:lineRule="auto"/>
        <w:tabs>
          <w:tab w:leader="none" w:pos="2013"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QUARTERLY REPORT PURSUANT TO SECTION 13 OR 15(d) OF THE SECURITIES EXCHANGE ACT OF 1934 For the quarterly period ended September 30, 2024</w:t>
      </w:r>
    </w:p>
    <w:p>
      <w:pPr>
        <w:spacing w:after="0" w:line="6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jc w:val="center"/>
        <w:ind w:left="4080" w:right="1820" w:hanging="2231"/>
        <w:spacing w:after="0" w:line="495" w:lineRule="auto"/>
        <w:tabs>
          <w:tab w:leader="none" w:pos="2019"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38" w:lineRule="exact"/>
        <w:rPr>
          <w:sz w:val="24"/>
          <w:szCs w:val="24"/>
          <w:color w:val="auto"/>
        </w:rPr>
      </w:pPr>
    </w:p>
    <w:tbl>
      <w:tblPr>
        <w:tblLayout w:type="fixed"/>
        <w:tblInd w:w="580" w:type="dxa"/>
        <w:tblCellMar>
          <w:top w:w="0" w:type="dxa"/>
          <w:left w:w="0" w:type="dxa"/>
          <w:bottom w:w="0" w:type="dxa"/>
          <w:right w:w="0" w:type="dxa"/>
        </w:tblCellMar>
      </w:tblPr>
      <w:tr>
        <w:trPr>
          <w:trHeight w:val="196"/>
        </w:trPr>
        <w:tc>
          <w:tcPr>
            <w:tcW w:w="28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Commission File No. 001-10308</w:t>
            </w:r>
          </w:p>
        </w:tc>
        <w:tc>
          <w:tcPr>
            <w:tcW w:w="3280" w:type="dxa"/>
            <w:vAlign w:val="bottom"/>
          </w:tcPr>
          <w:p>
            <w:pPr>
              <w:spacing w:after="0"/>
              <w:rPr>
                <w:sz w:val="17"/>
                <w:szCs w:val="17"/>
                <w:color w:val="auto"/>
              </w:rPr>
            </w:pPr>
          </w:p>
        </w:tc>
      </w:tr>
      <w:tr>
        <w:trPr>
          <w:trHeight w:val="393"/>
        </w:trPr>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tcPr>
          <w:p>
            <w:pPr>
              <w:spacing w:after="0"/>
              <w:rPr>
                <w:sz w:val="24"/>
                <w:szCs w:val="24"/>
                <w:color w:val="auto"/>
              </w:rPr>
            </w:pPr>
          </w:p>
        </w:tc>
      </w:tr>
      <w:tr>
        <w:trPr>
          <w:trHeight w:val="614"/>
        </w:trPr>
        <w:tc>
          <w:tcPr>
            <w:tcW w:w="2840" w:type="dxa"/>
            <w:vAlign w:val="bottom"/>
          </w:tcPr>
          <w:p>
            <w:pPr>
              <w:spacing w:after="0"/>
              <w:rPr>
                <w:sz w:val="24"/>
                <w:szCs w:val="24"/>
                <w:color w:val="auto"/>
              </w:rPr>
            </w:pPr>
          </w:p>
        </w:tc>
        <w:tc>
          <w:tcPr>
            <w:tcW w:w="4260" w:type="dxa"/>
            <w:vAlign w:val="bottom"/>
            <w:gridSpan w:val="3"/>
          </w:tcPr>
          <w:p>
            <w:pPr>
              <w:jc w:val="center"/>
              <w:ind w:left="77"/>
              <w:spacing w:after="0"/>
              <w:rPr>
                <w:sz w:val="20"/>
                <w:szCs w:val="20"/>
                <w:color w:val="auto"/>
              </w:rPr>
            </w:pPr>
            <w:r>
              <w:rPr>
                <w:rFonts w:ascii="Arial" w:cs="Arial" w:eastAsia="Arial" w:hAnsi="Arial"/>
                <w:sz w:val="25"/>
                <w:szCs w:val="25"/>
                <w:b w:val="1"/>
                <w:bCs w:val="1"/>
                <w:color w:val="auto"/>
              </w:rPr>
              <w:t>Avis Budget Group, Inc.</w:t>
            </w:r>
          </w:p>
        </w:tc>
        <w:tc>
          <w:tcPr>
            <w:tcW w:w="3280" w:type="dxa"/>
            <w:vAlign w:val="bottom"/>
          </w:tcPr>
          <w:p>
            <w:pPr>
              <w:spacing w:after="0"/>
              <w:rPr>
                <w:sz w:val="24"/>
                <w:szCs w:val="24"/>
                <w:color w:val="auto"/>
              </w:rPr>
            </w:pPr>
          </w:p>
        </w:tc>
      </w:tr>
      <w:tr>
        <w:trPr>
          <w:trHeight w:val="350"/>
        </w:trPr>
        <w:tc>
          <w:tcPr>
            <w:tcW w:w="2840" w:type="dxa"/>
            <w:vAlign w:val="bottom"/>
          </w:tcPr>
          <w:p>
            <w:pPr>
              <w:spacing w:after="0"/>
              <w:rPr>
                <w:sz w:val="24"/>
                <w:szCs w:val="24"/>
                <w:color w:val="auto"/>
              </w:rPr>
            </w:pPr>
          </w:p>
        </w:tc>
        <w:tc>
          <w:tcPr>
            <w:tcW w:w="4260" w:type="dxa"/>
            <w:vAlign w:val="bottom"/>
            <w:gridSpan w:val="3"/>
          </w:tcPr>
          <w:p>
            <w:pPr>
              <w:jc w:val="center"/>
              <w:ind w:left="37"/>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c>
          <w:tcPr>
            <w:tcW w:w="3280" w:type="dxa"/>
            <w:vAlign w:val="bottom"/>
          </w:tcPr>
          <w:p>
            <w:pPr>
              <w:spacing w:after="0"/>
              <w:rPr>
                <w:sz w:val="24"/>
                <w:szCs w:val="24"/>
                <w:color w:val="auto"/>
              </w:rPr>
            </w:pPr>
          </w:p>
        </w:tc>
      </w:tr>
      <w:tr>
        <w:trPr>
          <w:trHeight w:val="338"/>
        </w:trPr>
        <w:tc>
          <w:tcPr>
            <w:tcW w:w="2840" w:type="dxa"/>
            <w:vAlign w:val="bottom"/>
          </w:tcPr>
          <w:p>
            <w:pPr>
              <w:jc w:val="center"/>
              <w:ind w:right="328"/>
              <w:spacing w:after="0"/>
              <w:rPr>
                <w:sz w:val="20"/>
                <w:szCs w:val="20"/>
                <w:color w:val="auto"/>
              </w:rPr>
            </w:pPr>
            <w:r>
              <w:rPr>
                <w:rFonts w:ascii="Arial" w:cs="Arial" w:eastAsia="Arial" w:hAnsi="Arial"/>
                <w:sz w:val="14"/>
                <w:szCs w:val="14"/>
                <w:b w:val="1"/>
                <w:bCs w:val="1"/>
                <w:color w:val="auto"/>
              </w:rPr>
              <w:t>Delaware</w:t>
            </w:r>
          </w:p>
        </w:tc>
        <w:tc>
          <w:tcPr>
            <w:tcW w:w="106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tcPr>
          <w:p>
            <w:pPr>
              <w:jc w:val="right"/>
              <w:ind w:right="1068"/>
              <w:spacing w:after="0"/>
              <w:rPr>
                <w:sz w:val="20"/>
                <w:szCs w:val="20"/>
                <w:color w:val="auto"/>
              </w:rPr>
            </w:pPr>
            <w:r>
              <w:rPr>
                <w:rFonts w:ascii="Arial" w:cs="Arial" w:eastAsia="Arial" w:hAnsi="Arial"/>
                <w:sz w:val="14"/>
                <w:szCs w:val="14"/>
                <w:b w:val="1"/>
                <w:bCs w:val="1"/>
                <w:color w:val="auto"/>
              </w:rPr>
              <w:t>06-0918165</w:t>
            </w:r>
          </w:p>
        </w:tc>
      </w:tr>
      <w:tr>
        <w:trPr>
          <w:trHeight w:val="157"/>
        </w:trPr>
        <w:tc>
          <w:tcPr>
            <w:tcW w:w="2840" w:type="dxa"/>
            <w:vAlign w:val="bottom"/>
          </w:tcPr>
          <w:p>
            <w:pPr>
              <w:jc w:val="center"/>
              <w:ind w:right="32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106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80" w:type="dxa"/>
            <w:vAlign w:val="bottom"/>
          </w:tcPr>
          <w:p>
            <w:pPr>
              <w:jc w:val="center"/>
              <w:ind w:left="16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7"/>
        </w:trPr>
        <w:tc>
          <w:tcPr>
            <w:tcW w:w="2840" w:type="dxa"/>
            <w:vAlign w:val="bottom"/>
          </w:tcPr>
          <w:p>
            <w:pPr>
              <w:jc w:val="center"/>
              <w:ind w:right="328"/>
              <w:spacing w:after="0"/>
              <w:rPr>
                <w:sz w:val="20"/>
                <w:szCs w:val="20"/>
                <w:color w:val="auto"/>
              </w:rPr>
            </w:pPr>
            <w:r>
              <w:rPr>
                <w:rFonts w:ascii="Arial" w:cs="Arial" w:eastAsia="Arial" w:hAnsi="Arial"/>
                <w:sz w:val="14"/>
                <w:szCs w:val="14"/>
                <w:i w:val="1"/>
                <w:iCs w:val="1"/>
                <w:color w:val="auto"/>
              </w:rPr>
              <w:t>incorporation or organization)</w:t>
            </w:r>
          </w:p>
        </w:tc>
        <w:tc>
          <w:tcPr>
            <w:tcW w:w="10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80" w:type="dxa"/>
            <w:vAlign w:val="bottom"/>
          </w:tcPr>
          <w:p>
            <w:pPr>
              <w:jc w:val="center"/>
              <w:ind w:left="168"/>
              <w:spacing w:after="0"/>
              <w:rPr>
                <w:sz w:val="20"/>
                <w:szCs w:val="20"/>
                <w:color w:val="auto"/>
              </w:rPr>
            </w:pPr>
            <w:r>
              <w:rPr>
                <w:rFonts w:ascii="Arial" w:cs="Arial" w:eastAsia="Arial" w:hAnsi="Arial"/>
                <w:sz w:val="14"/>
                <w:szCs w:val="14"/>
                <w:i w:val="1"/>
                <w:iCs w:val="1"/>
                <w:color w:val="auto"/>
              </w:rPr>
              <w:t>Identification Number)</w:t>
            </w:r>
          </w:p>
        </w:tc>
      </w:tr>
      <w:tr>
        <w:trPr>
          <w:trHeight w:val="196"/>
        </w:trPr>
        <w:tc>
          <w:tcPr>
            <w:tcW w:w="2840" w:type="dxa"/>
            <w:vAlign w:val="bottom"/>
          </w:tcPr>
          <w:p>
            <w:pPr>
              <w:jc w:val="center"/>
              <w:ind w:right="308"/>
              <w:spacing w:after="0"/>
              <w:rPr>
                <w:sz w:val="20"/>
                <w:szCs w:val="20"/>
                <w:color w:val="auto"/>
              </w:rPr>
            </w:pPr>
            <w:r>
              <w:rPr>
                <w:rFonts w:ascii="Arial" w:cs="Arial" w:eastAsia="Arial" w:hAnsi="Arial"/>
                <w:sz w:val="14"/>
                <w:szCs w:val="14"/>
                <w:b w:val="1"/>
                <w:bCs w:val="1"/>
                <w:color w:val="auto"/>
              </w:rPr>
              <w:t>379 Interpace Parkway</w:t>
            </w:r>
          </w:p>
        </w:tc>
        <w:tc>
          <w:tcPr>
            <w:tcW w:w="1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80" w:type="dxa"/>
            <w:vAlign w:val="bottom"/>
          </w:tcPr>
          <w:p>
            <w:pPr>
              <w:spacing w:after="0"/>
              <w:rPr>
                <w:sz w:val="17"/>
                <w:szCs w:val="17"/>
                <w:color w:val="auto"/>
              </w:rPr>
            </w:pPr>
          </w:p>
        </w:tc>
      </w:tr>
      <w:tr>
        <w:trPr>
          <w:trHeight w:val="203"/>
        </w:trPr>
        <w:tc>
          <w:tcPr>
            <w:tcW w:w="2840" w:type="dxa"/>
            <w:vAlign w:val="bottom"/>
          </w:tcPr>
          <w:p>
            <w:pPr>
              <w:jc w:val="center"/>
              <w:ind w:right="328"/>
              <w:spacing w:after="0"/>
              <w:rPr>
                <w:sz w:val="20"/>
                <w:szCs w:val="20"/>
                <w:color w:val="auto"/>
              </w:rPr>
            </w:pPr>
            <w:r>
              <w:rPr>
                <w:rFonts w:ascii="Arial" w:cs="Arial" w:eastAsia="Arial" w:hAnsi="Arial"/>
                <w:sz w:val="14"/>
                <w:szCs w:val="14"/>
                <w:b w:val="1"/>
                <w:bCs w:val="1"/>
                <w:color w:val="auto"/>
              </w:rPr>
              <w:t>Parsippany, NJ</w:t>
            </w:r>
          </w:p>
        </w:tc>
        <w:tc>
          <w:tcPr>
            <w:tcW w:w="1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80" w:type="dxa"/>
            <w:vAlign w:val="bottom"/>
          </w:tcPr>
          <w:p>
            <w:pPr>
              <w:jc w:val="right"/>
              <w:ind w:right="1248"/>
              <w:spacing w:after="0"/>
              <w:rPr>
                <w:sz w:val="20"/>
                <w:szCs w:val="20"/>
                <w:color w:val="auto"/>
              </w:rPr>
            </w:pPr>
            <w:r>
              <w:rPr>
                <w:rFonts w:ascii="Arial" w:cs="Arial" w:eastAsia="Arial" w:hAnsi="Arial"/>
                <w:sz w:val="14"/>
                <w:szCs w:val="14"/>
                <w:b w:val="1"/>
                <w:bCs w:val="1"/>
                <w:color w:val="auto"/>
              </w:rPr>
              <w:t>07054</w:t>
            </w:r>
          </w:p>
        </w:tc>
      </w:tr>
      <w:tr>
        <w:trPr>
          <w:trHeight w:val="196"/>
        </w:trPr>
        <w:tc>
          <w:tcPr>
            <w:tcW w:w="2840" w:type="dxa"/>
            <w:vAlign w:val="bottom"/>
          </w:tcPr>
          <w:p>
            <w:pPr>
              <w:jc w:val="center"/>
              <w:ind w:right="308"/>
              <w:spacing w:after="0"/>
              <w:rPr>
                <w:sz w:val="20"/>
                <w:szCs w:val="20"/>
                <w:color w:val="auto"/>
              </w:rPr>
            </w:pPr>
            <w:r>
              <w:rPr>
                <w:rFonts w:ascii="Arial" w:cs="Arial" w:eastAsia="Arial" w:hAnsi="Arial"/>
                <w:sz w:val="14"/>
                <w:szCs w:val="14"/>
                <w:i w:val="1"/>
                <w:iCs w:val="1"/>
                <w:color w:val="auto"/>
              </w:rPr>
              <w:t>(Address of principal executive offices)</w:t>
            </w:r>
          </w:p>
        </w:tc>
        <w:tc>
          <w:tcPr>
            <w:tcW w:w="106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80" w:type="dxa"/>
            <w:vAlign w:val="bottom"/>
          </w:tcPr>
          <w:p>
            <w:pPr>
              <w:jc w:val="center"/>
              <w:ind w:left="168"/>
              <w:spacing w:after="0"/>
              <w:rPr>
                <w:sz w:val="20"/>
                <w:szCs w:val="20"/>
                <w:color w:val="auto"/>
              </w:rPr>
            </w:pPr>
            <w:r>
              <w:rPr>
                <w:rFonts w:ascii="Arial" w:cs="Arial" w:eastAsia="Arial" w:hAnsi="Arial"/>
                <w:sz w:val="14"/>
                <w:szCs w:val="14"/>
                <w:i w:val="1"/>
                <w:iCs w:val="1"/>
                <w:color w:val="auto"/>
              </w:rPr>
              <w:t>(Zip Code)</w:t>
            </w:r>
          </w:p>
        </w:tc>
      </w:tr>
      <w:tr>
        <w:trPr>
          <w:trHeight w:val="209"/>
        </w:trPr>
        <w:tc>
          <w:tcPr>
            <w:tcW w:w="2840" w:type="dxa"/>
            <w:vAlign w:val="bottom"/>
          </w:tcPr>
          <w:p>
            <w:pPr>
              <w:spacing w:after="0"/>
              <w:rPr>
                <w:sz w:val="18"/>
                <w:szCs w:val="18"/>
                <w:color w:val="auto"/>
              </w:rPr>
            </w:pPr>
          </w:p>
        </w:tc>
        <w:tc>
          <w:tcPr>
            <w:tcW w:w="3360" w:type="dxa"/>
            <w:vAlign w:val="bottom"/>
            <w:gridSpan w:val="2"/>
          </w:tcPr>
          <w:p>
            <w:pPr>
              <w:jc w:val="center"/>
              <w:ind w:left="937"/>
              <w:spacing w:after="0"/>
              <w:rPr>
                <w:sz w:val="20"/>
                <w:szCs w:val="20"/>
                <w:color w:val="auto"/>
              </w:rPr>
            </w:pPr>
            <w:r>
              <w:rPr>
                <w:rFonts w:ascii="Arial" w:cs="Arial" w:eastAsia="Arial" w:hAnsi="Arial"/>
                <w:sz w:val="14"/>
                <w:szCs w:val="14"/>
                <w:b w:val="1"/>
                <w:bCs w:val="1"/>
                <w:color w:val="auto"/>
              </w:rPr>
              <w:t>(973) 496-4700</w:t>
            </w:r>
          </w:p>
        </w:tc>
        <w:tc>
          <w:tcPr>
            <w:tcW w:w="900" w:type="dxa"/>
            <w:vAlign w:val="bottom"/>
          </w:tcPr>
          <w:p>
            <w:pPr>
              <w:spacing w:after="0"/>
              <w:rPr>
                <w:sz w:val="18"/>
                <w:szCs w:val="18"/>
                <w:color w:val="auto"/>
              </w:rPr>
            </w:pPr>
          </w:p>
        </w:tc>
        <w:tc>
          <w:tcPr>
            <w:tcW w:w="3280" w:type="dxa"/>
            <w:vAlign w:val="bottom"/>
          </w:tcPr>
          <w:p>
            <w:pPr>
              <w:spacing w:after="0"/>
              <w:rPr>
                <w:sz w:val="18"/>
                <w:szCs w:val="18"/>
                <w:color w:val="auto"/>
              </w:rPr>
            </w:pPr>
          </w:p>
        </w:tc>
      </w:tr>
      <w:tr>
        <w:trPr>
          <w:trHeight w:val="196"/>
        </w:trPr>
        <w:tc>
          <w:tcPr>
            <w:tcW w:w="2840" w:type="dxa"/>
            <w:vAlign w:val="bottom"/>
          </w:tcPr>
          <w:p>
            <w:pPr>
              <w:spacing w:after="0"/>
              <w:rPr>
                <w:sz w:val="17"/>
                <w:szCs w:val="17"/>
                <w:color w:val="auto"/>
              </w:rPr>
            </w:pPr>
          </w:p>
        </w:tc>
        <w:tc>
          <w:tcPr>
            <w:tcW w:w="4260" w:type="dxa"/>
            <w:vAlign w:val="bottom"/>
            <w:gridSpan w:val="3"/>
          </w:tcPr>
          <w:p>
            <w:pPr>
              <w:jc w:val="center"/>
              <w:ind w:left="57"/>
              <w:spacing w:after="0"/>
              <w:rPr>
                <w:sz w:val="20"/>
                <w:szCs w:val="20"/>
                <w:color w:val="auto"/>
              </w:rPr>
            </w:pPr>
            <w:r>
              <w:rPr>
                <w:rFonts w:ascii="Arial" w:cs="Arial" w:eastAsia="Arial" w:hAnsi="Arial"/>
                <w:sz w:val="14"/>
                <w:szCs w:val="14"/>
                <w:color w:val="auto"/>
              </w:rPr>
              <w:t>(Registrant’s telephone number, including area code)</w:t>
            </w:r>
          </w:p>
        </w:tc>
        <w:tc>
          <w:tcPr>
            <w:tcW w:w="3280" w:type="dxa"/>
            <w:vAlign w:val="bottom"/>
          </w:tcPr>
          <w:p>
            <w:pPr>
              <w:spacing w:after="0"/>
              <w:rPr>
                <w:sz w:val="17"/>
                <w:szCs w:val="17"/>
                <w:color w:val="auto"/>
              </w:rPr>
            </w:pPr>
          </w:p>
        </w:tc>
      </w:tr>
      <w:tr>
        <w:trPr>
          <w:trHeight w:val="608"/>
        </w:trPr>
        <w:tc>
          <w:tcPr>
            <w:tcW w:w="2840" w:type="dxa"/>
            <w:vAlign w:val="bottom"/>
          </w:tcPr>
          <w:p>
            <w:pPr>
              <w:spacing w:after="0"/>
              <w:rPr>
                <w:sz w:val="24"/>
                <w:szCs w:val="24"/>
                <w:color w:val="auto"/>
              </w:rPr>
            </w:pPr>
          </w:p>
        </w:tc>
        <w:tc>
          <w:tcPr>
            <w:tcW w:w="4260" w:type="dxa"/>
            <w:vAlign w:val="bottom"/>
            <w:gridSpan w:val="3"/>
          </w:tcPr>
          <w:p>
            <w:pPr>
              <w:jc w:val="center"/>
              <w:ind w:left="77"/>
              <w:spacing w:after="0"/>
              <w:rPr>
                <w:sz w:val="20"/>
                <w:szCs w:val="20"/>
                <w:color w:val="auto"/>
              </w:rPr>
            </w:pPr>
            <w:r>
              <w:rPr>
                <w:rFonts w:ascii="Arial" w:cs="Arial" w:eastAsia="Arial" w:hAnsi="Arial"/>
                <w:sz w:val="14"/>
                <w:szCs w:val="14"/>
                <w:color w:val="auto"/>
              </w:rPr>
              <w:t>Securities registered pursuant to Section 12(b) of the Act:</w:t>
            </w:r>
          </w:p>
        </w:tc>
        <w:tc>
          <w:tcPr>
            <w:tcW w:w="3280" w:type="dxa"/>
            <w:vAlign w:val="bottom"/>
          </w:tcPr>
          <w:p>
            <w:pPr>
              <w:spacing w:after="0"/>
              <w:rPr>
                <w:sz w:val="24"/>
                <w:szCs w:val="24"/>
                <w:color w:val="auto"/>
              </w:rPr>
            </w:pPr>
          </w:p>
        </w:tc>
      </w:tr>
      <w:tr>
        <w:trPr>
          <w:trHeight w:val="222"/>
        </w:trPr>
        <w:tc>
          <w:tcPr>
            <w:tcW w:w="2840" w:type="dxa"/>
            <w:vAlign w:val="bottom"/>
          </w:tcPr>
          <w:p>
            <w:pPr>
              <w:jc w:val="center"/>
              <w:ind w:right="328"/>
              <w:spacing w:after="0"/>
              <w:rPr>
                <w:sz w:val="20"/>
                <w:szCs w:val="20"/>
                <w:color w:val="auto"/>
              </w:rPr>
            </w:pPr>
            <w:r>
              <w:rPr>
                <w:rFonts w:ascii="Arial" w:cs="Arial" w:eastAsia="Arial" w:hAnsi="Arial"/>
                <w:sz w:val="14"/>
                <w:szCs w:val="14"/>
                <w:b w:val="1"/>
                <w:bCs w:val="1"/>
                <w:color w:val="auto"/>
              </w:rPr>
              <w:t>Title of each class</w:t>
            </w:r>
          </w:p>
        </w:tc>
        <w:tc>
          <w:tcPr>
            <w:tcW w:w="1060" w:type="dxa"/>
            <w:vAlign w:val="bottom"/>
          </w:tcPr>
          <w:p>
            <w:pPr>
              <w:spacing w:after="0"/>
              <w:rPr>
                <w:sz w:val="19"/>
                <w:szCs w:val="19"/>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rPr>
              <w:t>Trading Symbol(s)</w:t>
            </w:r>
          </w:p>
        </w:tc>
        <w:tc>
          <w:tcPr>
            <w:tcW w:w="3280" w:type="dxa"/>
            <w:vAlign w:val="bottom"/>
          </w:tcPr>
          <w:p>
            <w:pPr>
              <w:jc w:val="center"/>
              <w:ind w:left="168"/>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96"/>
        </w:trPr>
        <w:tc>
          <w:tcPr>
            <w:tcW w:w="2840" w:type="dxa"/>
            <w:vAlign w:val="bottom"/>
          </w:tcPr>
          <w:p>
            <w:pPr>
              <w:jc w:val="center"/>
              <w:ind w:right="328"/>
              <w:spacing w:after="0"/>
              <w:rPr>
                <w:sz w:val="20"/>
                <w:szCs w:val="20"/>
                <w:color w:val="auto"/>
              </w:rPr>
            </w:pPr>
            <w:r>
              <w:rPr>
                <w:rFonts w:ascii="Arial" w:cs="Arial" w:eastAsia="Arial" w:hAnsi="Arial"/>
                <w:sz w:val="14"/>
                <w:szCs w:val="14"/>
                <w:color w:val="auto"/>
              </w:rPr>
              <w:t>Common Stock, Par Value $0.01</w:t>
            </w:r>
          </w:p>
        </w:tc>
        <w:tc>
          <w:tcPr>
            <w:tcW w:w="1060" w:type="dxa"/>
            <w:vAlign w:val="bottom"/>
          </w:tcPr>
          <w:p>
            <w:pPr>
              <w:spacing w:after="0"/>
              <w:rPr>
                <w:sz w:val="17"/>
                <w:szCs w:val="17"/>
                <w:color w:val="auto"/>
              </w:rPr>
            </w:pPr>
          </w:p>
        </w:tc>
        <w:tc>
          <w:tcPr>
            <w:tcW w:w="3200" w:type="dxa"/>
            <w:vAlign w:val="bottom"/>
            <w:gridSpan w:val="2"/>
          </w:tcPr>
          <w:p>
            <w:pPr>
              <w:jc w:val="center"/>
              <w:ind w:right="940"/>
              <w:spacing w:after="0"/>
              <w:rPr>
                <w:sz w:val="20"/>
                <w:szCs w:val="20"/>
                <w:color w:val="auto"/>
              </w:rPr>
            </w:pPr>
            <w:r>
              <w:rPr>
                <w:rFonts w:ascii="Arial" w:cs="Arial" w:eastAsia="Arial" w:hAnsi="Arial"/>
                <w:sz w:val="14"/>
                <w:szCs w:val="14"/>
                <w:color w:val="auto"/>
              </w:rPr>
              <w:t>CAR</w:t>
            </w:r>
          </w:p>
        </w:tc>
        <w:tc>
          <w:tcPr>
            <w:tcW w:w="3280" w:type="dxa"/>
            <w:vAlign w:val="bottom"/>
          </w:tcPr>
          <w:p>
            <w:pPr>
              <w:jc w:val="center"/>
              <w:ind w:left="168"/>
              <w:spacing w:after="0"/>
              <w:rPr>
                <w:sz w:val="20"/>
                <w:szCs w:val="20"/>
                <w:color w:val="auto"/>
              </w:rPr>
            </w:pPr>
            <w:r>
              <w:rPr>
                <w:rFonts w:ascii="Arial" w:cs="Arial" w:eastAsia="Arial" w:hAnsi="Arial"/>
                <w:sz w:val="14"/>
                <w:szCs w:val="14"/>
                <w:color w:val="auto"/>
              </w:rPr>
              <w:t>The Nasdaq Global Select Market</w:t>
            </w:r>
          </w:p>
        </w:tc>
      </w:tr>
    </w:tbl>
    <w:p>
      <w:pPr>
        <w:spacing w:after="0" w:line="200" w:lineRule="exact"/>
        <w:rPr>
          <w:sz w:val="24"/>
          <w:szCs w:val="24"/>
          <w:color w:val="auto"/>
        </w:rPr>
      </w:pPr>
    </w:p>
    <w:p>
      <w:pPr>
        <w:spacing w:after="0" w:line="231" w:lineRule="exact"/>
        <w:rPr>
          <w:sz w:val="24"/>
          <w:szCs w:val="24"/>
          <w:color w:val="auto"/>
        </w:rPr>
      </w:pPr>
    </w:p>
    <w:p>
      <w:pPr>
        <w:ind w:right="80"/>
        <w:spacing w:after="0" w:line="257"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84" w:lineRule="exact"/>
        <w:tabs>
          <w:tab w:leader="none" w:pos="480" w:val="left"/>
          <w:tab w:leader="none" w:pos="1120" w:val="left"/>
        </w:tabs>
        <w:rPr>
          <w:sz w:val="20"/>
          <w:szCs w:val="20"/>
          <w:color w:val="auto"/>
        </w:rPr>
      </w:pPr>
      <w:r>
        <w:rPr>
          <w:rFonts w:ascii="Arial" w:cs="Arial" w:eastAsia="Arial" w:hAnsi="Arial"/>
          <w:sz w:val="14"/>
          <w:szCs w:val="14"/>
          <w:color w:val="auto"/>
        </w:rPr>
        <w:t>days.</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173" w:lineRule="exact"/>
        <w:rPr>
          <w:sz w:val="24"/>
          <w:szCs w:val="24"/>
          <w:color w:val="auto"/>
        </w:rPr>
      </w:pPr>
    </w:p>
    <w:p>
      <w:pPr>
        <w:ind w:right="660"/>
        <w:spacing w:after="0" w:line="19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29"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1440" w:gutter="0" w:footer="0" w:header="0"/>
        </w:sectPr>
      </w:pPr>
    </w:p>
    <w:p>
      <w:pPr>
        <w:spacing w:after="0" w:line="82" w:lineRule="exact"/>
        <w:rPr>
          <w:sz w:val="24"/>
          <w:szCs w:val="24"/>
          <w:color w:val="auto"/>
        </w:rPr>
      </w:pPr>
    </w:p>
    <w:p>
      <w:pPr>
        <w:ind w:left="100" w:right="880"/>
        <w:spacing w:after="0" w:line="412"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90"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62" w:lineRule="exact"/>
        <w:rPr>
          <w:sz w:val="24"/>
          <w:szCs w:val="24"/>
          <w:color w:val="auto"/>
        </w:rPr>
      </w:pPr>
    </w:p>
    <w:p>
      <w:pPr>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8"/>
          <w:szCs w:val="18"/>
          <w:color w:val="auto"/>
        </w:rPr>
        <w:t>☐</w:t>
      </w:r>
    </w:p>
    <w:p>
      <w:pPr>
        <w:spacing w:after="0" w:line="440" w:lineRule="exact"/>
        <w:rPr>
          <w:sz w:val="24"/>
          <w:szCs w:val="24"/>
          <w:color w:val="auto"/>
        </w:rPr>
      </w:pPr>
    </w:p>
    <w:p>
      <w:pPr>
        <w:sectPr>
          <w:pgSz w:w="11900" w:h="16838" w:orient="portrait"/>
          <w:cols w:equalWidth="0" w:num="6">
            <w:col w:w="2780" w:space="720"/>
            <w:col w:w="180" w:space="100"/>
            <w:col w:w="2700" w:space="720"/>
            <w:col w:w="180" w:space="100"/>
            <w:col w:w="2700" w:space="720"/>
            <w:col w:w="320"/>
          </w:cols>
          <w:pgMar w:left="320" w:top="229" w:right="359" w:bottom="1440" w:gutter="0" w:footer="0" w:header="0"/>
          <w:type w:val="continuous"/>
        </w:sectPr>
      </w:pPr>
    </w:p>
    <w:p>
      <w:pPr>
        <w:ind w:right="280"/>
        <w:spacing w:after="0" w:line="20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74" w:lineRule="exact"/>
        <w:rPr>
          <w:sz w:val="24"/>
          <w:szCs w:val="24"/>
          <w:color w:val="auto"/>
        </w:rPr>
      </w:pPr>
    </w:p>
    <w:p>
      <w:pPr>
        <w:spacing w:after="0" w:line="184" w:lineRule="exact"/>
        <w:tabs>
          <w:tab w:leader="none" w:pos="7300" w:val="left"/>
          <w:tab w:leader="none" w:pos="79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89"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35,139,198 shares as of October 30,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49530</wp:posOffset>
            </wp:positionV>
            <wp:extent cx="7089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089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1680" w:type="dxa"/>
            <w:vAlign w:val="bottom"/>
            <w:gridSpan w:val="8"/>
            <w:vMerge w:val="restart"/>
          </w:tcPr>
          <w:p>
            <w:pPr>
              <w:spacing w:after="0"/>
              <w:rPr>
                <w:sz w:val="20"/>
                <w:szCs w:val="20"/>
                <w:color w:val="auto"/>
              </w:rPr>
            </w:pPr>
            <w:r>
              <w:rPr>
                <w:rFonts w:ascii="Arial" w:cs="Arial" w:eastAsia="Arial" w:hAnsi="Arial"/>
                <w:sz w:val="18"/>
                <w:szCs w:val="18"/>
                <w:color w:val="0000FF"/>
                <w:w w:val="99"/>
              </w:rPr>
              <w:t>Financial Information</w:t>
            </w:r>
          </w:p>
        </w:tc>
        <w:tc>
          <w:tcPr>
            <w:tcW w:w="8140" w:type="dxa"/>
            <w:vAlign w:val="bottom"/>
            <w:gridSpan w:val="12"/>
            <w:vMerge w:val="restart"/>
          </w:tcPr>
          <w:p>
            <w:pPr>
              <w:spacing w:after="0"/>
              <w:rPr>
                <w:sz w:val="14"/>
                <w:szCs w:val="14"/>
                <w:color w:val="auto"/>
              </w:rPr>
            </w:pPr>
          </w:p>
        </w:tc>
        <w:tc>
          <w:tcPr>
            <w:tcW w:w="40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215"/>
        </w:trPr>
        <w:tc>
          <w:tcPr>
            <w:tcW w:w="1020" w:type="dxa"/>
            <w:vAlign w:val="bottom"/>
            <w:vMerge w:val="continue"/>
          </w:tcPr>
          <w:p>
            <w:pPr>
              <w:spacing w:after="0"/>
              <w:rPr>
                <w:sz w:val="18"/>
                <w:szCs w:val="18"/>
                <w:color w:val="auto"/>
              </w:rPr>
            </w:pPr>
          </w:p>
        </w:tc>
        <w:tc>
          <w:tcPr>
            <w:tcW w:w="1680" w:type="dxa"/>
            <w:vAlign w:val="bottom"/>
            <w:tcBorders>
              <w:bottom w:val="single" w:sz="8" w:color="0000FF"/>
            </w:tcBorders>
            <w:gridSpan w:val="8"/>
            <w:vMerge w:val="continue"/>
          </w:tcPr>
          <w:p>
            <w:pPr>
              <w:spacing w:after="0"/>
              <w:rPr>
                <w:sz w:val="18"/>
                <w:szCs w:val="18"/>
                <w:color w:val="auto"/>
              </w:rPr>
            </w:pPr>
          </w:p>
        </w:tc>
        <w:tc>
          <w:tcPr>
            <w:tcW w:w="8140" w:type="dxa"/>
            <w:vAlign w:val="bottom"/>
            <w:gridSpan w:val="12"/>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9820" w:type="dxa"/>
            <w:vAlign w:val="bottom"/>
            <w:gridSpan w:val="20"/>
          </w:tcPr>
          <w:p>
            <w:pPr>
              <w:spacing w:after="0"/>
              <w:rPr>
                <w:sz w:val="20"/>
                <w:szCs w:val="20"/>
                <w:color w:val="auto"/>
              </w:rPr>
            </w:pPr>
            <w:r>
              <w:rPr>
                <w:rFonts w:ascii="Arial" w:cs="Arial" w:eastAsia="Arial" w:hAnsi="Arial"/>
                <w:sz w:val="18"/>
                <w:szCs w:val="18"/>
                <w:color w:val="0000FF"/>
              </w:rPr>
              <w:t>Financial Statements</w:t>
            </w:r>
          </w:p>
        </w:tc>
        <w:tc>
          <w:tcPr>
            <w:tcW w:w="240" w:type="dxa"/>
            <w:vAlign w:val="bottom"/>
            <w:gridSpan w:val="2"/>
            <w:vMerge w:val="restart"/>
          </w:tcPr>
          <w:p>
            <w:pPr>
              <w:spacing w:after="0"/>
              <w:rPr>
                <w:sz w:val="18"/>
                <w:szCs w:val="18"/>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4</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16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020" w:type="dxa"/>
            <w:vAlign w:val="bottom"/>
          </w:tcPr>
          <w:p>
            <w:pPr>
              <w:spacing w:after="0"/>
              <w:rPr>
                <w:sz w:val="18"/>
                <w:szCs w:val="18"/>
                <w:color w:val="auto"/>
              </w:rPr>
            </w:pPr>
          </w:p>
        </w:tc>
        <w:tc>
          <w:tcPr>
            <w:tcW w:w="8200" w:type="dxa"/>
            <w:vAlign w:val="bottom"/>
            <w:gridSpan w:val="16"/>
          </w:tcPr>
          <w:p>
            <w:pPr>
              <w:spacing w:after="0" w:line="196" w:lineRule="exact"/>
              <w:rPr>
                <w:sz w:val="20"/>
                <w:szCs w:val="20"/>
                <w:color w:val="auto"/>
              </w:rPr>
            </w:pPr>
            <w:r>
              <w:rPr>
                <w:rFonts w:ascii="Arial" w:cs="Arial" w:eastAsia="Arial" w:hAnsi="Arial"/>
                <w:sz w:val="18"/>
                <w:szCs w:val="18"/>
                <w:color w:val="0000FF"/>
                <w:w w:val="99"/>
              </w:rPr>
              <w:t>Consolidated Condensed Statements of Comprehensive Income for the Three and Nine Months Ended</w:t>
            </w:r>
          </w:p>
        </w:tc>
        <w:tc>
          <w:tcPr>
            <w:tcW w:w="1620" w:type="dxa"/>
            <w:vAlign w:val="bottom"/>
            <w:gridSpan w:val="4"/>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8200" w:type="dxa"/>
            <w:vAlign w:val="bottom"/>
            <w:tcBorders>
              <w:top w:val="single" w:sz="8" w:color="0000FF"/>
            </w:tcBorders>
            <w:gridSpan w:val="16"/>
          </w:tcPr>
          <w:p>
            <w:pPr>
              <w:spacing w:after="0" w:line="202" w:lineRule="exact"/>
              <w:rPr>
                <w:sz w:val="20"/>
                <w:szCs w:val="20"/>
                <w:color w:val="auto"/>
              </w:rPr>
            </w:pPr>
            <w:r>
              <w:rPr>
                <w:rFonts w:ascii="Arial" w:cs="Arial" w:eastAsia="Arial" w:hAnsi="Arial"/>
                <w:sz w:val="18"/>
                <w:szCs w:val="18"/>
                <w:color w:val="0000FF"/>
              </w:rPr>
              <w:t>September 30, 2024 and 2023 (Unaudited)</w:t>
            </w:r>
          </w:p>
        </w:tc>
        <w:tc>
          <w:tcPr>
            <w:tcW w:w="1620" w:type="dxa"/>
            <w:vAlign w:val="bottom"/>
            <w:gridSpan w:val="4"/>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gridSpan w:val="4"/>
            <w:vMerge w:val="restart"/>
          </w:tcPr>
          <w:p>
            <w:pPr>
              <w:jc w:val="right"/>
              <w:ind w:right="60"/>
              <w:spacing w:after="0"/>
              <w:rPr>
                <w:sz w:val="20"/>
                <w:szCs w:val="20"/>
                <w:color w:val="auto"/>
              </w:rPr>
            </w:pPr>
            <w:r>
              <w:rPr>
                <w:rFonts w:ascii="Arial" w:cs="Arial" w:eastAsia="Arial" w:hAnsi="Arial"/>
                <w:sz w:val="18"/>
                <w:szCs w:val="18"/>
                <w:color w:val="0000FF"/>
              </w:rPr>
              <w:t>5</w:t>
            </w: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Consolidated Condensed Balance Sheets as of September 30, 2024 and December 31, 2023 (Unaudited)</w:t>
            </w:r>
          </w:p>
        </w:tc>
        <w:tc>
          <w:tcPr>
            <w:tcW w:w="40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60" w:type="dxa"/>
            <w:vAlign w:val="bottom"/>
            <w:tcBorders>
              <w:bottom w:val="single" w:sz="8" w:color="0000FF"/>
            </w:tcBorders>
            <w:shd w:val="clear" w:color="auto" w:fill="0000FF"/>
          </w:tcPr>
          <w:p>
            <w:pPr>
              <w:spacing w:after="0" w:line="20" w:lineRule="exact"/>
              <w:rPr>
                <w:sz w:val="1"/>
                <w:szCs w:val="1"/>
                <w:color w:val="auto"/>
              </w:rPr>
            </w:pPr>
          </w:p>
        </w:tc>
        <w:tc>
          <w:tcPr>
            <w:tcW w:w="40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500" w:type="dxa"/>
            <w:vAlign w:val="bottom"/>
            <w:tcBorders>
              <w:bottom w:val="single" w:sz="8" w:color="0000FF"/>
            </w:tcBorders>
            <w:gridSpan w:val="2"/>
            <w:shd w:val="clear" w:color="auto" w:fill="0000FF"/>
          </w:tcPr>
          <w:p>
            <w:pPr>
              <w:spacing w:after="0" w:line="20" w:lineRule="exact"/>
              <w:rPr>
                <w:sz w:val="1"/>
                <w:szCs w:val="1"/>
                <w:color w:val="auto"/>
              </w:rPr>
            </w:pPr>
          </w:p>
        </w:tc>
        <w:tc>
          <w:tcPr>
            <w:tcW w:w="500" w:type="dxa"/>
            <w:vAlign w:val="bottom"/>
            <w:tcBorders>
              <w:bottom w:val="single" w:sz="8" w:color="0000FF"/>
            </w:tcBorders>
            <w:shd w:val="clear" w:color="auto" w:fill="0000FF"/>
          </w:tcPr>
          <w:p>
            <w:pPr>
              <w:spacing w:after="0" w:line="20" w:lineRule="exact"/>
              <w:rPr>
                <w:sz w:val="1"/>
                <w:szCs w:val="1"/>
                <w:color w:val="auto"/>
              </w:rPr>
            </w:pPr>
          </w:p>
        </w:tc>
        <w:tc>
          <w:tcPr>
            <w:tcW w:w="2200" w:type="dxa"/>
            <w:vAlign w:val="bottom"/>
            <w:tcBorders>
              <w:bottom w:val="single" w:sz="8" w:color="0000FF"/>
            </w:tcBorders>
            <w:gridSpan w:val="2"/>
            <w:shd w:val="clear" w:color="auto" w:fill="0000FF"/>
          </w:tcPr>
          <w:p>
            <w:pPr>
              <w:spacing w:after="0" w:line="20" w:lineRule="exact"/>
              <w:rPr>
                <w:sz w:val="1"/>
                <w:szCs w:val="1"/>
                <w:color w:val="auto"/>
              </w:rPr>
            </w:pPr>
          </w:p>
        </w:tc>
        <w:tc>
          <w:tcPr>
            <w:tcW w:w="160" w:type="dxa"/>
            <w:vAlign w:val="bottom"/>
            <w:tcBorders>
              <w:bottom w:val="single" w:sz="8" w:color="0000FF"/>
            </w:tcBorders>
            <w:shd w:val="clear" w:color="auto" w:fill="0000FF"/>
          </w:tcPr>
          <w:p>
            <w:pPr>
              <w:spacing w:after="0" w:line="20" w:lineRule="exact"/>
              <w:rPr>
                <w:sz w:val="1"/>
                <w:szCs w:val="1"/>
                <w:color w:val="auto"/>
              </w:rPr>
            </w:pPr>
          </w:p>
        </w:tc>
        <w:tc>
          <w:tcPr>
            <w:tcW w:w="600" w:type="dxa"/>
            <w:vAlign w:val="bottom"/>
            <w:tcBorders>
              <w:bottom w:val="single" w:sz="8" w:color="0000FF"/>
            </w:tcBorders>
            <w:shd w:val="clear" w:color="auto" w:fill="0000FF"/>
          </w:tcPr>
          <w:p>
            <w:pPr>
              <w:spacing w:after="0" w:line="20" w:lineRule="exact"/>
              <w:rPr>
                <w:sz w:val="1"/>
                <w:szCs w:val="1"/>
                <w:color w:val="auto"/>
              </w:rPr>
            </w:pPr>
          </w:p>
        </w:tc>
        <w:tc>
          <w:tcPr>
            <w:tcW w:w="1620" w:type="dxa"/>
            <w:vAlign w:val="bottom"/>
            <w:tcBorders>
              <w:bottom w:val="single" w:sz="8" w:color="0000FF"/>
            </w:tcBorders>
            <w:shd w:val="clear" w:color="auto" w:fill="0000FF"/>
          </w:tcPr>
          <w:p>
            <w:pPr>
              <w:spacing w:after="0" w:line="20" w:lineRule="exact"/>
              <w:rPr>
                <w:sz w:val="1"/>
                <w:szCs w:val="1"/>
                <w:color w:val="auto"/>
              </w:rPr>
            </w:pPr>
          </w:p>
        </w:tc>
        <w:tc>
          <w:tcPr>
            <w:tcW w:w="1340" w:type="dxa"/>
            <w:vAlign w:val="bottom"/>
            <w:tcBorders>
              <w:bottom w:val="single" w:sz="8" w:color="0000FF"/>
            </w:tcBorders>
            <w:gridSpan w:val="2"/>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Consolidated Condensed Statements of Cash Flows for the Nine Months Ended September 30, 2024 and 2023</w:t>
            </w:r>
          </w:p>
        </w:tc>
        <w:tc>
          <w:tcPr>
            <w:tcW w:w="240" w:type="dxa"/>
            <w:vAlign w:val="bottom"/>
            <w:gridSpan w:val="2"/>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0000FF"/>
                <w:w w:val="79"/>
              </w:rPr>
              <w:t>6</w:t>
            </w: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8840" w:type="dxa"/>
            <w:vAlign w:val="bottom"/>
            <w:tcBorders>
              <w:top w:val="single" w:sz="8" w:color="0000FF"/>
            </w:tcBorders>
            <w:gridSpan w:val="18"/>
          </w:tcPr>
          <w:p>
            <w:pPr>
              <w:spacing w:after="0" w:line="202" w:lineRule="exact"/>
              <w:rPr>
                <w:sz w:val="20"/>
                <w:szCs w:val="20"/>
                <w:color w:val="auto"/>
              </w:rPr>
            </w:pPr>
            <w:r>
              <w:rPr>
                <w:rFonts w:ascii="Arial" w:cs="Arial" w:eastAsia="Arial" w:hAnsi="Arial"/>
                <w:sz w:val="18"/>
                <w:szCs w:val="18"/>
                <w:color w:val="0000FF"/>
              </w:rPr>
              <w:t>(Unaudited)</w:t>
            </w:r>
          </w:p>
        </w:tc>
        <w:tc>
          <w:tcPr>
            <w:tcW w:w="98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40" w:type="dxa"/>
            <w:vAlign w:val="bottom"/>
            <w:gridSpan w:val="2"/>
            <w:vMerge w:val="restart"/>
          </w:tcPr>
          <w:p>
            <w:pPr>
              <w:spacing w:after="0" w:line="20" w:lineRule="exact"/>
              <w:rPr>
                <w:sz w:val="1"/>
                <w:szCs w:val="1"/>
                <w:color w:val="auto"/>
              </w:rPr>
            </w:pP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0000FF"/>
                <w:w w:val="79"/>
              </w:rPr>
              <w:t>8</w:t>
            </w:r>
          </w:p>
        </w:tc>
        <w:tc>
          <w:tcPr>
            <w:tcW w:w="0" w:type="dxa"/>
            <w:vAlign w:val="bottom"/>
          </w:tcPr>
          <w:p>
            <w:pPr>
              <w:spacing w:after="0" w:line="20" w:lineRule="exact"/>
              <w:rPr>
                <w:sz w:val="1"/>
                <w:szCs w:val="1"/>
                <w:color w:val="auto"/>
              </w:rPr>
            </w:pPr>
          </w:p>
        </w:tc>
      </w:tr>
      <w:tr>
        <w:trPr>
          <w:trHeight w:val="244"/>
        </w:trPr>
        <w:tc>
          <w:tcPr>
            <w:tcW w:w="1020" w:type="dxa"/>
            <w:vAlign w:val="bottom"/>
          </w:tcPr>
          <w:p>
            <w:pPr>
              <w:spacing w:after="0"/>
              <w:rPr>
                <w:sz w:val="21"/>
                <w:szCs w:val="21"/>
                <w:color w:val="auto"/>
              </w:rPr>
            </w:pPr>
          </w:p>
        </w:tc>
        <w:tc>
          <w:tcPr>
            <w:tcW w:w="8860" w:type="dxa"/>
            <w:vAlign w:val="bottom"/>
            <w:gridSpan w:val="19"/>
          </w:tcPr>
          <w:p>
            <w:pPr>
              <w:spacing w:after="0"/>
              <w:rPr>
                <w:sz w:val="20"/>
                <w:szCs w:val="20"/>
                <w:color w:val="auto"/>
              </w:rPr>
            </w:pPr>
            <w:r>
              <w:rPr>
                <w:rFonts w:ascii="Arial" w:cs="Arial" w:eastAsia="Arial" w:hAnsi="Arial"/>
                <w:sz w:val="18"/>
                <w:szCs w:val="18"/>
                <w:color w:val="0000FF"/>
                <w:w w:val="99"/>
              </w:rPr>
              <w:t>Consolidated Condensed Statements of Stockholders’ Equity for the Three and Nine Months Ended September</w:t>
            </w:r>
          </w:p>
        </w:tc>
        <w:tc>
          <w:tcPr>
            <w:tcW w:w="960" w:type="dxa"/>
            <w:vAlign w:val="bottom"/>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16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1020" w:type="dxa"/>
            <w:vAlign w:val="bottom"/>
          </w:tcPr>
          <w:p>
            <w:pPr>
              <w:spacing w:after="0"/>
              <w:rPr>
                <w:sz w:val="17"/>
                <w:szCs w:val="17"/>
                <w:color w:val="auto"/>
              </w:rPr>
            </w:pPr>
          </w:p>
        </w:tc>
        <w:tc>
          <w:tcPr>
            <w:tcW w:w="2500" w:type="dxa"/>
            <w:vAlign w:val="bottom"/>
            <w:tcBorders>
              <w:top w:val="single" w:sz="8" w:color="0000FF"/>
              <w:bottom w:val="single" w:sz="8" w:color="0000FF"/>
            </w:tcBorders>
            <w:gridSpan w:val="10"/>
          </w:tcPr>
          <w:p>
            <w:pPr>
              <w:spacing w:after="0" w:line="202" w:lineRule="exact"/>
              <w:rPr>
                <w:sz w:val="20"/>
                <w:szCs w:val="20"/>
                <w:color w:val="auto"/>
              </w:rPr>
            </w:pPr>
            <w:r>
              <w:rPr>
                <w:rFonts w:ascii="Arial" w:cs="Arial" w:eastAsia="Arial" w:hAnsi="Arial"/>
                <w:sz w:val="18"/>
                <w:szCs w:val="18"/>
                <w:color w:val="0000FF"/>
                <w:w w:val="99"/>
              </w:rPr>
              <w:t>30, 2024 and 2023 (Unaudited)</w:t>
            </w:r>
          </w:p>
        </w:tc>
        <w:tc>
          <w:tcPr>
            <w:tcW w:w="6360" w:type="dxa"/>
            <w:vAlign w:val="bottom"/>
            <w:tcBorders>
              <w:top w:val="single" w:sz="8" w:color="0000FF"/>
            </w:tcBorders>
            <w:gridSpan w:val="9"/>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1020" w:type="dxa"/>
            <w:vAlign w:val="bottom"/>
          </w:tcPr>
          <w:p>
            <w:pPr>
              <w:spacing w:after="0"/>
              <w:rPr>
                <w:sz w:val="20"/>
                <w:szCs w:val="20"/>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Notes to Consolidated Condensed Financial Statements (Unaudited)</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9</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9820" w:type="dxa"/>
            <w:vAlign w:val="bottom"/>
            <w:gridSpan w:val="20"/>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31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3.</w:t>
            </w:r>
          </w:p>
        </w:tc>
        <w:tc>
          <w:tcPr>
            <w:tcW w:w="4700" w:type="dxa"/>
            <w:vAlign w:val="bottom"/>
            <w:gridSpan w:val="12"/>
          </w:tcPr>
          <w:p>
            <w:pPr>
              <w:spacing w:after="0"/>
              <w:rPr>
                <w:sz w:val="20"/>
                <w:szCs w:val="20"/>
                <w:color w:val="auto"/>
              </w:rPr>
            </w:pPr>
            <w:r>
              <w:rPr>
                <w:rFonts w:ascii="Arial" w:cs="Arial" w:eastAsia="Arial" w:hAnsi="Arial"/>
                <w:sz w:val="18"/>
                <w:szCs w:val="18"/>
                <w:color w:val="0000FF"/>
                <w:w w:val="99"/>
              </w:rPr>
              <w:t>Quantitative and Qualitative Disclosures about Market Risk</w:t>
            </w:r>
          </w:p>
        </w:tc>
        <w:tc>
          <w:tcPr>
            <w:tcW w:w="2380" w:type="dxa"/>
            <w:vAlign w:val="bottom"/>
            <w:gridSpan w:val="3"/>
          </w:tcPr>
          <w:p>
            <w:pPr>
              <w:spacing w:after="0"/>
              <w:rPr>
                <w:sz w:val="18"/>
                <w:szCs w:val="18"/>
                <w:color w:val="auto"/>
              </w:rPr>
            </w:pPr>
          </w:p>
        </w:tc>
        <w:tc>
          <w:tcPr>
            <w:tcW w:w="2740" w:type="dxa"/>
            <w:vAlign w:val="bottom"/>
            <w:gridSpan w:val="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4.</w:t>
            </w:r>
          </w:p>
        </w:tc>
        <w:tc>
          <w:tcPr>
            <w:tcW w:w="2000" w:type="dxa"/>
            <w:vAlign w:val="bottom"/>
            <w:gridSpan w:val="9"/>
          </w:tcPr>
          <w:p>
            <w:pPr>
              <w:spacing w:after="0"/>
              <w:rPr>
                <w:sz w:val="20"/>
                <w:szCs w:val="20"/>
                <w:color w:val="auto"/>
              </w:rPr>
            </w:pPr>
            <w:r>
              <w:rPr>
                <w:rFonts w:ascii="Arial" w:cs="Arial" w:eastAsia="Arial" w:hAnsi="Arial"/>
                <w:sz w:val="18"/>
                <w:szCs w:val="18"/>
                <w:color w:val="0000FF"/>
                <w:w w:val="99"/>
              </w:rPr>
              <w:t>Controls and Procedures</w:t>
            </w:r>
          </w:p>
        </w:tc>
        <w:tc>
          <w:tcPr>
            <w:tcW w:w="2700" w:type="dxa"/>
            <w:vAlign w:val="bottom"/>
            <w:gridSpan w:val="3"/>
          </w:tcPr>
          <w:p>
            <w:pPr>
              <w:spacing w:after="0"/>
              <w:rPr>
                <w:sz w:val="18"/>
                <w:szCs w:val="18"/>
                <w:color w:val="auto"/>
              </w:rPr>
            </w:pPr>
          </w:p>
        </w:tc>
        <w:tc>
          <w:tcPr>
            <w:tcW w:w="5120" w:type="dxa"/>
            <w:vAlign w:val="bottom"/>
            <w:gridSpan w:val="8"/>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41</w:t>
            </w:r>
          </w:p>
        </w:tc>
        <w:tc>
          <w:tcPr>
            <w:tcW w:w="0" w:type="dxa"/>
            <w:vAlign w:val="bottom"/>
          </w:tcPr>
          <w:p>
            <w:pPr>
              <w:spacing w:after="0"/>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1420" w:type="dxa"/>
            <w:vAlign w:val="bottom"/>
            <w:tcBorders>
              <w:top w:val="single" w:sz="8" w:color="0000FF"/>
              <w:bottom w:val="single" w:sz="8" w:color="0000FF"/>
            </w:tcBorders>
            <w:gridSpan w:val="6"/>
          </w:tcPr>
          <w:p>
            <w:pPr>
              <w:spacing w:after="0"/>
              <w:rPr>
                <w:sz w:val="20"/>
                <w:szCs w:val="20"/>
                <w:color w:val="auto"/>
              </w:rPr>
            </w:pPr>
            <w:r>
              <w:rPr>
                <w:rFonts w:ascii="Arial" w:cs="Arial" w:eastAsia="Arial" w:hAnsi="Arial"/>
                <w:sz w:val="18"/>
                <w:szCs w:val="18"/>
                <w:color w:val="0000FF"/>
                <w:w w:val="99"/>
              </w:rPr>
              <w:t>Other Information</w:t>
            </w:r>
          </w:p>
        </w:tc>
        <w:tc>
          <w:tcPr>
            <w:tcW w:w="580" w:type="dxa"/>
            <w:vAlign w:val="bottom"/>
            <w:tcBorders>
              <w:top w:val="single" w:sz="8" w:color="0000FF"/>
            </w:tcBorders>
            <w:gridSpan w:val="3"/>
          </w:tcPr>
          <w:p>
            <w:pPr>
              <w:spacing w:after="0"/>
              <w:rPr>
                <w:sz w:val="18"/>
                <w:szCs w:val="18"/>
                <w:color w:val="auto"/>
              </w:rPr>
            </w:pPr>
          </w:p>
        </w:tc>
        <w:tc>
          <w:tcPr>
            <w:tcW w:w="7820" w:type="dxa"/>
            <w:vAlign w:val="bottom"/>
            <w:gridSpan w:val="11"/>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1.</w:t>
            </w:r>
          </w:p>
        </w:tc>
        <w:tc>
          <w:tcPr>
            <w:tcW w:w="1500" w:type="dxa"/>
            <w:vAlign w:val="bottom"/>
            <w:gridSpan w:val="7"/>
          </w:tcPr>
          <w:p>
            <w:pPr>
              <w:spacing w:after="0"/>
              <w:rPr>
                <w:sz w:val="20"/>
                <w:szCs w:val="20"/>
                <w:color w:val="auto"/>
              </w:rPr>
            </w:pPr>
            <w:r>
              <w:rPr>
                <w:rFonts w:ascii="Arial" w:cs="Arial" w:eastAsia="Arial" w:hAnsi="Arial"/>
                <w:sz w:val="18"/>
                <w:szCs w:val="18"/>
                <w:color w:val="0000FF"/>
                <w:w w:val="99"/>
              </w:rPr>
              <w:t>Legal Proceedings</w:t>
            </w:r>
          </w:p>
        </w:tc>
        <w:tc>
          <w:tcPr>
            <w:tcW w:w="832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1A.</w:t>
            </w:r>
          </w:p>
        </w:tc>
        <w:tc>
          <w:tcPr>
            <w:tcW w:w="1500" w:type="dxa"/>
            <w:vAlign w:val="bottom"/>
            <w:gridSpan w:val="7"/>
          </w:tcPr>
          <w:p>
            <w:pPr>
              <w:spacing w:after="0"/>
              <w:rPr>
                <w:sz w:val="20"/>
                <w:szCs w:val="20"/>
                <w:color w:val="auto"/>
              </w:rPr>
            </w:pPr>
            <w:r>
              <w:rPr>
                <w:rFonts w:ascii="Arial" w:cs="Arial" w:eastAsia="Arial" w:hAnsi="Arial"/>
                <w:sz w:val="18"/>
                <w:szCs w:val="18"/>
                <w:color w:val="0000FF"/>
              </w:rPr>
              <w:t>Risk Factors</w:t>
            </w:r>
          </w:p>
        </w:tc>
        <w:tc>
          <w:tcPr>
            <w:tcW w:w="8320" w:type="dxa"/>
            <w:vAlign w:val="bottom"/>
            <w:gridSpan w:val="13"/>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8"/>
          </w:tcPr>
          <w:p>
            <w:pPr>
              <w:spacing w:after="0" w:line="20" w:lineRule="exact"/>
              <w:rPr>
                <w:sz w:val="1"/>
                <w:szCs w:val="1"/>
                <w:color w:val="auto"/>
              </w:rPr>
            </w:pPr>
          </w:p>
        </w:tc>
        <w:tc>
          <w:tcPr>
            <w:tcW w:w="496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2.</w:t>
            </w:r>
          </w:p>
        </w:tc>
        <w:tc>
          <w:tcPr>
            <w:tcW w:w="4860" w:type="dxa"/>
            <w:vAlign w:val="bottom"/>
            <w:gridSpan w:val="13"/>
          </w:tcPr>
          <w:p>
            <w:pPr>
              <w:spacing w:after="0"/>
              <w:rPr>
                <w:sz w:val="20"/>
                <w:szCs w:val="20"/>
                <w:color w:val="auto"/>
              </w:rPr>
            </w:pPr>
            <w:r>
              <w:rPr>
                <w:rFonts w:ascii="Arial" w:cs="Arial" w:eastAsia="Arial" w:hAnsi="Arial"/>
                <w:sz w:val="18"/>
                <w:szCs w:val="18"/>
                <w:color w:val="0000FF"/>
                <w:w w:val="99"/>
              </w:rPr>
              <w:t>Unregistered Sales of Equity Securities and Use of Proceeds</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ind w:left="20"/>
              <w:spacing w:after="0"/>
              <w:rPr>
                <w:sz w:val="20"/>
                <w:szCs w:val="20"/>
                <w:color w:val="auto"/>
              </w:rPr>
            </w:pPr>
            <w:r>
              <w:rPr>
                <w:rFonts w:ascii="Arial" w:cs="Arial" w:eastAsia="Arial" w:hAnsi="Arial"/>
                <w:sz w:val="18"/>
                <w:szCs w:val="18"/>
                <w:color w:val="auto"/>
              </w:rPr>
              <w:t>Item 5.</w:t>
            </w:r>
          </w:p>
        </w:tc>
        <w:tc>
          <w:tcPr>
            <w:tcW w:w="4860" w:type="dxa"/>
            <w:vAlign w:val="bottom"/>
            <w:gridSpan w:val="13"/>
          </w:tcPr>
          <w:p>
            <w:pPr>
              <w:spacing w:after="0"/>
              <w:rPr>
                <w:sz w:val="20"/>
                <w:szCs w:val="20"/>
                <w:color w:val="auto"/>
              </w:rPr>
            </w:pPr>
            <w:r>
              <w:rPr>
                <w:rFonts w:ascii="Arial" w:cs="Arial" w:eastAsia="Arial" w:hAnsi="Arial"/>
                <w:sz w:val="18"/>
                <w:szCs w:val="18"/>
                <w:color w:val="0000FF"/>
              </w:rPr>
              <w:t>Other Information</w:t>
            </w:r>
          </w:p>
        </w:tc>
        <w:tc>
          <w:tcPr>
            <w:tcW w:w="496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420" w:type="dxa"/>
            <w:vAlign w:val="bottom"/>
            <w:gridSpan w:val="1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20" w:type="dxa"/>
            <w:vAlign w:val="bottom"/>
          </w:tcPr>
          <w:p>
            <w:pPr>
              <w:ind w:left="20"/>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sz w:val="20"/>
                <w:szCs w:val="20"/>
                <w:color w:val="auto"/>
              </w:rPr>
            </w:pPr>
            <w:r>
              <w:rPr>
                <w:rFonts w:ascii="Arial" w:cs="Arial" w:eastAsia="Arial" w:hAnsi="Arial"/>
                <w:sz w:val="18"/>
                <w:szCs w:val="18"/>
                <w:color w:val="0000FF"/>
                <w:w w:val="98"/>
              </w:rPr>
              <w:t>Exhibits</w:t>
            </w:r>
          </w:p>
        </w:tc>
        <w:tc>
          <w:tcPr>
            <w:tcW w:w="760" w:type="dxa"/>
            <w:vAlign w:val="bottom"/>
            <w:gridSpan w:val="4"/>
          </w:tcPr>
          <w:p>
            <w:pPr>
              <w:spacing w:after="0"/>
              <w:rPr>
                <w:sz w:val="18"/>
                <w:szCs w:val="18"/>
                <w:color w:val="auto"/>
              </w:rPr>
            </w:pPr>
          </w:p>
        </w:tc>
        <w:tc>
          <w:tcPr>
            <w:tcW w:w="8420" w:type="dxa"/>
            <w:vAlign w:val="bottom"/>
            <w:gridSpan w:val="15"/>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gridSpan w:val="3"/>
          </w:tcPr>
          <w:p>
            <w:pPr>
              <w:jc w:val="right"/>
              <w:ind w:right="60"/>
              <w:spacing w:after="0"/>
              <w:rPr>
                <w:sz w:val="20"/>
                <w:szCs w:val="20"/>
                <w:color w:val="auto"/>
              </w:rPr>
            </w:pPr>
            <w:r>
              <w:rPr>
                <w:rFonts w:ascii="Arial" w:cs="Arial" w:eastAsia="Arial" w:hAnsi="Arial"/>
                <w:sz w:val="18"/>
                <w:szCs w:val="18"/>
                <w:color w:val="0000FF"/>
                <w:w w:val="89"/>
              </w:rPr>
              <w:t>42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960" w:type="dxa"/>
            <w:vAlign w:val="bottom"/>
            <w:gridSpan w:val="1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tcPr>
          <w:p>
            <w:pPr>
              <w:spacing w:after="0"/>
              <w:rPr>
                <w:sz w:val="18"/>
                <w:szCs w:val="18"/>
                <w:color w:val="auto"/>
              </w:rPr>
            </w:pPr>
          </w:p>
        </w:tc>
        <w:tc>
          <w:tcPr>
            <w:tcW w:w="9820" w:type="dxa"/>
            <w:vAlign w:val="bottom"/>
            <w:gridSpan w:val="20"/>
          </w:tcPr>
          <w:p>
            <w:pPr>
              <w:spacing w:after="0"/>
              <w:rPr>
                <w:sz w:val="20"/>
                <w:szCs w:val="20"/>
                <w:color w:val="auto"/>
              </w:rPr>
            </w:pPr>
            <w:r>
              <w:rPr>
                <w:rFonts w:ascii="Arial" w:cs="Arial" w:eastAsia="Arial" w:hAnsi="Arial"/>
                <w:sz w:val="18"/>
                <w:szCs w:val="18"/>
                <w:color w:val="0000FF"/>
              </w:rPr>
              <w:t>Signatures</w:t>
            </w:r>
          </w:p>
        </w:tc>
        <w:tc>
          <w:tcPr>
            <w:tcW w:w="400" w:type="dxa"/>
            <w:vAlign w:val="bottom"/>
            <w:gridSpan w:val="4"/>
          </w:tcPr>
          <w:p>
            <w:pPr>
              <w:jc w:val="right"/>
              <w:ind w:right="60"/>
              <w:spacing w:after="0"/>
              <w:rPr>
                <w:sz w:val="20"/>
                <w:szCs w:val="20"/>
                <w:color w:val="auto"/>
              </w:rPr>
            </w:pPr>
            <w:r>
              <w:rPr>
                <w:rFonts w:ascii="Arial" w:cs="Arial" w:eastAsia="Arial" w:hAnsi="Arial"/>
                <w:sz w:val="18"/>
                <w:szCs w:val="18"/>
                <w:color w:val="0000FF"/>
              </w:rPr>
              <w:t>43</w:t>
            </w:r>
          </w:p>
        </w:tc>
        <w:tc>
          <w:tcPr>
            <w:tcW w:w="0" w:type="dxa"/>
            <w:vAlign w:val="bottom"/>
          </w:tcPr>
          <w:p>
            <w:pPr>
              <w:spacing w:after="0"/>
              <w:rPr>
                <w:sz w:val="1"/>
                <w:szCs w:val="1"/>
                <w:color w:val="auto"/>
              </w:rPr>
            </w:pPr>
          </w:p>
        </w:tc>
      </w:tr>
      <w:tr>
        <w:trPr>
          <w:trHeight w:val="1053"/>
        </w:trPr>
        <w:tc>
          <w:tcPr>
            <w:tcW w:w="102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w:t>
      </w:r>
    </w:p>
    <w:p>
      <w:pPr>
        <w:spacing w:after="0" w:line="1" w:lineRule="exact"/>
        <w:rPr>
          <w:sz w:val="20"/>
          <w:szCs w:val="20"/>
          <w:color w:val="auto"/>
        </w:rPr>
      </w:pPr>
    </w:p>
    <w:p>
      <w:pPr>
        <w:jc w:val="both"/>
        <w:ind w:right="20"/>
        <w:spacing w:after="0" w:line="226" w:lineRule="auto"/>
        <w:rPr>
          <w:sz w:val="20"/>
          <w:szCs w:val="20"/>
          <w:color w:val="auto"/>
        </w:rPr>
      </w:pPr>
      <w:r>
        <w:rPr>
          <w:rFonts w:ascii="Arial" w:cs="Arial" w:eastAsia="Arial" w:hAnsi="Arial"/>
          <w:sz w:val="18"/>
          <w:szCs w:val="18"/>
          <w:color w:val="auto"/>
        </w:rPr>
        <w:t>“intends,” “projects,” “estimates,” “plans,” “forecasts,” “guidance,” and similar words, expressions or phrases. The following important factors and assumptions could affect our future results and could cause actual results to differ materially from those expressed in such forward-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These factors include, but are not limited to:</w:t>
      </w:r>
    </w:p>
    <w:p>
      <w:pPr>
        <w:spacing w:after="0" w:line="234" w:lineRule="exact"/>
        <w:rPr>
          <w:sz w:val="20"/>
          <w:szCs w:val="20"/>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high level of competition in the mobility industry, including from new companies or technology, and the impact such competition may have on pricing and rental volume;</w:t>
      </w:r>
    </w:p>
    <w:p>
      <w:pPr>
        <w:spacing w:after="0" w:line="179"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change in our fleet costs, including as a result of a change in the cost of new vehicles, resulting from inflation or otherwise, manufacturer recalls, disruption in the supply of new vehicles, including due to labor actions or otherwise, shortages in semiconductors used in new vehicle production, and/or a change in the price at which we dispose of used vehicles either in the used vehicle market or under repurchase or guaranteed depreciation programs;</w:t>
      </w:r>
    </w:p>
    <w:p>
      <w:pPr>
        <w:spacing w:after="0" w:line="203" w:lineRule="exact"/>
        <w:rPr>
          <w:rFonts w:ascii="Arial" w:cs="Arial" w:eastAsia="Arial" w:hAnsi="Arial"/>
          <w:sz w:val="18"/>
          <w:szCs w:val="18"/>
          <w:color w:val="auto"/>
        </w:rPr>
      </w:pPr>
    </w:p>
    <w:p>
      <w:pPr>
        <w:jc w:val="both"/>
        <w:ind w:left="660" w:hanging="328"/>
        <w:spacing w:after="0" w:line="262"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vehicles, which could impact their ability to perform their payment obligations under our agreements with them, including repurchase and/or guaranteed depreciation arrangements, and/or their willingness or ability to make vehicles available to us or the mobility industry as a whole on commercially reasonable terms or at all;</w:t>
      </w:r>
    </w:p>
    <w:p>
      <w:pPr>
        <w:spacing w:after="0" w:line="20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and volatility in travel demand, including future volatility in airline passenger traffic;</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deterioration in economic conditions, resulting in a recession or otherwise, particularly during our peak season or in key market segments;</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 occurrence or threat of terrorism, pandemics, severe weather events or natural disasters, military conflicts, including the ongoing military conflicts in the Middle East and Eastern Europe, or civil unrest in the locations in which we operate, and the potential effects of sanctions on the world economy and markets and/or international trade;</w:t>
      </w:r>
    </w:p>
    <w:p>
      <w:pPr>
        <w:spacing w:after="0" w:line="197"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 including as a result of pandemics, inflation, the ongoing military conflicts in the Middle East and Eastern Europe, and any embargoes on oil sales imposed on or by the Russian government;</w:t>
      </w:r>
    </w:p>
    <w:p>
      <w:pPr>
        <w:spacing w:after="0" w:line="197"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or achieve our business plans and strategies, achieve and maintain cost savings and adapt our business to changes in mobility;</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political, economic or commercial instability in the countries in which we operate, and our ability to conform to multiple and conflicting laws or regulations in those countries;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the used vehicle market from time to time, including our ability to dispose of vehicles in the used vehicle market on attractive terms;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effectively integrate any acquired businesses or capitalize on joint ventures, partnerships and other investments;</w:t>
      </w:r>
    </w:p>
    <w:p>
      <w:pPr>
        <w:spacing w:after="0" w:line="252" w:lineRule="exact"/>
        <w:rPr>
          <w:sz w:val="20"/>
          <w:szCs w:val="20"/>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fuel prices and exchange rates, changes in government regulations and other factors;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 and our ability to obtain insurance at desired levels and the cost of that insurance;</w:t>
      </w:r>
    </w:p>
    <w:p>
      <w:pPr>
        <w:spacing w:after="0" w:line="179" w:lineRule="exact"/>
        <w:rPr>
          <w:rFonts w:ascii="Arial" w:cs="Arial" w:eastAsia="Arial" w:hAnsi="Arial"/>
          <w:sz w:val="18"/>
          <w:szCs w:val="18"/>
          <w:color w:val="auto"/>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associated with litigation or governmental or regulatory inquiries, or any failure or inability to comply with laws, regulations or contractual obligations or any changes in laws, regulations or contractual obligations, including with respect to personally identifiable information and consumer privacy, labor and employment, and tax;</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third-party vendors, licensees, dealers, independent operators and independent contractors, and protecting the confidential information of our employees and customers against security breaches, including physical or cybersecurity breaches, attacks, or other disruptions, compliance with privacy and data protection regulation, and the effects of any potential increase in cyberattacks on the world economy and markets and/or international trade;</w:t>
      </w:r>
    </w:p>
    <w:p>
      <w:pPr>
        <w:spacing w:after="0" w:line="206"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impact on us from the actions of our third-party vendors, licensees, dealers, independent operators and independent contractors and/or disputes that may arise out of our agreements with such parties;</w:t>
      </w:r>
    </w:p>
    <w:p>
      <w:pPr>
        <w:spacing w:after="0" w:line="17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recent and future interest rate increases, which increase our financing costs, downgrades by rating agencies and our ability to incur substantially more debt;</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 or to obtain a waiver or amendment of such covenants should we be unable to meet such covenants;</w:t>
      </w:r>
    </w:p>
    <w:p>
      <w:pPr>
        <w:spacing w:after="0" w:line="179"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significant changes in the assumptions and estimates that are used in our impairment testing for goodwill or intangible assets, which could result in a significant impairment of our goodwill or intangible assets; and</w:t>
      </w:r>
    </w:p>
    <w:p>
      <w:pPr>
        <w:spacing w:after="0" w:line="179" w:lineRule="exact"/>
        <w:rPr>
          <w:rFonts w:ascii="Arial" w:cs="Arial" w:eastAsia="Arial" w:hAnsi="Arial"/>
          <w:sz w:val="18"/>
          <w:szCs w:val="18"/>
          <w:color w:val="auto"/>
        </w:rPr>
      </w:pPr>
    </w:p>
    <w:p>
      <w:pPr>
        <w:ind w:left="660" w:right="20" w:hanging="328"/>
        <w:spacing w:after="0" w:line="28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if future results are materially different from those forecasted or anticipated. Other factors and assumptions not identified above, including those discussed in “Management’s Discussion and Analysis of Financial Condition and Results of Operations,” in Item 2 and “Risk Factors” in Item 1A in this quarterly report and in similarly titled sections set forth in Item 7 and in Item 1A and in other portions of our 2023 Annual Report on Form 10-K filed with the Securities and Exchange Commission (the “SEC”) on February 16, 2024 (the “2023 Form 10-K”), may cause actual results to differ materially from those projected in any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46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FF"/>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3"/>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PART I — FINANCIAL INFORMATION</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1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gridSpan w:val="4"/>
          </w:tcPr>
          <w:p>
            <w:pPr>
              <w:jc w:val="center"/>
              <w:ind w:right="460"/>
              <w:spacing w:after="0"/>
              <w:rPr>
                <w:sz w:val="20"/>
                <w:szCs w:val="20"/>
                <w:color w:val="auto"/>
              </w:rPr>
            </w:pPr>
            <w:r>
              <w:rPr>
                <w:rFonts w:ascii="Arial" w:cs="Arial" w:eastAsia="Arial" w:hAnsi="Arial"/>
                <w:sz w:val="18"/>
                <w:szCs w:val="18"/>
                <w:b w:val="1"/>
                <w:bCs w:val="1"/>
                <w:color w:val="auto"/>
                <w:w w:val="99"/>
              </w:rPr>
              <w:t>Avis Budget Group, Inc.</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8360" w:type="dxa"/>
            <w:vAlign w:val="bottom"/>
            <w:gridSpan w:val="11"/>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COMPREHENSIVE INCOME</w:t>
            </w: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5700" w:type="dxa"/>
            <w:vAlign w:val="bottom"/>
            <w:gridSpan w:val="5"/>
          </w:tcPr>
          <w:p>
            <w:pPr>
              <w:jc w:val="center"/>
              <w:ind w:left="2650"/>
              <w:spacing w:after="0"/>
              <w:rPr>
                <w:sz w:val="20"/>
                <w:szCs w:val="20"/>
                <w:color w:val="auto"/>
              </w:rPr>
            </w:pPr>
            <w:r>
              <w:rPr>
                <w:rFonts w:ascii="Arial" w:cs="Arial" w:eastAsia="Arial" w:hAnsi="Arial"/>
                <w:sz w:val="18"/>
                <w:szCs w:val="18"/>
                <w:b w:val="1"/>
                <w:bCs w:val="1"/>
                <w:color w:val="auto"/>
                <w:w w:val="99"/>
              </w:rPr>
              <w:t>(In millions, except per share data)</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540" w:type="dxa"/>
            <w:vAlign w:val="bottom"/>
            <w:gridSpan w:val="2"/>
          </w:tcPr>
          <w:p>
            <w:pPr>
              <w:jc w:val="center"/>
              <w:ind w:left="410"/>
              <w:spacing w:after="0"/>
              <w:rPr>
                <w:sz w:val="20"/>
                <w:szCs w:val="20"/>
                <w:color w:val="auto"/>
              </w:rPr>
            </w:pPr>
            <w:r>
              <w:rPr>
                <w:rFonts w:ascii="Arial" w:cs="Arial" w:eastAsia="Arial" w:hAnsi="Arial"/>
                <w:sz w:val="18"/>
                <w:szCs w:val="18"/>
                <w:b w:val="1"/>
                <w:bCs w:val="1"/>
                <w:color w:val="auto"/>
                <w:w w:val="99"/>
              </w:rPr>
              <w:t>(Unaudited)</w:t>
            </w: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0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w w:val="98"/>
              </w:rPr>
              <w:t>Three Months Ended</w:t>
            </w:r>
          </w:p>
        </w:tc>
        <w:tc>
          <w:tcPr>
            <w:tcW w:w="240" w:type="dxa"/>
            <w:vAlign w:val="bottom"/>
          </w:tcPr>
          <w:p>
            <w:pPr>
              <w:spacing w:after="0"/>
              <w:rPr>
                <w:sz w:val="24"/>
                <w:szCs w:val="24"/>
                <w:color w:val="auto"/>
              </w:rPr>
            </w:pPr>
          </w:p>
        </w:tc>
        <w:tc>
          <w:tcPr>
            <w:tcW w:w="2300" w:type="dxa"/>
            <w:vAlign w:val="bottom"/>
            <w:gridSpan w:val="4"/>
          </w:tcPr>
          <w:p>
            <w:pPr>
              <w:ind w:left="1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300" w:type="dxa"/>
            <w:vAlign w:val="bottom"/>
            <w:gridSpan w:val="5"/>
          </w:tcPr>
          <w:p>
            <w:pPr>
              <w:ind w:left="30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30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600" w:type="dxa"/>
            <w:vAlign w:val="bottom"/>
            <w:gridSpan w:val="2"/>
            <w:vMerge w:val="restart"/>
          </w:tcPr>
          <w:p>
            <w:pPr>
              <w:ind w:left="280"/>
              <w:spacing w:after="0"/>
              <w:rPr>
                <w:sz w:val="20"/>
                <w:szCs w:val="20"/>
                <w:color w:val="auto"/>
              </w:rPr>
            </w:pPr>
            <w:r>
              <w:rPr>
                <w:rFonts w:ascii="Arial" w:cs="Arial" w:eastAsia="Arial" w:hAnsi="Arial"/>
                <w:sz w:val="18"/>
                <w:szCs w:val="18"/>
                <w:b w:val="1"/>
                <w:bCs w:val="1"/>
                <w:color w:val="auto"/>
              </w:rPr>
              <w:t>Revenues</w:t>
            </w:r>
          </w:p>
        </w:tc>
        <w:tc>
          <w:tcPr>
            <w:tcW w:w="118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23"/>
        </w:trPr>
        <w:tc>
          <w:tcPr>
            <w:tcW w:w="4600" w:type="dxa"/>
            <w:vAlign w:val="bottom"/>
            <w:gridSpan w:val="2"/>
            <w:vMerge w:val="continue"/>
          </w:tcPr>
          <w:p>
            <w:pPr>
              <w:spacing w:after="0"/>
              <w:rPr>
                <w:sz w:val="19"/>
                <w:szCs w:val="19"/>
                <w:color w:val="auto"/>
              </w:rPr>
            </w:pPr>
          </w:p>
        </w:tc>
        <w:tc>
          <w:tcPr>
            <w:tcW w:w="1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0" w:type="dxa"/>
            <w:vAlign w:val="bottom"/>
          </w:tcPr>
          <w:p>
            <w:pPr>
              <w:spacing w:after="0"/>
              <w:rPr>
                <w:sz w:val="1"/>
                <w:szCs w:val="1"/>
                <w:color w:val="auto"/>
              </w:rPr>
            </w:pPr>
          </w:p>
        </w:tc>
      </w:tr>
      <w:tr>
        <w:trPr>
          <w:trHeight w:val="474"/>
        </w:trPr>
        <w:tc>
          <w:tcPr>
            <w:tcW w:w="4600" w:type="dxa"/>
            <w:vAlign w:val="bottom"/>
            <w:gridSpan w:val="2"/>
          </w:tcPr>
          <w:p>
            <w:pPr>
              <w:ind w:left="280"/>
              <w:spacing w:after="0"/>
              <w:rPr>
                <w:sz w:val="20"/>
                <w:szCs w:val="20"/>
                <w:color w:val="auto"/>
              </w:rPr>
            </w:pPr>
            <w:r>
              <w:rPr>
                <w:rFonts w:ascii="Arial" w:cs="Arial" w:eastAsia="Arial" w:hAnsi="Arial"/>
                <w:sz w:val="18"/>
                <w:szCs w:val="18"/>
                <w:b w:val="1"/>
                <w:bCs w:val="1"/>
                <w:color w:val="auto"/>
              </w:rPr>
              <w:t>Expenses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Operating</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29"/>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Vehicle depreciation and lease charges, net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29"/>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Selling, general and administrative</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1,099</w:t>
            </w:r>
          </w:p>
        </w:tc>
        <w:tc>
          <w:tcPr>
            <w:tcW w:w="0" w:type="dxa"/>
            <w:vAlign w:val="bottom"/>
          </w:tcPr>
          <w:p>
            <w:pPr>
              <w:spacing w:after="0"/>
              <w:rPr>
                <w:sz w:val="1"/>
                <w:szCs w:val="1"/>
                <w:color w:val="auto"/>
              </w:rPr>
            </w:pPr>
          </w:p>
        </w:tc>
      </w:tr>
      <w:tr>
        <w:trPr>
          <w:trHeight w:val="230"/>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Vehicle interest, net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29"/>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Non-vehicle related depreciation and amortization</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Interest expense related to corporate debt, net: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500"/>
              <w:spacing w:after="0"/>
              <w:rPr>
                <w:sz w:val="20"/>
                <w:szCs w:val="20"/>
                <w:color w:val="auto"/>
              </w:rPr>
            </w:pPr>
            <w:r>
              <w:rPr>
                <w:rFonts w:ascii="Arial" w:cs="Arial" w:eastAsia="Arial" w:hAnsi="Arial"/>
                <w:sz w:val="18"/>
                <w:szCs w:val="18"/>
                <w:color w:val="auto"/>
              </w:rPr>
              <w:t>Interest expense</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600" w:type="dxa"/>
            <w:vAlign w:val="bottom"/>
            <w:gridSpan w:val="2"/>
          </w:tcPr>
          <w:p>
            <w:pPr>
              <w:ind w:left="500"/>
              <w:spacing w:after="0"/>
              <w:rPr>
                <w:sz w:val="20"/>
                <w:szCs w:val="20"/>
                <w:color w:val="auto"/>
              </w:rPr>
            </w:pPr>
            <w:r>
              <w:rPr>
                <w:rFonts w:ascii="Arial" w:cs="Arial" w:eastAsia="Arial" w:hAnsi="Arial"/>
                <w:sz w:val="18"/>
                <w:szCs w:val="18"/>
                <w:color w:val="auto"/>
              </w:rPr>
              <w:t>Early extinguishment of debt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Restructuring and other related charges</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Transaction-related costs, net</w:t>
            </w:r>
          </w:p>
        </w:tc>
        <w:tc>
          <w:tcPr>
            <w:tcW w:w="1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5"/>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Other (income) expense, net</w:t>
            </w:r>
          </w:p>
        </w:tc>
        <w:tc>
          <w:tcPr>
            <w:tcW w:w="1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4600" w:type="dxa"/>
            <w:vAlign w:val="bottom"/>
            <w:gridSpan w:val="2"/>
          </w:tcPr>
          <w:p>
            <w:pPr>
              <w:ind w:left="280"/>
              <w:spacing w:after="0"/>
              <w:rPr>
                <w:sz w:val="20"/>
                <w:szCs w:val="20"/>
                <w:color w:val="auto"/>
              </w:rPr>
            </w:pPr>
            <w:r>
              <w:rPr>
                <w:rFonts w:ascii="Arial" w:cs="Arial" w:eastAsia="Arial" w:hAnsi="Arial"/>
                <w:sz w:val="18"/>
                <w:szCs w:val="18"/>
                <w:color w:val="auto"/>
              </w:rPr>
              <w:t>Total expenses</w:t>
            </w: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8,865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7,492</w:t>
            </w:r>
          </w:p>
        </w:tc>
        <w:tc>
          <w:tcPr>
            <w:tcW w:w="0" w:type="dxa"/>
            <w:vAlign w:val="bottom"/>
          </w:tcPr>
          <w:p>
            <w:pPr>
              <w:spacing w:after="0"/>
              <w:rPr>
                <w:sz w:val="1"/>
                <w:szCs w:val="1"/>
                <w:color w:val="auto"/>
              </w:rPr>
            </w:pPr>
          </w:p>
        </w:tc>
      </w:tr>
      <w:tr>
        <w:trPr>
          <w:trHeight w:val="474"/>
        </w:trPr>
        <w:tc>
          <w:tcPr>
            <w:tcW w:w="4600" w:type="dxa"/>
            <w:vAlign w:val="bottom"/>
            <w:gridSpan w:val="2"/>
          </w:tcPr>
          <w:p>
            <w:pPr>
              <w:ind w:left="280"/>
              <w:spacing w:after="0"/>
              <w:rPr>
                <w:sz w:val="20"/>
                <w:szCs w:val="20"/>
                <w:color w:val="auto"/>
              </w:rPr>
            </w:pPr>
            <w:r>
              <w:rPr>
                <w:rFonts w:ascii="Arial" w:cs="Arial" w:eastAsia="Arial" w:hAnsi="Arial"/>
                <w:sz w:val="18"/>
                <w:szCs w:val="18"/>
                <w:b w:val="1"/>
                <w:bCs w:val="1"/>
                <w:color w:val="auto"/>
              </w:rPr>
              <w:t>Income before income taxes</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35"/>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Provision for income taxes</w:t>
            </w:r>
          </w:p>
        </w:tc>
        <w:tc>
          <w:tcPr>
            <w:tcW w:w="11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23"/>
        </w:trPr>
        <w:tc>
          <w:tcPr>
            <w:tcW w:w="4600" w:type="dxa"/>
            <w:vAlign w:val="bottom"/>
            <w:gridSpan w:val="2"/>
          </w:tcPr>
          <w:p>
            <w:pPr>
              <w:ind w:left="280"/>
              <w:spacing w:after="0"/>
              <w:rPr>
                <w:sz w:val="20"/>
                <w:szCs w:val="20"/>
                <w:color w:val="auto"/>
              </w:rPr>
            </w:pPr>
            <w:r>
              <w:rPr>
                <w:rFonts w:ascii="Arial" w:cs="Arial" w:eastAsia="Arial" w:hAnsi="Arial"/>
                <w:sz w:val="18"/>
                <w:szCs w:val="18"/>
                <w:b w:val="1"/>
                <w:bCs w:val="1"/>
                <w:color w:val="auto"/>
              </w:rPr>
              <w:t>Net income</w:t>
            </w:r>
          </w:p>
        </w:tc>
        <w:tc>
          <w:tcPr>
            <w:tcW w:w="1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3"/>
        </w:trPr>
        <w:tc>
          <w:tcPr>
            <w:tcW w:w="5780" w:type="dxa"/>
            <w:vAlign w:val="bottom"/>
            <w:gridSpan w:val="3"/>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4600" w:type="dxa"/>
            <w:vAlign w:val="bottom"/>
            <w:gridSpan w:val="2"/>
          </w:tcPr>
          <w:p>
            <w:pPr>
              <w:ind w:left="280"/>
              <w:spacing w:after="0"/>
              <w:rPr>
                <w:sz w:val="20"/>
                <w:szCs w:val="20"/>
                <w:color w:val="auto"/>
              </w:rPr>
            </w:pPr>
            <w:r>
              <w:rPr>
                <w:rFonts w:ascii="Arial" w:cs="Arial" w:eastAsia="Arial" w:hAnsi="Arial"/>
                <w:sz w:val="18"/>
                <w:szCs w:val="18"/>
                <w:b w:val="1"/>
                <w:bCs w:val="1"/>
                <w:color w:val="auto"/>
                <w:w w:val="99"/>
              </w:rPr>
              <w:t>Net income attributable to Avis Budget Group, Inc.</w:t>
            </w:r>
          </w:p>
        </w:tc>
        <w:tc>
          <w:tcPr>
            <w:tcW w:w="11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0"/>
        </w:trPr>
        <w:tc>
          <w:tcPr>
            <w:tcW w:w="578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6140" w:type="dxa"/>
            <w:vAlign w:val="bottom"/>
            <w:gridSpan w:val="4"/>
          </w:tcPr>
          <w:p>
            <w:pPr>
              <w:ind w:left="280"/>
              <w:spacing w:after="0"/>
              <w:rPr>
                <w:sz w:val="20"/>
                <w:szCs w:val="20"/>
                <w:color w:val="auto"/>
              </w:rPr>
            </w:pPr>
            <w:r>
              <w:rPr>
                <w:rFonts w:ascii="Arial" w:cs="Arial" w:eastAsia="Arial" w:hAnsi="Arial"/>
                <w:sz w:val="18"/>
                <w:szCs w:val="18"/>
                <w:b w:val="1"/>
                <w:bCs w:val="1"/>
                <w:color w:val="auto"/>
              </w:rPr>
              <w:t xml:space="preserve">Comprehensive income attributable to Avis Budget Group, Inc.  </w:t>
            </w: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260</w:t>
            </w:r>
          </w:p>
        </w:tc>
        <w:tc>
          <w:tcPr>
            <w:tcW w:w="8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474"/>
        </w:trPr>
        <w:tc>
          <w:tcPr>
            <w:tcW w:w="4600" w:type="dxa"/>
            <w:vAlign w:val="bottom"/>
            <w:gridSpan w:val="2"/>
          </w:tcPr>
          <w:p>
            <w:pPr>
              <w:ind w:left="280"/>
              <w:spacing w:after="0"/>
              <w:rPr>
                <w:sz w:val="20"/>
                <w:szCs w:val="20"/>
                <w:color w:val="auto"/>
              </w:rPr>
            </w:pPr>
            <w:r>
              <w:rPr>
                <w:rFonts w:ascii="Arial" w:cs="Arial" w:eastAsia="Arial" w:hAnsi="Arial"/>
                <w:sz w:val="18"/>
                <w:szCs w:val="18"/>
                <w:b w:val="1"/>
                <w:bCs w:val="1"/>
                <w:color w:val="auto"/>
              </w:rPr>
              <w:t>Earnings per share</w:t>
            </w:r>
          </w:p>
        </w:tc>
        <w:tc>
          <w:tcPr>
            <w:tcW w:w="118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Basic</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16.96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39"/>
        </w:trPr>
        <w:tc>
          <w:tcPr>
            <w:tcW w:w="4600" w:type="dxa"/>
            <w:vAlign w:val="bottom"/>
            <w:gridSpan w:val="2"/>
          </w:tcPr>
          <w:p>
            <w:pPr>
              <w:ind w:left="400"/>
              <w:spacing w:after="0"/>
              <w:rPr>
                <w:sz w:val="20"/>
                <w:szCs w:val="20"/>
                <w:color w:val="auto"/>
              </w:rPr>
            </w:pPr>
            <w:r>
              <w:rPr>
                <w:rFonts w:ascii="Arial" w:cs="Arial" w:eastAsia="Arial" w:hAnsi="Arial"/>
                <w:sz w:val="18"/>
                <w:szCs w:val="18"/>
                <w:color w:val="auto"/>
              </w:rPr>
              <w:t>Diluted</w:t>
            </w:r>
          </w:p>
        </w:tc>
        <w:tc>
          <w:tcPr>
            <w:tcW w:w="15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6.65</w:t>
            </w:r>
          </w:p>
        </w:tc>
        <w:tc>
          <w:tcPr>
            <w:tcW w:w="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08" w:right="5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par value)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tcPr>
          <w:p>
            <w:pPr>
              <w:jc w:val="right"/>
              <w:ind w:right="288"/>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2023</w:t>
            </w:r>
          </w:p>
        </w:tc>
        <w:tc>
          <w:tcPr>
            <w:tcW w:w="0" w:type="dxa"/>
            <w:vAlign w:val="bottom"/>
          </w:tcPr>
          <w:p>
            <w:pPr>
              <w:spacing w:after="0"/>
              <w:rPr>
                <w:sz w:val="1"/>
                <w:szCs w:val="1"/>
                <w:color w:val="auto"/>
              </w:rPr>
            </w:pPr>
          </w:p>
        </w:tc>
      </w:tr>
      <w:tr>
        <w:trPr>
          <w:trHeight w:val="180"/>
        </w:trPr>
        <w:tc>
          <w:tcPr>
            <w:tcW w:w="77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7760" w:type="dxa"/>
            <w:vAlign w:val="bottom"/>
          </w:tcPr>
          <w:p>
            <w:pPr>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602</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555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917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900</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Other 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Total current assets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2,319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2,139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2,654</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1,868</w:t>
            </w:r>
          </w:p>
        </w:tc>
        <w:tc>
          <w:tcPr>
            <w:tcW w:w="0" w:type="dxa"/>
            <w:vAlign w:val="bottom"/>
          </w:tcPr>
          <w:p>
            <w:pPr>
              <w:spacing w:after="0"/>
              <w:rPr>
                <w:sz w:val="1"/>
                <w:szCs w:val="1"/>
                <w:color w:val="auto"/>
              </w:rPr>
            </w:pPr>
          </w:p>
        </w:tc>
      </w:tr>
      <w:tr>
        <w:trPr>
          <w:trHeight w:val="202"/>
        </w:trPr>
        <w:tc>
          <w:tcPr>
            <w:tcW w:w="7760" w:type="dxa"/>
            <w:vAlign w:val="bottom"/>
          </w:tcPr>
          <w:p>
            <w:pPr>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1,099</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Other intangibles,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647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441</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assets exclusive of assets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9,647</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9,590</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Program cash</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Vehicles, net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21,352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21,240</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Receivables from vehicle manufacturers and other</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443</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Investment in Avis Budget Rental Car Funding (AESOP) LLC—related party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1,283</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1,211</w:t>
            </w:r>
          </w:p>
        </w:tc>
        <w:tc>
          <w:tcPr>
            <w:tcW w:w="0" w:type="dxa"/>
            <w:vAlign w:val="bottom"/>
          </w:tcPr>
          <w:p>
            <w:pPr>
              <w:spacing w:after="0"/>
              <w:rPr>
                <w:sz w:val="1"/>
                <w:szCs w:val="1"/>
                <w:color w:val="auto"/>
              </w:rPr>
            </w:pPr>
          </w:p>
        </w:tc>
      </w:tr>
      <w:tr>
        <w:trPr>
          <w:trHeight w:val="193"/>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23,102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22,979</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32,569</w:t>
            </w:r>
          </w:p>
        </w:tc>
        <w:tc>
          <w:tcPr>
            <w:tcW w:w="0" w:type="dxa"/>
            <w:vAlign w:val="bottom"/>
          </w:tcPr>
          <w:p>
            <w:pPr>
              <w:spacing w:after="0"/>
              <w:rPr>
                <w:sz w:val="1"/>
                <w:szCs w:val="1"/>
                <w:color w:val="auto"/>
              </w:rPr>
            </w:pPr>
          </w:p>
        </w:tc>
      </w:tr>
      <w:tr>
        <w:trPr>
          <w:trHeight w:val="27"/>
        </w:trPr>
        <w:tc>
          <w:tcPr>
            <w:tcW w:w="776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5"/>
        </w:trPr>
        <w:tc>
          <w:tcPr>
            <w:tcW w:w="77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Accounts payable and other current liabilities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Pr>
          <w:p>
            <w:pPr>
              <w:jc w:val="right"/>
              <w:spacing w:after="0"/>
              <w:rPr>
                <w:sz w:val="20"/>
                <w:szCs w:val="20"/>
                <w:color w:val="auto"/>
              </w:rPr>
            </w:pPr>
            <w:r>
              <w:rPr>
                <w:rFonts w:ascii="Arial" w:cs="Arial" w:eastAsia="Arial" w:hAnsi="Arial"/>
                <w:sz w:val="14"/>
                <w:szCs w:val="14"/>
                <w:color w:val="auto"/>
              </w:rPr>
              <w:t>2,786</w:t>
            </w:r>
          </w:p>
        </w:tc>
        <w:tc>
          <w:tcPr>
            <w:tcW w:w="100" w:type="dxa"/>
            <w:vAlign w:val="bottom"/>
          </w:tcPr>
          <w:p>
            <w:pPr>
              <w:spacing w:after="0"/>
              <w:rPr>
                <w:sz w:val="17"/>
                <w:szCs w:val="17"/>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2,627</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Short-term debt and current portion of long-term debt</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5"/>
        </w:trPr>
        <w:tc>
          <w:tcPr>
            <w:tcW w:w="776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3,326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2,659</w:t>
            </w: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5,465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4,791</w:t>
            </w:r>
          </w:p>
        </w:tc>
        <w:tc>
          <w:tcPr>
            <w:tcW w:w="0" w:type="dxa"/>
            <w:vAlign w:val="bottom"/>
          </w:tcPr>
          <w:p>
            <w:pPr>
              <w:spacing w:after="0"/>
              <w:rPr>
                <w:sz w:val="1"/>
                <w:szCs w:val="1"/>
                <w:color w:val="auto"/>
              </w:rPr>
            </w:pPr>
          </w:p>
        </w:tc>
      </w:tr>
      <w:tr>
        <w:trPr>
          <w:trHeight w:val="203"/>
        </w:trPr>
        <w:tc>
          <w:tcPr>
            <w:tcW w:w="7760" w:type="dxa"/>
            <w:vAlign w:val="bottom"/>
          </w:tcPr>
          <w:p>
            <w:pPr>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2,351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2,117</w:t>
            </w:r>
          </w:p>
        </w:tc>
        <w:tc>
          <w:tcPr>
            <w:tcW w:w="0" w:type="dxa"/>
            <w:vAlign w:val="bottom"/>
          </w:tcPr>
          <w:p>
            <w:pPr>
              <w:spacing w:after="0"/>
              <w:rPr>
                <w:sz w:val="1"/>
                <w:szCs w:val="1"/>
                <w:color w:val="auto"/>
              </w:rPr>
            </w:pPr>
          </w:p>
        </w:tc>
      </w:tr>
      <w:tr>
        <w:trPr>
          <w:trHeight w:val="204"/>
        </w:trPr>
        <w:tc>
          <w:tcPr>
            <w:tcW w:w="776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528</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 programs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11,651</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10,095</w:t>
            </w:r>
          </w:p>
        </w:tc>
        <w:tc>
          <w:tcPr>
            <w:tcW w:w="0" w:type="dxa"/>
            <w:vAlign w:val="bottom"/>
          </w:tcPr>
          <w:p>
            <w:pPr>
              <w:spacing w:after="0"/>
              <w:rPr>
                <w:sz w:val="1"/>
                <w:szCs w:val="1"/>
                <w:color w:val="auto"/>
              </w:rPr>
            </w:pPr>
          </w:p>
        </w:tc>
      </w:tr>
      <w:tr>
        <w:trPr>
          <w:trHeight w:val="329"/>
        </w:trPr>
        <w:tc>
          <w:tcPr>
            <w:tcW w:w="776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4,056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3,496</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Debt due to Avis Budget Rental Car Funding (AESOP) LLC—related party</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13,837</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15,441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3,114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3,418</w:t>
            </w:r>
          </w:p>
        </w:tc>
        <w:tc>
          <w:tcPr>
            <w:tcW w:w="0" w:type="dxa"/>
            <w:vAlign w:val="bottom"/>
          </w:tcPr>
          <w:p>
            <w:pPr>
              <w:spacing w:after="0"/>
              <w:rPr>
                <w:sz w:val="1"/>
                <w:szCs w:val="1"/>
                <w:color w:val="auto"/>
              </w:rPr>
            </w:pPr>
          </w:p>
        </w:tc>
      </w:tr>
      <w:tr>
        <w:trPr>
          <w:trHeight w:val="207"/>
        </w:trPr>
        <w:tc>
          <w:tcPr>
            <w:tcW w:w="7760" w:type="dxa"/>
            <w:vAlign w:val="bottom"/>
          </w:tcPr>
          <w:p>
            <w:pPr>
              <w:ind w:left="22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21,327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22,817</w:t>
            </w:r>
          </w:p>
        </w:tc>
        <w:tc>
          <w:tcPr>
            <w:tcW w:w="0" w:type="dxa"/>
            <w:vAlign w:val="bottom"/>
          </w:tcPr>
          <w:p>
            <w:pPr>
              <w:spacing w:after="0"/>
              <w:rPr>
                <w:sz w:val="1"/>
                <w:szCs w:val="1"/>
                <w:color w:val="auto"/>
              </w:rPr>
            </w:pPr>
          </w:p>
        </w:tc>
      </w:tr>
      <w:tr>
        <w:trPr>
          <w:trHeight w:val="181"/>
        </w:trPr>
        <w:tc>
          <w:tcPr>
            <w:tcW w:w="7760" w:type="dxa"/>
            <w:vAlign w:val="bottom"/>
          </w:tcPr>
          <w:p>
            <w:pPr>
              <w:spacing w:after="0"/>
              <w:rPr>
                <w:sz w:val="20"/>
                <w:szCs w:val="20"/>
                <w:color w:val="auto"/>
              </w:rPr>
            </w:pPr>
            <w:r>
              <w:rPr>
                <w:rFonts w:ascii="Arial" w:cs="Arial" w:eastAsia="Arial" w:hAnsi="Arial"/>
                <w:sz w:val="14"/>
                <w:szCs w:val="14"/>
                <w:color w:val="auto"/>
              </w:rPr>
              <w:t>Commitments and contingencies (Note 12)</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1"/>
        </w:trPr>
        <w:tc>
          <w:tcPr>
            <w:tcW w:w="7760" w:type="dxa"/>
            <w:vAlign w:val="bottom"/>
          </w:tcPr>
          <w:p>
            <w:pPr>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Preferred stock, $0.01 par value—authorized 10 shares; none issued and outstanding, in each period</w:t>
            </w:r>
          </w:p>
        </w:tc>
        <w:tc>
          <w:tcPr>
            <w:tcW w:w="220" w:type="dxa"/>
            <w:vAlign w:val="bottom"/>
          </w:tcPr>
          <w:p>
            <w:pPr>
              <w:spacing w:after="0"/>
              <w:rPr>
                <w:sz w:val="17"/>
                <w:szCs w:val="17"/>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Common stock, $0.01 par value—authorized 250 shares; issued 137 shares, in each period</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Additional paid-in capital</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6,615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6,634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3,988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3,854</w:t>
            </w:r>
          </w:p>
        </w:tc>
        <w:tc>
          <w:tcPr>
            <w:tcW w:w="0" w:type="dxa"/>
            <w:vAlign w:val="bottom"/>
          </w:tcPr>
          <w:p>
            <w:pPr>
              <w:spacing w:after="0"/>
              <w:rPr>
                <w:sz w:val="1"/>
                <w:szCs w:val="1"/>
                <w:color w:val="auto"/>
              </w:rPr>
            </w:pPr>
          </w:p>
        </w:tc>
      </w:tr>
      <w:tr>
        <w:trPr>
          <w:trHeight w:val="203"/>
        </w:trPr>
        <w:tc>
          <w:tcPr>
            <w:tcW w:w="7760" w:type="dxa"/>
            <w:vAlign w:val="bottom"/>
          </w:tcPr>
          <w:p>
            <w:pPr>
              <w:ind w:left="22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Treasury stock, at cost—102 shares, in each period</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(10,730)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(10,742)</w:t>
            </w:r>
          </w:p>
        </w:tc>
        <w:tc>
          <w:tcPr>
            <w:tcW w:w="0" w:type="dxa"/>
            <w:vAlign w:val="bottom"/>
          </w:tcPr>
          <w:p>
            <w:pPr>
              <w:spacing w:after="0"/>
              <w:rPr>
                <w:sz w:val="1"/>
                <w:szCs w:val="1"/>
                <w:color w:val="auto"/>
              </w:rPr>
            </w:pPr>
          </w:p>
        </w:tc>
      </w:tr>
      <w:tr>
        <w:trPr>
          <w:trHeight w:val="194"/>
        </w:trPr>
        <w:tc>
          <w:tcPr>
            <w:tcW w:w="7760" w:type="dxa"/>
            <w:vAlign w:val="bottom"/>
          </w:tcPr>
          <w:p>
            <w:pPr>
              <w:spacing w:after="0"/>
              <w:rPr>
                <w:sz w:val="20"/>
                <w:szCs w:val="20"/>
                <w:color w:val="auto"/>
              </w:rPr>
            </w:pPr>
            <w:r>
              <w:rPr>
                <w:rFonts w:ascii="Arial" w:cs="Arial" w:eastAsia="Arial" w:hAnsi="Arial"/>
                <w:sz w:val="14"/>
                <w:szCs w:val="14"/>
                <w:color w:val="auto"/>
              </w:rPr>
              <w:t>Stockholders’ equity attributable to Avis Budget Group, Inc.</w:t>
            </w:r>
          </w:p>
        </w:tc>
        <w:tc>
          <w:tcPr>
            <w:tcW w:w="2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(349)</w:t>
            </w:r>
          </w:p>
        </w:tc>
        <w:tc>
          <w:tcPr>
            <w:tcW w:w="0" w:type="dxa"/>
            <w:vAlign w:val="bottom"/>
          </w:tcPr>
          <w:p>
            <w:pPr>
              <w:spacing w:after="0"/>
              <w:rPr>
                <w:sz w:val="1"/>
                <w:szCs w:val="1"/>
                <w:color w:val="auto"/>
              </w:rPr>
            </w:pPr>
          </w:p>
        </w:tc>
      </w:tr>
      <w:tr>
        <w:trPr>
          <w:trHeight w:val="204"/>
        </w:trPr>
        <w:tc>
          <w:tcPr>
            <w:tcW w:w="7760" w:type="dxa"/>
            <w:vAlign w:val="bottom"/>
          </w:tcPr>
          <w:p>
            <w:pPr>
              <w:ind w:left="220"/>
              <w:spacing w:after="0"/>
              <w:rPr>
                <w:sz w:val="20"/>
                <w:szCs w:val="20"/>
                <w:color w:val="auto"/>
              </w:rPr>
            </w:pPr>
            <w:r>
              <w:rPr>
                <w:rFonts w:ascii="Arial" w:cs="Arial" w:eastAsia="Arial" w:hAnsi="Arial"/>
                <w:sz w:val="14"/>
                <w:szCs w:val="14"/>
                <w:color w:val="auto"/>
              </w:rPr>
              <w:t>Non-controlling interests</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776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(343)</w:t>
            </w:r>
          </w:p>
        </w:tc>
        <w:tc>
          <w:tcPr>
            <w:tcW w:w="0" w:type="dxa"/>
            <w:vAlign w:val="bottom"/>
          </w:tcPr>
          <w:p>
            <w:pPr>
              <w:spacing w:after="0"/>
              <w:rPr>
                <w:sz w:val="1"/>
                <w:szCs w:val="1"/>
                <w:color w:val="auto"/>
              </w:rPr>
            </w:pPr>
          </w:p>
        </w:tc>
      </w:tr>
      <w:tr>
        <w:trPr>
          <w:trHeight w:val="199"/>
        </w:trPr>
        <w:tc>
          <w:tcPr>
            <w:tcW w:w="776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32,749</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32,569</w:t>
            </w:r>
          </w:p>
        </w:tc>
        <w:tc>
          <w:tcPr>
            <w:tcW w:w="0" w:type="dxa"/>
            <w:vAlign w:val="bottom"/>
          </w:tcPr>
          <w:p>
            <w:pPr>
              <w:spacing w:after="0"/>
              <w:rPr>
                <w:sz w:val="1"/>
                <w:szCs w:val="1"/>
                <w:color w:val="auto"/>
              </w:rPr>
            </w:pPr>
          </w:p>
        </w:tc>
      </w:tr>
      <w:tr>
        <w:trPr>
          <w:trHeight w:val="24"/>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ind w:left="3520"/>
              <w:spacing w:after="0"/>
              <w:rPr>
                <w:sz w:val="20"/>
                <w:szCs w:val="20"/>
                <w:color w:val="auto"/>
              </w:rPr>
            </w:pPr>
            <w:r>
              <w:rPr>
                <w:rFonts w:ascii="Arial" w:cs="Arial" w:eastAsia="Arial" w:hAnsi="Arial"/>
                <w:sz w:val="18"/>
                <w:szCs w:val="18"/>
                <w:b w:val="1"/>
                <w:bCs w:val="1"/>
                <w:color w:val="auto"/>
              </w:rPr>
              <w:t>Avis Budget Group, Inc.</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5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1,375</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Vehicle depreciation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right-of-use assets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(Gain) loss on sale of vehicles, net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Non-vehicle related depreciation and amortization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Amortization of debt financing fees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Early extinguishment of debt costs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Net change in assets and liabilities:</w:t>
            </w: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Income taxes and deferred income taxes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29"/>
        </w:trPr>
        <w:tc>
          <w:tcPr>
            <w:tcW w:w="8440" w:type="dxa"/>
            <w:vAlign w:val="bottom"/>
            <w:gridSpan w:val="2"/>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Operating lease liabilities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Property and equipment additions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received on asset sales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assets acquired (net of cash acquired)</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(8,153)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(12,609)</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received on disposition of vehicles</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6,106</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(6,699)</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7"/>
        </w:trPr>
        <w:tc>
          <w:tcPr>
            <w:tcW w:w="844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2"/>
        </w:trPr>
        <w:tc>
          <w:tcPr>
            <w:tcW w:w="1400" w:type="dxa"/>
            <w:vAlign w:val="bottom"/>
            <w:tcBorders>
              <w:top w:val="single" w:sz="8" w:color="0000FF"/>
            </w:tcBorders>
          </w:tcPr>
          <w:p>
            <w:pPr>
              <w:spacing w:after="0"/>
              <w:rPr>
                <w:sz w:val="24"/>
                <w:szCs w:val="24"/>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Avis Budget Group, Inc.</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48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8"/>
              </w:rPr>
              <w:t>(In millions)</w:t>
            </w: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1400" w:type="dxa"/>
            <w:vAlign w:val="bottom"/>
          </w:tcPr>
          <w:p>
            <w:pPr>
              <w:spacing w:after="0"/>
              <w:rPr>
                <w:sz w:val="21"/>
                <w:szCs w:val="21"/>
                <w:color w:val="auto"/>
              </w:rPr>
            </w:pPr>
          </w:p>
        </w:tc>
        <w:tc>
          <w:tcPr>
            <w:tcW w:w="7040" w:type="dxa"/>
            <w:vAlign w:val="bottom"/>
          </w:tcPr>
          <w:p>
            <w:pPr>
              <w:jc w:val="center"/>
              <w:ind w:left="1310"/>
              <w:spacing w:after="0"/>
              <w:rPr>
                <w:sz w:val="20"/>
                <w:szCs w:val="20"/>
                <w:color w:val="auto"/>
              </w:rPr>
            </w:pPr>
            <w:r>
              <w:rPr>
                <w:rFonts w:ascii="Arial" w:cs="Arial" w:eastAsia="Arial" w:hAnsi="Arial"/>
                <w:sz w:val="18"/>
                <w:szCs w:val="18"/>
                <w:b w:val="1"/>
                <w:bCs w:val="1"/>
                <w:color w:val="auto"/>
                <w:w w:val="99"/>
              </w:rPr>
              <w:t>(Unaudited)</w:t>
            </w:r>
          </w:p>
        </w:tc>
        <w:tc>
          <w:tcPr>
            <w:tcW w:w="4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4"/>
        </w:trPr>
        <w:tc>
          <w:tcPr>
            <w:tcW w:w="14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36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7040" w:type="dxa"/>
            <w:vAlign w:val="bottom"/>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236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204"/>
        </w:trPr>
        <w:tc>
          <w:tcPr>
            <w:tcW w:w="844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Proceeds from long-term borrowings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Payments on long-term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30"/>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Repurchases of common stock</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(690)</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 exclusive of vehicle programs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i w:val="1"/>
                <w:iCs w:val="1"/>
                <w:color w:val="auto"/>
              </w:rPr>
              <w:t>Vehicle programs:</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Proceeds from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16,536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18,214</w:t>
            </w:r>
          </w:p>
        </w:tc>
        <w:tc>
          <w:tcPr>
            <w:tcW w:w="0" w:type="dxa"/>
            <w:vAlign w:val="bottom"/>
          </w:tcPr>
          <w:p>
            <w:pPr>
              <w:spacing w:after="0"/>
              <w:rPr>
                <w:sz w:val="1"/>
                <w:szCs w:val="1"/>
                <w:color w:val="auto"/>
              </w:rPr>
            </w:pPr>
          </w:p>
        </w:tc>
      </w:tr>
      <w:tr>
        <w:trPr>
          <w:trHeight w:val="230"/>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Payments on borrowings</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(13,594)</w:t>
            </w:r>
          </w:p>
        </w:tc>
        <w:tc>
          <w:tcPr>
            <w:tcW w:w="0" w:type="dxa"/>
            <w:vAlign w:val="bottom"/>
          </w:tcPr>
          <w:p>
            <w:pPr>
              <w:spacing w:after="0"/>
              <w:rPr>
                <w:sz w:val="1"/>
                <w:szCs w:val="1"/>
                <w:color w:val="auto"/>
              </w:rPr>
            </w:pPr>
          </w:p>
        </w:tc>
      </w:tr>
      <w:tr>
        <w:trPr>
          <w:trHeight w:val="235"/>
        </w:trPr>
        <w:tc>
          <w:tcPr>
            <w:tcW w:w="8440" w:type="dxa"/>
            <w:vAlign w:val="bottom"/>
            <w:gridSpan w:val="2"/>
          </w:tcPr>
          <w:p>
            <w:pPr>
              <w:ind w:left="180"/>
              <w:spacing w:after="0"/>
              <w:rPr>
                <w:sz w:val="20"/>
                <w:szCs w:val="20"/>
                <w:color w:val="auto"/>
              </w:rPr>
            </w:pPr>
            <w:r>
              <w:rPr>
                <w:rFonts w:ascii="Arial" w:cs="Arial" w:eastAsia="Arial" w:hAnsi="Arial"/>
                <w:sz w:val="18"/>
                <w:szCs w:val="18"/>
                <w:color w:val="auto"/>
              </w:rPr>
              <w:t>Debt financing fees</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23"/>
        </w:trPr>
        <w:tc>
          <w:tcPr>
            <w:tcW w:w="84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4,581</w:t>
            </w:r>
          </w:p>
        </w:tc>
        <w:tc>
          <w:tcPr>
            <w:tcW w:w="0" w:type="dxa"/>
            <w:vAlign w:val="bottom"/>
          </w:tcPr>
          <w:p>
            <w:pPr>
              <w:spacing w:after="0"/>
              <w:rPr>
                <w:sz w:val="1"/>
                <w:szCs w:val="1"/>
                <w:color w:val="auto"/>
              </w:rPr>
            </w:pPr>
          </w:p>
        </w:tc>
      </w:tr>
      <w:tr>
        <w:trPr>
          <w:trHeight w:val="223"/>
        </w:trPr>
        <w:tc>
          <w:tcPr>
            <w:tcW w:w="8440" w:type="dxa"/>
            <w:vAlign w:val="bottom"/>
            <w:gridSpan w:val="2"/>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466"/>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61"/>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Net increase in cash and cash equivalents, program and restricted cash</w:t>
            </w:r>
          </w:p>
        </w:tc>
        <w:tc>
          <w:tcPr>
            <w:tcW w:w="4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35"/>
        </w:trPr>
        <w:tc>
          <w:tcPr>
            <w:tcW w:w="844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4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3"/>
        </w:trPr>
        <w:tc>
          <w:tcPr>
            <w:tcW w:w="844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CONDENSED STATEMENTS OF STOCKHOLDERS’ EQUITY</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8" w:lineRule="exact"/>
        <w:rPr>
          <w:sz w:val="20"/>
          <w:szCs w:val="20"/>
          <w:color w:val="auto"/>
        </w:rPr>
      </w:pPr>
    </w:p>
    <w:tbl>
      <w:tblPr>
        <w:tblLayout w:type="fixed"/>
        <w:tblInd w:w="8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30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vMerge w:val="restart"/>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0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40" w:type="dxa"/>
            <w:vAlign w:val="bottom"/>
            <w:gridSpan w:val="3"/>
          </w:tcPr>
          <w:p>
            <w:pPr>
              <w:jc w:val="center"/>
              <w:ind w:right="10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82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Non-</w:t>
            </w:r>
          </w:p>
        </w:tc>
        <w:tc>
          <w:tcPr>
            <w:tcW w:w="80" w:type="dxa"/>
            <w:vAlign w:val="bottom"/>
          </w:tcPr>
          <w:p>
            <w:pPr>
              <w:spacing w:after="0"/>
              <w:rPr>
                <w:sz w:val="9"/>
                <w:szCs w:val="9"/>
                <w:color w:val="auto"/>
              </w:rPr>
            </w:pPr>
          </w:p>
        </w:tc>
        <w:tc>
          <w:tcPr>
            <w:tcW w:w="86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7"/>
                <w:szCs w:val="7"/>
                <w:color w:val="auto"/>
              </w:rPr>
            </w:pPr>
          </w:p>
        </w:tc>
        <w:tc>
          <w:tcPr>
            <w:tcW w:w="78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7"/>
                <w:szCs w:val="7"/>
                <w:color w:val="auto"/>
              </w:rPr>
            </w:pPr>
          </w:p>
        </w:tc>
        <w:tc>
          <w:tcPr>
            <w:tcW w:w="880" w:type="dxa"/>
            <w:vAlign w:val="bottom"/>
            <w:gridSpan w:val="2"/>
          </w:tcPr>
          <w:p>
            <w:pPr>
              <w:ind w:left="80"/>
              <w:spacing w:after="0" w:line="89" w:lineRule="exact"/>
              <w:rPr>
                <w:sz w:val="20"/>
                <w:szCs w:val="20"/>
                <w:color w:val="auto"/>
              </w:rPr>
            </w:pPr>
            <w:r>
              <w:rPr>
                <w:rFonts w:ascii="Arial" w:cs="Arial" w:eastAsia="Arial" w:hAnsi="Arial"/>
                <w:sz w:val="10"/>
                <w:szCs w:val="10"/>
                <w:b w:val="1"/>
                <w:bCs w:val="1"/>
                <w:color w:val="auto"/>
              </w:rPr>
              <w:t>Retained</w:t>
            </w:r>
          </w:p>
        </w:tc>
        <w:tc>
          <w:tcPr>
            <w:tcW w:w="80" w:type="dxa"/>
            <w:vAlign w:val="bottom"/>
          </w:tcPr>
          <w:p>
            <w:pPr>
              <w:spacing w:after="0"/>
              <w:rPr>
                <w:sz w:val="7"/>
                <w:szCs w:val="7"/>
                <w:color w:val="auto"/>
              </w:rPr>
            </w:pPr>
          </w:p>
        </w:tc>
        <w:tc>
          <w:tcPr>
            <w:tcW w:w="10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7"/>
                <w:szCs w:val="7"/>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104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820" w:type="dxa"/>
            <w:vAlign w:val="bottom"/>
            <w:gridSpan w:val="2"/>
          </w:tcPr>
          <w:p>
            <w:pPr>
              <w:jc w:val="center"/>
              <w:ind w:right="220"/>
              <w:spacing w:after="0" w:line="89" w:lineRule="exact"/>
              <w:rPr>
                <w:sz w:val="20"/>
                <w:szCs w:val="20"/>
                <w:color w:val="auto"/>
              </w:rPr>
            </w:pPr>
            <w:r>
              <w:rPr>
                <w:rFonts w:ascii="Arial" w:cs="Arial" w:eastAsia="Arial" w:hAnsi="Arial"/>
                <w:sz w:val="10"/>
                <w:szCs w:val="10"/>
                <w:b w:val="1"/>
                <w:bCs w:val="1"/>
                <w:color w:val="auto"/>
              </w:rPr>
              <w:t>controlling</w:t>
            </w:r>
          </w:p>
        </w:tc>
        <w:tc>
          <w:tcPr>
            <w:tcW w:w="80" w:type="dxa"/>
            <w:vAlign w:val="bottom"/>
          </w:tcPr>
          <w:p>
            <w:pPr>
              <w:spacing w:after="0"/>
              <w:rPr>
                <w:sz w:val="7"/>
                <w:szCs w:val="7"/>
                <w:color w:val="auto"/>
              </w:rPr>
            </w:pPr>
          </w:p>
        </w:tc>
        <w:tc>
          <w:tcPr>
            <w:tcW w:w="86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8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7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5"/>
              </w:rPr>
              <w:t>Interests</w:t>
            </w:r>
          </w:p>
        </w:tc>
        <w:tc>
          <w:tcPr>
            <w:tcW w:w="80" w:type="dxa"/>
            <w:vAlign w:val="bottom"/>
          </w:tcPr>
          <w:p>
            <w:pPr>
              <w:spacing w:after="0"/>
              <w:rPr>
                <w:sz w:val="13"/>
                <w:szCs w:val="13"/>
                <w:color w:val="auto"/>
              </w:rPr>
            </w:pPr>
          </w:p>
        </w:tc>
        <w:tc>
          <w:tcPr>
            <w:tcW w:w="860" w:type="dxa"/>
            <w:vAlign w:val="bottom"/>
          </w:tcPr>
          <w:p>
            <w:pPr>
              <w:jc w:val="center"/>
              <w:ind w:right="47"/>
              <w:spacing w:after="0"/>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June 30, 2024</w:t>
            </w:r>
          </w:p>
        </w:tc>
        <w:tc>
          <w:tcPr>
            <w:tcW w:w="60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6,616</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3,751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(135)</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(101.4)</w:t>
            </w:r>
          </w:p>
        </w:tc>
        <w:tc>
          <w:tcPr>
            <w:tcW w:w="10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(10,723)</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(490)</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8</w:t>
            </w:r>
          </w:p>
        </w:tc>
        <w:tc>
          <w:tcPr>
            <w:tcW w:w="12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(482)</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237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238</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23</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237</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23</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260</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261</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September 30, 2024</w:t>
            </w:r>
          </w:p>
        </w:tc>
        <w:tc>
          <w:tcPr>
            <w:tcW w:w="6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6,615</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3,988</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(101.5)</w:t>
            </w:r>
          </w:p>
        </w:tc>
        <w:tc>
          <w:tcPr>
            <w:tcW w:w="10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(10,730)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w:t>
            </w:r>
          </w:p>
        </w:tc>
        <w:tc>
          <w:tcPr>
            <w:tcW w:w="120" w:type="dxa"/>
            <w:vAlign w:val="bottom"/>
          </w:tcPr>
          <w:p>
            <w:pPr>
              <w:spacing w:after="0"/>
              <w:rPr>
                <w:sz w:val="14"/>
                <w:szCs w:val="14"/>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June 30, 2023</w:t>
            </w:r>
          </w:p>
        </w:tc>
        <w:tc>
          <w:tcPr>
            <w:tcW w:w="600" w:type="dxa"/>
            <w:vAlign w:val="bottom"/>
          </w:tcPr>
          <w:p>
            <w:pPr>
              <w:jc w:val="right"/>
              <w:ind w:right="2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6,625</w:t>
            </w:r>
          </w:p>
        </w:tc>
        <w:tc>
          <w:tcPr>
            <w:tcW w:w="120" w:type="dxa"/>
            <w:vAlign w:val="bottom"/>
          </w:tcPr>
          <w:p>
            <w:pPr>
              <w:spacing w:after="0"/>
              <w:rPr>
                <w:sz w:val="24"/>
                <w:szCs w:val="2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3,326</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(90)</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(98.0)</w:t>
            </w: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(9,991)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(129)</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4</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(125)</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ind w:right="6"/>
              <w:spacing w:after="0"/>
              <w:rPr>
                <w:sz w:val="20"/>
                <w:szCs w:val="20"/>
                <w:color w:val="auto"/>
              </w:rPr>
            </w:pPr>
            <w:r>
              <w:rPr>
                <w:rFonts w:ascii="Arial" w:cs="Arial" w:eastAsia="Arial" w:hAnsi="Arial"/>
                <w:sz w:val="11"/>
                <w:szCs w:val="11"/>
                <w:color w:val="auto"/>
              </w:rPr>
              <w:t>626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626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627</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(40)</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626</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(40)</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586</w:t>
            </w:r>
          </w:p>
        </w:tc>
        <w:tc>
          <w:tcPr>
            <w:tcW w:w="1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587</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4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3"/>
                <w:szCs w:val="13"/>
                <w:color w:val="auto"/>
              </w:rPr>
            </w:pPr>
          </w:p>
        </w:tc>
        <w:tc>
          <w:tcPr>
            <w:tcW w:w="86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182"/>
        </w:trPr>
        <w:tc>
          <w:tcPr>
            <w:tcW w:w="2280" w:type="dxa"/>
            <w:vAlign w:val="bottom"/>
          </w:tcPr>
          <w:p>
            <w:pPr>
              <w:spacing w:after="0"/>
              <w:rPr>
                <w:sz w:val="20"/>
                <w:szCs w:val="20"/>
                <w:color w:val="auto"/>
              </w:rPr>
            </w:pPr>
            <w:r>
              <w:rPr>
                <w:rFonts w:ascii="Arial" w:cs="Arial" w:eastAsia="Arial" w:hAnsi="Arial"/>
                <w:sz w:val="11"/>
                <w:szCs w:val="11"/>
                <w:color w:val="auto"/>
              </w:rPr>
              <w:t xml:space="preserve">Repurchases of common stock </w:t>
            </w:r>
            <w:r>
              <w:rPr>
                <w:rFonts w:ascii="Arial" w:cs="Arial" w:eastAsia="Arial" w:hAnsi="Arial"/>
                <w:sz w:val="14"/>
                <w:szCs w:val="14"/>
                <w:color w:val="auto"/>
                <w:vertAlign w:val="superscript"/>
              </w:rPr>
              <w:t>(a)</w:t>
            </w:r>
          </w:p>
        </w:tc>
        <w:tc>
          <w:tcPr>
            <w:tcW w:w="700" w:type="dxa"/>
            <w:vAlign w:val="bottom"/>
            <w:gridSpan w:val="2"/>
          </w:tcPr>
          <w:p>
            <w:pPr>
              <w:ind w:left="46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780" w:type="dxa"/>
            <w:vAlign w:val="bottom"/>
            <w:gridSpan w:val="2"/>
          </w:tcPr>
          <w:p>
            <w:pPr>
              <w:ind w:left="5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106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(491)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(491)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(491)</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September 30, 2023</w:t>
            </w:r>
          </w:p>
        </w:tc>
        <w:tc>
          <w:tcPr>
            <w:tcW w:w="60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6,626</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3,952</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1"/>
                <w:szCs w:val="1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(10,482)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w:t>
            </w: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05" w:lineRule="exact"/>
        <w:rPr>
          <w:sz w:val="20"/>
          <w:szCs w:val="20"/>
          <w:color w:val="auto"/>
        </w:rPr>
      </w:pPr>
    </w:p>
    <w:p>
      <w:pPr>
        <w:ind w:left="120" w:hanging="112"/>
        <w:spacing w:after="0"/>
        <w:tabs>
          <w:tab w:leader="none" w:pos="120" w:val="left"/>
        </w:tabs>
        <w:numPr>
          <w:ilvl w:val="0"/>
          <w:numId w:val="5"/>
        </w:numPr>
        <w:rPr>
          <w:rFonts w:ascii="Arial" w:cs="Arial" w:eastAsia="Arial" w:hAnsi="Arial"/>
          <w:sz w:val="7"/>
          <w:szCs w:val="7"/>
          <w:color w:val="auto"/>
        </w:rPr>
      </w:pPr>
      <w:r>
        <w:rPr>
          <w:rFonts w:ascii="Arial" w:cs="Arial" w:eastAsia="Arial" w:hAnsi="Arial"/>
          <w:sz w:val="11"/>
          <w:szCs w:val="11"/>
          <w:color w:val="auto"/>
        </w:rPr>
        <w:t>Amount includes excise taxes due under the Inflation Reduction Act of 2022.</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280" w:type="dxa"/>
            <w:vAlign w:val="bottom"/>
          </w:tcPr>
          <w:p>
            <w:pPr>
              <w:spacing w:after="0"/>
              <w:rPr>
                <w:sz w:val="10"/>
                <w:szCs w:val="10"/>
                <w:color w:val="auto"/>
              </w:rPr>
            </w:pPr>
          </w:p>
        </w:tc>
        <w:tc>
          <w:tcPr>
            <w:tcW w:w="1320" w:type="dxa"/>
            <w:vAlign w:val="bottom"/>
            <w:gridSpan w:val="4"/>
            <w:vMerge w:val="restart"/>
          </w:tcPr>
          <w:p>
            <w:pPr>
              <w:jc w:val="right"/>
              <w:ind w:right="206"/>
              <w:spacing w:after="0"/>
              <w:rPr>
                <w:sz w:val="20"/>
                <w:szCs w:val="20"/>
                <w:color w:val="auto"/>
              </w:rPr>
            </w:pPr>
            <w:r>
              <w:rPr>
                <w:rFonts w:ascii="Arial" w:cs="Arial" w:eastAsia="Arial" w:hAnsi="Arial"/>
                <w:sz w:val="11"/>
                <w:szCs w:val="11"/>
                <w:b w:val="1"/>
                <w:bCs w:val="1"/>
                <w:color w:val="auto"/>
              </w:rPr>
              <w:t>Common Stock</w:t>
            </w:r>
          </w:p>
        </w:tc>
        <w:tc>
          <w:tcPr>
            <w:tcW w:w="10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4"/>
            <w:vMerge w:val="restart"/>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Stockholders’</w:t>
            </w: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280" w:type="dxa"/>
            <w:vAlign w:val="bottom"/>
          </w:tcPr>
          <w:p>
            <w:pPr>
              <w:spacing w:after="0"/>
              <w:rPr>
                <w:sz w:val="9"/>
                <w:szCs w:val="9"/>
                <w:color w:val="auto"/>
              </w:rPr>
            </w:pP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jc w:val="center"/>
              <w:ind w:right="220"/>
              <w:spacing w:after="0" w:line="88" w:lineRule="exact"/>
              <w:rPr>
                <w:sz w:val="20"/>
                <w:szCs w:val="20"/>
                <w:color w:val="auto"/>
              </w:rPr>
            </w:pPr>
            <w:r>
              <w:rPr>
                <w:rFonts w:ascii="Arial" w:cs="Arial" w:eastAsia="Arial" w:hAnsi="Arial"/>
                <w:sz w:val="10"/>
                <w:szCs w:val="10"/>
                <w:b w:val="1"/>
                <w:bCs w:val="1"/>
                <w:color w:val="auto"/>
              </w:rPr>
              <w:t>Additional</w:t>
            </w: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gridSpan w:val="3"/>
          </w:tcPr>
          <w:p>
            <w:pPr>
              <w:ind w:left="20"/>
              <w:spacing w:after="0" w:line="88" w:lineRule="exact"/>
              <w:rPr>
                <w:sz w:val="20"/>
                <w:szCs w:val="20"/>
                <w:color w:val="auto"/>
              </w:rPr>
            </w:pPr>
            <w:r>
              <w:rPr>
                <w:rFonts w:ascii="Arial" w:cs="Arial" w:eastAsia="Arial" w:hAnsi="Arial"/>
                <w:sz w:val="10"/>
                <w:szCs w:val="10"/>
                <w:b w:val="1"/>
                <w:bCs w:val="1"/>
                <w:color w:val="auto"/>
              </w:rPr>
              <w:t>Accumulated Other</w:t>
            </w:r>
          </w:p>
        </w:tc>
        <w:tc>
          <w:tcPr>
            <w:tcW w:w="132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20" w:type="dxa"/>
            <w:vAlign w:val="bottom"/>
            <w:gridSpan w:val="3"/>
          </w:tcPr>
          <w:p>
            <w:pPr>
              <w:jc w:val="center"/>
              <w:ind w:right="80"/>
              <w:spacing w:after="0" w:line="88" w:lineRule="exact"/>
              <w:rPr>
                <w:sz w:val="20"/>
                <w:szCs w:val="20"/>
                <w:color w:val="auto"/>
              </w:rPr>
            </w:pPr>
            <w:r>
              <w:rPr>
                <w:rFonts w:ascii="Arial" w:cs="Arial" w:eastAsia="Arial" w:hAnsi="Arial"/>
                <w:sz w:val="10"/>
                <w:szCs w:val="10"/>
                <w:b w:val="1"/>
                <w:bCs w:val="1"/>
                <w:color w:val="auto"/>
              </w:rPr>
              <w:t>Equity Attributable</w:t>
            </w:r>
          </w:p>
        </w:tc>
        <w:tc>
          <w:tcPr>
            <w:tcW w:w="100" w:type="dxa"/>
            <w:vAlign w:val="bottom"/>
          </w:tcPr>
          <w:p>
            <w:pPr>
              <w:spacing w:after="0"/>
              <w:rPr>
                <w:sz w:val="9"/>
                <w:szCs w:val="9"/>
                <w:color w:val="auto"/>
              </w:rPr>
            </w:pPr>
          </w:p>
        </w:tc>
        <w:tc>
          <w:tcPr>
            <w:tcW w:w="780" w:type="dxa"/>
            <w:vAlign w:val="bottom"/>
            <w:gridSpan w:val="2"/>
          </w:tcPr>
          <w:p>
            <w:pPr>
              <w:jc w:val="center"/>
              <w:ind w:right="180"/>
              <w:spacing w:after="0" w:line="88" w:lineRule="exact"/>
              <w:rPr>
                <w:sz w:val="20"/>
                <w:szCs w:val="20"/>
                <w:color w:val="auto"/>
              </w:rPr>
            </w:pPr>
            <w:r>
              <w:rPr>
                <w:rFonts w:ascii="Arial" w:cs="Arial" w:eastAsia="Arial" w:hAnsi="Arial"/>
                <w:sz w:val="10"/>
                <w:szCs w:val="10"/>
                <w:b w:val="1"/>
                <w:bCs w:val="1"/>
                <w:color w:val="auto"/>
              </w:rPr>
              <w:t>Non-</w:t>
            </w:r>
          </w:p>
        </w:tc>
        <w:tc>
          <w:tcPr>
            <w:tcW w:w="100" w:type="dxa"/>
            <w:vAlign w:val="bottom"/>
          </w:tcPr>
          <w:p>
            <w:pPr>
              <w:spacing w:after="0"/>
              <w:rPr>
                <w:sz w:val="9"/>
                <w:szCs w:val="9"/>
                <w:color w:val="auto"/>
              </w:rPr>
            </w:pPr>
          </w:p>
        </w:tc>
        <w:tc>
          <w:tcPr>
            <w:tcW w:w="840" w:type="dxa"/>
            <w:vAlign w:val="bottom"/>
          </w:tcPr>
          <w:p>
            <w:pPr>
              <w:jc w:val="center"/>
              <w:ind w:right="47"/>
              <w:spacing w:after="0" w:line="88" w:lineRule="exact"/>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88"/>
        </w:trPr>
        <w:tc>
          <w:tcPr>
            <w:tcW w:w="2280" w:type="dxa"/>
            <w:vAlign w:val="bottom"/>
          </w:tcPr>
          <w:p>
            <w:pPr>
              <w:spacing w:after="0"/>
              <w:rPr>
                <w:sz w:val="7"/>
                <w:szCs w:val="7"/>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7"/>
                <w:szCs w:val="7"/>
                <w:color w:val="auto"/>
              </w:rPr>
            </w:pPr>
          </w:p>
        </w:tc>
        <w:tc>
          <w:tcPr>
            <w:tcW w:w="76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Paid-in</w:t>
            </w:r>
          </w:p>
        </w:tc>
        <w:tc>
          <w:tcPr>
            <w:tcW w:w="140" w:type="dxa"/>
            <w:vAlign w:val="bottom"/>
          </w:tcPr>
          <w:p>
            <w:pPr>
              <w:spacing w:after="0"/>
              <w:rPr>
                <w:sz w:val="7"/>
                <w:szCs w:val="7"/>
                <w:color w:val="auto"/>
              </w:rPr>
            </w:pPr>
          </w:p>
        </w:tc>
        <w:tc>
          <w:tcPr>
            <w:tcW w:w="880" w:type="dxa"/>
            <w:vAlign w:val="bottom"/>
            <w:gridSpan w:val="2"/>
          </w:tcPr>
          <w:p>
            <w:pPr>
              <w:ind w:left="80"/>
              <w:spacing w:after="0" w:line="89" w:lineRule="exact"/>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7"/>
                <w:szCs w:val="7"/>
                <w:color w:val="auto"/>
              </w:rPr>
            </w:pPr>
          </w:p>
        </w:tc>
        <w:tc>
          <w:tcPr>
            <w:tcW w:w="104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Comprehensive</w:t>
            </w:r>
          </w:p>
        </w:tc>
        <w:tc>
          <w:tcPr>
            <w:tcW w:w="70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7"/>
                <w:szCs w:val="7"/>
                <w:color w:val="auto"/>
              </w:rPr>
            </w:pPr>
          </w:p>
        </w:tc>
        <w:tc>
          <w:tcPr>
            <w:tcW w:w="6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120" w:type="dxa"/>
            <w:vAlign w:val="bottom"/>
          </w:tcPr>
          <w:p>
            <w:pPr>
              <w:spacing w:after="0"/>
              <w:rPr>
                <w:sz w:val="7"/>
                <w:szCs w:val="7"/>
                <w:color w:val="auto"/>
              </w:rPr>
            </w:pPr>
          </w:p>
        </w:tc>
        <w:tc>
          <w:tcPr>
            <w:tcW w:w="1000" w:type="dxa"/>
            <w:vAlign w:val="bottom"/>
            <w:gridSpan w:val="2"/>
          </w:tcPr>
          <w:p>
            <w:pPr>
              <w:jc w:val="center"/>
              <w:ind w:right="200"/>
              <w:spacing w:after="0" w:line="89" w:lineRule="exact"/>
              <w:rPr>
                <w:sz w:val="20"/>
                <w:szCs w:val="20"/>
                <w:color w:val="auto"/>
              </w:rPr>
            </w:pPr>
            <w:r>
              <w:rPr>
                <w:rFonts w:ascii="Arial" w:cs="Arial" w:eastAsia="Arial" w:hAnsi="Arial"/>
                <w:sz w:val="10"/>
                <w:szCs w:val="10"/>
                <w:b w:val="1"/>
                <w:bCs w:val="1"/>
                <w:color w:val="auto"/>
              </w:rPr>
              <w:t>to Avis Budget</w:t>
            </w:r>
          </w:p>
        </w:tc>
        <w:tc>
          <w:tcPr>
            <w:tcW w:w="100" w:type="dxa"/>
            <w:vAlign w:val="bottom"/>
          </w:tcPr>
          <w:p>
            <w:pPr>
              <w:spacing w:after="0"/>
              <w:rPr>
                <w:sz w:val="7"/>
                <w:szCs w:val="7"/>
                <w:color w:val="auto"/>
              </w:rPr>
            </w:pPr>
          </w:p>
        </w:tc>
        <w:tc>
          <w:tcPr>
            <w:tcW w:w="780" w:type="dxa"/>
            <w:vAlign w:val="bottom"/>
            <w:gridSpan w:val="2"/>
          </w:tcPr>
          <w:p>
            <w:pPr>
              <w:jc w:val="center"/>
              <w:ind w:right="180"/>
              <w:spacing w:after="0" w:line="89" w:lineRule="exact"/>
              <w:rPr>
                <w:sz w:val="20"/>
                <w:szCs w:val="20"/>
                <w:color w:val="auto"/>
              </w:rPr>
            </w:pPr>
            <w:r>
              <w:rPr>
                <w:rFonts w:ascii="Arial" w:cs="Arial" w:eastAsia="Arial" w:hAnsi="Arial"/>
                <w:sz w:val="10"/>
                <w:szCs w:val="10"/>
                <w:b w:val="1"/>
                <w:bCs w:val="1"/>
                <w:color w:val="auto"/>
              </w:rPr>
              <w:t>controlling</w:t>
            </w:r>
          </w:p>
        </w:tc>
        <w:tc>
          <w:tcPr>
            <w:tcW w:w="100" w:type="dxa"/>
            <w:vAlign w:val="bottom"/>
          </w:tcPr>
          <w:p>
            <w:pPr>
              <w:spacing w:after="0"/>
              <w:rPr>
                <w:sz w:val="7"/>
                <w:szCs w:val="7"/>
                <w:color w:val="auto"/>
              </w:rPr>
            </w:pPr>
          </w:p>
        </w:tc>
        <w:tc>
          <w:tcPr>
            <w:tcW w:w="840" w:type="dxa"/>
            <w:vAlign w:val="bottom"/>
          </w:tcPr>
          <w:p>
            <w:pPr>
              <w:jc w:val="center"/>
              <w:ind w:right="47"/>
              <w:spacing w:after="0" w:line="89"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8"/>
              </w:rPr>
              <w:t>Capital</w:t>
            </w:r>
          </w:p>
        </w:tc>
        <w:tc>
          <w:tcPr>
            <w:tcW w:w="14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1"/>
                <w:szCs w:val="11"/>
                <w:b w:val="1"/>
                <w:bCs w:val="1"/>
                <w:color w:val="auto"/>
              </w:rPr>
              <w:t>Earnings</w:t>
            </w:r>
          </w:p>
        </w:tc>
        <w:tc>
          <w:tcPr>
            <w:tcW w:w="10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Income (Loss)</w:t>
            </w:r>
          </w:p>
        </w:tc>
        <w:tc>
          <w:tcPr>
            <w:tcW w:w="7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6"/>
              </w:rPr>
              <w:t>Group, Inc.</w:t>
            </w:r>
          </w:p>
        </w:tc>
        <w:tc>
          <w:tcPr>
            <w:tcW w:w="10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Interests</w:t>
            </w:r>
          </w:p>
        </w:tc>
        <w:tc>
          <w:tcPr>
            <w:tcW w:w="100" w:type="dxa"/>
            <w:vAlign w:val="bottom"/>
          </w:tcPr>
          <w:p>
            <w:pPr>
              <w:spacing w:after="0"/>
              <w:rPr>
                <w:sz w:val="13"/>
                <w:szCs w:val="13"/>
                <w:color w:val="auto"/>
              </w:rPr>
            </w:pPr>
          </w:p>
        </w:tc>
        <w:tc>
          <w:tcPr>
            <w:tcW w:w="840" w:type="dxa"/>
            <w:vAlign w:val="bottom"/>
          </w:tcPr>
          <w:p>
            <w:pPr>
              <w:jc w:val="center"/>
              <w:ind w:right="47"/>
              <w:spacing w:after="0"/>
              <w:rPr>
                <w:sz w:val="20"/>
                <w:szCs w:val="20"/>
                <w:color w:val="auto"/>
              </w:rPr>
            </w:pPr>
            <w:r>
              <w:rPr>
                <w:rFonts w:ascii="Arial" w:cs="Arial" w:eastAsia="Arial" w:hAnsi="Arial"/>
                <w:sz w:val="11"/>
                <w:szCs w:val="11"/>
                <w:b w:val="1"/>
                <w:bCs w:val="1"/>
                <w:color w:val="auto"/>
              </w:rPr>
              <w:t>Equity</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December 31, 2023</w:t>
            </w:r>
          </w:p>
        </w:tc>
        <w:tc>
          <w:tcPr>
            <w:tcW w:w="60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6,634</w:t>
            </w:r>
          </w:p>
        </w:tc>
        <w:tc>
          <w:tcPr>
            <w:tcW w:w="120" w:type="dxa"/>
            <w:vAlign w:val="bottom"/>
          </w:tcPr>
          <w:p>
            <w:pPr>
              <w:spacing w:after="0"/>
              <w:rPr>
                <w:sz w:val="12"/>
                <w:szCs w:val="12"/>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3,854</w:t>
            </w:r>
          </w:p>
        </w:tc>
        <w:tc>
          <w:tcPr>
            <w:tcW w:w="120" w:type="dxa"/>
            <w:vAlign w:val="bottom"/>
          </w:tcPr>
          <w:p>
            <w:pPr>
              <w:spacing w:after="0"/>
              <w:rPr>
                <w:sz w:val="12"/>
                <w:szCs w:val="12"/>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(96)</w:t>
            </w:r>
          </w:p>
        </w:tc>
        <w:tc>
          <w:tcPr>
            <w:tcW w:w="100" w:type="dxa"/>
            <w:vAlign w:val="bottom"/>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(101.6)</w:t>
            </w:r>
          </w:p>
        </w:tc>
        <w:tc>
          <w:tcPr>
            <w:tcW w:w="10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(10,742)</w:t>
            </w:r>
          </w:p>
        </w:tc>
        <w:tc>
          <w:tcPr>
            <w:tcW w:w="100" w:type="dxa"/>
            <w:vAlign w:val="bottom"/>
          </w:tcPr>
          <w:p>
            <w:pPr>
              <w:spacing w:after="0"/>
              <w:rPr>
                <w:sz w:val="12"/>
                <w:szCs w:val="12"/>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(349)</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6</w:t>
            </w: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(343)</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140</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(16)</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(16)</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121</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124</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(19)</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20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Repurchases of common stock</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w:t>
            </w:r>
          </w:p>
        </w:tc>
        <w:tc>
          <w:tcPr>
            <w:tcW w:w="0" w:type="dxa"/>
            <w:vAlign w:val="bottom"/>
          </w:tcPr>
          <w:p>
            <w:pPr>
              <w:spacing w:after="0"/>
              <w:rPr>
                <w:sz w:val="1"/>
                <w:szCs w:val="1"/>
                <w:color w:val="auto"/>
              </w:rPr>
            </w:pPr>
          </w:p>
        </w:tc>
      </w:tr>
      <w:tr>
        <w:trPr>
          <w:trHeight w:val="162"/>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September 30, 2024</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6,615</w:t>
            </w:r>
          </w:p>
        </w:tc>
        <w:tc>
          <w:tcPr>
            <w:tcW w:w="1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3,988</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(112)</w:t>
            </w:r>
          </w:p>
        </w:tc>
        <w:tc>
          <w:tcPr>
            <w:tcW w:w="100" w:type="dxa"/>
            <w:vAlign w:val="bottom"/>
          </w:tcPr>
          <w:p>
            <w:pPr>
              <w:spacing w:after="0"/>
              <w:rPr>
                <w:sz w:val="14"/>
                <w:szCs w:val="1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(101.5)</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(10,730)</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(238)</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9</w:t>
            </w:r>
          </w:p>
        </w:tc>
        <w:tc>
          <w:tcPr>
            <w:tcW w:w="8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(229)</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6"/>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December 31, 2022</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7"/>
              <w:spacing w:after="0"/>
              <w:rPr>
                <w:sz w:val="20"/>
                <w:szCs w:val="20"/>
                <w:color w:val="auto"/>
              </w:rPr>
            </w:pPr>
            <w:r>
              <w:rPr>
                <w:rFonts w:ascii="Arial" w:cs="Arial" w:eastAsia="Arial" w:hAnsi="Arial"/>
                <w:sz w:val="11"/>
                <w:szCs w:val="11"/>
                <w:color w:val="auto"/>
              </w:rPr>
              <w:t>6,666</w:t>
            </w:r>
          </w:p>
        </w:tc>
        <w:tc>
          <w:tcPr>
            <w:tcW w:w="120" w:type="dxa"/>
            <w:vAlign w:val="bottom"/>
          </w:tcPr>
          <w:p>
            <w:pPr>
              <w:spacing w:after="0"/>
              <w:rPr>
                <w:sz w:val="24"/>
                <w:szCs w:val="2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1"/>
                <w:szCs w:val="11"/>
                <w:color w:val="auto"/>
              </w:rPr>
              <w:t>2,579</w:t>
            </w:r>
          </w:p>
        </w:tc>
        <w:tc>
          <w:tcPr>
            <w:tcW w:w="12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Pr>
          <w:p>
            <w:pPr>
              <w:jc w:val="right"/>
              <w:spacing w:after="0"/>
              <w:rPr>
                <w:sz w:val="20"/>
                <w:szCs w:val="20"/>
                <w:color w:val="auto"/>
              </w:rPr>
            </w:pPr>
            <w:r>
              <w:rPr>
                <w:rFonts w:ascii="Arial" w:cs="Arial" w:eastAsia="Arial" w:hAnsi="Arial"/>
                <w:sz w:val="11"/>
                <w:szCs w:val="11"/>
                <w:color w:val="auto"/>
              </w:rPr>
              <w:t>(101)</w:t>
            </w:r>
          </w:p>
        </w:tc>
        <w:tc>
          <w:tcPr>
            <w:tcW w:w="1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1"/>
                <w:szCs w:val="11"/>
                <w:color w:val="auto"/>
              </w:rPr>
              <w:t>(97.6)</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Pr>
          <w:p>
            <w:pPr>
              <w:jc w:val="right"/>
              <w:spacing w:after="0"/>
              <w:rPr>
                <w:sz w:val="20"/>
                <w:szCs w:val="20"/>
                <w:color w:val="auto"/>
              </w:rPr>
            </w:pPr>
            <w:r>
              <w:rPr>
                <w:rFonts w:ascii="Arial" w:cs="Arial" w:eastAsia="Arial" w:hAnsi="Arial"/>
                <w:sz w:val="11"/>
                <w:szCs w:val="11"/>
                <w:color w:val="auto"/>
              </w:rPr>
              <w:t>(9,848)</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spacing w:after="0"/>
              <w:rPr>
                <w:sz w:val="20"/>
                <w:szCs w:val="20"/>
                <w:color w:val="auto"/>
              </w:rPr>
            </w:pPr>
            <w:r>
              <w:rPr>
                <w:rFonts w:ascii="Arial" w:cs="Arial" w:eastAsia="Arial" w:hAnsi="Arial"/>
                <w:sz w:val="11"/>
                <w:szCs w:val="11"/>
                <w:color w:val="auto"/>
              </w:rPr>
              <w:t>(703)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(700)</w:t>
            </w:r>
          </w:p>
        </w:tc>
        <w:tc>
          <w:tcPr>
            <w:tcW w:w="0" w:type="dxa"/>
            <w:vAlign w:val="bottom"/>
          </w:tcPr>
          <w:p>
            <w:pPr>
              <w:spacing w:after="0"/>
              <w:rPr>
                <w:sz w:val="1"/>
                <w:szCs w:val="1"/>
                <w:color w:val="auto"/>
              </w:rPr>
            </w:pPr>
          </w:p>
        </w:tc>
      </w:tr>
      <w:tr>
        <w:trPr>
          <w:trHeight w:val="270"/>
        </w:trPr>
        <w:tc>
          <w:tcPr>
            <w:tcW w:w="2280" w:type="dxa"/>
            <w:vAlign w:val="bottom"/>
          </w:tcPr>
          <w:p>
            <w:pPr>
              <w:spacing w:after="0"/>
              <w:rPr>
                <w:sz w:val="20"/>
                <w:szCs w:val="20"/>
                <w:color w:val="auto"/>
              </w:rPr>
            </w:pPr>
            <w:r>
              <w:rPr>
                <w:rFonts w:ascii="Arial" w:cs="Arial" w:eastAsia="Arial" w:hAnsi="Arial"/>
                <w:sz w:val="11"/>
                <w:szCs w:val="11"/>
                <w:b w:val="1"/>
                <w:bCs w:val="1"/>
                <w:color w:val="auto"/>
              </w:rPr>
              <w:t>Comprehensive income (loss):</w:t>
            </w: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income</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1,373</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20" w:type="dxa"/>
            <w:vAlign w:val="bottom"/>
          </w:tcPr>
          <w:p>
            <w:pPr>
              <w:jc w:val="right"/>
              <w:ind w:right="6"/>
              <w:spacing w:after="0"/>
              <w:rPr>
                <w:sz w:val="20"/>
                <w:szCs w:val="20"/>
                <w:color w:val="auto"/>
              </w:rPr>
            </w:pPr>
            <w:r>
              <w:rPr>
                <w:rFonts w:ascii="Arial" w:cs="Arial" w:eastAsia="Arial" w:hAnsi="Arial"/>
                <w:sz w:val="11"/>
                <w:szCs w:val="11"/>
                <w:color w:val="auto"/>
              </w:rPr>
              <w:t>1,373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7"/>
              <w:spacing w:after="0"/>
              <w:rPr>
                <w:sz w:val="20"/>
                <w:szCs w:val="20"/>
                <w:color w:val="auto"/>
              </w:rPr>
            </w:pPr>
            <w:r>
              <w:rPr>
                <w:rFonts w:ascii="Arial" w:cs="Arial" w:eastAsia="Arial" w:hAnsi="Arial"/>
                <w:sz w:val="11"/>
                <w:szCs w:val="11"/>
                <w:color w:val="auto"/>
              </w:rPr>
              <w:t>1,375</w:t>
            </w:r>
          </w:p>
        </w:tc>
        <w:tc>
          <w:tcPr>
            <w:tcW w:w="0" w:type="dxa"/>
            <w:vAlign w:val="bottom"/>
          </w:tcPr>
          <w:p>
            <w:pPr>
              <w:spacing w:after="0"/>
              <w:rPr>
                <w:sz w:val="1"/>
                <w:szCs w:val="1"/>
                <w:color w:val="auto"/>
              </w:rPr>
            </w:pPr>
          </w:p>
        </w:tc>
      </w:tr>
      <w:tr>
        <w:trPr>
          <w:trHeight w:val="175"/>
        </w:trPr>
        <w:tc>
          <w:tcPr>
            <w:tcW w:w="2280" w:type="dxa"/>
            <w:vAlign w:val="bottom"/>
          </w:tcPr>
          <w:p>
            <w:pPr>
              <w:spacing w:after="0"/>
              <w:rPr>
                <w:sz w:val="20"/>
                <w:szCs w:val="20"/>
                <w:color w:val="auto"/>
              </w:rPr>
            </w:pPr>
            <w:r>
              <w:rPr>
                <w:rFonts w:ascii="Arial" w:cs="Arial" w:eastAsia="Arial" w:hAnsi="Arial"/>
                <w:sz w:val="11"/>
                <w:szCs w:val="11"/>
                <w:color w:val="auto"/>
              </w:rPr>
              <w:t>Other comprehensive income (loss)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(29)</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20"/>
                <w:szCs w:val="20"/>
                <w:color w:val="auto"/>
              </w:rPr>
            </w:pPr>
            <w:r>
              <w:rPr>
                <w:rFonts w:ascii="Arial" w:cs="Arial" w:eastAsia="Arial" w:hAnsi="Arial"/>
                <w:sz w:val="11"/>
                <w:szCs w:val="11"/>
                <w:b w:val="1"/>
                <w:bCs w:val="1"/>
                <w:color w:val="auto"/>
              </w:rPr>
              <w:t>Total comprehensive income (loss)</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1,373</w:t>
            </w:r>
          </w:p>
        </w:tc>
        <w:tc>
          <w:tcPr>
            <w:tcW w:w="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1,344</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7"/>
              <w:spacing w:after="0"/>
              <w:rPr>
                <w:sz w:val="20"/>
                <w:szCs w:val="20"/>
                <w:color w:val="auto"/>
              </w:rPr>
            </w:pPr>
            <w:r>
              <w:rPr>
                <w:rFonts w:ascii="Arial" w:cs="Arial" w:eastAsia="Arial" w:hAnsi="Arial"/>
                <w:sz w:val="11"/>
                <w:szCs w:val="11"/>
                <w:color w:val="auto"/>
              </w:rPr>
              <w:t>1,346</w:t>
            </w:r>
          </w:p>
        </w:tc>
        <w:tc>
          <w:tcPr>
            <w:tcW w:w="0" w:type="dxa"/>
            <w:vAlign w:val="bottom"/>
          </w:tcPr>
          <w:p>
            <w:pPr>
              <w:spacing w:after="0"/>
              <w:rPr>
                <w:sz w:val="1"/>
                <w:szCs w:val="1"/>
                <w:color w:val="auto"/>
              </w:rPr>
            </w:pPr>
          </w:p>
        </w:tc>
      </w:tr>
      <w:tr>
        <w:trPr>
          <w:trHeight w:val="156"/>
        </w:trPr>
        <w:tc>
          <w:tcPr>
            <w:tcW w:w="2280" w:type="dxa"/>
            <w:vAlign w:val="bottom"/>
          </w:tcPr>
          <w:p>
            <w:pPr>
              <w:spacing w:after="0"/>
              <w:rPr>
                <w:sz w:val="20"/>
                <w:szCs w:val="20"/>
                <w:color w:val="auto"/>
              </w:rPr>
            </w:pPr>
            <w:r>
              <w:rPr>
                <w:rFonts w:ascii="Arial" w:cs="Arial" w:eastAsia="Arial" w:hAnsi="Arial"/>
                <w:sz w:val="11"/>
                <w:szCs w:val="11"/>
                <w:color w:val="auto"/>
              </w:rPr>
              <w:t>Net activity related to restricted stock units</w:t>
            </w:r>
          </w:p>
        </w:tc>
        <w:tc>
          <w:tcPr>
            <w:tcW w:w="70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(40)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0.3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(37)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(37)</w:t>
            </w:r>
          </w:p>
        </w:tc>
        <w:tc>
          <w:tcPr>
            <w:tcW w:w="0" w:type="dxa"/>
            <w:vAlign w:val="bottom"/>
          </w:tcPr>
          <w:p>
            <w:pPr>
              <w:spacing w:after="0"/>
              <w:rPr>
                <w:sz w:val="1"/>
                <w:szCs w:val="1"/>
                <w:color w:val="auto"/>
              </w:rPr>
            </w:pPr>
          </w:p>
        </w:tc>
      </w:tr>
      <w:tr>
        <w:trPr>
          <w:trHeight w:val="182"/>
        </w:trPr>
        <w:tc>
          <w:tcPr>
            <w:tcW w:w="2280" w:type="dxa"/>
            <w:vAlign w:val="bottom"/>
          </w:tcPr>
          <w:p>
            <w:pPr>
              <w:spacing w:after="0"/>
              <w:rPr>
                <w:sz w:val="20"/>
                <w:szCs w:val="20"/>
                <w:color w:val="auto"/>
              </w:rPr>
            </w:pPr>
            <w:r>
              <w:rPr>
                <w:rFonts w:ascii="Arial" w:cs="Arial" w:eastAsia="Arial" w:hAnsi="Arial"/>
                <w:sz w:val="11"/>
                <w:szCs w:val="11"/>
                <w:color w:val="auto"/>
              </w:rPr>
              <w:t xml:space="preserve">Repurchases of common stock </w:t>
            </w:r>
            <w:r>
              <w:rPr>
                <w:rFonts w:ascii="Arial" w:cs="Arial" w:eastAsia="Arial" w:hAnsi="Arial"/>
                <w:sz w:val="14"/>
                <w:szCs w:val="14"/>
                <w:color w:val="auto"/>
                <w:vertAlign w:val="superscript"/>
              </w:rPr>
              <w:t>(a)</w:t>
            </w:r>
          </w:p>
        </w:tc>
        <w:tc>
          <w:tcPr>
            <w:tcW w:w="700" w:type="dxa"/>
            <w:vAlign w:val="bottom"/>
            <w:gridSpan w:val="2"/>
          </w:tcPr>
          <w:p>
            <w:pPr>
              <w:ind w:left="4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620" w:type="dxa"/>
            <w:vAlign w:val="bottom"/>
            <w:gridSpan w:val="2"/>
          </w:tcPr>
          <w:p>
            <w:pPr>
              <w:ind w:left="3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760" w:type="dxa"/>
            <w:vAlign w:val="bottom"/>
            <w:gridSpan w:val="2"/>
          </w:tcPr>
          <w:p>
            <w:pPr>
              <w:ind w:left="5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5"/>
                <w:szCs w:val="15"/>
                <w:color w:val="auto"/>
              </w:rPr>
            </w:pPr>
          </w:p>
        </w:tc>
        <w:tc>
          <w:tcPr>
            <w:tcW w:w="880" w:type="dxa"/>
            <w:vAlign w:val="bottom"/>
            <w:gridSpan w:val="2"/>
          </w:tcPr>
          <w:p>
            <w:pPr>
              <w:ind w:left="6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1040" w:type="dxa"/>
            <w:vAlign w:val="bottom"/>
            <w:gridSpan w:val="2"/>
          </w:tcPr>
          <w:p>
            <w:pPr>
              <w:ind w:left="820"/>
              <w:spacing w:after="0"/>
              <w:rPr>
                <w:sz w:val="20"/>
                <w:szCs w:val="20"/>
                <w:color w:val="auto"/>
              </w:rPr>
            </w:pPr>
            <w:r>
              <w:rPr>
                <w:rFonts w:ascii="Arial" w:cs="Arial" w:eastAsia="Arial" w:hAnsi="Arial"/>
                <w:sz w:val="11"/>
                <w:szCs w:val="11"/>
                <w:color w:val="auto"/>
              </w:rPr>
              <w:t>—</w:t>
            </w:r>
          </w:p>
        </w:tc>
        <w:tc>
          <w:tcPr>
            <w:tcW w:w="600" w:type="dxa"/>
            <w:vAlign w:val="bottom"/>
          </w:tcPr>
          <w:p>
            <w:pPr>
              <w:jc w:val="right"/>
              <w:spacing w:after="0"/>
              <w:rPr>
                <w:sz w:val="20"/>
                <w:szCs w:val="20"/>
                <w:color w:val="auto"/>
              </w:rPr>
            </w:pPr>
            <w:r>
              <w:rPr>
                <w:rFonts w:ascii="Arial" w:cs="Arial" w:eastAsia="Arial" w:hAnsi="Arial"/>
                <w:sz w:val="11"/>
                <w:szCs w:val="11"/>
                <w:color w:val="auto"/>
              </w:rPr>
              <w:t>(2.9)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(637)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(637)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ind w:left="58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(637)</w:t>
            </w:r>
          </w:p>
        </w:tc>
        <w:tc>
          <w:tcPr>
            <w:tcW w:w="0" w:type="dxa"/>
            <w:vAlign w:val="bottom"/>
          </w:tcPr>
          <w:p>
            <w:pPr>
              <w:spacing w:after="0"/>
              <w:rPr>
                <w:sz w:val="1"/>
                <w:szCs w:val="1"/>
                <w:color w:val="auto"/>
              </w:rPr>
            </w:pPr>
          </w:p>
        </w:tc>
      </w:tr>
      <w:tr>
        <w:trPr>
          <w:trHeight w:val="155"/>
        </w:trPr>
        <w:tc>
          <w:tcPr>
            <w:tcW w:w="2280" w:type="dxa"/>
            <w:vAlign w:val="bottom"/>
          </w:tcPr>
          <w:p>
            <w:pPr>
              <w:spacing w:after="0"/>
              <w:rPr>
                <w:sz w:val="20"/>
                <w:szCs w:val="20"/>
                <w:color w:val="auto"/>
              </w:rPr>
            </w:pPr>
            <w:r>
              <w:rPr>
                <w:rFonts w:ascii="Arial" w:cs="Arial" w:eastAsia="Arial" w:hAnsi="Arial"/>
                <w:sz w:val="11"/>
                <w:szCs w:val="11"/>
                <w:b w:val="1"/>
                <w:bCs w:val="1"/>
                <w:color w:val="auto"/>
              </w:rPr>
              <w:t>Balance at September 30, 2023</w:t>
            </w:r>
          </w:p>
        </w:tc>
        <w:tc>
          <w:tcPr>
            <w:tcW w:w="60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137.1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6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6,626</w:t>
            </w: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3,952</w:t>
            </w: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color w:val="auto"/>
                <w:w w:val="97"/>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(100.2)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(10,482)</w:t>
            </w: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7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color w:val="auto"/>
              </w:rPr>
              <w:t>5</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w:t>
            </w:r>
          </w:p>
        </w:tc>
        <w:tc>
          <w:tcPr>
            <w:tcW w:w="0" w:type="dxa"/>
            <w:vAlign w:val="bottom"/>
          </w:tcPr>
          <w:p>
            <w:pPr>
              <w:spacing w:after="0"/>
              <w:rPr>
                <w:sz w:val="1"/>
                <w:szCs w:val="1"/>
                <w:color w:val="auto"/>
              </w:rPr>
            </w:pPr>
          </w:p>
        </w:tc>
      </w:tr>
      <w:tr>
        <w:trPr>
          <w:trHeight w:val="21"/>
        </w:trPr>
        <w:tc>
          <w:tcPr>
            <w:tcW w:w="2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11" w:lineRule="exact"/>
        <w:rPr>
          <w:sz w:val="20"/>
          <w:szCs w:val="20"/>
          <w:color w:val="auto"/>
        </w:rPr>
      </w:pPr>
    </w:p>
    <w:p>
      <w:pPr>
        <w:ind w:left="120" w:hanging="112"/>
        <w:spacing w:after="0"/>
        <w:tabs>
          <w:tab w:leader="none" w:pos="120" w:val="left"/>
        </w:tabs>
        <w:numPr>
          <w:ilvl w:val="0"/>
          <w:numId w:val="6"/>
        </w:numPr>
        <w:rPr>
          <w:rFonts w:ascii="Arial" w:cs="Arial" w:eastAsia="Arial" w:hAnsi="Arial"/>
          <w:sz w:val="13"/>
          <w:szCs w:val="13"/>
          <w:color w:val="auto"/>
          <w:vertAlign w:val="superscript"/>
        </w:rPr>
      </w:pPr>
      <w:r>
        <w:rPr>
          <w:rFonts w:ascii="Arial" w:cs="Arial" w:eastAsia="Arial" w:hAnsi="Arial"/>
          <w:sz w:val="10"/>
          <w:szCs w:val="10"/>
          <w:color w:val="auto"/>
        </w:rPr>
        <w:t>Amount includes excise taxes due under the Inflation Reduction Act of 2022.</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Notes to Consolidated Condensed Financial Statements (Unaudited).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 w:name="page11"/>
    <w:bookmarkEnd w:id="10"/>
    <w:p>
      <w:pPr>
        <w:jc w:val="center"/>
        <w:ind w:right="38"/>
        <w:spacing w:after="0"/>
        <w:rPr>
          <w:sz w:val="20"/>
          <w:szCs w:val="20"/>
          <w:color w:val="auto"/>
        </w:rPr>
      </w:pPr>
      <w:r>
        <w:rPr>
          <w:rFonts w:ascii="Arial" w:cs="Arial" w:eastAsia="Arial" w:hAnsi="Arial"/>
          <w:sz w:val="18"/>
          <w:szCs w:val="18"/>
          <w:b w:val="1"/>
          <w:bCs w:val="1"/>
          <w:color w:val="auto"/>
        </w:rPr>
        <w:t>Avis Budget Group, Inc.</w:t>
      </w:r>
    </w:p>
    <w:p>
      <w:pPr>
        <w:spacing w:after="0" w:line="27"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38"/>
        <w:spacing w:after="0"/>
        <w:rPr>
          <w:sz w:val="20"/>
          <w:szCs w:val="20"/>
          <w:color w:val="auto"/>
        </w:rPr>
      </w:pPr>
      <w:r>
        <w:rPr>
          <w:rFonts w:ascii="Arial" w:cs="Arial" w:eastAsia="Arial" w:hAnsi="Arial"/>
          <w:sz w:val="18"/>
          <w:szCs w:val="18"/>
          <w:b w:val="1"/>
          <w:bCs w:val="1"/>
          <w:color w:val="auto"/>
        </w:rPr>
        <w:t>(Unless otherwise noted, all dollar amounts are in millions, except per share amounts)</w:t>
      </w:r>
    </w:p>
    <w:p>
      <w:pPr>
        <w:spacing w:after="0" w:line="234" w:lineRule="exact"/>
        <w:rPr>
          <w:sz w:val="20"/>
          <w:szCs w:val="20"/>
          <w:color w:val="auto"/>
        </w:rPr>
      </w:pPr>
    </w:p>
    <w:p>
      <w:pPr>
        <w:ind w:left="342" w:hanging="342"/>
        <w:spacing w:after="0"/>
        <w:tabs>
          <w:tab w:leader="none" w:pos="34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52"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Avis Budget Group, Inc. provides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“we,” “our,” “us,” or the “Company”), and have been prepared pursuant to the rules and regulations of the U.S. Securities and Exchange Commission for interim financial reporting.</w:t>
      </w:r>
    </w:p>
    <w:p>
      <w:pPr>
        <w:spacing w:after="0" w:line="206" w:lineRule="exact"/>
        <w:rPr>
          <w:sz w:val="20"/>
          <w:szCs w:val="20"/>
          <w:color w:val="auto"/>
        </w:rPr>
      </w:pPr>
    </w:p>
    <w:p>
      <w:pPr>
        <w:ind w:left="442"/>
        <w:spacing w:after="0"/>
        <w:rPr>
          <w:sz w:val="20"/>
          <w:szCs w:val="20"/>
          <w:color w:val="auto"/>
        </w:rPr>
      </w:pPr>
      <w:r>
        <w:rPr>
          <w:rFonts w:ascii="Arial" w:cs="Arial" w:eastAsia="Arial" w:hAnsi="Arial"/>
          <w:sz w:val="18"/>
          <w:szCs w:val="18"/>
          <w:color w:val="auto"/>
        </w:rPr>
        <w:t>We operate the following reportable business segments:</w:t>
      </w:r>
    </w:p>
    <w:p>
      <w:pPr>
        <w:spacing w:after="0" w:line="252" w:lineRule="exact"/>
        <w:rPr>
          <w:sz w:val="20"/>
          <w:szCs w:val="20"/>
          <w:color w:val="auto"/>
        </w:rPr>
      </w:pPr>
    </w:p>
    <w:p>
      <w:pPr>
        <w:jc w:val="both"/>
        <w:ind w:left="1242" w:hanging="482"/>
        <w:spacing w:after="0" w:line="268" w:lineRule="auto"/>
        <w:tabs>
          <w:tab w:leader="none" w:pos="1237"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Americas </w:t>
      </w:r>
      <w:r>
        <w:rPr>
          <w:rFonts w:ascii="Arial" w:cs="Arial" w:eastAsia="Arial" w:hAnsi="Arial"/>
          <w:sz w:val="18"/>
          <w:szCs w:val="18"/>
          <w:color w:val="auto"/>
        </w:rPr>
        <w:t>- 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we do not operate directly.</w:t>
      </w:r>
    </w:p>
    <w:p>
      <w:pPr>
        <w:spacing w:after="0" w:line="62" w:lineRule="exact"/>
        <w:rPr>
          <w:rFonts w:ascii="Arial" w:cs="Arial" w:eastAsia="Arial" w:hAnsi="Arial"/>
          <w:sz w:val="18"/>
          <w:szCs w:val="18"/>
          <w:color w:val="auto"/>
        </w:rPr>
      </w:pPr>
    </w:p>
    <w:p>
      <w:pPr>
        <w:ind w:left="1242" w:hanging="482"/>
        <w:spacing w:after="0" w:line="287" w:lineRule="auto"/>
        <w:tabs>
          <w:tab w:leader="none" w:pos="1237"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International </w:t>
      </w:r>
      <w:r>
        <w:rPr>
          <w:rFonts w:ascii="Arial" w:cs="Arial" w:eastAsia="Arial" w:hAnsi="Arial"/>
          <w:sz w:val="18"/>
          <w:szCs w:val="18"/>
          <w:color w:val="auto"/>
        </w:rPr>
        <w:t>- consisting primarily of (i) vehicle rental operations in Europe, the Middle East, Africa, Asia and Australasia,</w:t>
      </w:r>
      <w:r>
        <w:rPr>
          <w:rFonts w:ascii="Arial" w:cs="Arial" w:eastAsia="Arial" w:hAnsi="Arial"/>
          <w:sz w:val="18"/>
          <w:szCs w:val="18"/>
          <w:b w:val="1"/>
          <w:bCs w:val="1"/>
          <w:color w:val="auto"/>
        </w:rPr>
        <w:t xml:space="preserve"> </w:t>
      </w:r>
      <w:r>
        <w:rPr>
          <w:rFonts w:ascii="Arial" w:cs="Arial" w:eastAsia="Arial" w:hAnsi="Arial"/>
          <w:sz w:val="18"/>
          <w:szCs w:val="18"/>
          <w:color w:val="auto"/>
        </w:rPr>
        <w:t>(ii) car sharing operations in certain of these markets, and (iii) licensees in the areas in which we do not operate directly.</w:t>
      </w:r>
    </w:p>
    <w:p>
      <w:pPr>
        <w:spacing w:after="0" w:line="18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Differences between the preliminary allocation of purchase price and the final allocation for our 2023 acquisitions of various licensees were not material. We consolidate joint venture activities when we have a controlling interest and record non-controlling interests within stockholders’ equity and the statement of comprehensive income equal to the percentage of ownership interest retained in such entities by the respective non-controlling party.</w:t>
      </w:r>
    </w:p>
    <w:p>
      <w:pPr>
        <w:spacing w:after="0" w:line="206"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our 2023 Annual Report on Form 10-K (the “2023 Form 10-K”).</w:t>
      </w:r>
    </w:p>
    <w:p>
      <w:pPr>
        <w:spacing w:after="0" w:line="212"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Our significant accounting policies are fully described in Note 2 – Summary of Significant Accounting Policies in our 2023 Form 10-K.</w:t>
      </w:r>
    </w:p>
    <w:p>
      <w:pPr>
        <w:spacing w:after="0" w:line="252"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i w:val="1"/>
          <w:iCs w:val="1"/>
          <w:color w:val="auto"/>
        </w:rPr>
        <w:t xml:space="preserve">Cash and cash equivalents, Program cash and Restricted cash. </w:t>
      </w:r>
      <w:r>
        <w:rPr>
          <w:rFonts w:ascii="Arial" w:cs="Arial" w:eastAsia="Arial" w:hAnsi="Arial"/>
          <w:sz w:val="18"/>
          <w:szCs w:val="18"/>
          <w:color w:val="auto"/>
        </w:rPr>
        <w:t>The following table provides a detail of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program and restricted cash reported within the Consolidated Condensed Balance Sheets to the amounts shown in the Consolidated Condensed Statements of Cash Flows.</w:t>
      </w:r>
    </w:p>
    <w:p>
      <w:pPr>
        <w:spacing w:after="0" w:line="238" w:lineRule="exact"/>
        <w:rPr>
          <w:sz w:val="20"/>
          <w:szCs w:val="20"/>
          <w:color w:val="auto"/>
        </w:rPr>
      </w:pPr>
    </w:p>
    <w:tbl>
      <w:tblPr>
        <w:tblLayout w:type="fixed"/>
        <w:tblInd w:w="462" w:type="dxa"/>
        <w:tblCellMar>
          <w:top w:w="0" w:type="dxa"/>
          <w:left w:w="0" w:type="dxa"/>
          <w:bottom w:w="0" w:type="dxa"/>
          <w:right w:w="0" w:type="dxa"/>
        </w:tblCellMar>
      </w:tblPr>
      <w:tr>
        <w:trPr>
          <w:trHeight w:val="235"/>
        </w:trPr>
        <w:tc>
          <w:tcPr>
            <w:tcW w:w="7200" w:type="dxa"/>
            <w:vAlign w:val="bottom"/>
          </w:tcPr>
          <w:p>
            <w:pPr>
              <w:spacing w:after="0"/>
              <w:rPr>
                <w:sz w:val="20"/>
                <w:szCs w:val="20"/>
                <w:color w:val="auto"/>
              </w:rPr>
            </w:pPr>
          </w:p>
        </w:tc>
        <w:tc>
          <w:tcPr>
            <w:tcW w:w="252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8"/>
                <w:szCs w:val="18"/>
                <w:b w:val="1"/>
                <w:bCs w:val="1"/>
                <w:color w:val="auto"/>
              </w:rPr>
              <w:t>As of September 30,</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color w:val="auto"/>
              </w:rPr>
              <w:t>Cash and cash equivalents</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200" w:type="dxa"/>
            <w:vAlign w:val="bottom"/>
            <w:vMerge w:val="continue"/>
          </w:tcPr>
          <w:p>
            <w:pPr>
              <w:spacing w:after="0"/>
              <w:rPr>
                <w:sz w:val="18"/>
                <w:szCs w:val="18"/>
                <w:color w:val="auto"/>
              </w:rPr>
            </w:pPr>
          </w:p>
        </w:tc>
        <w:tc>
          <w:tcPr>
            <w:tcW w:w="1000" w:type="dxa"/>
            <w:vAlign w:val="bottom"/>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602</w:t>
            </w:r>
          </w:p>
        </w:tc>
        <w:tc>
          <w:tcPr>
            <w:tcW w:w="100" w:type="dxa"/>
            <w:vAlign w:val="bottom"/>
          </w:tcPr>
          <w:p>
            <w:pPr>
              <w:spacing w:after="0"/>
              <w:rPr>
                <w:sz w:val="18"/>
                <w:szCs w:val="18"/>
                <w:color w:val="auto"/>
              </w:rPr>
            </w:pPr>
          </w:p>
        </w:tc>
        <w:tc>
          <w:tcPr>
            <w:tcW w:w="1000" w:type="dxa"/>
            <w:vAlign w:val="bottom"/>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572</w:t>
            </w:r>
          </w:p>
        </w:tc>
        <w:tc>
          <w:tcPr>
            <w:tcW w:w="0" w:type="dxa"/>
            <w:vAlign w:val="bottom"/>
          </w:tcPr>
          <w:p>
            <w:pPr>
              <w:spacing w:after="0"/>
              <w:rPr>
                <w:sz w:val="1"/>
                <w:szCs w:val="1"/>
                <w:color w:val="auto"/>
              </w:rPr>
            </w:pP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Program cash</w:t>
            </w: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146</w:t>
            </w:r>
          </w:p>
        </w:tc>
        <w:tc>
          <w:tcPr>
            <w:tcW w:w="0" w:type="dxa"/>
            <w:vAlign w:val="bottom"/>
          </w:tcPr>
          <w:p>
            <w:pPr>
              <w:spacing w:after="0"/>
              <w:rPr>
                <w:sz w:val="1"/>
                <w:szCs w:val="1"/>
                <w:color w:val="auto"/>
              </w:rPr>
            </w:pPr>
          </w:p>
        </w:tc>
      </w:tr>
      <w:tr>
        <w:trPr>
          <w:trHeight w:val="218"/>
        </w:trPr>
        <w:tc>
          <w:tcPr>
            <w:tcW w:w="7200" w:type="dxa"/>
            <w:vAlign w:val="bottom"/>
          </w:tcPr>
          <w:p>
            <w:pPr>
              <w:spacing w:after="0" w:line="218" w:lineRule="exact"/>
              <w:rPr>
                <w:sz w:val="20"/>
                <w:szCs w:val="20"/>
                <w:color w:val="auto"/>
              </w:rPr>
            </w:pPr>
            <w:r>
              <w:rPr>
                <w:rFonts w:ascii="Arial" w:cs="Arial" w:eastAsia="Arial" w:hAnsi="Arial"/>
                <w:sz w:val="16"/>
                <w:szCs w:val="16"/>
                <w:color w:val="auto"/>
              </w:rPr>
              <w:t xml:space="preserve">Restricted cash </w:t>
            </w:r>
            <w:r>
              <w:rPr>
                <w:rFonts w:ascii="Arial" w:cs="Arial" w:eastAsia="Arial" w:hAnsi="Arial"/>
                <w:sz w:val="21"/>
                <w:szCs w:val="21"/>
                <w:color w:val="auto"/>
                <w:vertAlign w:val="superscript"/>
              </w:rPr>
              <w:t>(a)</w:t>
            </w: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cash and cash equivalents, program and restricted cash</w:t>
            </w:r>
          </w:p>
        </w:tc>
        <w:tc>
          <w:tcPr>
            <w:tcW w:w="1000" w:type="dxa"/>
            <w:vAlign w:val="bottom"/>
            <w:tcBorders>
              <w:bottom w:val="single" w:sz="8" w:color="auto"/>
            </w:tcBorders>
          </w:tcPr>
          <w:p>
            <w:pPr>
              <w:jc w:val="right"/>
              <w:ind w:right="795"/>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79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0" w:type="dxa"/>
            <w:vAlign w:val="bottom"/>
          </w:tcPr>
          <w:p>
            <w:pPr>
              <w:spacing w:after="0"/>
              <w:rPr>
                <w:sz w:val="1"/>
                <w:szCs w:val="1"/>
                <w:color w:val="auto"/>
              </w:rPr>
            </w:pPr>
          </w:p>
        </w:tc>
      </w:tr>
      <w:tr>
        <w:trPr>
          <w:trHeight w:val="21"/>
        </w:trPr>
        <w:tc>
          <w:tcPr>
            <w:tcW w:w="72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9"/>
        </w:numPr>
        <w:rPr>
          <w:rFonts w:ascii="Arial" w:cs="Arial" w:eastAsia="Arial" w:hAnsi="Arial"/>
          <w:sz w:val="9"/>
          <w:szCs w:val="9"/>
          <w:color w:val="auto"/>
        </w:rPr>
      </w:pPr>
      <w:r>
        <w:rPr>
          <w:rFonts w:ascii="Arial" w:cs="Arial" w:eastAsia="Arial" w:hAnsi="Arial"/>
          <w:sz w:val="14"/>
          <w:szCs w:val="14"/>
          <w:color w:val="auto"/>
        </w:rPr>
        <w:t>Included within other current assets.</w:t>
      </w:r>
    </w:p>
    <w:p>
      <w:pPr>
        <w:spacing w:after="0" w:line="200" w:lineRule="exact"/>
        <w:rPr>
          <w:sz w:val="20"/>
          <w:szCs w:val="20"/>
          <w:color w:val="auto"/>
        </w:rPr>
      </w:pPr>
    </w:p>
    <w:p>
      <w:pPr>
        <w:spacing w:after="0" w:line="385"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1" w:name="page12"/>
    <w:bookmarkEnd w:id="11"/>
    <w:p>
      <w:pPr>
        <w:jc w:val="both"/>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We present separately the financial data of our vehicle programs. These programs are distinct from our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primarily related to acquisition-related activities such as due diligence and other advisory costs, expenses related to the integration of the acquiree’s operations with those of our operations, including the implementation of best practices and process improvements, non-cash gains and losses related to re-acquired rights, expenses related to pre-acquisition contingencies and contingent consideration related to acquisitions.</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We record the gain or loss on foreign currency transactions on certain intercompany loans and the gain or loss</w:t>
      </w:r>
      <w:r>
        <w:rPr>
          <w:rFonts w:ascii="Arial" w:cs="Arial" w:eastAsia="Arial" w:hAnsi="Arial"/>
          <w:sz w:val="18"/>
          <w:szCs w:val="18"/>
          <w:i w:val="1"/>
          <w:iCs w:val="1"/>
          <w:color w:val="auto"/>
        </w:rPr>
        <w:t xml:space="preserve"> </w:t>
      </w:r>
      <w:r>
        <w:rPr>
          <w:rFonts w:ascii="Arial" w:cs="Arial" w:eastAsia="Arial" w:hAnsi="Arial"/>
          <w:sz w:val="18"/>
          <w:szCs w:val="18"/>
          <w:color w:val="auto"/>
        </w:rPr>
        <w:t>on intercompany loan hedges within interest expense related to corporate debt, net.</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 xml:space="preserve">Variable Interest Entity (“VIE”). </w:t>
      </w:r>
      <w:r>
        <w:rPr>
          <w:rFonts w:ascii="Arial" w:cs="Arial" w:eastAsia="Arial" w:hAnsi="Arial"/>
          <w:sz w:val="18"/>
          <w:szCs w:val="18"/>
          <w:color w:val="auto"/>
        </w:rPr>
        <w:t>We review our investments to determine if they are VIEs.</w:t>
      </w:r>
      <w:r>
        <w:rPr>
          <w:rFonts w:ascii="Arial" w:cs="Arial" w:eastAsia="Arial" w:hAnsi="Arial"/>
          <w:sz w:val="18"/>
          <w:szCs w:val="18"/>
          <w:i w:val="1"/>
          <w:iCs w:val="1"/>
          <w:color w:val="auto"/>
        </w:rPr>
        <w:t xml:space="preserve"> </w:t>
      </w:r>
      <w:r>
        <w:rPr>
          <w:rFonts w:ascii="Arial" w:cs="Arial" w:eastAsia="Arial" w:hAnsi="Arial"/>
          <w:sz w:val="18"/>
          <w:szCs w:val="18"/>
          <w:color w:val="212529"/>
        </w:rPr>
        <w:t>A VIE is an entity in which either (i) the equity</w:t>
      </w:r>
      <w:r>
        <w:rPr>
          <w:rFonts w:ascii="Arial" w:cs="Arial" w:eastAsia="Arial" w:hAnsi="Arial"/>
          <w:sz w:val="18"/>
          <w:szCs w:val="18"/>
          <w:i w:val="1"/>
          <w:iCs w:val="1"/>
          <w:color w:val="auto"/>
        </w:rPr>
        <w:t xml:space="preserve"> </w:t>
      </w:r>
      <w:r>
        <w:rPr>
          <w:rFonts w:ascii="Arial" w:cs="Arial" w:eastAsia="Arial" w:hAnsi="Arial"/>
          <w:sz w:val="18"/>
          <w:szCs w:val="18"/>
          <w:color w:val="212529"/>
        </w:rPr>
        <w:t xml:space="preserve">investors as a group lack the power through voting or similar rights to direct the activities of such entity that most significantly impact such entity’s economic performance or (ii) the equity investment at risk is insufficient to finance that entity’s activities without additional subordinated financial support. </w:t>
      </w:r>
      <w:r>
        <w:rPr>
          <w:rFonts w:ascii="Arial" w:cs="Arial" w:eastAsia="Arial" w:hAnsi="Arial"/>
          <w:sz w:val="18"/>
          <w:szCs w:val="18"/>
          <w:color w:val="000000"/>
        </w:rPr>
        <w:t>Entities that are determined to be VIEs are consolidated if we are the primary beneficiary of the entity.</w:t>
      </w:r>
      <w:r>
        <w:rPr>
          <w:rFonts w:ascii="Arial" w:cs="Arial" w:eastAsia="Arial" w:hAnsi="Arial"/>
          <w:sz w:val="18"/>
          <w:szCs w:val="18"/>
          <w:color w:val="212529"/>
        </w:rPr>
        <w:t xml:space="preserve"> </w:t>
      </w:r>
      <w:r>
        <w:rPr>
          <w:rFonts w:ascii="Arial" w:cs="Arial" w:eastAsia="Arial" w:hAnsi="Arial"/>
          <w:sz w:val="18"/>
          <w:szCs w:val="18"/>
          <w:color w:val="000000"/>
        </w:rPr>
        <w:t>The primary beneficiary possesses the power to direct the activities of the VIE that most significantly impact its economic performance and has the obligation to absorb losses or the right to receive benefits from the VIE that are significant to it. We will reconsider our original assessment of a VIE upon the occurrence of certain events such as contributions and redemptions, either by us, or third parties, or amendments to an entity’s governing documents. On an ongoing basis, we reconsider whether we are deemed to be a VIE’s primary beneficiary. See Note 14 – Related Party Transactions for our VIE investment in our former subsidiary.</w:t>
      </w:r>
    </w:p>
    <w:p>
      <w:pPr>
        <w:spacing w:after="0" w:line="20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i w:val="1"/>
          <w:iCs w:val="1"/>
          <w:color w:val="auto"/>
        </w:rPr>
        <w:t xml:space="preserve">Investments. </w:t>
      </w:r>
      <w:r>
        <w:rPr>
          <w:rFonts w:ascii="Arial" w:cs="Arial" w:eastAsia="Arial" w:hAnsi="Arial"/>
          <w:sz w:val="18"/>
          <w:szCs w:val="18"/>
          <w:color w:val="auto"/>
        </w:rPr>
        <w:t>As of September 30, 2024 and December 31, 2023, we had equity method investments with a carrying value of $ 104</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$93 million, respectively, which are included in other non-current assets. Earnings from our equity method investments are included within operating expenses. For the three months ended September 30, 2024 and 2023, we recorded income of $7 million related to our equity method investments, in each period. For the nine months ended September 30, 2024 and 2023 we recorded income of $13 million and $11 million related to our equity method investments, respectively. In July 2024, we received a $7 million dividend from our equity method investment in our Greece licensee. See Note 14 – Related Party Transactions for our equity method investment in our former subsidiary.</w:t>
      </w: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color w:val="auto"/>
        </w:rPr>
        <w:t xml:space="preserve">Revenues. </w:t>
      </w:r>
      <w:r>
        <w:rPr>
          <w:rFonts w:ascii="Arial" w:cs="Arial" w:eastAsia="Arial" w:hAnsi="Arial"/>
          <w:sz w:val="18"/>
          <w:szCs w:val="18"/>
          <w:color w:val="auto"/>
        </w:rPr>
        <w:t>Revenues are recognized under “Leases (Topic 842),” with the exception of royalty fee revenue derived from our licensees</w:t>
      </w:r>
      <w:r>
        <w:rPr>
          <w:rFonts w:ascii="Arial" w:cs="Arial" w:eastAsia="Arial" w:hAnsi="Arial"/>
          <w:sz w:val="18"/>
          <w:szCs w:val="18"/>
          <w:i w:val="1"/>
          <w:iCs w:val="1"/>
          <w:color w:val="auto"/>
        </w:rPr>
        <w:t xml:space="preserve"> </w:t>
      </w:r>
      <w:r>
        <w:rPr>
          <w:rFonts w:ascii="Arial" w:cs="Arial" w:eastAsia="Arial" w:hAnsi="Arial"/>
          <w:sz w:val="18"/>
          <w:szCs w:val="18"/>
          <w:color w:val="auto"/>
        </w:rPr>
        <w:t>and revenue related to our customer loyalty program, which were approximately $88 million and $53 million during the three months ended September 30, 2024 and 2023, respectively, and $184 million and $139 million during the nine months ended September 30,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8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0"/>
          </w:cols>
          <w:pgMar w:left="820" w:top="1174" w:right="339" w:bottom="1440" w:gutter="0" w:footer="0" w:header="0"/>
        </w:sectPr>
      </w:pPr>
    </w:p>
    <w:bookmarkStart w:id="12" w:name="page13"/>
    <w:bookmarkEnd w:id="12"/>
    <w:p>
      <w:pPr>
        <w:ind w:left="6"/>
        <w:spacing w:after="0"/>
        <w:rPr>
          <w:sz w:val="20"/>
          <w:szCs w:val="20"/>
          <w:color w:val="auto"/>
        </w:rPr>
      </w:pPr>
      <w:r>
        <w:rPr>
          <w:rFonts w:ascii="Arial" w:cs="Arial" w:eastAsia="Arial" w:hAnsi="Arial"/>
          <w:sz w:val="18"/>
          <w:szCs w:val="18"/>
          <w:color w:val="auto"/>
        </w:rPr>
        <w:t>The following table presents our revenues disaggregated by geography:</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2,640</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2,736</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7,180</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689</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1,615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1,582</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3,480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following table presents our revenues disaggregated by brand:</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2,011</w:t>
            </w:r>
          </w:p>
        </w:tc>
        <w:tc>
          <w:tcPr>
            <w:tcW w:w="100" w:type="dxa"/>
            <w:vAlign w:val="bottom"/>
          </w:tcPr>
          <w:p>
            <w:pPr>
              <w:spacing w:after="0"/>
              <w:rPr>
                <w:sz w:val="18"/>
                <w:szCs w:val="18"/>
                <w:color w:val="auto"/>
              </w:rPr>
            </w:pPr>
          </w:p>
        </w:tc>
        <w:tc>
          <w:tcPr>
            <w:tcW w:w="920" w:type="dxa"/>
            <w:vAlign w:val="bottom"/>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2,043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5,218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5,206</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1,263</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3,301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3,471</w:t>
            </w:r>
          </w:p>
        </w:tc>
      </w:tr>
      <w:tr>
        <w:trPr>
          <w:trHeight w:val="218"/>
        </w:trPr>
        <w:tc>
          <w:tcPr>
            <w:tcW w:w="4260" w:type="dxa"/>
            <w:vAlign w:val="bottom"/>
          </w:tcPr>
          <w:p>
            <w:pPr>
              <w:spacing w:after="0" w:line="218"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Total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3,480</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3,564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9,244</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ind w:left="266" w:hanging="266"/>
        <w:spacing w:after="0" w:line="219" w:lineRule="auto"/>
        <w:tabs>
          <w:tab w:leader="none" w:pos="266"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21"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52"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Improvements to Income Tax Disclosures</w:t>
      </w:r>
    </w:p>
    <w:p>
      <w:pPr>
        <w:spacing w:after="0" w:line="250"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In December 2023, the FASB issued ASU 2023-09, “Improvements to Income Tax Disclosures,” which amends Topic 740 primarily through enhanced disclosures about an entity’s tax risks and tax planning. The amendments are effective for public business entities in annual periods beginning after December 15, 2024, with early adoption permitted on a prospective or retrospective basis. ASU 2023-09 will become effective for us on January 1, 2025. We are currently evaluating the impact of the adoption of this accounting pronouncement on our Consolidated Financial Statements.</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Improvements to Reportable Segment Disclosures</w:t>
      </w:r>
    </w:p>
    <w:p>
      <w:pPr>
        <w:spacing w:after="0" w:line="250"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In November 2023, the FASB issued ASU 2023-07, “Improvements to Reportable Segment Disclosures,” which amends Topic 280 primarily through enhanced disclosures about significant segment expenses. The amendments are effective for fiscal years beginning after December 15, 2023 and interim periods within fiscal years beginning after December 15, 2024, with early adoption permitted. ASU 2023-07 became effective for us on January 1, 2024. We are currently evaluating the impact of the adoption of this accounting pronouncement on our Consolidated Condensed Financial Statements.</w:t>
      </w:r>
    </w:p>
    <w:p>
      <w:pPr>
        <w:spacing w:after="0" w:line="208"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Reference Rate Reform</w:t>
      </w:r>
    </w:p>
    <w:p>
      <w:pPr>
        <w:spacing w:after="0" w:line="250" w:lineRule="exact"/>
        <w:rPr>
          <w:sz w:val="20"/>
          <w:szCs w:val="20"/>
          <w:color w:val="auto"/>
        </w:rPr>
      </w:pPr>
    </w:p>
    <w:p>
      <w:pPr>
        <w:jc w:val="both"/>
        <w:ind w:left="6"/>
        <w:spacing w:after="0" w:line="257" w:lineRule="auto"/>
        <w:rPr>
          <w:sz w:val="20"/>
          <w:szCs w:val="20"/>
          <w:color w:val="auto"/>
        </w:rPr>
      </w:pPr>
      <w:r>
        <w:rPr>
          <w:rFonts w:ascii="Arial" w:cs="Arial" w:eastAsia="Arial" w:hAnsi="Arial"/>
          <w:sz w:val="18"/>
          <w:szCs w:val="18"/>
          <w:color w:val="auto"/>
        </w:rPr>
        <w:t>In January 2021, the FASB issued ASU 2021-01, “Reference Rate Reform (Topic 848),” which amends ASU 2020-04 and clarifies the scope and guidance of Topic 848 to allow derivatives impacted by the reference rate reform to qualify for certain optional expedients and exceptions for contract modifications and hedge accounting. The guidance is optional and is effective for a limited period of time. In December 2022, the FASB also issued ASU 2022-06, “Reference Rate Reform (Topic 848): Deferral of the Sunset Date of Topic 848,” to defer the sunset date of ASC 848 from December 31, 2022 to December 31, 2024. As of September 30, 2024, this guidance had no impact on our Consolidated Condensed Financial Statements, and we will continue to evaluate this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13" w:name="page14"/>
    <w:bookmarkEnd w:id="13"/>
    <w:p>
      <w:pPr>
        <w:jc w:val="right"/>
        <w:ind w:left="442" w:right="10160" w:hanging="442"/>
        <w:spacing w:after="0" w:line="328" w:lineRule="auto"/>
        <w:tabs>
          <w:tab w:leader="none" w:pos="356"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Leases </w:t>
      </w:r>
      <w:r>
        <w:rPr>
          <w:rFonts w:ascii="Arial" w:cs="Arial" w:eastAsia="Arial" w:hAnsi="Arial"/>
          <w:sz w:val="17"/>
          <w:szCs w:val="17"/>
          <w:b w:val="1"/>
          <w:bCs w:val="1"/>
          <w:i w:val="1"/>
          <w:iCs w:val="1"/>
          <w:color w:val="auto"/>
        </w:rPr>
        <w:t>Lessor</w:t>
      </w:r>
    </w:p>
    <w:p>
      <w:pPr>
        <w:spacing w:after="0" w:line="141"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geography:</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Americas</w:t>
            </w:r>
          </w:p>
        </w:tc>
        <w:tc>
          <w:tcPr>
            <w:tcW w:w="920" w:type="dxa"/>
            <w:vAlign w:val="bottom"/>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4"/>
              </w:rPr>
              <w:t>2,587</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2,715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6,891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7,120</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Europe, Middle East and Africa</w:t>
            </w:r>
          </w:p>
        </w:tc>
        <w:tc>
          <w:tcPr>
            <w:tcW w:w="9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1,548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1,518</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Asia and Australasia</w:t>
            </w: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w:t>
            </w:r>
          </w:p>
        </w:tc>
      </w:tr>
      <w:tr>
        <w:trPr>
          <w:trHeight w:val="211"/>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2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4"/>
              </w:rPr>
              <w:t>3,392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9,105</w:t>
            </w:r>
          </w:p>
        </w:tc>
      </w:tr>
      <w:tr>
        <w:trPr>
          <w:trHeight w:val="20"/>
        </w:trPr>
        <w:tc>
          <w:tcPr>
            <w:tcW w:w="4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presents our lease revenues disaggregated by brand:</w:t>
      </w:r>
    </w:p>
    <w:p>
      <w:pPr>
        <w:spacing w:after="0" w:line="23" w:lineRule="exact"/>
        <w:rPr>
          <w:sz w:val="20"/>
          <w:szCs w:val="20"/>
          <w:color w:val="auto"/>
        </w:rPr>
      </w:pPr>
    </w:p>
    <w:tbl>
      <w:tblPr>
        <w:tblLayout w:type="fixed"/>
        <w:tblInd w:w="462" w:type="dxa"/>
        <w:tblCellMar>
          <w:top w:w="0" w:type="dxa"/>
          <w:left w:w="0" w:type="dxa"/>
          <w:bottom w:w="0" w:type="dxa"/>
          <w:right w:w="0" w:type="dxa"/>
        </w:tblCellMar>
      </w:tblPr>
      <w:tr>
        <w:trPr>
          <w:trHeight w:val="207"/>
        </w:trPr>
        <w:tc>
          <w:tcPr>
            <w:tcW w:w="4260" w:type="dxa"/>
            <w:vAlign w:val="bottom"/>
          </w:tcPr>
          <w:p>
            <w:pPr>
              <w:spacing w:after="0"/>
              <w:rPr>
                <w:sz w:val="17"/>
                <w:szCs w:val="17"/>
                <w:color w:val="auto"/>
              </w:rPr>
            </w:pPr>
          </w:p>
        </w:tc>
        <w:tc>
          <w:tcPr>
            <w:tcW w:w="2400" w:type="dxa"/>
            <w:vAlign w:val="bottom"/>
            <w:gridSpan w:val="4"/>
          </w:tcPr>
          <w:p>
            <w:pPr>
              <w:jc w:val="right"/>
              <w:ind w:right="16"/>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4"/>
          </w:tcPr>
          <w:p>
            <w:pPr>
              <w:jc w:val="right"/>
              <w:ind w:right="557"/>
              <w:spacing w:after="0"/>
              <w:rPr>
                <w:sz w:val="20"/>
                <w:szCs w:val="20"/>
                <w:color w:val="auto"/>
              </w:rPr>
            </w:pPr>
            <w:r>
              <w:rPr>
                <w:rFonts w:ascii="Arial" w:cs="Arial" w:eastAsia="Arial" w:hAnsi="Arial"/>
                <w:sz w:val="18"/>
                <w:szCs w:val="18"/>
                <w:b w:val="1"/>
                <w:bCs w:val="1"/>
                <w:color w:val="auto"/>
              </w:rPr>
              <w:t>Nine Months Ended</w:t>
            </w:r>
          </w:p>
        </w:tc>
      </w:tr>
      <w:tr>
        <w:trPr>
          <w:trHeight w:val="243"/>
        </w:trPr>
        <w:tc>
          <w:tcPr>
            <w:tcW w:w="4260" w:type="dxa"/>
            <w:vAlign w:val="bottom"/>
          </w:tcPr>
          <w:p>
            <w:pPr>
              <w:spacing w:after="0"/>
              <w:rPr>
                <w:sz w:val="21"/>
                <w:szCs w:val="21"/>
                <w:color w:val="auto"/>
              </w:rPr>
            </w:pPr>
          </w:p>
        </w:tc>
        <w:tc>
          <w:tcPr>
            <w:tcW w:w="2400" w:type="dxa"/>
            <w:vAlign w:val="bottom"/>
            <w:tcBorders>
              <w:bottom w:val="single" w:sz="8" w:color="auto"/>
            </w:tcBorders>
            <w:gridSpan w:val="4"/>
          </w:tcPr>
          <w:p>
            <w:pPr>
              <w:jc w:val="right"/>
              <w:ind w:right="256"/>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Avis</w:t>
            </w:r>
          </w:p>
        </w:tc>
        <w:tc>
          <w:tcPr>
            <w:tcW w:w="900" w:type="dxa"/>
            <w:vAlign w:val="bottom"/>
          </w:tcPr>
          <w:p>
            <w:pPr>
              <w:jc w:val="right"/>
              <w:ind w:right="714"/>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1,953</w:t>
            </w:r>
          </w:p>
        </w:tc>
        <w:tc>
          <w:tcPr>
            <w:tcW w:w="100" w:type="dxa"/>
            <w:vAlign w:val="bottom"/>
          </w:tcPr>
          <w:p>
            <w:pPr>
              <w:spacing w:after="0"/>
              <w:rPr>
                <w:sz w:val="18"/>
                <w:szCs w:val="18"/>
                <w:color w:val="auto"/>
              </w:rPr>
            </w:pPr>
          </w:p>
        </w:tc>
        <w:tc>
          <w:tcPr>
            <w:tcW w:w="900" w:type="dxa"/>
            <w:vAlign w:val="bottom"/>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2,011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5,097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5,120</w:t>
            </w:r>
          </w:p>
        </w:tc>
      </w:tr>
      <w:tr>
        <w:trPr>
          <w:trHeight w:val="207"/>
        </w:trPr>
        <w:tc>
          <w:tcPr>
            <w:tcW w:w="4260" w:type="dxa"/>
            <w:vAlign w:val="bottom"/>
          </w:tcPr>
          <w:p>
            <w:pPr>
              <w:spacing w:after="0"/>
              <w:rPr>
                <w:sz w:val="20"/>
                <w:szCs w:val="20"/>
                <w:color w:val="auto"/>
              </w:rPr>
            </w:pPr>
            <w:r>
              <w:rPr>
                <w:rFonts w:ascii="Arial" w:cs="Arial" w:eastAsia="Arial" w:hAnsi="Arial"/>
                <w:sz w:val="16"/>
                <w:szCs w:val="16"/>
                <w:color w:val="auto"/>
              </w:rPr>
              <w:t>Budget</w:t>
            </w:r>
          </w:p>
        </w:tc>
        <w:tc>
          <w:tcPr>
            <w:tcW w:w="9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1,247</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1,298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3,261</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3,430</w:t>
            </w:r>
          </w:p>
        </w:tc>
      </w:tr>
      <w:tr>
        <w:trPr>
          <w:trHeight w:val="227"/>
        </w:trPr>
        <w:tc>
          <w:tcPr>
            <w:tcW w:w="4260" w:type="dxa"/>
            <w:vAlign w:val="bottom"/>
          </w:tcPr>
          <w:p>
            <w:pPr>
              <w:spacing w:after="0" w:line="227"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(a)</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r>
      <w:tr>
        <w:trPr>
          <w:trHeight w:val="209"/>
        </w:trPr>
        <w:tc>
          <w:tcPr>
            <w:tcW w:w="4260" w:type="dxa"/>
            <w:vAlign w:val="bottom"/>
          </w:tcPr>
          <w:p>
            <w:pPr>
              <w:spacing w:after="0"/>
              <w:rPr>
                <w:sz w:val="20"/>
                <w:szCs w:val="20"/>
                <w:color w:val="auto"/>
              </w:rPr>
            </w:pPr>
            <w:r>
              <w:rPr>
                <w:rFonts w:ascii="Arial" w:cs="Arial" w:eastAsia="Arial" w:hAnsi="Arial"/>
                <w:sz w:val="16"/>
                <w:szCs w:val="16"/>
                <w:color w:val="auto"/>
              </w:rPr>
              <w:t>Total lease revenues</w:t>
            </w:r>
          </w:p>
        </w:tc>
        <w:tc>
          <w:tcPr>
            <w:tcW w:w="900" w:type="dxa"/>
            <w:vAlign w:val="bottom"/>
            <w:tcBorders>
              <w:bottom w:val="single" w:sz="8" w:color="auto"/>
            </w:tcBorders>
          </w:tcPr>
          <w:p>
            <w:pPr>
              <w:jc w:val="right"/>
              <w:ind w:right="714"/>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3,392</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6"/>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3,511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8,895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9,105</w:t>
            </w:r>
          </w:p>
        </w:tc>
      </w:tr>
      <w:tr>
        <w:trPr>
          <w:trHeight w:val="21"/>
        </w:trPr>
        <w:tc>
          <w:tcPr>
            <w:tcW w:w="42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ind w:left="702" w:hanging="266"/>
        <w:spacing w:after="0" w:line="234" w:lineRule="auto"/>
        <w:tabs>
          <w:tab w:leader="none" w:pos="702"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Other includes Zipcar and other operating brands.</w:t>
      </w:r>
    </w:p>
    <w:p>
      <w:pPr>
        <w:spacing w:after="0" w:line="221"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Lessee</w:t>
      </w:r>
    </w:p>
    <w:p>
      <w:pPr>
        <w:spacing w:after="0" w:line="250" w:lineRule="exact"/>
        <w:rPr>
          <w:sz w:val="20"/>
          <w:szCs w:val="20"/>
          <w:color w:val="auto"/>
        </w:rPr>
      </w:pPr>
    </w:p>
    <w:p>
      <w:pPr>
        <w:jc w:val="both"/>
        <w:ind w:left="442"/>
        <w:spacing w:after="0" w:line="256" w:lineRule="auto"/>
        <w:rPr>
          <w:sz w:val="20"/>
          <w:szCs w:val="20"/>
          <w:color w:val="auto"/>
        </w:rPr>
      </w:pPr>
      <w:r>
        <w:rPr>
          <w:rFonts w:ascii="Arial" w:cs="Arial" w:eastAsia="Arial" w:hAnsi="Arial"/>
          <w:sz w:val="18"/>
          <w:szCs w:val="18"/>
          <w:color w:val="auto"/>
        </w:rPr>
        <w:t>We have operating and finance leases for rental locations, corporate offices, vehicle rental fleet and equipment. Many of our operating leases for rental locations contain concession agreements with various airport authorities that allow us to conduct our vehicle rental operations on site. In general, concession fees for airport locations are based on a percentage of total commissionable revenue as defined by each airport authority, some of which are subject to minimum annual guaranteed amounts. Concession fees other than minimum annual guaranteed amounts are not included in the measurement of operating lease right of use (“ROU”) assets and operating lease liabilities and are recorded as variable lease expense as incurred. Our operating leases for rental locations often also require us to pay or reimburse operating expenses.</w:t>
      </w:r>
    </w:p>
    <w:p>
      <w:pPr>
        <w:spacing w:after="0" w:line="210" w:lineRule="exact"/>
        <w:rPr>
          <w:sz w:val="20"/>
          <w:szCs w:val="20"/>
          <w:color w:val="auto"/>
        </w:rPr>
      </w:pPr>
    </w:p>
    <w:tbl>
      <w:tblPr>
        <w:tblLayout w:type="fixed"/>
        <w:tblInd w:w="442" w:type="dxa"/>
        <w:tblCellMar>
          <w:top w:w="0" w:type="dxa"/>
          <w:left w:w="0" w:type="dxa"/>
          <w:bottom w:w="0" w:type="dxa"/>
          <w:right w:w="0" w:type="dxa"/>
        </w:tblCellMar>
      </w:tblPr>
      <w:tr>
        <w:trPr>
          <w:trHeight w:val="239"/>
        </w:trPr>
        <w:tc>
          <w:tcPr>
            <w:tcW w:w="4300" w:type="dxa"/>
            <w:vAlign w:val="bottom"/>
          </w:tcPr>
          <w:p>
            <w:pPr>
              <w:spacing w:after="0"/>
              <w:rPr>
                <w:sz w:val="20"/>
                <w:szCs w:val="20"/>
                <w:color w:val="auto"/>
              </w:rPr>
            </w:pPr>
            <w:r>
              <w:rPr>
                <w:rFonts w:ascii="Arial" w:cs="Arial" w:eastAsia="Arial" w:hAnsi="Arial"/>
                <w:sz w:val="18"/>
                <w:szCs w:val="18"/>
                <w:color w:val="auto"/>
              </w:rPr>
              <w:t>The components of lease expense are as follows: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4300" w:type="dxa"/>
            <w:vAlign w:val="bottom"/>
          </w:tcPr>
          <w:p>
            <w:pPr>
              <w:spacing w:after="0"/>
              <w:rPr>
                <w:sz w:val="17"/>
                <w:szCs w:val="17"/>
                <w:color w:val="auto"/>
              </w:rPr>
            </w:pPr>
          </w:p>
        </w:tc>
        <w:tc>
          <w:tcPr>
            <w:tcW w:w="2460" w:type="dxa"/>
            <w:vAlign w:val="bottom"/>
            <w:gridSpan w:val="4"/>
          </w:tcPr>
          <w:p>
            <w:pPr>
              <w:jc w:val="right"/>
              <w:ind w:right="76"/>
              <w:spacing w:after="0" w:line="199" w:lineRule="exact"/>
              <w:rPr>
                <w:sz w:val="20"/>
                <w:szCs w:val="20"/>
                <w:color w:val="auto"/>
              </w:rPr>
            </w:pPr>
            <w:r>
              <w:rPr>
                <w:rFonts w:ascii="Arial" w:cs="Arial" w:eastAsia="Arial" w:hAnsi="Arial"/>
                <w:sz w:val="18"/>
                <w:szCs w:val="18"/>
                <w:b w:val="1"/>
                <w:bCs w:val="1"/>
                <w:color w:val="auto"/>
              </w:rPr>
              <w:t>Three Months Ended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557"/>
              <w:spacing w:after="0" w:line="199" w:lineRule="exact"/>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3"/>
        </w:trPr>
        <w:tc>
          <w:tcPr>
            <w:tcW w:w="4300" w:type="dxa"/>
            <w:vAlign w:val="bottom"/>
          </w:tcPr>
          <w:p>
            <w:pPr>
              <w:spacing w:after="0"/>
              <w:rPr>
                <w:sz w:val="21"/>
                <w:szCs w:val="21"/>
                <w:color w:val="auto"/>
              </w:rPr>
            </w:pPr>
          </w:p>
        </w:tc>
        <w:tc>
          <w:tcPr>
            <w:tcW w:w="2460" w:type="dxa"/>
            <w:vAlign w:val="bottom"/>
            <w:tcBorders>
              <w:bottom w:val="single" w:sz="8" w:color="auto"/>
            </w:tcBorders>
            <w:gridSpan w:val="4"/>
          </w:tcPr>
          <w:p>
            <w:pPr>
              <w:jc w:val="right"/>
              <w:ind w:right="316"/>
              <w:spacing w:after="0"/>
              <w:rPr>
                <w:sz w:val="20"/>
                <w:szCs w:val="20"/>
                <w:color w:val="auto"/>
              </w:rPr>
            </w:pPr>
            <w:r>
              <w:rPr>
                <w:rFonts w:ascii="Arial" w:cs="Arial" w:eastAsia="Arial" w:hAnsi="Arial"/>
                <w:sz w:val="18"/>
                <w:szCs w:val="18"/>
                <w:b w:val="1"/>
                <w:bCs w:val="1"/>
                <w:color w:val="auto"/>
              </w:rPr>
              <w:t>September 30,</w:t>
            </w:r>
          </w:p>
        </w:tc>
        <w:tc>
          <w:tcPr>
            <w:tcW w:w="4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580" w:type="dxa"/>
            <w:vAlign w:val="bottom"/>
            <w:tcBorders>
              <w:bottom w:val="single" w:sz="8" w:color="auto"/>
            </w:tcBorders>
            <w:gridSpan w:val="4"/>
          </w:tcPr>
          <w:p>
            <w:pPr>
              <w:jc w:val="right"/>
              <w:ind w:right="737"/>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43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 xml:space="preserve">Property leases </w:t>
            </w:r>
            <w:r>
              <w:rPr>
                <w:rFonts w:ascii="Arial" w:cs="Arial" w:eastAsia="Arial" w:hAnsi="Arial"/>
                <w:sz w:val="21"/>
                <w:szCs w:val="21"/>
                <w:b w:val="1"/>
                <w:bCs w:val="1"/>
                <w:color w:val="auto"/>
                <w:vertAlign w:val="superscript"/>
              </w:rPr>
              <w:t>(a)</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5"/>
        </w:trPr>
        <w:tc>
          <w:tcPr>
            <w:tcW w:w="43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300" w:type="dxa"/>
            <w:vAlign w:val="bottom"/>
          </w:tcPr>
          <w:p>
            <w:pPr>
              <w:ind w:left="20"/>
              <w:spacing w:after="0"/>
              <w:rPr>
                <w:sz w:val="20"/>
                <w:szCs w:val="20"/>
                <w:color w:val="auto"/>
              </w:rPr>
            </w:pPr>
            <w:r>
              <w:rPr>
                <w:rFonts w:ascii="Arial" w:cs="Arial" w:eastAsia="Arial" w:hAnsi="Arial"/>
                <w:sz w:val="16"/>
                <w:szCs w:val="16"/>
                <w:color w:val="auto"/>
              </w:rPr>
              <w:t>Operating lease expense</w:t>
            </w:r>
          </w:p>
        </w:tc>
        <w:tc>
          <w:tcPr>
            <w:tcW w:w="980" w:type="dxa"/>
            <w:vAlign w:val="bottom"/>
          </w:tcPr>
          <w:p>
            <w:pPr>
              <w:jc w:val="right"/>
              <w:ind w:right="794"/>
              <w:spacing w:after="0"/>
              <w:rPr>
                <w:sz w:val="20"/>
                <w:szCs w:val="20"/>
                <w:color w:val="auto"/>
              </w:rPr>
            </w:pPr>
            <w:r>
              <w:rPr>
                <w:rFonts w:ascii="Arial" w:cs="Arial" w:eastAsia="Arial" w:hAnsi="Arial"/>
                <w:sz w:val="16"/>
                <w:szCs w:val="16"/>
                <w:color w:val="auto"/>
                <w:w w:val="89"/>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229</w:t>
            </w:r>
          </w:p>
        </w:tc>
        <w:tc>
          <w:tcPr>
            <w:tcW w:w="80" w:type="dxa"/>
            <w:vAlign w:val="bottom"/>
          </w:tcPr>
          <w:p>
            <w:pPr>
              <w:spacing w:after="0"/>
              <w:rPr>
                <w:sz w:val="18"/>
                <w:szCs w:val="18"/>
                <w:color w:val="auto"/>
              </w:rPr>
            </w:pPr>
          </w:p>
        </w:tc>
        <w:tc>
          <w:tcPr>
            <w:tcW w:w="980" w:type="dxa"/>
            <w:vAlign w:val="bottom"/>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691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631</w:t>
            </w:r>
          </w:p>
        </w:tc>
        <w:tc>
          <w:tcPr>
            <w:tcW w:w="0" w:type="dxa"/>
            <w:vAlign w:val="bottom"/>
          </w:tcPr>
          <w:p>
            <w:pPr>
              <w:spacing w:after="0"/>
              <w:rPr>
                <w:sz w:val="1"/>
                <w:szCs w:val="1"/>
                <w:color w:val="auto"/>
              </w:rPr>
            </w:pPr>
          </w:p>
        </w:tc>
      </w:tr>
      <w:tr>
        <w:trPr>
          <w:trHeight w:val="217"/>
        </w:trPr>
        <w:tc>
          <w:tcPr>
            <w:tcW w:w="4300" w:type="dxa"/>
            <w:vAlign w:val="bottom"/>
          </w:tcPr>
          <w:p>
            <w:pPr>
              <w:ind w:left="20"/>
              <w:spacing w:after="0"/>
              <w:rPr>
                <w:sz w:val="20"/>
                <w:szCs w:val="20"/>
                <w:color w:val="auto"/>
              </w:rPr>
            </w:pPr>
            <w:r>
              <w:rPr>
                <w:rFonts w:ascii="Arial" w:cs="Arial" w:eastAsia="Arial" w:hAnsi="Arial"/>
                <w:sz w:val="16"/>
                <w:szCs w:val="16"/>
                <w:color w:val="auto"/>
              </w:rPr>
              <w:t>Variable lease expense</w:t>
            </w: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w:t>
            </w:r>
          </w:p>
        </w:tc>
        <w:tc>
          <w:tcPr>
            <w:tcW w:w="8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0" w:type="dxa"/>
            <w:vAlign w:val="bottom"/>
          </w:tcPr>
          <w:p>
            <w:pPr>
              <w:spacing w:after="0"/>
              <w:rPr>
                <w:sz w:val="1"/>
                <w:szCs w:val="1"/>
                <w:color w:val="auto"/>
              </w:rPr>
            </w:pPr>
          </w:p>
        </w:tc>
      </w:tr>
      <w:tr>
        <w:trPr>
          <w:trHeight w:val="211"/>
        </w:trPr>
        <w:tc>
          <w:tcPr>
            <w:tcW w:w="4300" w:type="dxa"/>
            <w:vAlign w:val="bottom"/>
          </w:tcPr>
          <w:p>
            <w:pPr>
              <w:ind w:left="20"/>
              <w:spacing w:after="0"/>
              <w:rPr>
                <w:sz w:val="20"/>
                <w:szCs w:val="20"/>
                <w:color w:val="auto"/>
              </w:rPr>
            </w:pPr>
            <w:r>
              <w:rPr>
                <w:rFonts w:ascii="Arial" w:cs="Arial" w:eastAsia="Arial" w:hAnsi="Arial"/>
                <w:sz w:val="16"/>
                <w:szCs w:val="16"/>
                <w:b w:val="1"/>
                <w:bCs w:val="1"/>
                <w:color w:val="auto"/>
              </w:rPr>
              <w:t>Total property lease expense</w:t>
            </w:r>
          </w:p>
        </w:tc>
        <w:tc>
          <w:tcPr>
            <w:tcW w:w="980" w:type="dxa"/>
            <w:vAlign w:val="bottom"/>
            <w:tcBorders>
              <w:bottom w:val="single" w:sz="8" w:color="auto"/>
            </w:tcBorders>
          </w:tcPr>
          <w:p>
            <w:pPr>
              <w:jc w:val="right"/>
              <w:ind w:right="794"/>
              <w:spacing w:after="0"/>
              <w:rPr>
                <w:sz w:val="20"/>
                <w:szCs w:val="20"/>
                <w:color w:val="auto"/>
              </w:rPr>
            </w:pPr>
            <w:r>
              <w:rPr>
                <w:rFonts w:ascii="Arial" w:cs="Arial" w:eastAsia="Arial" w:hAnsi="Arial"/>
                <w:sz w:val="16"/>
                <w:szCs w:val="16"/>
                <w:color w:val="auto"/>
                <w:w w:val="8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346</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76"/>
              <w:spacing w:after="0"/>
              <w:rPr>
                <w:sz w:val="20"/>
                <w:szCs w:val="20"/>
                <w:color w:val="auto"/>
              </w:rPr>
            </w:pPr>
            <w:r>
              <w:rPr>
                <w:rFonts w:ascii="Arial" w:cs="Arial" w:eastAsia="Arial" w:hAnsi="Arial"/>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958</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ind w:left="702" w:hanging="266"/>
        <w:spacing w:after="0" w:line="234" w:lineRule="auto"/>
        <w:tabs>
          <w:tab w:leader="none" w:pos="702"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Primarily within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4" w:name="page15"/>
    <w:bookmarkEnd w:id="14"/>
    <w:p>
      <w:pPr>
        <w:ind w:left="6"/>
        <w:spacing w:after="0"/>
        <w:rPr>
          <w:sz w:val="20"/>
          <w:szCs w:val="20"/>
          <w:color w:val="auto"/>
        </w:rPr>
      </w:pPr>
      <w:r>
        <w:rPr>
          <w:rFonts w:ascii="Arial" w:cs="Arial" w:eastAsia="Arial" w:hAnsi="Arial"/>
          <w:sz w:val="18"/>
          <w:szCs w:val="18"/>
          <w:color w:val="auto"/>
        </w:rPr>
        <w:t>Supplemental balance sheet information related to leases is as follows:</w:t>
      </w:r>
    </w:p>
    <w:p>
      <w:pPr>
        <w:spacing w:after="0" w:line="23" w:lineRule="exact"/>
        <w:rPr>
          <w:sz w:val="20"/>
          <w:szCs w:val="20"/>
          <w:color w:val="auto"/>
        </w:rPr>
      </w:pPr>
    </w:p>
    <w:tbl>
      <w:tblPr>
        <w:tblLayout w:type="fixed"/>
        <w:tblInd w:w="26" w:type="dxa"/>
        <w:tblCellMar>
          <w:top w:w="0" w:type="dxa"/>
          <w:left w:w="0" w:type="dxa"/>
          <w:bottom w:w="0" w:type="dxa"/>
          <w:right w:w="0" w:type="dxa"/>
        </w:tblCellMar>
      </w:tblPr>
      <w:tr>
        <w:trPr>
          <w:trHeight w:val="207"/>
        </w:trPr>
        <w:tc>
          <w:tcPr>
            <w:tcW w:w="5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As of</w:t>
            </w:r>
          </w:p>
        </w:tc>
        <w:tc>
          <w:tcPr>
            <w:tcW w:w="200" w:type="dxa"/>
            <w:vAlign w:val="bottom"/>
          </w:tcPr>
          <w:p>
            <w:pPr>
              <w:spacing w:after="0"/>
              <w:rPr>
                <w:sz w:val="17"/>
                <w:szCs w:val="17"/>
                <w:color w:val="auto"/>
              </w:rPr>
            </w:pPr>
          </w:p>
        </w:tc>
        <w:tc>
          <w:tcPr>
            <w:tcW w:w="2020" w:type="dxa"/>
            <w:vAlign w:val="bottom"/>
          </w:tcPr>
          <w:p>
            <w:pPr>
              <w:jc w:val="right"/>
              <w:ind w:right="837"/>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 2024</w:t>
            </w:r>
          </w:p>
        </w:tc>
        <w:tc>
          <w:tcPr>
            <w:tcW w:w="200" w:type="dxa"/>
            <w:vAlign w:val="bottom"/>
          </w:tcPr>
          <w:p>
            <w:pPr>
              <w:spacing w:after="0"/>
              <w:rPr>
                <w:sz w:val="21"/>
                <w:szCs w:val="21"/>
                <w:color w:val="auto"/>
              </w:rPr>
            </w:pPr>
          </w:p>
        </w:tc>
        <w:tc>
          <w:tcPr>
            <w:tcW w:w="2020" w:type="dxa"/>
            <w:vAlign w:val="bottom"/>
          </w:tcPr>
          <w:p>
            <w:pPr>
              <w:jc w:val="right"/>
              <w:ind w:right="217"/>
              <w:spacing w:after="0"/>
              <w:rPr>
                <w:sz w:val="20"/>
                <w:szCs w:val="20"/>
                <w:color w:val="auto"/>
              </w:rPr>
            </w:pPr>
            <w:r>
              <w:rPr>
                <w:rFonts w:ascii="Arial" w:cs="Arial" w:eastAsia="Arial" w:hAnsi="Arial"/>
                <w:sz w:val="18"/>
                <w:szCs w:val="18"/>
                <w:b w:val="1"/>
                <w:bCs w:val="1"/>
                <w:color w:val="auto"/>
              </w:rPr>
              <w:t>December 31, 2023</w:t>
            </w:r>
          </w:p>
        </w:tc>
        <w:tc>
          <w:tcPr>
            <w:tcW w:w="0" w:type="dxa"/>
            <w:vAlign w:val="bottom"/>
          </w:tcPr>
          <w:p>
            <w:pPr>
              <w:spacing w:after="0"/>
              <w:rPr>
                <w:sz w:val="1"/>
                <w:szCs w:val="1"/>
                <w:color w:val="auto"/>
              </w:rPr>
            </w:pPr>
          </w:p>
        </w:tc>
      </w:tr>
      <w:tr>
        <w:trPr>
          <w:trHeight w:val="203"/>
        </w:trPr>
        <w:tc>
          <w:tcPr>
            <w:tcW w:w="5600" w:type="dxa"/>
            <w:vAlign w:val="bottom"/>
          </w:tcPr>
          <w:p>
            <w:pPr>
              <w:spacing w:after="0"/>
              <w:rPr>
                <w:sz w:val="20"/>
                <w:szCs w:val="20"/>
                <w:color w:val="auto"/>
              </w:rPr>
            </w:pPr>
            <w:r>
              <w:rPr>
                <w:rFonts w:ascii="Arial" w:cs="Arial" w:eastAsia="Arial" w:hAnsi="Arial"/>
                <w:sz w:val="16"/>
                <w:szCs w:val="16"/>
                <w:b w:val="1"/>
                <w:bCs w:val="1"/>
                <w:color w:val="auto"/>
              </w:rPr>
              <w:t>Property leases</w:t>
            </w:r>
          </w:p>
        </w:tc>
        <w:tc>
          <w:tcPr>
            <w:tcW w:w="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17"/>
                <w:szCs w:val="17"/>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vMerge w:val="restart"/>
          </w:tcPr>
          <w:p>
            <w:pPr>
              <w:jc w:val="right"/>
              <w:ind w:right="37"/>
              <w:spacing w:after="0"/>
              <w:rPr>
                <w:sz w:val="20"/>
                <w:szCs w:val="20"/>
                <w:color w:val="auto"/>
              </w:rPr>
            </w:pPr>
            <w:r>
              <w:rPr>
                <w:rFonts w:ascii="Arial" w:cs="Arial" w:eastAsia="Arial" w:hAnsi="Arial"/>
                <w:sz w:val="16"/>
                <w:szCs w:val="16"/>
                <w:color w:val="auto"/>
              </w:rPr>
              <w:t>2,654</w:t>
            </w:r>
          </w:p>
        </w:tc>
        <w:tc>
          <w:tcPr>
            <w:tcW w:w="0" w:type="dxa"/>
            <w:vAlign w:val="bottom"/>
          </w:tcPr>
          <w:p>
            <w:pPr>
              <w:spacing w:after="0"/>
              <w:rPr>
                <w:sz w:val="1"/>
                <w:szCs w:val="1"/>
                <w:color w:val="auto"/>
              </w:rPr>
            </w:pPr>
          </w:p>
        </w:tc>
      </w:tr>
      <w:tr>
        <w:trPr>
          <w:trHeight w:val="214"/>
        </w:trPr>
        <w:tc>
          <w:tcPr>
            <w:tcW w:w="5600" w:type="dxa"/>
            <w:vAlign w:val="bottom"/>
          </w:tcPr>
          <w:p>
            <w:pPr>
              <w:ind w:left="200"/>
              <w:spacing w:after="0"/>
              <w:rPr>
                <w:sz w:val="20"/>
                <w:szCs w:val="20"/>
                <w:color w:val="auto"/>
              </w:rPr>
            </w:pPr>
            <w:r>
              <w:rPr>
                <w:rFonts w:ascii="Arial" w:cs="Arial" w:eastAsia="Arial" w:hAnsi="Arial"/>
                <w:sz w:val="16"/>
                <w:szCs w:val="16"/>
                <w:color w:val="auto"/>
              </w:rPr>
              <w:t>Operating lease ROU assets</w:t>
            </w:r>
          </w:p>
        </w:tc>
        <w:tc>
          <w:tcPr>
            <w:tcW w:w="2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vMerge w:val="continue"/>
          </w:tcPr>
          <w:p>
            <w:pPr>
              <w:spacing w:after="0"/>
              <w:rPr>
                <w:sz w:val="18"/>
                <w:szCs w:val="18"/>
                <w:color w:val="auto"/>
              </w:rPr>
            </w:pPr>
          </w:p>
        </w:tc>
        <w:tc>
          <w:tcPr>
            <w:tcW w:w="2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8"/>
        </w:trPr>
        <w:tc>
          <w:tcPr>
            <w:tcW w:w="5600" w:type="dxa"/>
            <w:vAlign w:val="bottom"/>
          </w:tcPr>
          <w:p>
            <w:pPr>
              <w:ind w:left="200"/>
              <w:spacing w:after="0"/>
              <w:rPr>
                <w:sz w:val="20"/>
                <w:szCs w:val="20"/>
                <w:color w:val="auto"/>
              </w:rPr>
            </w:pPr>
            <w:r>
              <w:rPr>
                <w:rFonts w:ascii="Arial" w:cs="Arial" w:eastAsia="Arial" w:hAnsi="Arial"/>
                <w:sz w:val="16"/>
                <w:szCs w:val="16"/>
                <w:color w:val="auto"/>
              </w:rPr>
              <w:t xml:space="preserve">Short-term operating lease liabilities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ind w:right="37"/>
              <w:spacing w:after="0"/>
              <w:rPr>
                <w:sz w:val="20"/>
                <w:szCs w:val="20"/>
                <w:color w:val="auto"/>
              </w:rPr>
            </w:pPr>
            <w:r>
              <w:rPr>
                <w:rFonts w:ascii="Arial" w:cs="Arial" w:eastAsia="Arial" w:hAnsi="Arial"/>
                <w:sz w:val="16"/>
                <w:szCs w:val="16"/>
                <w:color w:val="auto"/>
              </w:rPr>
              <w:t>583</w:t>
            </w:r>
          </w:p>
        </w:tc>
        <w:tc>
          <w:tcPr>
            <w:tcW w:w="10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ind w:right="37"/>
              <w:spacing w:after="0"/>
              <w:rPr>
                <w:sz w:val="20"/>
                <w:szCs w:val="20"/>
                <w:color w:val="auto"/>
              </w:rPr>
            </w:pPr>
            <w:r>
              <w:rPr>
                <w:rFonts w:ascii="Arial" w:cs="Arial" w:eastAsia="Arial" w:hAnsi="Arial"/>
                <w:sz w:val="16"/>
                <w:szCs w:val="16"/>
                <w:color w:val="auto"/>
              </w:rPr>
              <w:t>576</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6"/>
                <w:szCs w:val="16"/>
                <w:color w:val="auto"/>
              </w:rPr>
              <w:t>Long-term operating lease liabilities</w:t>
            </w: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2,351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2,117</w:t>
            </w:r>
          </w:p>
        </w:tc>
        <w:tc>
          <w:tcPr>
            <w:tcW w:w="0" w:type="dxa"/>
            <w:vAlign w:val="bottom"/>
          </w:tcPr>
          <w:p>
            <w:pPr>
              <w:spacing w:after="0"/>
              <w:rPr>
                <w:sz w:val="1"/>
                <w:szCs w:val="1"/>
                <w:color w:val="auto"/>
              </w:rPr>
            </w:pPr>
          </w:p>
        </w:tc>
      </w:tr>
      <w:tr>
        <w:trPr>
          <w:trHeight w:val="210"/>
        </w:trPr>
        <w:tc>
          <w:tcPr>
            <w:tcW w:w="5600" w:type="dxa"/>
            <w:vAlign w:val="bottom"/>
          </w:tcPr>
          <w:p>
            <w:pPr>
              <w:ind w:left="20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2,934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ind w:right="37"/>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1"/>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5600" w:type="dxa"/>
            <w:vAlign w:val="bottom"/>
          </w:tcPr>
          <w:p>
            <w:pPr>
              <w:ind w:left="200"/>
              <w:spacing w:after="0"/>
              <w:rPr>
                <w:sz w:val="20"/>
                <w:szCs w:val="20"/>
                <w:color w:val="auto"/>
              </w:rPr>
            </w:pPr>
            <w:r>
              <w:rPr>
                <w:rFonts w:ascii="Arial" w:cs="Arial" w:eastAsia="Arial" w:hAnsi="Arial"/>
                <w:sz w:val="16"/>
                <w:szCs w:val="16"/>
                <w:color w:val="auto"/>
              </w:rPr>
              <w:t>Weighted average remaining lease term</w:t>
            </w:r>
          </w:p>
        </w:tc>
        <w:tc>
          <w:tcPr>
            <w:tcW w:w="200" w:type="dxa"/>
            <w:vAlign w:val="bottom"/>
          </w:tcPr>
          <w:p>
            <w:pPr>
              <w:spacing w:after="0"/>
              <w:rPr>
                <w:sz w:val="24"/>
                <w:szCs w:val="24"/>
                <w:color w:val="auto"/>
              </w:rPr>
            </w:pPr>
          </w:p>
        </w:tc>
        <w:tc>
          <w:tcPr>
            <w:tcW w:w="2120" w:type="dxa"/>
            <w:vAlign w:val="bottom"/>
            <w:gridSpan w:val="2"/>
          </w:tcPr>
          <w:p>
            <w:pPr>
              <w:jc w:val="right"/>
              <w:ind w:right="120"/>
              <w:spacing w:after="0"/>
              <w:rPr>
                <w:sz w:val="20"/>
                <w:szCs w:val="20"/>
                <w:color w:val="auto"/>
              </w:rPr>
            </w:pPr>
            <w:r>
              <w:rPr>
                <w:rFonts w:ascii="Arial" w:cs="Arial" w:eastAsia="Arial" w:hAnsi="Arial"/>
                <w:sz w:val="16"/>
                <w:szCs w:val="16"/>
                <w:color w:val="auto"/>
              </w:rPr>
              <w:t>7.9 years</w:t>
            </w:r>
          </w:p>
        </w:tc>
        <w:tc>
          <w:tcPr>
            <w:tcW w:w="20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8.1 years</w:t>
            </w:r>
          </w:p>
        </w:tc>
        <w:tc>
          <w:tcPr>
            <w:tcW w:w="0" w:type="dxa"/>
            <w:vAlign w:val="bottom"/>
          </w:tcPr>
          <w:p>
            <w:pPr>
              <w:spacing w:after="0"/>
              <w:rPr>
                <w:sz w:val="1"/>
                <w:szCs w:val="1"/>
                <w:color w:val="auto"/>
              </w:rPr>
            </w:pPr>
          </w:p>
        </w:tc>
      </w:tr>
      <w:tr>
        <w:trPr>
          <w:trHeight w:val="216"/>
        </w:trPr>
        <w:tc>
          <w:tcPr>
            <w:tcW w:w="5600" w:type="dxa"/>
            <w:vAlign w:val="bottom"/>
          </w:tcPr>
          <w:p>
            <w:pPr>
              <w:ind w:left="200"/>
              <w:spacing w:after="0"/>
              <w:rPr>
                <w:sz w:val="20"/>
                <w:szCs w:val="20"/>
                <w:color w:val="auto"/>
              </w:rPr>
            </w:pPr>
            <w:r>
              <w:rPr>
                <w:rFonts w:ascii="Arial" w:cs="Arial" w:eastAsia="Arial" w:hAnsi="Arial"/>
                <w:sz w:val="16"/>
                <w:szCs w:val="16"/>
                <w:color w:val="auto"/>
              </w:rPr>
              <w:t>Weighted average discount rate</w:t>
            </w: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5.01 %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4.83 %</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266" w:hanging="266"/>
        <w:spacing w:after="0"/>
        <w:tabs>
          <w:tab w:leader="none" w:pos="266" w:val="left"/>
        </w:tabs>
        <w:numPr>
          <w:ilvl w:val="0"/>
          <w:numId w:val="14"/>
        </w:numPr>
        <w:rPr>
          <w:rFonts w:ascii="Arial" w:cs="Arial" w:eastAsia="Arial" w:hAnsi="Arial"/>
          <w:sz w:val="9"/>
          <w:szCs w:val="9"/>
          <w:color w:val="auto"/>
        </w:rPr>
      </w:pPr>
      <w:r>
        <w:rPr>
          <w:rFonts w:ascii="Arial" w:cs="Arial" w:eastAsia="Arial" w:hAnsi="Arial"/>
          <w:sz w:val="14"/>
          <w:szCs w:val="14"/>
          <w:color w:val="auto"/>
        </w:rPr>
        <w:t>Included in accounts payable and other current liabilities.</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18"/>
          <w:szCs w:val="18"/>
          <w:color w:val="auto"/>
        </w:rPr>
        <w:t>Supplemental cash flow information related to leases is as follows:</w:t>
      </w:r>
    </w:p>
    <w:p>
      <w:pPr>
        <w:spacing w:after="0" w:line="50" w:lineRule="exact"/>
        <w:rPr>
          <w:sz w:val="20"/>
          <w:szCs w:val="20"/>
          <w:color w:val="auto"/>
        </w:rPr>
      </w:pPr>
    </w:p>
    <w:p>
      <w:pPr>
        <w:ind w:left="7846"/>
        <w:spacing w:after="0"/>
        <w:rPr>
          <w:sz w:val="20"/>
          <w:szCs w:val="20"/>
          <w:color w:val="auto"/>
        </w:rPr>
      </w:pPr>
      <w:r>
        <w:rPr>
          <w:rFonts w:ascii="Arial" w:cs="Arial" w:eastAsia="Arial" w:hAnsi="Arial"/>
          <w:sz w:val="18"/>
          <w:szCs w:val="18"/>
          <w:b w:val="1"/>
          <w:bCs w:val="1"/>
          <w:color w:val="auto"/>
        </w:rPr>
        <w:t>Nine Months Ended</w:t>
      </w:r>
    </w:p>
    <w:p>
      <w:pPr>
        <w:ind w:left="8086"/>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26" w:type="dxa"/>
        <w:tblCellMar>
          <w:top w:w="0" w:type="dxa"/>
          <w:left w:w="0" w:type="dxa"/>
          <w:bottom w:w="0" w:type="dxa"/>
          <w:right w:w="0" w:type="dxa"/>
        </w:tblCellMar>
      </w:tblPr>
      <w:tr>
        <w:trPr>
          <w:trHeight w:val="223"/>
        </w:trPr>
        <w:tc>
          <w:tcPr>
            <w:tcW w:w="7200" w:type="dxa"/>
            <w:vAlign w:val="bottom"/>
            <w:vMerge w:val="restart"/>
          </w:tcPr>
          <w:p>
            <w:pPr>
              <w:spacing w:after="0"/>
              <w:rPr>
                <w:sz w:val="20"/>
                <w:szCs w:val="20"/>
                <w:color w:val="auto"/>
              </w:rPr>
            </w:pPr>
            <w:r>
              <w:rPr>
                <w:rFonts w:ascii="Arial" w:cs="Arial" w:eastAsia="Arial" w:hAnsi="Arial"/>
                <w:sz w:val="16"/>
                <w:szCs w:val="16"/>
                <w:b w:val="1"/>
                <w:bCs w:val="1"/>
                <w:color w:val="auto"/>
              </w:rPr>
              <w:t>Cash payments for lease liabilities within operating activities:</w:t>
            </w: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2024</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8"/>
                <w:szCs w:val="18"/>
                <w:b w:val="1"/>
                <w:bCs w:val="1"/>
                <w:color w:val="auto"/>
              </w:rPr>
              <w:t>2023</w:t>
            </w:r>
          </w:p>
        </w:tc>
        <w:tc>
          <w:tcPr>
            <w:tcW w:w="0" w:type="dxa"/>
            <w:vAlign w:val="bottom"/>
          </w:tcPr>
          <w:p>
            <w:pPr>
              <w:spacing w:after="0"/>
              <w:rPr>
                <w:sz w:val="1"/>
                <w:szCs w:val="1"/>
                <w:color w:val="auto"/>
              </w:rPr>
            </w:pPr>
          </w:p>
        </w:tc>
      </w:tr>
      <w:tr>
        <w:trPr>
          <w:trHeight w:val="195"/>
        </w:trPr>
        <w:tc>
          <w:tcPr>
            <w:tcW w:w="72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710</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645</w:t>
            </w:r>
          </w:p>
        </w:tc>
        <w:tc>
          <w:tcPr>
            <w:tcW w:w="0" w:type="dxa"/>
            <w:vAlign w:val="bottom"/>
          </w:tcPr>
          <w:p>
            <w:pPr>
              <w:spacing w:after="0"/>
              <w:rPr>
                <w:sz w:val="1"/>
                <w:szCs w:val="1"/>
                <w:color w:val="auto"/>
              </w:rPr>
            </w:pPr>
          </w:p>
        </w:tc>
      </w:tr>
      <w:tr>
        <w:trPr>
          <w:trHeight w:val="217"/>
        </w:trPr>
        <w:tc>
          <w:tcPr>
            <w:tcW w:w="7200" w:type="dxa"/>
            <w:vAlign w:val="bottom"/>
          </w:tcPr>
          <w:p>
            <w:pPr>
              <w:spacing w:after="0"/>
              <w:rPr>
                <w:sz w:val="20"/>
                <w:szCs w:val="20"/>
                <w:color w:val="auto"/>
              </w:rPr>
            </w:pPr>
            <w:r>
              <w:rPr>
                <w:rFonts w:ascii="Arial" w:cs="Arial" w:eastAsia="Arial" w:hAnsi="Arial"/>
                <w:sz w:val="16"/>
                <w:szCs w:val="16"/>
                <w:b w:val="1"/>
                <w:bCs w:val="1"/>
                <w:color w:val="auto"/>
              </w:rPr>
              <w:t>Non-cash activities - increase (decrease) in ROU assets in exchange for lease liabilities: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200" w:type="dxa"/>
            <w:vAlign w:val="bottom"/>
          </w:tcPr>
          <w:p>
            <w:pPr>
              <w:ind w:left="200"/>
              <w:spacing w:after="0"/>
              <w:rPr>
                <w:sz w:val="20"/>
                <w:szCs w:val="20"/>
                <w:color w:val="auto"/>
              </w:rPr>
            </w:pPr>
            <w:r>
              <w:rPr>
                <w:rFonts w:ascii="Arial" w:cs="Arial" w:eastAsia="Arial" w:hAnsi="Arial"/>
                <w:sz w:val="16"/>
                <w:szCs w:val="16"/>
                <w:color w:val="auto"/>
              </w:rPr>
              <w:t>Property operating leases</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85"/>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66"/>
          </w:cols>
          <w:pgMar w:left="814" w:top="931" w:right="919" w:bottom="1440" w:gutter="0" w:footer="0" w:header="0"/>
        </w:sectPr>
      </w:pPr>
    </w:p>
    <w:bookmarkStart w:id="15" w:name="page16"/>
    <w:bookmarkEnd w:id="15"/>
    <w:p>
      <w:pPr>
        <w:ind w:left="342" w:hanging="342"/>
        <w:spacing w:after="0"/>
        <w:tabs>
          <w:tab w:leader="none" w:pos="342"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Related Charges</w:t>
      </w:r>
    </w:p>
    <w:p>
      <w:pPr>
        <w:spacing w:after="0" w:line="252"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During the first quarter of 2024, we initiated a global restructuring plan to further right size our operations (“Global Rightsizing”). The costs associated with this initiative are primarily related to the operational scaling of processes, locations, and lines of business. We expect further restructuring expense of approximately $10 million related to this initiative to be incurred this year and for this initiative to continue into 2025.</w:t>
      </w:r>
    </w:p>
    <w:p>
      <w:pPr>
        <w:spacing w:after="0" w:line="203"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During the second quarter of 2022, we initiated a restructuring plan to focus on consolidating our global operations by designing new processes and implementing new systems (“Cost Optimization”). We expect this initiative to be completed this year.</w:t>
      </w:r>
    </w:p>
    <w:p>
      <w:pPr>
        <w:spacing w:after="0" w:line="180" w:lineRule="exact"/>
        <w:rPr>
          <w:sz w:val="20"/>
          <w:szCs w:val="20"/>
          <w:color w:val="auto"/>
        </w:rPr>
      </w:pPr>
    </w:p>
    <w:p>
      <w:pPr>
        <w:jc w:val="both"/>
        <w:ind w:left="442"/>
        <w:spacing w:after="0" w:line="287" w:lineRule="auto"/>
        <w:rPr>
          <w:sz w:val="20"/>
          <w:szCs w:val="20"/>
          <w:color w:val="auto"/>
        </w:rPr>
      </w:pPr>
      <w:r>
        <w:rPr>
          <w:rFonts w:ascii="Arial" w:cs="Arial" w:eastAsia="Arial" w:hAnsi="Arial"/>
          <w:sz w:val="18"/>
          <w:szCs w:val="18"/>
          <w:color w:val="auto"/>
        </w:rPr>
        <w:t>The following tables summarize the change to our restructuring-related liabilities and identifies the amounts recorded within our reporting segments for restructuring charges and corresponding payments and utilizations:</w:t>
      </w:r>
    </w:p>
    <w:p>
      <w:pPr>
        <w:spacing w:after="0" w:line="123" w:lineRule="exact"/>
        <w:rPr>
          <w:sz w:val="20"/>
          <w:szCs w:val="20"/>
          <w:color w:val="auto"/>
        </w:rPr>
      </w:pPr>
    </w:p>
    <w:tbl>
      <w:tblPr>
        <w:tblLayout w:type="fixed"/>
        <w:tblInd w:w="442"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Personnel</w:t>
            </w:r>
          </w:p>
        </w:tc>
        <w:tc>
          <w:tcPr>
            <w:tcW w:w="140" w:type="dxa"/>
            <w:vAlign w:val="bottom"/>
          </w:tcPr>
          <w:p>
            <w:pPr>
              <w:spacing w:after="0"/>
              <w:rPr>
                <w:sz w:val="16"/>
                <w:szCs w:val="16"/>
                <w:color w:val="auto"/>
              </w:rPr>
            </w:pPr>
          </w:p>
        </w:tc>
        <w:tc>
          <w:tcPr>
            <w:tcW w:w="126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6"/>
              </w:rPr>
              <w:t xml:space="preserve">Other </w:t>
            </w:r>
            <w:r>
              <w:rPr>
                <w:rFonts w:ascii="Arial" w:cs="Arial" w:eastAsia="Arial" w:hAnsi="Arial"/>
                <w:sz w:val="21"/>
                <w:szCs w:val="21"/>
                <w:b w:val="1"/>
                <w:bCs w:val="1"/>
                <w:color w:val="auto"/>
                <w:w w:val="96"/>
                <w:vertAlign w:val="superscript"/>
              </w:rPr>
              <w:t>(a)</w:t>
            </w:r>
          </w:p>
        </w:tc>
        <w:tc>
          <w:tcPr>
            <w:tcW w:w="280" w:type="dxa"/>
            <w:vAlign w:val="bottom"/>
          </w:tcPr>
          <w:p>
            <w:pPr>
              <w:spacing w:after="0"/>
              <w:rPr>
                <w:sz w:val="16"/>
                <w:szCs w:val="16"/>
                <w:color w:val="auto"/>
              </w:rPr>
            </w:pPr>
          </w:p>
        </w:tc>
        <w:tc>
          <w:tcPr>
            <w:tcW w:w="1020" w:type="dxa"/>
            <w:vAlign w:val="bottom"/>
            <w:vMerge w:val="restart"/>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604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2024</w:t>
            </w:r>
          </w:p>
        </w:tc>
        <w:tc>
          <w:tcPr>
            <w:tcW w:w="180" w:type="dxa"/>
            <w:vAlign w:val="bottom"/>
          </w:tcPr>
          <w:p>
            <w:pPr>
              <w:spacing w:after="0"/>
              <w:rPr>
                <w:sz w:val="18"/>
                <w:szCs w:val="18"/>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Related</w:t>
            </w:r>
          </w:p>
        </w:tc>
        <w:tc>
          <w:tcPr>
            <w:tcW w:w="14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4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24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5920" w:type="dxa"/>
            <w:vAlign w:val="bottom"/>
          </w:tcPr>
          <w:p>
            <w:pPr>
              <w:spacing w:after="0"/>
              <w:rPr>
                <w:sz w:val="20"/>
                <w:szCs w:val="20"/>
                <w:color w:val="auto"/>
              </w:rPr>
            </w:pPr>
            <w:r>
              <w:rPr>
                <w:rFonts w:ascii="Arial" w:cs="Arial" w:eastAsia="Arial" w:hAnsi="Arial"/>
                <w:sz w:val="16"/>
                <w:szCs w:val="16"/>
                <w:color w:val="auto"/>
              </w:rPr>
              <w:t>Restructuring payments and utilization: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97"/>
        </w:trPr>
        <w:tc>
          <w:tcPr>
            <w:tcW w:w="604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Balance as of September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6"/>
                <w:szCs w:val="16"/>
                <w:color w:val="auto"/>
              </w:rPr>
              <w:t>________</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7"/>
        </w:trPr>
        <w:tc>
          <w:tcPr>
            <w:tcW w:w="604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120" w:type="dxa"/>
            <w:vAlign w:val="bottom"/>
          </w:tcPr>
          <w:p>
            <w:pPr>
              <w:spacing w:after="0"/>
              <w:rPr>
                <w:sz w:val="20"/>
                <w:szCs w:val="20"/>
                <w:color w:val="auto"/>
              </w:rPr>
            </w:pPr>
            <w:r>
              <w:rPr>
                <w:rFonts w:ascii="Arial" w:cs="Arial" w:eastAsia="Arial" w:hAnsi="Arial"/>
                <w:sz w:val="9"/>
                <w:szCs w:val="9"/>
                <w:color w:val="auto"/>
                <w:w w:val="90"/>
              </w:rPr>
              <w:t>(a)</w:t>
            </w:r>
          </w:p>
        </w:tc>
        <w:tc>
          <w:tcPr>
            <w:tcW w:w="5920" w:type="dxa"/>
            <w:vAlign w:val="bottom"/>
            <w:vMerge w:val="restart"/>
          </w:tcPr>
          <w:p>
            <w:pPr>
              <w:ind w:left="140"/>
              <w:spacing w:after="0"/>
              <w:rPr>
                <w:sz w:val="20"/>
                <w:szCs w:val="20"/>
                <w:color w:val="auto"/>
              </w:rPr>
            </w:pPr>
            <w:r>
              <w:rPr>
                <w:rFonts w:ascii="Arial" w:cs="Arial" w:eastAsia="Arial" w:hAnsi="Arial"/>
                <w:sz w:val="14"/>
                <w:szCs w:val="14"/>
                <w:color w:val="auto"/>
              </w:rPr>
              <w:t>Includes expenses primarily related to the disposition of vehicles.</w:t>
            </w: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20" w:type="dxa"/>
            <w:vAlign w:val="bottom"/>
          </w:tcPr>
          <w:p>
            <w:pPr>
              <w:spacing w:after="0"/>
              <w:rPr>
                <w:sz w:val="6"/>
                <w:szCs w:val="6"/>
                <w:color w:val="auto"/>
              </w:rPr>
            </w:pPr>
          </w:p>
        </w:tc>
        <w:tc>
          <w:tcPr>
            <w:tcW w:w="59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21"/>
        </w:trPr>
        <w:tc>
          <w:tcPr>
            <w:tcW w:w="6040" w:type="dxa"/>
            <w:vAlign w:val="bottom"/>
            <w:gridSpan w:val="2"/>
            <w:vMerge w:val="restart"/>
          </w:tcPr>
          <w:p>
            <w:pPr>
              <w:ind w:left="20"/>
              <w:spacing w:after="0"/>
              <w:rPr>
                <w:sz w:val="20"/>
                <w:szCs w:val="20"/>
                <w:color w:val="auto"/>
              </w:rPr>
            </w:pPr>
            <w:r>
              <w:rPr>
                <w:rFonts w:ascii="Arial" w:cs="Arial" w:eastAsia="Arial" w:hAnsi="Arial"/>
                <w:sz w:val="16"/>
                <w:szCs w:val="16"/>
                <w:color w:val="auto"/>
              </w:rPr>
              <w:t>Balance as of January 1, 2024</w:t>
            </w:r>
          </w:p>
        </w:tc>
        <w:tc>
          <w:tcPr>
            <w:tcW w:w="180" w:type="dxa"/>
            <w:vAlign w:val="bottom"/>
          </w:tcPr>
          <w:p>
            <w:pPr>
              <w:spacing w:after="0"/>
              <w:rPr>
                <w:sz w:val="24"/>
                <w:szCs w:val="24"/>
                <w:color w:val="auto"/>
              </w:rPr>
            </w:pPr>
          </w:p>
        </w:tc>
        <w:tc>
          <w:tcPr>
            <w:tcW w:w="124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Americas</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International</w:t>
            </w:r>
          </w:p>
        </w:tc>
        <w:tc>
          <w:tcPr>
            <w:tcW w:w="280" w:type="dxa"/>
            <w:vAlign w:val="bottom"/>
          </w:tcPr>
          <w:p>
            <w:pPr>
              <w:spacing w:after="0"/>
              <w:rPr>
                <w:sz w:val="24"/>
                <w:szCs w:val="24"/>
                <w:color w:val="auto"/>
              </w:rPr>
            </w:pPr>
          </w:p>
        </w:tc>
        <w:tc>
          <w:tcPr>
            <w:tcW w:w="1020" w:type="dxa"/>
            <w:vAlign w:val="bottom"/>
          </w:tcPr>
          <w:p>
            <w:pPr>
              <w:jc w:val="right"/>
              <w:ind w:right="3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08"/>
        </w:trPr>
        <w:tc>
          <w:tcPr>
            <w:tcW w:w="6040" w:type="dxa"/>
            <w:vAlign w:val="bottom"/>
            <w:gridSpan w:val="2"/>
            <w:vMerge w:val="continue"/>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6"/>
                <w:szCs w:val="16"/>
                <w:color w:val="auto"/>
              </w:rPr>
              <w:t>Restructuring expense: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2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10"/>
        </w:trPr>
        <w:tc>
          <w:tcPr>
            <w:tcW w:w="120" w:type="dxa"/>
            <w:vAlign w:val="bottom"/>
          </w:tcPr>
          <w:p>
            <w:pPr>
              <w:spacing w:after="0"/>
              <w:rPr>
                <w:sz w:val="24"/>
                <w:szCs w:val="24"/>
                <w:color w:val="auto"/>
              </w:rPr>
            </w:pPr>
          </w:p>
        </w:tc>
        <w:tc>
          <w:tcPr>
            <w:tcW w:w="5920" w:type="dxa"/>
            <w:vAlign w:val="bottom"/>
          </w:tcPr>
          <w:p>
            <w:pPr>
              <w:ind w:left="20"/>
              <w:spacing w:after="0"/>
              <w:rPr>
                <w:sz w:val="20"/>
                <w:szCs w:val="20"/>
                <w:color w:val="auto"/>
              </w:rPr>
            </w:pPr>
            <w:r>
              <w:rPr>
                <w:rFonts w:ascii="Arial" w:cs="Arial" w:eastAsia="Arial" w:hAnsi="Arial"/>
                <w:sz w:val="16"/>
                <w:szCs w:val="16"/>
                <w:color w:val="auto"/>
              </w:rPr>
              <w:t>Restructuring payments and utilization:</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Global Rightsizing</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920" w:type="dxa"/>
            <w:vAlign w:val="bottom"/>
          </w:tcPr>
          <w:p>
            <w:pPr>
              <w:ind w:left="100"/>
              <w:spacing w:after="0"/>
              <w:rPr>
                <w:sz w:val="20"/>
                <w:szCs w:val="20"/>
                <w:color w:val="auto"/>
              </w:rPr>
            </w:pPr>
            <w:r>
              <w:rPr>
                <w:rFonts w:ascii="Arial" w:cs="Arial" w:eastAsia="Arial" w:hAnsi="Arial"/>
                <w:sz w:val="16"/>
                <w:szCs w:val="16"/>
                <w:color w:val="auto"/>
              </w:rPr>
              <w:t>Cost Optimization</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96"/>
        </w:trPr>
        <w:tc>
          <w:tcPr>
            <w:tcW w:w="6040" w:type="dxa"/>
            <w:vAlign w:val="bottom"/>
            <w:gridSpan w:val="2"/>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0"/>
        </w:trPr>
        <w:tc>
          <w:tcPr>
            <w:tcW w:w="6040" w:type="dxa"/>
            <w:vAlign w:val="bottom"/>
            <w:gridSpan w:val="2"/>
          </w:tcPr>
          <w:p>
            <w:pPr>
              <w:ind w:left="20"/>
              <w:spacing w:after="0"/>
              <w:rPr>
                <w:sz w:val="20"/>
                <w:szCs w:val="20"/>
                <w:color w:val="auto"/>
              </w:rPr>
            </w:pPr>
            <w:r>
              <w:rPr>
                <w:rFonts w:ascii="Arial" w:cs="Arial" w:eastAsia="Arial" w:hAnsi="Arial"/>
                <w:sz w:val="16"/>
                <w:szCs w:val="16"/>
                <w:color w:val="auto"/>
              </w:rPr>
              <w:t>Balance as of September 30, 2024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6" w:name="page17"/>
    <w:bookmarkEnd w:id="16"/>
    <w:p>
      <w:pPr>
        <w:ind w:left="342" w:hanging="342"/>
        <w:spacing w:after="0"/>
        <w:tabs>
          <w:tab w:leader="none" w:pos="342"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254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2480" w:type="dxa"/>
            <w:vAlign w:val="bottom"/>
            <w:gridSpan w:val="6"/>
          </w:tcPr>
          <w:p>
            <w:pPr>
              <w:ind w:left="40"/>
              <w:spacing w:after="0"/>
              <w:rPr>
                <w:sz w:val="20"/>
                <w:szCs w:val="20"/>
                <w:color w:val="auto"/>
              </w:rPr>
            </w:pPr>
            <w:r>
              <w:rPr>
                <w:rFonts w:ascii="Arial" w:cs="Arial" w:eastAsia="Arial" w:hAnsi="Arial"/>
                <w:sz w:val="16"/>
                <w:szCs w:val="16"/>
                <w:b w:val="1"/>
                <w:bCs w:val="1"/>
                <w:color w:val="auto"/>
              </w:rPr>
              <w:t>Nine Months Ended September</w:t>
            </w:r>
          </w:p>
        </w:tc>
        <w:tc>
          <w:tcPr>
            <w:tcW w:w="0" w:type="dxa"/>
            <w:vAlign w:val="bottom"/>
          </w:tcPr>
          <w:p>
            <w:pPr>
              <w:spacing w:after="0"/>
              <w:rPr>
                <w:sz w:val="1"/>
                <w:szCs w:val="1"/>
                <w:color w:val="auto"/>
              </w:rPr>
            </w:pPr>
          </w:p>
        </w:tc>
      </w:tr>
      <w:tr>
        <w:trPr>
          <w:trHeight w:val="216"/>
        </w:trPr>
        <w:tc>
          <w:tcPr>
            <w:tcW w:w="5120" w:type="dxa"/>
            <w:vAlign w:val="bottom"/>
          </w:tcPr>
          <w:p>
            <w:pPr>
              <w:spacing w:after="0"/>
              <w:rPr>
                <w:sz w:val="18"/>
                <w:szCs w:val="18"/>
                <w:color w:val="auto"/>
              </w:rPr>
            </w:pPr>
          </w:p>
        </w:tc>
        <w:tc>
          <w:tcPr>
            <w:tcW w:w="254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w w:val="98"/>
              </w:rPr>
              <w:t>30,</w:t>
            </w: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vMerge w:val="restart"/>
          </w:tcPr>
          <w:p>
            <w:pPr>
              <w:spacing w:after="0"/>
              <w:rPr>
                <w:sz w:val="20"/>
                <w:szCs w:val="20"/>
                <w:color w:val="auto"/>
              </w:rPr>
            </w:pPr>
            <w:r>
              <w:rPr>
                <w:rFonts w:ascii="Arial" w:cs="Arial" w:eastAsia="Arial" w:hAnsi="Arial"/>
                <w:sz w:val="16"/>
                <w:szCs w:val="16"/>
                <w:color w:val="auto"/>
              </w:rPr>
              <w:t>Net income attributable to Avis Budget Group, Inc. for basic and diluted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42"/>
        </w:trPr>
        <w:tc>
          <w:tcPr>
            <w:tcW w:w="5120" w:type="dxa"/>
            <w:vAlign w:val="bottom"/>
            <w:vMerge w:val="continue"/>
          </w:tcPr>
          <w:p>
            <w:pPr>
              <w:spacing w:after="0"/>
              <w:rPr>
                <w:sz w:val="12"/>
                <w:szCs w:val="12"/>
                <w:color w:val="auto"/>
              </w:rPr>
            </w:pPr>
          </w:p>
        </w:tc>
        <w:tc>
          <w:tcPr>
            <w:tcW w:w="780" w:type="dxa"/>
            <w:vAlign w:val="bottom"/>
            <w:vMerge w:val="restart"/>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vMerge w:val="restart"/>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12"/>
                <w:szCs w:val="12"/>
                <w:color w:val="auto"/>
              </w:rPr>
            </w:pP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2"/>
                <w:szCs w:val="12"/>
                <w:color w:val="auto"/>
              </w:rPr>
            </w:pPr>
          </w:p>
        </w:tc>
        <w:tc>
          <w:tcPr>
            <w:tcW w:w="26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137</w:t>
            </w:r>
          </w:p>
        </w:tc>
        <w:tc>
          <w:tcPr>
            <w:tcW w:w="440" w:type="dxa"/>
            <w:vAlign w:val="bottom"/>
            <w:gridSpan w:val="3"/>
            <w:vMerge w:val="restart"/>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189"/>
        </w:trPr>
        <w:tc>
          <w:tcPr>
            <w:tcW w:w="5120" w:type="dxa"/>
            <w:vAlign w:val="bottom"/>
          </w:tcPr>
          <w:p>
            <w:pPr>
              <w:ind w:left="160"/>
              <w:spacing w:after="0"/>
              <w:rPr>
                <w:sz w:val="20"/>
                <w:szCs w:val="20"/>
                <w:color w:val="auto"/>
              </w:rPr>
            </w:pPr>
            <w:r>
              <w:rPr>
                <w:rFonts w:ascii="Arial" w:cs="Arial" w:eastAsia="Arial" w:hAnsi="Arial"/>
                <w:sz w:val="16"/>
                <w:szCs w:val="16"/>
                <w:color w:val="auto"/>
              </w:rPr>
              <w:t>EPS</w:t>
            </w:r>
          </w:p>
        </w:tc>
        <w:tc>
          <w:tcPr>
            <w:tcW w:w="7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440" w:type="dxa"/>
            <w:vAlign w:val="bottom"/>
            <w:gridSpan w:val="3"/>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5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9"/>
        </w:trPr>
        <w:tc>
          <w:tcPr>
            <w:tcW w:w="5120" w:type="dxa"/>
            <w:vAlign w:val="bottom"/>
          </w:tcPr>
          <w:p>
            <w:pPr>
              <w:spacing w:after="0"/>
              <w:rPr>
                <w:sz w:val="20"/>
                <w:szCs w:val="20"/>
                <w:color w:val="auto"/>
              </w:rPr>
            </w:pPr>
            <w:r>
              <w:rPr>
                <w:rFonts w:ascii="Arial" w:cs="Arial" w:eastAsia="Arial" w:hAnsi="Arial"/>
                <w:sz w:val="16"/>
                <w:szCs w:val="16"/>
                <w:color w:val="auto"/>
              </w:rPr>
              <w:t>Basic weighted average shares outstanding</w:t>
            </w:r>
          </w:p>
        </w:tc>
        <w:tc>
          <w:tcPr>
            <w:tcW w:w="7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w w:val="96"/>
              </w:rPr>
              <w:t>35.5</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36.9</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35.6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39.1</w:t>
            </w:r>
          </w:p>
        </w:tc>
        <w:tc>
          <w:tcPr>
            <w:tcW w:w="0" w:type="dxa"/>
            <w:vAlign w:val="bottom"/>
          </w:tcPr>
          <w:p>
            <w:pPr>
              <w:spacing w:after="0"/>
              <w:rPr>
                <w:sz w:val="1"/>
                <w:szCs w:val="1"/>
                <w:color w:val="auto"/>
              </w:rPr>
            </w:pPr>
          </w:p>
        </w:tc>
      </w:tr>
      <w:tr>
        <w:trPr>
          <w:trHeight w:val="218"/>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Non-vested stock </w:t>
            </w:r>
            <w:r>
              <w:rPr>
                <w:rFonts w:ascii="Arial" w:cs="Arial" w:eastAsia="Arial" w:hAnsi="Arial"/>
                <w:sz w:val="21"/>
                <w:szCs w:val="21"/>
                <w:color w:val="auto"/>
                <w:vertAlign w:val="superscript"/>
              </w:rPr>
              <w:t>(a)</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09"/>
        </w:trPr>
        <w:tc>
          <w:tcPr>
            <w:tcW w:w="5120" w:type="dxa"/>
            <w:vAlign w:val="bottom"/>
          </w:tcPr>
          <w:p>
            <w:pPr>
              <w:spacing w:after="0"/>
              <w:rPr>
                <w:sz w:val="20"/>
                <w:szCs w:val="20"/>
                <w:color w:val="auto"/>
              </w:rPr>
            </w:pPr>
            <w:r>
              <w:rPr>
                <w:rFonts w:ascii="Arial" w:cs="Arial" w:eastAsia="Arial" w:hAnsi="Arial"/>
                <w:sz w:val="16"/>
                <w:szCs w:val="16"/>
                <w:color w:val="auto"/>
              </w:rPr>
              <w:t>Diluted weighted average shares outstanding</w:t>
            </w:r>
          </w:p>
        </w:tc>
        <w:tc>
          <w:tcPr>
            <w:tcW w:w="7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35.7</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w:t>
            </w:r>
          </w:p>
        </w:tc>
        <w:tc>
          <w:tcPr>
            <w:tcW w:w="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39.5</w:t>
            </w:r>
          </w:p>
        </w:tc>
        <w:tc>
          <w:tcPr>
            <w:tcW w:w="0" w:type="dxa"/>
            <w:vAlign w:val="bottom"/>
          </w:tcPr>
          <w:p>
            <w:pPr>
              <w:spacing w:after="0"/>
              <w:rPr>
                <w:sz w:val="1"/>
                <w:szCs w:val="1"/>
                <w:color w:val="auto"/>
              </w:rPr>
            </w:pPr>
          </w:p>
        </w:tc>
      </w:tr>
      <w:tr>
        <w:trPr>
          <w:trHeight w:val="21"/>
        </w:trPr>
        <w:tc>
          <w:tcPr>
            <w:tcW w:w="5120" w:type="dxa"/>
            <w:vAlign w:val="bottom"/>
            <w:vMerge w:val="restart"/>
          </w:tcPr>
          <w:p>
            <w:pPr>
              <w:spacing w:after="0"/>
              <w:rPr>
                <w:sz w:val="20"/>
                <w:szCs w:val="20"/>
                <w:color w:val="auto"/>
              </w:rPr>
            </w:pPr>
            <w:r>
              <w:rPr>
                <w:rFonts w:ascii="Arial" w:cs="Arial" w:eastAsia="Arial" w:hAnsi="Arial"/>
                <w:sz w:val="16"/>
                <w:szCs w:val="16"/>
                <w:b w:val="1"/>
                <w:bCs w:val="1"/>
                <w:color w:val="auto"/>
              </w:rPr>
              <w:t>Earnings per share</w:t>
            </w: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30"/>
        </w:trPr>
        <w:tc>
          <w:tcPr>
            <w:tcW w:w="512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20" w:type="dxa"/>
            <w:vAlign w:val="bottom"/>
          </w:tcPr>
          <w:p>
            <w:pPr>
              <w:ind w:left="80"/>
              <w:spacing w:after="0"/>
              <w:rPr>
                <w:sz w:val="20"/>
                <w:szCs w:val="20"/>
                <w:color w:val="auto"/>
              </w:rPr>
            </w:pPr>
            <w:r>
              <w:rPr>
                <w:rFonts w:ascii="Arial" w:cs="Arial" w:eastAsia="Arial" w:hAnsi="Arial"/>
                <w:sz w:val="16"/>
                <w:szCs w:val="16"/>
                <w:color w:val="auto"/>
              </w:rPr>
              <w:t>Basic</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6.67</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16.96</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3.86</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35.11</w:t>
            </w:r>
          </w:p>
        </w:tc>
        <w:tc>
          <w:tcPr>
            <w:tcW w:w="0" w:type="dxa"/>
            <w:vAlign w:val="bottom"/>
          </w:tcPr>
          <w:p>
            <w:pPr>
              <w:spacing w:after="0"/>
              <w:rPr>
                <w:sz w:val="1"/>
                <w:szCs w:val="1"/>
                <w:color w:val="auto"/>
              </w:rPr>
            </w:pPr>
          </w:p>
        </w:tc>
      </w:tr>
      <w:tr>
        <w:trPr>
          <w:trHeight w:val="216"/>
        </w:trPr>
        <w:tc>
          <w:tcPr>
            <w:tcW w:w="5120" w:type="dxa"/>
            <w:vAlign w:val="bottom"/>
          </w:tcPr>
          <w:p>
            <w:pPr>
              <w:ind w:left="80"/>
              <w:spacing w:after="0"/>
              <w:rPr>
                <w:sz w:val="20"/>
                <w:szCs w:val="20"/>
                <w:color w:val="auto"/>
              </w:rPr>
            </w:pPr>
            <w:r>
              <w:rPr>
                <w:rFonts w:ascii="Arial" w:cs="Arial" w:eastAsia="Arial" w:hAnsi="Arial"/>
                <w:sz w:val="16"/>
                <w:szCs w:val="16"/>
                <w:color w:val="auto"/>
              </w:rPr>
              <w:t>Diluted</w:t>
            </w:r>
          </w:p>
        </w:tc>
        <w:tc>
          <w:tcPr>
            <w:tcW w:w="780" w:type="dxa"/>
            <w:vAlign w:val="bottom"/>
          </w:tcPr>
          <w:p>
            <w:pPr>
              <w:jc w:val="right"/>
              <w:ind w:right="59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w w:val="96"/>
              </w:rPr>
              <w:t>6.65</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16.78</w:t>
            </w:r>
          </w:p>
        </w:tc>
        <w:tc>
          <w:tcPr>
            <w:tcW w:w="8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3.84</w:t>
            </w:r>
          </w:p>
        </w:tc>
        <w:tc>
          <w:tcPr>
            <w:tcW w:w="44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34.71</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jc w:val="both"/>
        <w:ind w:left="762" w:hanging="326"/>
        <w:spacing w:after="0"/>
        <w:tabs>
          <w:tab w:leader="none" w:pos="719" w:val="left"/>
        </w:tabs>
        <w:numPr>
          <w:ilvl w:val="1"/>
          <w:numId w:val="17"/>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2024 and 2023, 0.2 million and an immaterial amount of non-vested stock awards, respectively, would have had an anti-dilutive effect and therefore were excluded from the computation of diluted weighted average shares outstanding. For the nine months ended September 30, 2024 and 2023, 0.2 million and 0.1 million non-vested stock awards, respectively, would have had an anti-dilutive effect and therefore were excluded from the computation of diluted weighted average shares outstanding.</w:t>
      </w:r>
    </w:p>
    <w:p>
      <w:pPr>
        <w:spacing w:after="0" w:line="260" w:lineRule="exact"/>
        <w:rPr>
          <w:rFonts w:ascii="Arial" w:cs="Arial" w:eastAsia="Arial" w:hAnsi="Arial"/>
          <w:sz w:val="19"/>
          <w:szCs w:val="19"/>
          <w:color w:val="auto"/>
          <w:vertAlign w:val="superscript"/>
        </w:rPr>
      </w:pPr>
    </w:p>
    <w:p>
      <w:pPr>
        <w:ind w:left="342" w:hanging="342"/>
        <w:spacing w:after="0"/>
        <w:tabs>
          <w:tab w:leader="none" w:pos="34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Other current assets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Sales and use taxes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292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192</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Prepaid expenses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239</w:t>
            </w:r>
          </w:p>
        </w:tc>
      </w:tr>
      <w:tr>
        <w:trPr>
          <w:trHeight w:val="217"/>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684</w:t>
            </w:r>
          </w:p>
        </w:tc>
      </w:tr>
      <w:tr>
        <w:trPr>
          <w:trHeight w:val="20"/>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
        <w:spacing w:after="0"/>
        <w:tabs>
          <w:tab w:leader="none" w:pos="322" w:val="left"/>
        </w:tabs>
        <w:rPr>
          <w:sz w:val="20"/>
          <w:szCs w:val="20"/>
          <w:color w:val="auto"/>
        </w:rPr>
      </w:pPr>
      <w:r>
        <w:rPr>
          <w:rFonts w:ascii="Arial" w:cs="Arial" w:eastAsia="Arial" w:hAnsi="Arial"/>
          <w:sz w:val="18"/>
          <w:szCs w:val="18"/>
          <w:b w:val="1"/>
          <w:bCs w:val="1"/>
          <w:color w:val="auto"/>
        </w:rPr>
        <w:t>6.</w:t>
        <w:tab/>
        <w:t>Intangible Assets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Intangible assets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27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September 30, 2024</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As of December 31, 2023</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rPr>
              <w:t>Gross</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Accumulated</w:t>
            </w:r>
          </w:p>
        </w:tc>
        <w:tc>
          <w:tcPr>
            <w:tcW w:w="14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w w:val="99"/>
              </w:rPr>
              <w:t>Gross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Accumulated</w:t>
            </w:r>
          </w:p>
        </w:tc>
        <w:tc>
          <w:tcPr>
            <w:tcW w:w="120" w:type="dxa"/>
            <w:vAlign w:val="bottom"/>
          </w:tcPr>
          <w:p>
            <w:pPr>
              <w:spacing w:after="0"/>
              <w:rPr>
                <w:sz w:val="13"/>
                <w:szCs w:val="13"/>
                <w:color w:val="auto"/>
              </w:rPr>
            </w:pPr>
          </w:p>
        </w:tc>
        <w:tc>
          <w:tcPr>
            <w:tcW w:w="800" w:type="dxa"/>
            <w:vAlign w:val="bottom"/>
          </w:tcPr>
          <w:p>
            <w:pPr>
              <w:jc w:val="center"/>
              <w:ind w:right="59"/>
              <w:spacing w:after="0" w:line="155" w:lineRule="exact"/>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79"/>
              <w:spacing w:after="0" w:line="162" w:lineRule="exact"/>
              <w:rPr>
                <w:sz w:val="20"/>
                <w:szCs w:val="20"/>
                <w:color w:val="auto"/>
              </w:rPr>
            </w:pPr>
            <w:r>
              <w:rPr>
                <w:rFonts w:ascii="Arial" w:cs="Arial" w:eastAsia="Arial" w:hAnsi="Arial"/>
                <w:sz w:val="16"/>
                <w:szCs w:val="16"/>
                <w:b w:val="1"/>
                <w:bCs w:val="1"/>
                <w:color w:val="auto"/>
              </w:rPr>
              <w:t>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rPr>
              <w:t>Carrying</w:t>
            </w:r>
          </w:p>
        </w:tc>
        <w:tc>
          <w:tcPr>
            <w:tcW w:w="160" w:type="dxa"/>
            <w:vAlign w:val="bottom"/>
          </w:tcPr>
          <w:p>
            <w:pPr>
              <w:spacing w:after="0"/>
              <w:rPr>
                <w:sz w:val="14"/>
                <w:szCs w:val="14"/>
                <w:color w:val="auto"/>
              </w:rPr>
            </w:pPr>
          </w:p>
        </w:tc>
        <w:tc>
          <w:tcPr>
            <w:tcW w:w="92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Carrying</w:t>
            </w:r>
          </w:p>
        </w:tc>
        <w:tc>
          <w:tcPr>
            <w:tcW w:w="0" w:type="dxa"/>
            <w:vAlign w:val="bottom"/>
          </w:tcPr>
          <w:p>
            <w:pPr>
              <w:spacing w:after="0"/>
              <w:rPr>
                <w:sz w:val="1"/>
                <w:szCs w:val="1"/>
                <w:color w:val="auto"/>
              </w:rPr>
            </w:pPr>
          </w:p>
        </w:tc>
      </w:tr>
      <w:tr>
        <w:trPr>
          <w:trHeight w:val="216"/>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Amortized Intangible Assets</w:t>
            </w:r>
          </w:p>
        </w:tc>
        <w:tc>
          <w:tcPr>
            <w:tcW w:w="160" w:type="dxa"/>
            <w:vAlign w:val="bottom"/>
          </w:tcPr>
          <w:p>
            <w:pPr>
              <w:spacing w:after="0"/>
              <w:rPr>
                <w:sz w:val="18"/>
                <w:szCs w:val="18"/>
                <w:color w:val="auto"/>
              </w:rPr>
            </w:pPr>
          </w:p>
        </w:tc>
        <w:tc>
          <w:tcPr>
            <w:tcW w:w="92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14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Amount</w:t>
            </w:r>
          </w:p>
        </w:tc>
        <w:tc>
          <w:tcPr>
            <w:tcW w:w="160" w:type="dxa"/>
            <w:vAlign w:val="bottom"/>
          </w:tcPr>
          <w:p>
            <w:pPr>
              <w:spacing w:after="0"/>
              <w:rPr>
                <w:sz w:val="18"/>
                <w:szCs w:val="18"/>
                <w:color w:val="auto"/>
              </w:rPr>
            </w:pPr>
          </w:p>
        </w:tc>
        <w:tc>
          <w:tcPr>
            <w:tcW w:w="920" w:type="dxa"/>
            <w:vAlign w:val="bottom"/>
          </w:tcPr>
          <w:p>
            <w:pPr>
              <w:jc w:val="center"/>
              <w:ind w:right="59"/>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6"/>
                <w:szCs w:val="16"/>
                <w:b w:val="1"/>
                <w:bCs w:val="1"/>
                <w:color w:val="auto"/>
              </w:rPr>
              <w:t>Amortization</w:t>
            </w:r>
          </w:p>
        </w:tc>
        <w:tc>
          <w:tcPr>
            <w:tcW w:w="120" w:type="dxa"/>
            <w:vAlign w:val="bottom"/>
          </w:tcPr>
          <w:p>
            <w:pPr>
              <w:spacing w:after="0"/>
              <w:rPr>
                <w:sz w:val="18"/>
                <w:szCs w:val="18"/>
                <w:color w:val="auto"/>
              </w:rPr>
            </w:pPr>
          </w:p>
        </w:tc>
        <w:tc>
          <w:tcPr>
            <w:tcW w:w="800" w:type="dxa"/>
            <w:vAlign w:val="bottom"/>
          </w:tcPr>
          <w:p>
            <w:pPr>
              <w:jc w:val="center"/>
              <w:ind w:right="39"/>
              <w:spacing w:after="0"/>
              <w:rPr>
                <w:sz w:val="20"/>
                <w:szCs w:val="20"/>
                <w:color w:val="auto"/>
              </w:rPr>
            </w:pPr>
            <w:r>
              <w:rPr>
                <w:rFonts w:ascii="Arial" w:cs="Arial" w:eastAsia="Arial" w:hAnsi="Arial"/>
                <w:sz w:val="16"/>
                <w:szCs w:val="16"/>
                <w:b w:val="1"/>
                <w:bCs w:val="1"/>
                <w:color w:val="auto"/>
                <w:w w:val="99"/>
              </w:rPr>
              <w:t>Amount</w:t>
            </w:r>
          </w:p>
        </w:tc>
        <w:tc>
          <w:tcPr>
            <w:tcW w:w="0" w:type="dxa"/>
            <w:vAlign w:val="bottom"/>
          </w:tcPr>
          <w:p>
            <w:pPr>
              <w:spacing w:after="0"/>
              <w:rPr>
                <w:sz w:val="1"/>
                <w:szCs w:val="1"/>
                <w:color w:val="auto"/>
              </w:rPr>
            </w:pPr>
          </w:p>
        </w:tc>
      </w:tr>
      <w:tr>
        <w:trPr>
          <w:trHeight w:val="194"/>
        </w:trPr>
        <w:tc>
          <w:tcPr>
            <w:tcW w:w="27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License agreements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317</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316</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16"/>
        </w:trPr>
        <w:tc>
          <w:tcPr>
            <w:tcW w:w="2780" w:type="dxa"/>
            <w:vAlign w:val="bottom"/>
          </w:tcPr>
          <w:p>
            <w:pPr>
              <w:spacing w:after="0"/>
              <w:rPr>
                <w:sz w:val="20"/>
                <w:szCs w:val="20"/>
                <w:color w:val="auto"/>
              </w:rPr>
            </w:pPr>
            <w:r>
              <w:rPr>
                <w:rFonts w:ascii="Arial" w:cs="Arial" w:eastAsia="Arial" w:hAnsi="Arial"/>
                <w:sz w:val="16"/>
                <w:szCs w:val="16"/>
                <w:color w:val="auto"/>
              </w:rPr>
              <w:t>Customer relationships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7"/>
        </w:trPr>
        <w:tc>
          <w:tcPr>
            <w:tcW w:w="2780" w:type="dxa"/>
            <w:vAlign w:val="bottom"/>
          </w:tcPr>
          <w:p>
            <w:pPr>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
        </w:trPr>
        <w:tc>
          <w:tcPr>
            <w:tcW w:w="2780" w:type="dxa"/>
            <w:vAlign w:val="bottom"/>
            <w:vMerge w:val="restart"/>
          </w:tcPr>
          <w:p>
            <w:pPr>
              <w:spacing w:after="0"/>
              <w:rPr>
                <w:sz w:val="20"/>
                <w:szCs w:val="20"/>
                <w:color w:val="auto"/>
              </w:rPr>
            </w:pPr>
            <w:r>
              <w:rPr>
                <w:rFonts w:ascii="Arial" w:cs="Arial" w:eastAsia="Arial" w:hAnsi="Arial"/>
                <w:sz w:val="16"/>
                <w:szCs w:val="16"/>
                <w:i w:val="1"/>
                <w:iCs w:val="1"/>
                <w:color w:val="auto"/>
              </w:rPr>
              <w:t>Unamortized Intangible Assets</w:t>
            </w: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27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1,109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1,099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780" w:type="dxa"/>
            <w:vAlign w:val="bottom"/>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780" w:type="dxa"/>
            <w:vAlign w:val="bottom"/>
          </w:tcPr>
          <w:p>
            <w:pPr>
              <w:spacing w:after="0"/>
              <w:rPr>
                <w:sz w:val="20"/>
                <w:szCs w:val="20"/>
                <w:color w:val="auto"/>
              </w:rPr>
            </w:pPr>
            <w:r>
              <w:rPr>
                <w:rFonts w:ascii="Arial" w:cs="Arial" w:eastAsia="Arial" w:hAnsi="Arial"/>
                <w:sz w:val="16"/>
                <w:szCs w:val="16"/>
                <w:color w:val="auto"/>
              </w:rPr>
              <w:t>Trademarks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7" w:name="page18"/>
    <w:bookmarkEnd w:id="17"/>
    <w:p>
      <w:pPr>
        <w:jc w:val="both"/>
        <w:ind w:left="442"/>
        <w:spacing w:after="0" w:line="268" w:lineRule="auto"/>
        <w:rPr>
          <w:sz w:val="20"/>
          <w:szCs w:val="20"/>
          <w:color w:val="auto"/>
        </w:rPr>
      </w:pPr>
      <w:r>
        <w:rPr>
          <w:rFonts w:ascii="Arial" w:cs="Arial" w:eastAsia="Arial" w:hAnsi="Arial"/>
          <w:sz w:val="18"/>
          <w:szCs w:val="18"/>
          <w:color w:val="auto"/>
        </w:rPr>
        <w:t>For the three months ended September 30, 2024 and 2023, amortization expense related to amortizable intangible assets was approximately $7 million and $6 million, respectively. For the nine months ended September 30, 2024 and 2023, amortization expense related to amortizable intangible assets was approximately $22 million and $20 million, respectively.</w:t>
      </w:r>
    </w:p>
    <w:p>
      <w:pPr>
        <w:spacing w:after="0" w:line="198"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Based on our amortizable intangible assets at September 30, 2024, we expect amortization expense of approximately $7 million for the remainder of 2024, $23 million for 2025, $22 million for 2026, $16 million for 2027, $9 million for 2028 and $7 million for 2029, excluding effects of currency exchange rates.</w:t>
      </w:r>
    </w:p>
    <w:p>
      <w:pPr>
        <w:spacing w:after="0" w:line="198" w:lineRule="exact"/>
        <w:rPr>
          <w:sz w:val="20"/>
          <w:szCs w:val="20"/>
          <w:color w:val="auto"/>
        </w:rPr>
      </w:pPr>
    </w:p>
    <w:p>
      <w:pPr>
        <w:ind w:left="342" w:hanging="342"/>
        <w:spacing w:after="0"/>
        <w:tabs>
          <w:tab w:leader="none" w:pos="34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vehicles, net within assets under vehicle programs are as follows:</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Rental vehicles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23,633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23,114</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Less: Accumulated depreciation</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w:t>
            </w:r>
          </w:p>
        </w:tc>
      </w:tr>
      <w:tr>
        <w:trPr>
          <w:trHeight w:val="209"/>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20,651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20,475</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Vehicles held for sale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734</w:t>
            </w:r>
          </w:p>
        </w:tc>
      </w:tr>
      <w:tr>
        <w:trPr>
          <w:trHeight w:val="218"/>
        </w:trPr>
        <w:tc>
          <w:tcPr>
            <w:tcW w:w="6780" w:type="dxa"/>
            <w:vAlign w:val="bottom"/>
          </w:tcPr>
          <w:p>
            <w:pPr>
              <w:spacing w:after="0" w:line="218" w:lineRule="exact"/>
              <w:rPr>
                <w:sz w:val="20"/>
                <w:szCs w:val="20"/>
                <w:color w:val="auto"/>
              </w:rPr>
            </w:pPr>
            <w:r>
              <w:rPr>
                <w:rFonts w:ascii="Arial" w:cs="Arial" w:eastAsia="Arial" w:hAnsi="Arial"/>
                <w:sz w:val="16"/>
                <w:szCs w:val="16"/>
                <w:color w:val="auto"/>
              </w:rPr>
              <w:t xml:space="preserve">Vehicles, net investment in lease </w:t>
            </w:r>
            <w:r>
              <w:rPr>
                <w:rFonts w:ascii="Arial" w:cs="Arial" w:eastAsia="Arial" w:hAnsi="Arial"/>
                <w:sz w:val="21"/>
                <w:szCs w:val="21"/>
                <w:color w:val="auto"/>
                <w:vertAlign w:val="superscript"/>
              </w:rPr>
              <w:t>(a)</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r>
      <w:tr>
        <w:trPr>
          <w:trHeight w:val="209"/>
        </w:trPr>
        <w:tc>
          <w:tcPr>
            <w:tcW w:w="6780" w:type="dxa"/>
            <w:vAlign w:val="bottom"/>
          </w:tcPr>
          <w:p>
            <w:pPr>
              <w:spacing w:after="0"/>
              <w:rPr>
                <w:sz w:val="20"/>
                <w:szCs w:val="20"/>
                <w:color w:val="auto"/>
              </w:rPr>
            </w:pPr>
            <w:r>
              <w:rPr>
                <w:rFonts w:ascii="Arial" w:cs="Arial" w:eastAsia="Arial" w:hAnsi="Arial"/>
                <w:sz w:val="16"/>
                <w:szCs w:val="16"/>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21,352</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21,240</w:t>
            </w:r>
          </w:p>
        </w:tc>
      </w:tr>
      <w:tr>
        <w:trPr>
          <w:trHeight w:val="21"/>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662" w:hanging="226"/>
        <w:spacing w:after="0"/>
        <w:tabs>
          <w:tab w:leader="none" w:pos="662"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See Note 14 – Related Party Transactions.</w:t>
      </w:r>
    </w:p>
    <w:p>
      <w:pPr>
        <w:spacing w:after="0" w:line="219"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Nine Months Ended</w:t>
            </w:r>
          </w:p>
        </w:tc>
        <w:tc>
          <w:tcPr>
            <w:tcW w:w="500" w:type="dxa"/>
            <w:vAlign w:val="bottom"/>
          </w:tcPr>
          <w:p>
            <w:pPr>
              <w:spacing w:after="0"/>
              <w:rPr>
                <w:sz w:val="16"/>
                <w:szCs w:val="16"/>
                <w:color w:val="auto"/>
              </w:rPr>
            </w:pPr>
          </w:p>
        </w:tc>
      </w:tr>
      <w:tr>
        <w:trPr>
          <w:trHeight w:val="216"/>
        </w:trPr>
        <w:tc>
          <w:tcPr>
            <w:tcW w:w="4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r>
      <w:tr>
        <w:trPr>
          <w:trHeight w:val="210"/>
        </w:trPr>
        <w:tc>
          <w:tcPr>
            <w:tcW w:w="426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r>
      <w:tr>
        <w:trPr>
          <w:trHeight w:val="208"/>
        </w:trPr>
        <w:tc>
          <w:tcPr>
            <w:tcW w:w="4260" w:type="dxa"/>
            <w:vAlign w:val="bottom"/>
          </w:tcPr>
          <w:p>
            <w:pPr>
              <w:spacing w:after="0"/>
              <w:rPr>
                <w:sz w:val="20"/>
                <w:szCs w:val="20"/>
                <w:color w:val="auto"/>
              </w:rPr>
            </w:pPr>
            <w:r>
              <w:rPr>
                <w:rFonts w:ascii="Arial" w:cs="Arial" w:eastAsia="Arial" w:hAnsi="Arial"/>
                <w:sz w:val="16"/>
                <w:szCs w:val="16"/>
                <w:color w:val="auto"/>
              </w:rPr>
              <w:t>Depreciation expense</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723</w:t>
            </w:r>
          </w:p>
        </w:tc>
        <w:tc>
          <w:tcPr>
            <w:tcW w:w="100" w:type="dxa"/>
            <w:vAlign w:val="bottom"/>
          </w:tcPr>
          <w:p>
            <w:pPr>
              <w:spacing w:after="0"/>
              <w:rPr>
                <w:sz w:val="18"/>
                <w:szCs w:val="18"/>
                <w:color w:val="auto"/>
              </w:rPr>
            </w:pPr>
          </w:p>
        </w:tc>
        <w:tc>
          <w:tcPr>
            <w:tcW w:w="920" w:type="dxa"/>
            <w:vAlign w:val="bottom"/>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1,940</w:t>
            </w:r>
          </w:p>
        </w:tc>
        <w:tc>
          <w:tcPr>
            <w:tcW w:w="100" w:type="dxa"/>
            <w:vAlign w:val="bottom"/>
          </w:tcPr>
          <w:p>
            <w:pPr>
              <w:spacing w:after="0"/>
              <w:rPr>
                <w:sz w:val="18"/>
                <w:szCs w:val="18"/>
                <w:color w:val="auto"/>
              </w:rPr>
            </w:pPr>
          </w:p>
        </w:tc>
        <w:tc>
          <w:tcPr>
            <w:tcW w:w="900" w:type="dxa"/>
            <w:vAlign w:val="bottom"/>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w w:val="99"/>
              </w:rPr>
              <w:t>1,631</w:t>
            </w:r>
          </w:p>
        </w:tc>
      </w:tr>
      <w:tr>
        <w:trPr>
          <w:trHeight w:val="215"/>
        </w:trPr>
        <w:tc>
          <w:tcPr>
            <w:tcW w:w="4260" w:type="dxa"/>
            <w:vAlign w:val="bottom"/>
          </w:tcPr>
          <w:p>
            <w:pPr>
              <w:spacing w:after="0"/>
              <w:rPr>
                <w:sz w:val="20"/>
                <w:szCs w:val="20"/>
                <w:color w:val="auto"/>
              </w:rPr>
            </w:pPr>
            <w:r>
              <w:rPr>
                <w:rFonts w:ascii="Arial" w:cs="Arial" w:eastAsia="Arial" w:hAnsi="Arial"/>
                <w:sz w:val="16"/>
                <w:szCs w:val="16"/>
                <w:color w:val="auto"/>
              </w:rPr>
              <w:t>Lease charges</w:t>
            </w: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7"/>
        </w:trPr>
        <w:tc>
          <w:tcPr>
            <w:tcW w:w="4260" w:type="dxa"/>
            <w:vAlign w:val="bottom"/>
          </w:tcPr>
          <w:p>
            <w:pPr>
              <w:spacing w:after="0"/>
              <w:rPr>
                <w:sz w:val="20"/>
                <w:szCs w:val="20"/>
                <w:color w:val="auto"/>
              </w:rPr>
            </w:pPr>
            <w:r>
              <w:rPr>
                <w:rFonts w:ascii="Arial" w:cs="Arial" w:eastAsia="Arial" w:hAnsi="Arial"/>
                <w:sz w:val="16"/>
                <w:szCs w:val="16"/>
                <w:color w:val="auto"/>
              </w:rPr>
              <w:t>(Gain) loss on sale of vehicles, net</w:t>
            </w: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0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r>
      <w:tr>
        <w:trPr>
          <w:trHeight w:val="210"/>
        </w:trPr>
        <w:tc>
          <w:tcPr>
            <w:tcW w:w="4260" w:type="dxa"/>
            <w:vAlign w:val="bottom"/>
          </w:tcPr>
          <w:p>
            <w:pPr>
              <w:spacing w:after="0"/>
              <w:rPr>
                <w:sz w:val="20"/>
                <w:szCs w:val="20"/>
                <w:color w:val="auto"/>
              </w:rPr>
            </w:pPr>
            <w:r>
              <w:rPr>
                <w:rFonts w:ascii="Arial" w:cs="Arial" w:eastAsia="Arial" w:hAnsi="Arial"/>
                <w:sz w:val="16"/>
                <w:szCs w:val="16"/>
                <w:color w:val="auto"/>
              </w:rPr>
              <w:t>Vehicle depreciation and lease charges, net</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1,157</w:t>
            </w:r>
          </w:p>
        </w:tc>
      </w:tr>
      <w:tr>
        <w:trPr>
          <w:trHeight w:val="21"/>
        </w:trPr>
        <w:tc>
          <w:tcPr>
            <w:tcW w:w="4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left="442"/>
        <w:spacing w:after="0" w:line="268" w:lineRule="auto"/>
        <w:rPr>
          <w:sz w:val="20"/>
          <w:szCs w:val="20"/>
          <w:color w:val="auto"/>
        </w:rPr>
      </w:pPr>
      <w:r>
        <w:rPr>
          <w:rFonts w:ascii="Arial" w:cs="Arial" w:eastAsia="Arial" w:hAnsi="Arial"/>
          <w:sz w:val="18"/>
          <w:szCs w:val="18"/>
          <w:color w:val="auto"/>
        </w:rPr>
        <w:t>At September 30, 2024 and 2023, we had payables related to vehicle purchases included in liabilities under vehicle programs - other of $152 million and $206 million, respectively, and receivables related to vehicle sales included in assets under vehicle programs - receivables from vehicle manufacturers and other of $284 million and $252 million, respectively.</w:t>
      </w:r>
    </w:p>
    <w:p>
      <w:pPr>
        <w:spacing w:after="0" w:line="198" w:lineRule="exact"/>
        <w:rPr>
          <w:sz w:val="20"/>
          <w:szCs w:val="20"/>
          <w:color w:val="auto"/>
        </w:rPr>
      </w:pPr>
    </w:p>
    <w:p>
      <w:pPr>
        <w:ind w:left="342" w:hanging="342"/>
        <w:spacing w:after="0"/>
        <w:tabs>
          <w:tab w:leader="none" w:pos="342"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52" w:lineRule="exact"/>
        <w:rPr>
          <w:sz w:val="20"/>
          <w:szCs w:val="20"/>
          <w:color w:val="auto"/>
        </w:rPr>
      </w:pPr>
    </w:p>
    <w:p>
      <w:pPr>
        <w:jc w:val="both"/>
        <w:ind w:left="442" w:right="20"/>
        <w:spacing w:after="0" w:line="287" w:lineRule="auto"/>
        <w:rPr>
          <w:sz w:val="20"/>
          <w:szCs w:val="20"/>
          <w:color w:val="auto"/>
        </w:rPr>
      </w:pPr>
      <w:r>
        <w:rPr>
          <w:rFonts w:ascii="Arial" w:cs="Arial" w:eastAsia="Arial" w:hAnsi="Arial"/>
          <w:sz w:val="18"/>
          <w:szCs w:val="18"/>
          <w:color w:val="auto"/>
        </w:rPr>
        <w:t>Our effective tax rate for the nine months ended September 30, 2024 was a provision of 34.6%. Such rate differed from the Federal Statutory rate of 21.0% primarily due to foreign taxes and U.S. taxes on our International operations.</w:t>
      </w:r>
    </w:p>
    <w:p>
      <w:pPr>
        <w:spacing w:after="0" w:line="180" w:lineRule="exact"/>
        <w:rPr>
          <w:sz w:val="20"/>
          <w:szCs w:val="20"/>
          <w:color w:val="auto"/>
        </w:rPr>
      </w:pPr>
    </w:p>
    <w:p>
      <w:pPr>
        <w:jc w:val="both"/>
        <w:ind w:left="442" w:right="20"/>
        <w:spacing w:after="0" w:line="261" w:lineRule="auto"/>
        <w:rPr>
          <w:sz w:val="20"/>
          <w:szCs w:val="20"/>
          <w:color w:val="auto"/>
        </w:rPr>
      </w:pPr>
      <w:r>
        <w:rPr>
          <w:rFonts w:ascii="Arial" w:cs="Arial" w:eastAsia="Arial" w:hAnsi="Arial"/>
          <w:sz w:val="18"/>
          <w:szCs w:val="18"/>
          <w:color w:val="auto"/>
        </w:rPr>
        <w:t>Our effective tax rate for the nine months ended September 30, 2023 was a provision of 21.5%. Such rate differed from the Federal Statutory rate of 21.0% primarily due to foreign taxes on our International operations and state taxes, partially offset by the effect of certain tax credits and favorable adjustments related to stock-based compensation.</w:t>
      </w:r>
    </w:p>
    <w:p>
      <w:pPr>
        <w:spacing w:after="0" w:line="189" w:lineRule="exact"/>
        <w:rPr>
          <w:sz w:val="20"/>
          <w:szCs w:val="20"/>
          <w:color w:val="auto"/>
        </w:rPr>
      </w:pPr>
    </w:p>
    <w:p>
      <w:pPr>
        <w:jc w:val="both"/>
        <w:ind w:left="442"/>
        <w:spacing w:after="0" w:line="251" w:lineRule="auto"/>
        <w:rPr>
          <w:sz w:val="20"/>
          <w:szCs w:val="20"/>
          <w:color w:val="auto"/>
        </w:rPr>
      </w:pPr>
      <w:r>
        <w:rPr>
          <w:rFonts w:ascii="Arial" w:cs="Arial" w:eastAsia="Arial" w:hAnsi="Arial"/>
          <w:sz w:val="18"/>
          <w:szCs w:val="18"/>
          <w:color w:val="auto"/>
        </w:rPr>
        <w:t>The Organisation for Economic Cooperation and Development (“OECD”) published a proposal for the establishment of a global minimum tax rate of 15% (the “Pillar Two rule”), effective for fiscal 2024. We are closely monitoring developments of the Pillar Two rule as the OECD continues to refine its technical guidance and member states implement tax laws and regulations based on Pillar Two proposals. Based on our preliminary analysis, we do not expect Pillar Two to have a material impact on our financial statements for 2024.</w:t>
      </w:r>
    </w:p>
    <w:p>
      <w:pPr>
        <w:spacing w:after="0" w:line="200" w:lineRule="exact"/>
        <w:rPr>
          <w:sz w:val="20"/>
          <w:szCs w:val="20"/>
          <w:color w:val="auto"/>
        </w:rPr>
      </w:pPr>
    </w:p>
    <w:p>
      <w:pPr>
        <w:spacing w:after="0" w:line="351"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8" w:name="page19"/>
    <w:bookmarkEnd w:id="18"/>
    <w:p>
      <w:pPr>
        <w:ind w:left="2"/>
        <w:spacing w:after="0"/>
        <w:tabs>
          <w:tab w:leader="none" w:pos="322" w:val="left"/>
        </w:tabs>
        <w:rPr>
          <w:sz w:val="20"/>
          <w:szCs w:val="20"/>
          <w:color w:val="auto"/>
        </w:rPr>
      </w:pPr>
      <w:r>
        <w:rPr>
          <w:rFonts w:ascii="Arial" w:cs="Arial" w:eastAsia="Arial" w:hAnsi="Arial"/>
          <w:sz w:val="18"/>
          <w:szCs w:val="18"/>
          <w:b w:val="1"/>
          <w:bCs w:val="1"/>
          <w:color w:val="auto"/>
        </w:rPr>
        <w:t>9.</w:t>
        <w:tab/>
        <w:t>Accounts Payable and Other Current Liabilities</w:t>
      </w:r>
    </w:p>
    <w:p>
      <w:pPr>
        <w:spacing w:after="0" w:line="252" w:lineRule="exact"/>
        <w:rPr>
          <w:sz w:val="20"/>
          <w:szCs w:val="20"/>
          <w:color w:val="auto"/>
        </w:rPr>
      </w:pPr>
    </w:p>
    <w:p>
      <w:pPr>
        <w:ind w:left="442"/>
        <w:spacing w:after="0"/>
        <w:rPr>
          <w:sz w:val="20"/>
          <w:szCs w:val="20"/>
          <w:color w:val="auto"/>
        </w:rPr>
      </w:pPr>
      <w:r>
        <w:rPr>
          <w:rFonts w:ascii="Arial" w:cs="Arial" w:eastAsia="Arial" w:hAnsi="Arial"/>
          <w:sz w:val="18"/>
          <w:szCs w:val="18"/>
          <w:color w:val="auto"/>
        </w:rPr>
        <w:t>Accounts payable and other current liabilities consisted of:</w:t>
      </w:r>
    </w:p>
    <w:p>
      <w:pPr>
        <w:spacing w:after="0" w:line="54"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8"/>
        </w:trPr>
        <w:tc>
          <w:tcPr>
            <w:tcW w:w="6780" w:type="dxa"/>
            <w:vAlign w:val="bottom"/>
          </w:tcPr>
          <w:p>
            <w:pPr>
              <w:spacing w:after="0"/>
              <w:rPr>
                <w:sz w:val="20"/>
                <w:szCs w:val="20"/>
                <w:color w:val="auto"/>
              </w:rPr>
            </w:pPr>
            <w:r>
              <w:rPr>
                <w:rFonts w:ascii="Arial" w:cs="Arial" w:eastAsia="Arial" w:hAnsi="Arial"/>
                <w:sz w:val="16"/>
                <w:szCs w:val="16"/>
                <w:color w:val="auto"/>
              </w:rPr>
              <w:t>Short-term operating lease liabilities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583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576</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516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487</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sales and use taxes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251</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advertising and marketing</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276</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Deferred lease revenues - current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168</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Public liability and property damage insurance liabilities – current</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180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181</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Accrued payroll and related</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188</w:t>
            </w:r>
          </w:p>
        </w:tc>
      </w:tr>
      <w:tr>
        <w:trPr>
          <w:trHeight w:val="217"/>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w:t>
            </w:r>
          </w:p>
        </w:tc>
      </w:tr>
      <w:tr>
        <w:trPr>
          <w:trHeight w:val="210"/>
        </w:trPr>
        <w:tc>
          <w:tcPr>
            <w:tcW w:w="6780" w:type="dxa"/>
            <w:vAlign w:val="bottom"/>
          </w:tcPr>
          <w:p>
            <w:pPr>
              <w:spacing w:after="0"/>
              <w:rPr>
                <w:sz w:val="20"/>
                <w:szCs w:val="20"/>
                <w:color w:val="auto"/>
              </w:rPr>
            </w:pPr>
            <w:r>
              <w:rPr>
                <w:rFonts w:ascii="Arial" w:cs="Arial" w:eastAsia="Arial" w:hAnsi="Arial"/>
                <w:sz w:val="16"/>
                <w:szCs w:val="16"/>
                <w:color w:val="auto"/>
              </w:rPr>
              <w:t>Accounts payable and other current liabilities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2,786</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2,627</w:t>
            </w:r>
          </w:p>
        </w:tc>
      </w:tr>
      <w:tr>
        <w:trPr>
          <w:trHeight w:val="21"/>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442" w:right="5300" w:hanging="442"/>
        <w:spacing w:after="0" w:line="417" w:lineRule="auto"/>
        <w:tabs>
          <w:tab w:leader="none" w:pos="436"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As of</w:t>
            </w:r>
          </w:p>
        </w:tc>
      </w:tr>
      <w:tr>
        <w:trPr>
          <w:trHeight w:val="216"/>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Maturity</w:t>
            </w: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20" w:type="dxa"/>
            <w:vAlign w:val="bottom"/>
          </w:tcPr>
          <w:p>
            <w:pPr>
              <w:jc w:val="center"/>
              <w:ind w:right="119"/>
              <w:spacing w:after="0"/>
              <w:rPr>
                <w:sz w:val="20"/>
                <w:szCs w:val="20"/>
                <w:color w:val="auto"/>
              </w:rPr>
            </w:pPr>
            <w:r>
              <w:rPr>
                <w:rFonts w:ascii="Arial" w:cs="Arial" w:eastAsia="Arial" w:hAnsi="Arial"/>
                <w:sz w:val="16"/>
                <w:szCs w:val="16"/>
                <w:b w:val="1"/>
                <w:bCs w:val="1"/>
                <w:color w:val="auto"/>
              </w:rPr>
              <w:t>December 31,</w:t>
            </w:r>
          </w:p>
        </w:tc>
      </w:tr>
      <w:tr>
        <w:trPr>
          <w:trHeight w:val="217"/>
        </w:trPr>
        <w:tc>
          <w:tcPr>
            <w:tcW w:w="512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Date</w:t>
            </w:r>
          </w:p>
        </w:tc>
        <w:tc>
          <w:tcPr>
            <w:tcW w:w="180" w:type="dxa"/>
            <w:vAlign w:val="bottom"/>
          </w:tcPr>
          <w:p>
            <w:pPr>
              <w:spacing w:after="0"/>
              <w:rPr>
                <w:sz w:val="18"/>
                <w:szCs w:val="18"/>
                <w:color w:val="auto"/>
              </w:rPr>
            </w:pPr>
          </w:p>
        </w:tc>
        <w:tc>
          <w:tcPr>
            <w:tcW w:w="1440" w:type="dxa"/>
            <w:vAlign w:val="bottom"/>
          </w:tcPr>
          <w:p>
            <w:pPr>
              <w:jc w:val="center"/>
              <w:ind w:right="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center"/>
              <w:ind w:right="139"/>
              <w:spacing w:after="0"/>
              <w:rPr>
                <w:sz w:val="20"/>
                <w:szCs w:val="20"/>
                <w:color w:val="auto"/>
              </w:rPr>
            </w:pPr>
            <w:r>
              <w:rPr>
                <w:rFonts w:ascii="Arial" w:cs="Arial" w:eastAsia="Arial" w:hAnsi="Arial"/>
                <w:sz w:val="16"/>
                <w:szCs w:val="16"/>
                <w:b w:val="1"/>
                <w:bCs w:val="1"/>
                <w:color w:val="auto"/>
              </w:rPr>
              <w:t>2023</w:t>
            </w:r>
          </w:p>
        </w:tc>
      </w:tr>
      <w:tr>
        <w:trPr>
          <w:trHeight w:val="208"/>
        </w:trPr>
        <w:tc>
          <w:tcPr>
            <w:tcW w:w="5120" w:type="dxa"/>
            <w:vAlign w:val="bottom"/>
          </w:tcPr>
          <w:p>
            <w:pPr>
              <w:spacing w:after="0"/>
              <w:rPr>
                <w:sz w:val="20"/>
                <w:szCs w:val="20"/>
                <w:color w:val="auto"/>
              </w:rPr>
            </w:pPr>
            <w:r>
              <w:rPr>
                <w:rFonts w:ascii="Arial" w:cs="Arial" w:eastAsia="Arial" w:hAnsi="Arial"/>
                <w:sz w:val="16"/>
                <w:szCs w:val="16"/>
                <w:color w:val="auto"/>
              </w:rPr>
              <w:t>4.750% euro-denominated Senior Notes</w:t>
            </w: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2026</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386</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5.750%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2027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736</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4.750%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7.000%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5.375%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600</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8.250%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January 2030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7.250% euro-denominated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July 2030</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441</w:t>
            </w:r>
          </w:p>
        </w:tc>
      </w:tr>
      <w:tr>
        <w:trPr>
          <w:trHeight w:val="216"/>
        </w:trPr>
        <w:tc>
          <w:tcPr>
            <w:tcW w:w="5120" w:type="dxa"/>
            <w:vAlign w:val="bottom"/>
          </w:tcPr>
          <w:p>
            <w:pPr>
              <w:spacing w:after="0"/>
              <w:rPr>
                <w:sz w:val="20"/>
                <w:szCs w:val="20"/>
                <w:color w:val="auto"/>
              </w:rPr>
            </w:pPr>
            <w:r>
              <w:rPr>
                <w:rFonts w:ascii="Arial" w:cs="Arial" w:eastAsia="Arial" w:hAnsi="Arial"/>
                <w:sz w:val="16"/>
                <w:szCs w:val="16"/>
                <w:color w:val="auto"/>
              </w:rPr>
              <w:t>8.000% Senior Notes</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2031</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217"/>
        </w:trPr>
        <w:tc>
          <w:tcPr>
            <w:tcW w:w="5120" w:type="dxa"/>
            <w:vAlign w:val="bottom"/>
          </w:tcPr>
          <w:p>
            <w:pPr>
              <w:spacing w:after="0" w:line="218"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August 2027</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1,164</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(b)</w:t>
            </w:r>
          </w:p>
        </w:tc>
        <w:tc>
          <w:tcPr>
            <w:tcW w:w="168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2029</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524</w:t>
            </w:r>
          </w:p>
        </w:tc>
      </w:tr>
      <w:tr>
        <w:trPr>
          <w:trHeight w:val="216"/>
        </w:trPr>
        <w:tc>
          <w:tcPr>
            <w:tcW w:w="5120" w:type="dxa"/>
            <w:vAlign w:val="bottom"/>
          </w:tcPr>
          <w:p>
            <w:pPr>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(c)</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Deferred financing fees</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r>
      <w:tr>
        <w:trPr>
          <w:trHeight w:val="210"/>
        </w:trPr>
        <w:tc>
          <w:tcPr>
            <w:tcW w:w="5120" w:type="dxa"/>
            <w:vAlign w:val="bottom"/>
          </w:tcPr>
          <w:p>
            <w:pPr>
              <w:spacing w:after="0"/>
              <w:rPr>
                <w:sz w:val="20"/>
                <w:szCs w:val="20"/>
                <w:color w:val="auto"/>
              </w:rPr>
            </w:pPr>
            <w:r>
              <w:rPr>
                <w:rFonts w:ascii="Arial" w:cs="Arial" w:eastAsia="Arial" w:hAnsi="Arial"/>
                <w:sz w:val="16"/>
                <w:szCs w:val="16"/>
                <w:color w:val="auto"/>
              </w:rPr>
              <w:t>Total</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6,005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4,823</w:t>
            </w:r>
          </w:p>
        </w:tc>
      </w:tr>
      <w:tr>
        <w:trPr>
          <w:trHeight w:val="215"/>
        </w:trPr>
        <w:tc>
          <w:tcPr>
            <w:tcW w:w="5120" w:type="dxa"/>
            <w:vAlign w:val="bottom"/>
          </w:tcPr>
          <w:p>
            <w:pPr>
              <w:spacing w:after="0"/>
              <w:rPr>
                <w:sz w:val="20"/>
                <w:szCs w:val="20"/>
                <w:color w:val="auto"/>
              </w:rPr>
            </w:pPr>
            <w:r>
              <w:rPr>
                <w:rFonts w:ascii="Arial" w:cs="Arial" w:eastAsia="Arial" w:hAnsi="Arial"/>
                <w:sz w:val="16"/>
                <w:szCs w:val="16"/>
                <w:color w:val="auto"/>
              </w:rPr>
              <w:t>Less: Short-term debt and current portion of 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r>
      <w:tr>
        <w:trPr>
          <w:trHeight w:val="211"/>
        </w:trPr>
        <w:tc>
          <w:tcPr>
            <w:tcW w:w="5120" w:type="dxa"/>
            <w:vAlign w:val="bottom"/>
          </w:tcPr>
          <w:p>
            <w:pPr>
              <w:spacing w:after="0"/>
              <w:rPr>
                <w:sz w:val="20"/>
                <w:szCs w:val="20"/>
                <w:color w:val="auto"/>
              </w:rPr>
            </w:pPr>
            <w:r>
              <w:rPr>
                <w:rFonts w:ascii="Arial" w:cs="Arial" w:eastAsia="Arial" w:hAnsi="Arial"/>
                <w:sz w:val="16"/>
                <w:szCs w:val="16"/>
                <w:color w:val="auto"/>
              </w:rPr>
              <w:t>Long-term debt</w:t>
            </w:r>
          </w:p>
        </w:tc>
        <w:tc>
          <w:tcPr>
            <w:tcW w:w="1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4,791</w:t>
            </w:r>
          </w:p>
        </w:tc>
      </w:tr>
      <w:tr>
        <w:trPr>
          <w:trHeight w:val="21"/>
        </w:trPr>
        <w:tc>
          <w:tcPr>
            <w:tcW w:w="5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jc w:val="both"/>
        <w:ind w:left="762" w:hanging="326"/>
        <w:spacing w:after="0" w:line="261" w:lineRule="auto"/>
        <w:tabs>
          <w:tab w:leader="none" w:pos="755" w:val="left"/>
        </w:tabs>
        <w:numPr>
          <w:ilvl w:val="0"/>
          <w:numId w:val="23"/>
        </w:numPr>
        <w:rPr>
          <w:rFonts w:ascii="Arial" w:cs="Arial" w:eastAsia="Arial" w:hAnsi="Arial"/>
          <w:sz w:val="9"/>
          <w:szCs w:val="9"/>
          <w:color w:val="auto"/>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September 30, 2024, the floating rate term loan due 2027 bears interest at one-month Secured Overnight Financing Rate (“SOFR”) plus 1.75%, for an aggregate rate of 6.71%. We have entered into a swap to hedge $750 million of interest rate exposure related to the floating rate term loan at an aggregate rate of 3.26%.</w:t>
      </w:r>
    </w:p>
    <w:p>
      <w:pPr>
        <w:spacing w:after="0" w:line="1" w:lineRule="exact"/>
        <w:rPr>
          <w:rFonts w:ascii="Arial" w:cs="Arial" w:eastAsia="Arial" w:hAnsi="Arial"/>
          <w:sz w:val="9"/>
          <w:szCs w:val="9"/>
          <w:color w:val="auto"/>
        </w:rPr>
      </w:pPr>
    </w:p>
    <w:p>
      <w:pPr>
        <w:jc w:val="both"/>
        <w:ind w:left="762" w:hanging="326"/>
        <w:spacing w:after="0" w:line="235" w:lineRule="auto"/>
        <w:tabs>
          <w:tab w:leader="none" w:pos="755"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The floating rate term loan is part of our senior revolving credit facility, which is secured by pledges of capital stock of certain of our subsidiaries, and liens on substantially all of our intellectual property and certain other real and personal property. As of September 30, 2024, the floating rate term loan due 2029 bears interest at one-month SOFR plus 3.00%, for an aggregate rate of 7.95%. In October 2024, the floating rate term loan due 2029 was fully repaid. See Note 18 – Subsequent Events.</w:t>
      </w:r>
    </w:p>
    <w:p>
      <w:pPr>
        <w:spacing w:after="0" w:line="1" w:lineRule="exact"/>
        <w:rPr>
          <w:rFonts w:ascii="Arial" w:cs="Arial" w:eastAsia="Arial" w:hAnsi="Arial"/>
          <w:sz w:val="19"/>
          <w:szCs w:val="19"/>
          <w:color w:val="auto"/>
          <w:vertAlign w:val="superscript"/>
        </w:rPr>
      </w:pPr>
    </w:p>
    <w:p>
      <w:pPr>
        <w:ind w:left="742" w:hanging="306"/>
        <w:spacing w:after="0" w:line="193" w:lineRule="auto"/>
        <w:tabs>
          <w:tab w:leader="none" w:pos="742"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Primarily includes finance leases, which are secured by liens on the 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19" w:name="page20"/>
    <w:bookmarkEnd w:id="19"/>
    <w:p>
      <w:pPr>
        <w:jc w:val="both"/>
        <w:ind w:left="6"/>
        <w:spacing w:after="0" w:line="268" w:lineRule="auto"/>
        <w:rPr>
          <w:sz w:val="20"/>
          <w:szCs w:val="20"/>
          <w:color w:val="auto"/>
        </w:rPr>
      </w:pPr>
      <w:r>
        <w:rPr>
          <w:rFonts w:ascii="Arial" w:cs="Arial" w:eastAsia="Arial" w:hAnsi="Arial"/>
          <w:sz w:val="18"/>
          <w:szCs w:val="18"/>
          <w:color w:val="auto"/>
        </w:rPr>
        <w:t>In February 2024, we issued €600 million of 7.000% euro-denominated Senior Notes due February 2029, at par, with interest payable semi-annually. In April 2024, we used the net proceeds from the offering to redeem all of our outstanding 4.750% euro-denominated Senior Notes due January 2026 plus accrued interest, with the remainder being used for general corporate purposes.</w:t>
      </w:r>
    </w:p>
    <w:p>
      <w:pPr>
        <w:spacing w:after="0" w:line="198" w:lineRule="exact"/>
        <w:rPr>
          <w:sz w:val="20"/>
          <w:szCs w:val="20"/>
          <w:color w:val="auto"/>
        </w:rPr>
      </w:pPr>
    </w:p>
    <w:p>
      <w:pPr>
        <w:jc w:val="both"/>
        <w:ind w:left="6" w:right="20"/>
        <w:spacing w:after="0" w:line="287" w:lineRule="auto"/>
        <w:rPr>
          <w:sz w:val="20"/>
          <w:szCs w:val="20"/>
          <w:color w:val="auto"/>
        </w:rPr>
      </w:pPr>
      <w:r>
        <w:rPr>
          <w:rFonts w:ascii="Arial" w:cs="Arial" w:eastAsia="Arial" w:hAnsi="Arial"/>
          <w:sz w:val="18"/>
          <w:szCs w:val="18"/>
          <w:color w:val="auto"/>
        </w:rPr>
        <w:t>In May 2024, we issued an additional €200 million of 7.250% euro-denominated Senior notes due July 2030, at 100.25% of their face value, with interest payable semi-annually.</w:t>
      </w:r>
    </w:p>
    <w:p>
      <w:pPr>
        <w:spacing w:after="0" w:line="180" w:lineRule="exact"/>
        <w:rPr>
          <w:sz w:val="20"/>
          <w:szCs w:val="20"/>
          <w:color w:val="auto"/>
        </w:rPr>
      </w:pPr>
    </w:p>
    <w:p>
      <w:pPr>
        <w:jc w:val="both"/>
        <w:ind w:left="6"/>
        <w:spacing w:after="0" w:line="268" w:lineRule="auto"/>
        <w:rPr>
          <w:sz w:val="20"/>
          <w:szCs w:val="20"/>
          <w:color w:val="auto"/>
        </w:rPr>
      </w:pPr>
      <w:r>
        <w:rPr>
          <w:rFonts w:ascii="Arial" w:cs="Arial" w:eastAsia="Arial" w:hAnsi="Arial"/>
          <w:sz w:val="18"/>
          <w:szCs w:val="18"/>
          <w:color w:val="auto"/>
        </w:rPr>
        <w:t>In September 2024, we issued $700 million of 8.250% Senior Notes due January 2030, at par, with interest payable semi-annually. Net proceeds from the offering will be used to repay all of the outstanding borrowings under our floating rate term loan due 2029, with the remainder being used for general corporate purposes.</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6"/>
        <w:spacing w:after="0"/>
        <w:rPr>
          <w:sz w:val="20"/>
          <w:szCs w:val="20"/>
          <w:color w:val="auto"/>
        </w:rPr>
      </w:pPr>
      <w:r>
        <w:rPr>
          <w:rFonts w:ascii="Arial" w:cs="Arial" w:eastAsia="Arial" w:hAnsi="Arial"/>
          <w:sz w:val="18"/>
          <w:szCs w:val="18"/>
          <w:color w:val="auto"/>
        </w:rPr>
        <w:t>As of September 30, 2024, the committed corporate credit facilities available to us and/or our subsidiaries were as follows:</w:t>
      </w:r>
    </w:p>
    <w:p>
      <w:pPr>
        <w:spacing w:after="0" w:line="33" w:lineRule="exact"/>
        <w:rPr>
          <w:sz w:val="20"/>
          <w:szCs w:val="20"/>
          <w:color w:val="auto"/>
        </w:rPr>
      </w:pPr>
    </w:p>
    <w:tbl>
      <w:tblPr>
        <w:tblLayout w:type="fixed"/>
        <w:tblInd w:w="6" w:type="dxa"/>
        <w:tblCellMar>
          <w:top w:w="0" w:type="dxa"/>
          <w:left w:w="0" w:type="dxa"/>
          <w:bottom w:w="0" w:type="dxa"/>
          <w:right w:w="0" w:type="dxa"/>
        </w:tblCellMar>
      </w:tblPr>
      <w:tr>
        <w:trPr>
          <w:trHeight w:val="184"/>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Total</w:t>
            </w:r>
          </w:p>
        </w:tc>
        <w:tc>
          <w:tcPr>
            <w:tcW w:w="180" w:type="dxa"/>
            <w:vAlign w:val="bottom"/>
          </w:tcPr>
          <w:p>
            <w:pPr>
              <w:spacing w:after="0"/>
              <w:rPr>
                <w:sz w:val="16"/>
                <w:szCs w:val="16"/>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w w:val="99"/>
              </w:rPr>
              <w:t>Outstanding</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Letters of</w:t>
            </w:r>
          </w:p>
        </w:tc>
        <w:tc>
          <w:tcPr>
            <w:tcW w:w="220" w:type="dxa"/>
            <w:vAlign w:val="bottom"/>
          </w:tcPr>
          <w:p>
            <w:pPr>
              <w:spacing w:after="0"/>
              <w:rPr>
                <w:sz w:val="16"/>
                <w:szCs w:val="16"/>
                <w:color w:val="auto"/>
              </w:rPr>
            </w:pPr>
          </w:p>
        </w:tc>
        <w:tc>
          <w:tcPr>
            <w:tcW w:w="1180" w:type="dxa"/>
            <w:vAlign w:val="bottom"/>
          </w:tcPr>
          <w:p>
            <w:pPr>
              <w:ind w:left="120"/>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Capacity</w:t>
            </w:r>
          </w:p>
        </w:tc>
        <w:tc>
          <w:tcPr>
            <w:tcW w:w="180" w:type="dxa"/>
            <w:vAlign w:val="bottom"/>
          </w:tcPr>
          <w:p>
            <w:pPr>
              <w:spacing w:after="0"/>
              <w:rPr>
                <w:sz w:val="18"/>
                <w:szCs w:val="18"/>
                <w:color w:val="auto"/>
              </w:rPr>
            </w:pPr>
          </w:p>
        </w:tc>
        <w:tc>
          <w:tcPr>
            <w:tcW w:w="1480" w:type="dxa"/>
            <w:vAlign w:val="bottom"/>
            <w:gridSpan w:val="3"/>
          </w:tcPr>
          <w:p>
            <w:pPr>
              <w:jc w:val="center"/>
              <w:ind w:right="339"/>
              <w:spacing w:after="0"/>
              <w:rPr>
                <w:sz w:val="20"/>
                <w:szCs w:val="20"/>
                <w:color w:val="auto"/>
              </w:rPr>
            </w:pPr>
            <w:r>
              <w:rPr>
                <w:rFonts w:ascii="Arial" w:cs="Arial" w:eastAsia="Arial" w:hAnsi="Arial"/>
                <w:sz w:val="16"/>
                <w:szCs w:val="16"/>
                <w:b w:val="1"/>
                <w:bCs w:val="1"/>
                <w:color w:val="auto"/>
              </w:rPr>
              <w:t>Borrowings</w:t>
            </w:r>
          </w:p>
        </w:tc>
        <w:tc>
          <w:tcPr>
            <w:tcW w:w="13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Credit Issued</w:t>
            </w:r>
          </w:p>
        </w:tc>
        <w:tc>
          <w:tcPr>
            <w:tcW w:w="220" w:type="dxa"/>
            <w:vAlign w:val="bottom"/>
          </w:tcPr>
          <w:p>
            <w:pPr>
              <w:spacing w:after="0"/>
              <w:rPr>
                <w:sz w:val="18"/>
                <w:szCs w:val="18"/>
                <w:color w:val="auto"/>
              </w:rPr>
            </w:pPr>
          </w:p>
        </w:tc>
        <w:tc>
          <w:tcPr>
            <w:tcW w:w="1180" w:type="dxa"/>
            <w:vAlign w:val="bottom"/>
          </w:tcPr>
          <w:p>
            <w:pPr>
              <w:ind w:left="140"/>
              <w:spacing w:after="0"/>
              <w:rPr>
                <w:sz w:val="20"/>
                <w:szCs w:val="20"/>
                <w:color w:val="auto"/>
              </w:rPr>
            </w:pPr>
            <w:r>
              <w:rPr>
                <w:rFonts w:ascii="Arial" w:cs="Arial" w:eastAsia="Arial" w:hAnsi="Arial"/>
                <w:sz w:val="16"/>
                <w:szCs w:val="16"/>
                <w:b w:val="1"/>
                <w:bCs w:val="1"/>
                <w:color w:val="auto"/>
              </w:rPr>
              <w:t>Capacity</w:t>
            </w:r>
          </w:p>
        </w:tc>
      </w:tr>
      <w:tr>
        <w:trPr>
          <w:trHeight w:val="278"/>
        </w:trPr>
        <w:tc>
          <w:tcPr>
            <w:tcW w:w="424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2028 </w:t>
            </w:r>
            <w:r>
              <w:rPr>
                <w:rFonts w:ascii="Arial" w:cs="Arial" w:eastAsia="Arial" w:hAnsi="Arial"/>
                <w:sz w:val="21"/>
                <w:szCs w:val="21"/>
                <w:color w:val="auto"/>
                <w:vertAlign w:val="superscript"/>
              </w:rPr>
              <w:t>(a)</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2,000</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ind w:left="10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24"/>
                <w:szCs w:val="24"/>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536</w:t>
            </w:r>
          </w:p>
        </w:tc>
      </w:tr>
      <w:tr>
        <w:trPr>
          <w:trHeight w:val="238"/>
        </w:trPr>
        <w:tc>
          <w:tcPr>
            <w:tcW w:w="4240" w:type="dxa"/>
            <w:vAlign w:val="bottom"/>
          </w:tcPr>
          <w:p>
            <w:pPr>
              <w:spacing w:after="0"/>
              <w:rPr>
                <w:sz w:val="20"/>
                <w:szCs w:val="20"/>
                <w:color w:val="auto"/>
              </w:rPr>
            </w:pPr>
            <w:r>
              <w:rPr>
                <w:rFonts w:ascii="Arial" w:cs="Arial" w:eastAsia="Arial" w:hAnsi="Arial"/>
                <w:sz w:val="16"/>
                <w:szCs w:val="16"/>
                <w:color w:val="auto"/>
              </w:rPr>
              <w:t>________</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jc w:val="both"/>
        <w:ind w:left="326" w:hanging="326"/>
        <w:spacing w:after="0" w:line="207" w:lineRule="auto"/>
        <w:tabs>
          <w:tab w:leader="none" w:pos="319"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The senior revolving credit facility bears interest at one-month SOFR plus 2.00% and is part of our senior credit facilities, which include the floating rate term loan and the senior revolving credit facility, and which are secured by pledges of capital stock of certain of our subsidiaries, liens on substantially all of our intellectual property and certain other real and personal property.</w:t>
      </w:r>
    </w:p>
    <w:p>
      <w:pPr>
        <w:spacing w:after="0" w:line="207" w:lineRule="exact"/>
        <w:rPr>
          <w:sz w:val="20"/>
          <w:szCs w:val="20"/>
          <w:color w:val="auto"/>
        </w:rPr>
      </w:pPr>
    </w:p>
    <w:p>
      <w:pPr>
        <w:jc w:val="both"/>
        <w:ind w:left="6"/>
        <w:spacing w:after="0" w:line="268" w:lineRule="auto"/>
        <w:rPr>
          <w:sz w:val="20"/>
          <w:szCs w:val="20"/>
          <w:color w:val="auto"/>
        </w:rPr>
      </w:pPr>
      <w:r>
        <w:rPr>
          <w:rFonts w:ascii="Arial" w:cs="Arial" w:eastAsia="Arial" w:hAnsi="Arial"/>
          <w:sz w:val="18"/>
          <w:szCs w:val="18"/>
          <w:color w:val="auto"/>
        </w:rPr>
        <w:t>As of September 30, 2024, we had other uncommitted standby letter of credit facilities (“SBLC facilities”) with an additional letter of credit capacity of up to $400 million. As of September 30, 2024, letters of credit totaling $288 million have been issued on our SBLC facilities.</w:t>
      </w:r>
    </w:p>
    <w:p>
      <w:pPr>
        <w:spacing w:after="0" w:line="200"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6"/>
        <w:spacing w:after="0" w:line="262" w:lineRule="auto"/>
        <w:rPr>
          <w:sz w:val="20"/>
          <w:szCs w:val="20"/>
          <w:color w:val="auto"/>
        </w:rPr>
      </w:pPr>
      <w:r>
        <w:rPr>
          <w:rFonts w:ascii="Arial" w:cs="Arial" w:eastAsia="Arial" w:hAnsi="Arial"/>
          <w:sz w:val="18"/>
          <w:szCs w:val="18"/>
          <w:color w:val="auto"/>
        </w:rPr>
        <w:t>The agreements governing our indebtedness contain restrictive covenants, including restrictions on dividends paid to us by certain of our subsidiaries, the incurrence of additional indebtedness and/or liens by us and certain of our subsidiaries, acquisitions, mergers, liquidations, and sale and leaseback transactions. Our senior credit facility also contains a maximum leverage ratio requirement. As of September 30, 2024, we were in compliance with the financial covenants governing our indebtedness.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0" w:name="page21"/>
    <w:bookmarkEnd w:id="20"/>
    <w:p>
      <w:pPr>
        <w:ind w:left="442" w:hanging="442"/>
        <w:spacing w:after="0"/>
        <w:tabs>
          <w:tab w:leader="none" w:pos="442"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52" w:lineRule="exact"/>
        <w:rPr>
          <w:rFonts w:ascii="Arial" w:cs="Arial" w:eastAsia="Arial" w:hAnsi="Arial"/>
          <w:sz w:val="18"/>
          <w:szCs w:val="18"/>
          <w:b w:val="1"/>
          <w:bCs w:val="1"/>
          <w:color w:val="auto"/>
        </w:rPr>
      </w:pPr>
    </w:p>
    <w:p>
      <w:pPr>
        <w:ind w:left="442"/>
        <w:spacing w:after="0" w:line="276"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As of</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9"/>
        </w:trPr>
        <w:tc>
          <w:tcPr>
            <w:tcW w:w="6780" w:type="dxa"/>
            <w:vAlign w:val="bottom"/>
          </w:tcPr>
          <w:p>
            <w:pPr>
              <w:spacing w:after="0" w:line="209" w:lineRule="exact"/>
              <w:rPr>
                <w:sz w:val="20"/>
                <w:szCs w:val="20"/>
                <w:color w:val="auto"/>
              </w:rPr>
            </w:pPr>
            <w:r>
              <w:rPr>
                <w:rFonts w:ascii="Arial" w:cs="Arial" w:eastAsia="Arial" w:hAnsi="Arial"/>
                <w:sz w:val="16"/>
                <w:szCs w:val="16"/>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Pr>
          <w:p>
            <w:pPr>
              <w:jc w:val="right"/>
              <w:spacing w:after="0"/>
              <w:rPr>
                <w:sz w:val="20"/>
                <w:szCs w:val="20"/>
                <w:color w:val="auto"/>
              </w:rPr>
            </w:pPr>
            <w:r>
              <w:rPr>
                <w:rFonts w:ascii="Arial" w:cs="Arial" w:eastAsia="Arial" w:hAnsi="Arial"/>
                <w:sz w:val="16"/>
                <w:szCs w:val="16"/>
                <w:color w:val="auto"/>
              </w:rPr>
              <w:t>13,903</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15,502</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Americas - Debt borrowings </w:t>
            </w:r>
            <w:r>
              <w:rPr>
                <w:rFonts w:ascii="Arial" w:cs="Arial" w:eastAsia="Arial" w:hAnsi="Arial"/>
                <w:sz w:val="21"/>
                <w:szCs w:val="21"/>
                <w:color w:val="auto"/>
                <w:vertAlign w:val="superscript"/>
              </w:rPr>
              <w:t>(b)</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1,213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1,075</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International - Debt borrowings </w:t>
            </w:r>
            <w:r>
              <w:rPr>
                <w:rFonts w:ascii="Arial" w:cs="Arial" w:eastAsia="Arial" w:hAnsi="Arial"/>
                <w:sz w:val="21"/>
                <w:szCs w:val="21"/>
                <w:color w:val="auto"/>
                <w:vertAlign w:val="superscript"/>
              </w:rPr>
              <w:t>(c)</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2,672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2,203</w:t>
            </w:r>
          </w:p>
        </w:tc>
      </w:tr>
      <w:tr>
        <w:trPr>
          <w:trHeight w:val="215"/>
        </w:trPr>
        <w:tc>
          <w:tcPr>
            <w:tcW w:w="678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6780" w:type="dxa"/>
            <w:vAlign w:val="bottom"/>
          </w:tcPr>
          <w:p>
            <w:pPr>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218"/>
        </w:trPr>
        <w:tc>
          <w:tcPr>
            <w:tcW w:w="6780" w:type="dxa"/>
            <w:vAlign w:val="bottom"/>
          </w:tcPr>
          <w:p>
            <w:pPr>
              <w:spacing w:after="0" w:line="218" w:lineRule="exact"/>
              <w:rPr>
                <w:sz w:val="20"/>
                <w:szCs w:val="20"/>
                <w:color w:val="auto"/>
              </w:rPr>
            </w:pPr>
            <w:r>
              <w:rPr>
                <w:rFonts w:ascii="Arial" w:cs="Arial" w:eastAsia="Arial" w:hAnsi="Arial"/>
                <w:sz w:val="16"/>
                <w:szCs w:val="16"/>
                <w:color w:val="auto"/>
              </w:rPr>
              <w:t xml:space="preserve">Deferred financing fees </w:t>
            </w:r>
            <w:r>
              <w:rPr>
                <w:rFonts w:ascii="Arial" w:cs="Arial" w:eastAsia="Arial" w:hAnsi="Arial"/>
                <w:sz w:val="21"/>
                <w:szCs w:val="21"/>
                <w:color w:val="auto"/>
                <w:vertAlign w:val="superscript"/>
              </w:rPr>
              <w:t>(d)</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09"/>
        </w:trPr>
        <w:tc>
          <w:tcPr>
            <w:tcW w:w="6780" w:type="dxa"/>
            <w:vAlign w:val="bottom"/>
          </w:tcPr>
          <w:p>
            <w:pPr>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17,893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18,937</w:t>
            </w:r>
          </w:p>
        </w:tc>
      </w:tr>
      <w:tr>
        <w:trPr>
          <w:trHeight w:val="21"/>
        </w:trPr>
        <w:tc>
          <w:tcPr>
            <w:tcW w:w="6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762" w:hanging="326"/>
        <w:spacing w:after="0"/>
        <w:tabs>
          <w:tab w:leader="none" w:pos="762" w:val="left"/>
        </w:tabs>
        <w:numPr>
          <w:ilvl w:val="0"/>
          <w:numId w:val="26"/>
        </w:numPr>
        <w:rPr>
          <w:rFonts w:ascii="Arial" w:cs="Arial" w:eastAsia="Arial" w:hAnsi="Arial"/>
          <w:sz w:val="9"/>
          <w:szCs w:val="9"/>
          <w:color w:val="auto"/>
        </w:rPr>
      </w:pPr>
      <w:r>
        <w:rPr>
          <w:rFonts w:ascii="Arial" w:cs="Arial" w:eastAsia="Arial" w:hAnsi="Arial"/>
          <w:sz w:val="14"/>
          <w:szCs w:val="14"/>
          <w:color w:val="auto"/>
        </w:rPr>
        <w:t>Includes approximately $726 million and $841 million of Class R notes as of September 30, 2024 and December 31, 2023, respectively, which are held by us.</w:t>
      </w:r>
    </w:p>
    <w:p>
      <w:pPr>
        <w:spacing w:after="0" w:line="14" w:lineRule="exact"/>
        <w:rPr>
          <w:rFonts w:ascii="Arial" w:cs="Arial" w:eastAsia="Arial" w:hAnsi="Arial"/>
          <w:sz w:val="9"/>
          <w:szCs w:val="9"/>
          <w:color w:val="auto"/>
        </w:rPr>
      </w:pPr>
    </w:p>
    <w:p>
      <w:pPr>
        <w:ind w:left="762" w:hanging="326"/>
        <w:spacing w:after="0" w:line="187" w:lineRule="auto"/>
        <w:tabs>
          <w:tab w:leader="none" w:pos="762" w:val="left"/>
        </w:tabs>
        <w:numPr>
          <w:ilvl w:val="0"/>
          <w:numId w:val="26"/>
        </w:numPr>
        <w:rPr>
          <w:rFonts w:ascii="Arial" w:cs="Arial" w:eastAsia="Arial" w:hAnsi="Arial"/>
          <w:sz w:val="18"/>
          <w:szCs w:val="18"/>
          <w:color w:val="auto"/>
          <w:vertAlign w:val="superscript"/>
        </w:rPr>
      </w:pPr>
      <w:r>
        <w:rPr>
          <w:rFonts w:ascii="Arial" w:cs="Arial" w:eastAsia="Arial" w:hAnsi="Arial"/>
          <w:sz w:val="14"/>
          <w:szCs w:val="14"/>
          <w:color w:val="auto"/>
        </w:rPr>
        <w:t>Includes our Repurchase Facility.</w:t>
      </w:r>
    </w:p>
    <w:p>
      <w:pPr>
        <w:ind w:left="762" w:hanging="326"/>
        <w:spacing w:after="0" w:line="204" w:lineRule="auto"/>
        <w:tabs>
          <w:tab w:leader="none" w:pos="749"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 February 2024, we amended our European rental fleet securitization program to increase its capacity to approximately €1.9 billion and extend the maturity of the program to September 2026. We also added £200 million to our capacity within the program.</w:t>
      </w:r>
    </w:p>
    <w:p>
      <w:pPr>
        <w:spacing w:after="0" w:line="1" w:lineRule="exact"/>
        <w:rPr>
          <w:rFonts w:ascii="Arial" w:cs="Arial" w:eastAsia="Arial" w:hAnsi="Arial"/>
          <w:sz w:val="19"/>
          <w:szCs w:val="19"/>
          <w:color w:val="auto"/>
          <w:vertAlign w:val="superscript"/>
        </w:rPr>
      </w:pPr>
    </w:p>
    <w:p>
      <w:pPr>
        <w:ind w:left="762" w:hanging="326"/>
        <w:spacing w:after="0" w:line="222" w:lineRule="auto"/>
        <w:tabs>
          <w:tab w:leader="none" w:pos="755"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Deferred financing fees related to Debt due to Avis Budget Rental Car Funding as of September 30, 2024 and December 31, 2023 were $66 million and $61 million, respectively.</w:t>
      </w:r>
    </w:p>
    <w:p>
      <w:pPr>
        <w:spacing w:after="0" w:line="206" w:lineRule="exact"/>
        <w:rPr>
          <w:sz w:val="20"/>
          <w:szCs w:val="20"/>
          <w:color w:val="auto"/>
        </w:rPr>
      </w:pPr>
    </w:p>
    <w:p>
      <w:pPr>
        <w:jc w:val="both"/>
        <w:ind w:left="442" w:right="20"/>
        <w:spacing w:after="0" w:line="276" w:lineRule="auto"/>
        <w:rPr>
          <w:sz w:val="20"/>
          <w:szCs w:val="20"/>
          <w:color w:val="auto"/>
        </w:rPr>
      </w:pPr>
      <w:r>
        <w:rPr>
          <w:rFonts w:ascii="Arial" w:cs="Arial" w:eastAsia="Arial" w:hAnsi="Arial"/>
          <w:sz w:val="18"/>
          <w:szCs w:val="18"/>
          <w:color w:val="auto"/>
        </w:rPr>
        <w:t>The following table provides a summary of debt issued by Avis Budget Rental Car Funding during the nine months ended September 30, 2024:</w:t>
      </w:r>
    </w:p>
    <w:tbl>
      <w:tblPr>
        <w:tblLayout w:type="fixed"/>
        <w:tblInd w:w="442" w:type="dxa"/>
        <w:tblCellMar>
          <w:top w:w="0" w:type="dxa"/>
          <w:left w:w="0" w:type="dxa"/>
          <w:bottom w:w="0" w:type="dxa"/>
          <w:right w:w="0" w:type="dxa"/>
        </w:tblCellMar>
      </w:tblPr>
      <w:tr>
        <w:trPr>
          <w:trHeight w:val="164"/>
        </w:trPr>
        <w:tc>
          <w:tcPr>
            <w:tcW w:w="2500" w:type="dxa"/>
            <w:vAlign w:val="bottom"/>
            <w:gridSpan w:val="2"/>
            <w:vMerge w:val="restart"/>
          </w:tcPr>
          <w:p>
            <w:pPr>
              <w:ind w:left="660"/>
              <w:spacing w:after="0"/>
              <w:rPr>
                <w:sz w:val="20"/>
                <w:szCs w:val="20"/>
                <w:color w:val="auto"/>
              </w:rPr>
            </w:pPr>
            <w:r>
              <w:rPr>
                <w:rFonts w:ascii="Arial" w:cs="Arial" w:eastAsia="Arial" w:hAnsi="Arial"/>
                <w:sz w:val="16"/>
                <w:szCs w:val="16"/>
                <w:b w:val="1"/>
                <w:bCs w:val="1"/>
                <w:color w:val="auto"/>
              </w:rPr>
              <w:t>Issuance Date</w:t>
            </w:r>
          </w:p>
        </w:tc>
        <w:tc>
          <w:tcPr>
            <w:tcW w:w="2520" w:type="dxa"/>
            <w:vAlign w:val="bottom"/>
            <w:gridSpan w:val="2"/>
            <w:vMerge w:val="restart"/>
          </w:tcPr>
          <w:p>
            <w:pPr>
              <w:ind w:left="700"/>
              <w:spacing w:after="0"/>
              <w:rPr>
                <w:sz w:val="20"/>
                <w:szCs w:val="20"/>
                <w:color w:val="auto"/>
              </w:rPr>
            </w:pPr>
            <w:r>
              <w:rPr>
                <w:rFonts w:ascii="Arial" w:cs="Arial" w:eastAsia="Arial" w:hAnsi="Arial"/>
                <w:sz w:val="16"/>
                <w:szCs w:val="16"/>
                <w:b w:val="1"/>
                <w:bCs w:val="1"/>
                <w:color w:val="auto"/>
              </w:rPr>
              <w:t>Maturity Date</w:t>
            </w:r>
          </w:p>
        </w:tc>
        <w:tc>
          <w:tcPr>
            <w:tcW w:w="2680" w:type="dxa"/>
            <w:vAlign w:val="bottom"/>
            <w:gridSpan w:val="2"/>
          </w:tcPr>
          <w:p>
            <w:pPr>
              <w:jc w:val="center"/>
              <w:ind w:right="80"/>
              <w:spacing w:after="0" w:line="164" w:lineRule="exact"/>
              <w:rPr>
                <w:sz w:val="20"/>
                <w:szCs w:val="20"/>
                <w:color w:val="auto"/>
              </w:rPr>
            </w:pPr>
            <w:r>
              <w:rPr>
                <w:rFonts w:ascii="Arial" w:cs="Arial" w:eastAsia="Arial" w:hAnsi="Arial"/>
                <w:sz w:val="16"/>
                <w:szCs w:val="16"/>
                <w:b w:val="1"/>
                <w:bCs w:val="1"/>
                <w:color w:val="auto"/>
              </w:rPr>
              <w:t>Weighted Average</w:t>
            </w:r>
          </w:p>
        </w:tc>
        <w:tc>
          <w:tcPr>
            <w:tcW w:w="520" w:type="dxa"/>
            <w:vAlign w:val="bottom"/>
          </w:tcPr>
          <w:p>
            <w:pPr>
              <w:spacing w:after="0"/>
              <w:rPr>
                <w:sz w:val="14"/>
                <w:szCs w:val="14"/>
                <w:color w:val="auto"/>
              </w:rPr>
            </w:pPr>
          </w:p>
        </w:tc>
        <w:tc>
          <w:tcPr>
            <w:tcW w:w="1940" w:type="dxa"/>
            <w:vAlign w:val="bottom"/>
          </w:tcPr>
          <w:p>
            <w:pPr>
              <w:jc w:val="right"/>
              <w:ind w:right="839"/>
              <w:spacing w:after="0" w:line="164" w:lineRule="exact"/>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16"/>
        </w:trPr>
        <w:tc>
          <w:tcPr>
            <w:tcW w:w="2500" w:type="dxa"/>
            <w:vAlign w:val="bottom"/>
            <w:gridSpan w:val="2"/>
            <w:vMerge w:val="continue"/>
          </w:tcPr>
          <w:p>
            <w:pPr>
              <w:spacing w:after="0"/>
              <w:rPr>
                <w:sz w:val="18"/>
                <w:szCs w:val="18"/>
                <w:color w:val="auto"/>
              </w:rPr>
            </w:pPr>
          </w:p>
        </w:tc>
        <w:tc>
          <w:tcPr>
            <w:tcW w:w="2520" w:type="dxa"/>
            <w:vAlign w:val="bottom"/>
            <w:gridSpan w:val="2"/>
            <w:vMerge w:val="continue"/>
          </w:tcPr>
          <w:p>
            <w:pPr>
              <w:spacing w:after="0"/>
              <w:rPr>
                <w:sz w:val="18"/>
                <w:szCs w:val="18"/>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Interest Rate</w:t>
            </w:r>
          </w:p>
        </w:tc>
        <w:tc>
          <w:tcPr>
            <w:tcW w:w="520" w:type="dxa"/>
            <w:vAlign w:val="bottom"/>
          </w:tcPr>
          <w:p>
            <w:pPr>
              <w:spacing w:after="0"/>
              <w:rPr>
                <w:sz w:val="18"/>
                <w:szCs w:val="18"/>
                <w:color w:val="auto"/>
              </w:rPr>
            </w:pPr>
          </w:p>
        </w:tc>
        <w:tc>
          <w:tcPr>
            <w:tcW w:w="1940" w:type="dxa"/>
            <w:vAlign w:val="bottom"/>
          </w:tcPr>
          <w:p>
            <w:pPr>
              <w:jc w:val="right"/>
              <w:ind w:right="899"/>
              <w:spacing w:after="0"/>
              <w:rPr>
                <w:sz w:val="20"/>
                <w:szCs w:val="20"/>
                <w:color w:val="auto"/>
              </w:rPr>
            </w:pPr>
            <w:r>
              <w:rPr>
                <w:rFonts w:ascii="Arial" w:cs="Arial" w:eastAsia="Arial" w:hAnsi="Arial"/>
                <w:sz w:val="16"/>
                <w:szCs w:val="16"/>
                <w:b w:val="1"/>
                <w:bCs w:val="1"/>
                <w:color w:val="auto"/>
              </w:rPr>
              <w:t>Issued</w:t>
            </w:r>
          </w:p>
        </w:tc>
        <w:tc>
          <w:tcPr>
            <w:tcW w:w="0" w:type="dxa"/>
            <w:vAlign w:val="bottom"/>
          </w:tcPr>
          <w:p>
            <w:pPr>
              <w:spacing w:after="0"/>
              <w:rPr>
                <w:sz w:val="1"/>
                <w:szCs w:val="1"/>
                <w:color w:val="auto"/>
              </w:rPr>
            </w:pPr>
          </w:p>
        </w:tc>
      </w:tr>
      <w:tr>
        <w:trPr>
          <w:trHeight w:val="208"/>
        </w:trPr>
        <w:tc>
          <w:tcPr>
            <w:tcW w:w="2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January 2024</w:t>
            </w:r>
          </w:p>
        </w:tc>
        <w:tc>
          <w:tcPr>
            <w:tcW w:w="80" w:type="dxa"/>
            <w:vAlign w:val="bottom"/>
          </w:tcPr>
          <w:p>
            <w:pPr>
              <w:spacing w:after="0"/>
              <w:rPr>
                <w:sz w:val="18"/>
                <w:szCs w:val="18"/>
                <w:color w:val="auto"/>
              </w:rPr>
            </w:pPr>
          </w:p>
        </w:tc>
        <w:tc>
          <w:tcPr>
            <w:tcW w:w="2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June 2029</w:t>
            </w:r>
          </w:p>
        </w:tc>
        <w:tc>
          <w:tcPr>
            <w:tcW w:w="80" w:type="dxa"/>
            <w:vAlign w:val="bottom"/>
          </w:tcPr>
          <w:p>
            <w:pPr>
              <w:spacing w:after="0"/>
              <w:rPr>
                <w:sz w:val="18"/>
                <w:szCs w:val="18"/>
                <w:color w:val="auto"/>
              </w:rPr>
            </w:pPr>
          </w:p>
        </w:tc>
        <w:tc>
          <w:tcPr>
            <w:tcW w:w="2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5.51 %</w:t>
            </w:r>
          </w:p>
        </w:tc>
        <w:tc>
          <w:tcPr>
            <w:tcW w:w="100" w:type="dxa"/>
            <w:vAlign w:val="bottom"/>
          </w:tcPr>
          <w:p>
            <w:pPr>
              <w:spacing w:after="0"/>
              <w:rPr>
                <w:sz w:val="18"/>
                <w:szCs w:val="18"/>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1,200</w:t>
            </w:r>
          </w:p>
        </w:tc>
        <w:tc>
          <w:tcPr>
            <w:tcW w:w="0" w:type="dxa"/>
            <w:vAlign w:val="bottom"/>
          </w:tcPr>
          <w:p>
            <w:pPr>
              <w:spacing w:after="0"/>
              <w:rPr>
                <w:sz w:val="1"/>
                <w:szCs w:val="1"/>
                <w:color w:val="auto"/>
              </w:rPr>
            </w:pPr>
          </w:p>
        </w:tc>
      </w:tr>
      <w:tr>
        <w:trPr>
          <w:trHeight w:val="215"/>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2026</w:t>
            </w:r>
          </w:p>
        </w:tc>
        <w:tc>
          <w:tcPr>
            <w:tcW w:w="2580" w:type="dxa"/>
            <w:vAlign w:val="bottom"/>
          </w:tcPr>
          <w:p>
            <w:pPr>
              <w:jc w:val="right"/>
              <w:spacing w:after="0"/>
              <w:rPr>
                <w:sz w:val="20"/>
                <w:szCs w:val="20"/>
                <w:color w:val="auto"/>
              </w:rPr>
            </w:pPr>
            <w:r>
              <w:rPr>
                <w:rFonts w:ascii="Arial" w:cs="Arial" w:eastAsia="Arial" w:hAnsi="Arial"/>
                <w:sz w:val="16"/>
                <w:szCs w:val="16"/>
                <w:color w:val="auto"/>
              </w:rPr>
              <w:t>6.24 %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2026</w:t>
            </w:r>
          </w:p>
        </w:tc>
        <w:tc>
          <w:tcPr>
            <w:tcW w:w="2580" w:type="dxa"/>
            <w:vAlign w:val="bottom"/>
          </w:tcPr>
          <w:p>
            <w:pPr>
              <w:jc w:val="right"/>
              <w:spacing w:after="0"/>
              <w:rPr>
                <w:sz w:val="20"/>
                <w:szCs w:val="20"/>
                <w:color w:val="auto"/>
              </w:rPr>
            </w:pPr>
            <w:r>
              <w:rPr>
                <w:rFonts w:ascii="Arial" w:cs="Arial" w:eastAsia="Arial" w:hAnsi="Arial"/>
                <w:sz w:val="16"/>
                <w:szCs w:val="16"/>
                <w:color w:val="auto"/>
              </w:rPr>
              <w:t>6.18 %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February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April 2028</w:t>
            </w:r>
          </w:p>
        </w:tc>
        <w:tc>
          <w:tcPr>
            <w:tcW w:w="2580" w:type="dxa"/>
            <w:vAlign w:val="bottom"/>
          </w:tcPr>
          <w:p>
            <w:pPr>
              <w:jc w:val="right"/>
              <w:spacing w:after="0"/>
              <w:rPr>
                <w:sz w:val="20"/>
                <w:szCs w:val="20"/>
                <w:color w:val="auto"/>
              </w:rPr>
            </w:pPr>
            <w:r>
              <w:rPr>
                <w:rFonts w:ascii="Arial" w:cs="Arial" w:eastAsia="Arial" w:hAnsi="Arial"/>
                <w:sz w:val="16"/>
                <w:szCs w:val="16"/>
                <w:color w:val="auto"/>
              </w:rPr>
              <w:t>6.23 %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52</w:t>
            </w:r>
          </w:p>
        </w:tc>
        <w:tc>
          <w:tcPr>
            <w:tcW w:w="0" w:type="dxa"/>
            <w:vAlign w:val="bottom"/>
          </w:tcPr>
          <w:p>
            <w:pPr>
              <w:spacing w:after="0"/>
              <w:rPr>
                <w:sz w:val="1"/>
                <w:szCs w:val="1"/>
                <w:color w:val="auto"/>
              </w:rPr>
            </w:pPr>
          </w:p>
        </w:tc>
      </w:tr>
      <w:tr>
        <w:trPr>
          <w:trHeight w:val="216"/>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October 2027</w:t>
            </w:r>
          </w:p>
        </w:tc>
        <w:tc>
          <w:tcPr>
            <w:tcW w:w="2580" w:type="dxa"/>
            <w:vAlign w:val="bottom"/>
          </w:tcPr>
          <w:p>
            <w:pPr>
              <w:jc w:val="right"/>
              <w:spacing w:after="0"/>
              <w:rPr>
                <w:sz w:val="20"/>
                <w:szCs w:val="20"/>
                <w:color w:val="auto"/>
              </w:rPr>
            </w:pPr>
            <w:r>
              <w:rPr>
                <w:rFonts w:ascii="Arial" w:cs="Arial" w:eastAsia="Arial" w:hAnsi="Arial"/>
                <w:sz w:val="16"/>
                <w:szCs w:val="16"/>
                <w:color w:val="auto"/>
              </w:rPr>
              <w:t>5.26 %</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17"/>
        </w:trPr>
        <w:tc>
          <w:tcPr>
            <w:tcW w:w="2500" w:type="dxa"/>
            <w:vAlign w:val="bottom"/>
            <w:gridSpan w:val="2"/>
          </w:tcPr>
          <w:p>
            <w:pPr>
              <w:jc w:val="right"/>
              <w:ind w:right="100"/>
              <w:spacing w:after="0"/>
              <w:rPr>
                <w:sz w:val="20"/>
                <w:szCs w:val="20"/>
                <w:color w:val="auto"/>
              </w:rPr>
            </w:pPr>
            <w:r>
              <w:rPr>
                <w:rFonts w:ascii="Arial" w:cs="Arial" w:eastAsia="Arial" w:hAnsi="Arial"/>
                <w:sz w:val="16"/>
                <w:szCs w:val="16"/>
                <w:color w:val="auto"/>
              </w:rPr>
              <w:t>March 2024</w:t>
            </w:r>
          </w:p>
        </w:tc>
        <w:tc>
          <w:tcPr>
            <w:tcW w:w="2520" w:type="dxa"/>
            <w:vAlign w:val="bottom"/>
            <w:gridSpan w:val="2"/>
          </w:tcPr>
          <w:p>
            <w:pPr>
              <w:jc w:val="right"/>
              <w:ind w:right="100"/>
              <w:spacing w:after="0"/>
              <w:rPr>
                <w:sz w:val="20"/>
                <w:szCs w:val="20"/>
                <w:color w:val="auto"/>
              </w:rPr>
            </w:pPr>
            <w:r>
              <w:rPr>
                <w:rFonts w:ascii="Arial" w:cs="Arial" w:eastAsia="Arial" w:hAnsi="Arial"/>
                <w:sz w:val="16"/>
                <w:szCs w:val="16"/>
                <w:color w:val="auto"/>
              </w:rPr>
              <w:t>December 2029</w:t>
            </w: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5.35 %</w:t>
            </w: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700</w:t>
            </w:r>
          </w:p>
        </w:tc>
        <w:tc>
          <w:tcPr>
            <w:tcW w:w="0" w:type="dxa"/>
            <w:vAlign w:val="bottom"/>
          </w:tcPr>
          <w:p>
            <w:pPr>
              <w:spacing w:after="0"/>
              <w:rPr>
                <w:sz w:val="1"/>
                <w:szCs w:val="1"/>
                <w:color w:val="auto"/>
              </w:rPr>
            </w:pPr>
          </w:p>
        </w:tc>
      </w:tr>
      <w:tr>
        <w:trPr>
          <w:trHeight w:val="210"/>
        </w:trPr>
        <w:tc>
          <w:tcPr>
            <w:tcW w:w="2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5.46 %</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2,442</w:t>
            </w:r>
          </w:p>
        </w:tc>
        <w:tc>
          <w:tcPr>
            <w:tcW w:w="0" w:type="dxa"/>
            <w:vAlign w:val="bottom"/>
          </w:tcPr>
          <w:p>
            <w:pPr>
              <w:spacing w:after="0"/>
              <w:rPr>
                <w:sz w:val="1"/>
                <w:szCs w:val="1"/>
                <w:color w:val="auto"/>
              </w:rPr>
            </w:pPr>
          </w:p>
        </w:tc>
      </w:tr>
      <w:tr>
        <w:trPr>
          <w:trHeight w:val="21"/>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left="442"/>
        <w:spacing w:after="0" w:line="257" w:lineRule="auto"/>
        <w:rPr>
          <w:sz w:val="20"/>
          <w:szCs w:val="20"/>
          <w:color w:val="auto"/>
        </w:rPr>
      </w:pPr>
      <w:r>
        <w:rPr>
          <w:rFonts w:ascii="Arial" w:cs="Arial" w:eastAsia="Arial" w:hAnsi="Arial"/>
          <w:sz w:val="18"/>
          <w:szCs w:val="18"/>
          <w:color w:val="auto"/>
        </w:rPr>
        <w:t>In September 2024, we entered into a repurchase agreement (the “Repurchase Facility”), whereby we may sell our Class D notes issued by Avis Budget Rental Car Funding to the Repurchase Facility counterparty and repurchase such notes. Transactions under the Repurchase Facility have a 180-day tenor. As of September 30, 2024, $ 116 million was outstanding under the Repurchase Facility, which bears interest at a rate of 6.64%. As of September 30, 2024, we had $195 million of securities pledged as collateral for the Repurchase Facility, included within investment in Avis Budget Rental Car Funding (AESOP) LLC—related party on our Consolidated Condensed Balance Sheets.</w:t>
      </w:r>
    </w:p>
    <w:p>
      <w:pPr>
        <w:spacing w:after="0" w:line="200" w:lineRule="exact"/>
        <w:rPr>
          <w:sz w:val="20"/>
          <w:szCs w:val="20"/>
          <w:color w:val="auto"/>
        </w:rPr>
      </w:pPr>
    </w:p>
    <w:p>
      <w:pPr>
        <w:spacing w:after="0" w:line="36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1" w:name="page22"/>
    <w:bookmarkEnd w:id="21"/>
    <w:p>
      <w:pPr>
        <w:ind w:left="6"/>
        <w:spacing w:after="0"/>
        <w:rPr>
          <w:sz w:val="20"/>
          <w:szCs w:val="20"/>
          <w:color w:val="auto"/>
        </w:rPr>
      </w:pPr>
      <w:r>
        <w:rPr>
          <w:rFonts w:ascii="Arial" w:cs="Arial" w:eastAsia="Arial" w:hAnsi="Arial"/>
          <w:sz w:val="18"/>
          <w:szCs w:val="18"/>
          <w:b w:val="1"/>
          <w:bCs w:val="1"/>
          <w:i w:val="1"/>
          <w:iCs w:val="1"/>
          <w:color w:val="auto"/>
        </w:rPr>
        <w:t>Debt Maturities</w:t>
      </w:r>
    </w:p>
    <w:p>
      <w:pPr>
        <w:spacing w:after="0" w:line="250" w:lineRule="exact"/>
        <w:rPr>
          <w:sz w:val="20"/>
          <w:szCs w:val="20"/>
          <w:color w:val="auto"/>
        </w:rPr>
      </w:pPr>
    </w:p>
    <w:p>
      <w:pPr>
        <w:ind w:left="6" w:right="20"/>
        <w:spacing w:after="0" w:line="276" w:lineRule="auto"/>
        <w:rPr>
          <w:sz w:val="20"/>
          <w:szCs w:val="20"/>
          <w:color w:val="auto"/>
        </w:rPr>
      </w:pPr>
      <w:r>
        <w:rPr>
          <w:rFonts w:ascii="Arial" w:cs="Arial" w:eastAsia="Arial" w:hAnsi="Arial"/>
          <w:sz w:val="18"/>
          <w:szCs w:val="18"/>
          <w:color w:val="auto"/>
        </w:rPr>
        <w:t>The following table provides the contractual maturities of our debt under vehicle programs, including related party debt due to Avis Budget Rental Car Funding, at September 30, 2024:</w:t>
      </w:r>
    </w:p>
    <w:p>
      <w:pPr>
        <w:sectPr>
          <w:pgSz w:w="11900" w:h="16838" w:orient="portrait"/>
          <w:cols w:equalWidth="0" w:num="1">
            <w:col w:w="10746"/>
          </w:cols>
          <w:pgMar w:left="814" w:top="933" w:right="339" w:bottom="1440" w:gutter="0" w:footer="0" w:header="0"/>
        </w:sectPr>
      </w:pPr>
    </w:p>
    <w:p>
      <w:pPr>
        <w:spacing w:after="0" w:line="381"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Within 1 year </w:t>
      </w:r>
      <w:r>
        <w:rPr>
          <w:rFonts w:ascii="Arial" w:cs="Arial" w:eastAsia="Arial" w:hAnsi="Arial"/>
          <w:sz w:val="21"/>
          <w:szCs w:val="21"/>
          <w:color w:val="auto"/>
          <w:vertAlign w:val="superscript"/>
        </w:rPr>
        <w:t>(b)</w:t>
      </w:r>
    </w:p>
    <w:p>
      <w:pPr>
        <w:ind w:left="26"/>
        <w:spacing w:after="0" w:line="214" w:lineRule="auto"/>
        <w:rPr>
          <w:sz w:val="20"/>
          <w:szCs w:val="20"/>
          <w:color w:val="auto"/>
        </w:rPr>
      </w:pPr>
      <w:r>
        <w:rPr>
          <w:rFonts w:ascii="Arial" w:cs="Arial" w:eastAsia="Arial" w:hAnsi="Arial"/>
          <w:sz w:val="16"/>
          <w:szCs w:val="16"/>
          <w:color w:val="auto"/>
        </w:rPr>
        <w:t xml:space="preserve">Between 1 and 2 years </w:t>
      </w:r>
      <w:r>
        <w:rPr>
          <w:rFonts w:ascii="Arial" w:cs="Arial" w:eastAsia="Arial" w:hAnsi="Arial"/>
          <w:sz w:val="21"/>
          <w:szCs w:val="21"/>
          <w:color w:val="auto"/>
          <w:vertAlign w:val="superscript"/>
        </w:rPr>
        <w:t>(c)</w:t>
      </w:r>
    </w:p>
    <w:p>
      <w:pPr>
        <w:spacing w:after="0" w:line="1"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Between 2 and 3 years </w:t>
      </w:r>
      <w:r>
        <w:rPr>
          <w:rFonts w:ascii="Arial" w:cs="Arial" w:eastAsia="Arial" w:hAnsi="Arial"/>
          <w:sz w:val="21"/>
          <w:szCs w:val="21"/>
          <w:color w:val="auto"/>
          <w:vertAlign w:val="superscript"/>
        </w:rPr>
        <w:t>(d)</w:t>
      </w:r>
    </w:p>
    <w:p>
      <w:pPr>
        <w:spacing w:after="0" w:line="15" w:lineRule="exact"/>
        <w:rPr>
          <w:sz w:val="20"/>
          <w:szCs w:val="20"/>
          <w:color w:val="auto"/>
        </w:rPr>
      </w:pPr>
    </w:p>
    <w:p>
      <w:pPr>
        <w:ind w:left="26"/>
        <w:spacing w:after="0"/>
        <w:rPr>
          <w:sz w:val="20"/>
          <w:szCs w:val="20"/>
          <w:color w:val="auto"/>
        </w:rPr>
      </w:pPr>
      <w:r>
        <w:rPr>
          <w:rFonts w:ascii="Arial" w:cs="Arial" w:eastAsia="Arial" w:hAnsi="Arial"/>
          <w:sz w:val="16"/>
          <w:szCs w:val="16"/>
          <w:color w:val="auto"/>
        </w:rPr>
        <w:t xml:space="preserve">Between 3 and 4 years </w:t>
      </w:r>
      <w:r>
        <w:rPr>
          <w:rFonts w:ascii="Arial" w:cs="Arial" w:eastAsia="Arial" w:hAnsi="Arial"/>
          <w:sz w:val="21"/>
          <w:szCs w:val="21"/>
          <w:color w:val="auto"/>
          <w:vertAlign w:val="superscript"/>
        </w:rPr>
        <w:t>(e)</w:t>
      </w:r>
    </w:p>
    <w:p>
      <w:pPr>
        <w:spacing w:after="0" w:line="18" w:lineRule="exact"/>
        <w:rPr>
          <w:sz w:val="20"/>
          <w:szCs w:val="20"/>
          <w:color w:val="auto"/>
        </w:rPr>
      </w:pPr>
    </w:p>
    <w:p>
      <w:pPr>
        <w:ind w:left="26"/>
        <w:spacing w:after="0"/>
        <w:rPr>
          <w:sz w:val="20"/>
          <w:szCs w:val="20"/>
          <w:color w:val="auto"/>
        </w:rPr>
      </w:pPr>
      <w:r>
        <w:rPr>
          <w:rFonts w:ascii="Arial" w:cs="Arial" w:eastAsia="Arial" w:hAnsi="Arial"/>
          <w:sz w:val="16"/>
          <w:szCs w:val="16"/>
          <w:color w:val="auto"/>
        </w:rPr>
        <w:t>Between 4 and 5 years</w:t>
      </w:r>
    </w:p>
    <w:p>
      <w:pPr>
        <w:spacing w:after="0" w:line="57" w:lineRule="exact"/>
        <w:rPr>
          <w:sz w:val="20"/>
          <w:szCs w:val="20"/>
          <w:color w:val="auto"/>
        </w:rPr>
      </w:pPr>
    </w:p>
    <w:p>
      <w:pPr>
        <w:ind w:left="26"/>
        <w:spacing w:after="0"/>
        <w:rPr>
          <w:sz w:val="20"/>
          <w:szCs w:val="20"/>
          <w:color w:val="auto"/>
        </w:rPr>
      </w:pPr>
      <w:r>
        <w:rPr>
          <w:rFonts w:ascii="Arial" w:cs="Arial" w:eastAsia="Arial" w:hAnsi="Arial"/>
          <w:sz w:val="16"/>
          <w:szCs w:val="16"/>
          <w:color w:val="auto"/>
        </w:rPr>
        <w:t>Thereafter</w:t>
      </w:r>
    </w:p>
    <w:p>
      <w:pPr>
        <w:spacing w:after="0" w:line="73" w:lineRule="exact"/>
        <w:rPr>
          <w:sz w:val="20"/>
          <w:szCs w:val="20"/>
          <w:color w:val="auto"/>
        </w:rPr>
      </w:pPr>
    </w:p>
    <w:p>
      <w:pPr>
        <w:ind w:left="26"/>
        <w:spacing w:after="0"/>
        <w:rPr>
          <w:sz w:val="20"/>
          <w:szCs w:val="20"/>
          <w:color w:val="auto"/>
        </w:rPr>
      </w:pPr>
      <w:r>
        <w:rPr>
          <w:rFonts w:ascii="Arial" w:cs="Arial" w:eastAsia="Arial" w:hAnsi="Arial"/>
          <w:sz w:val="16"/>
          <w:szCs w:val="16"/>
          <w:color w:val="auto"/>
        </w:rPr>
        <w:t>Total</w:t>
      </w:r>
    </w:p>
    <w:p>
      <w:pPr>
        <w:spacing w:after="0" w:line="140"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ind w:left="266" w:hanging="266"/>
        <w:spacing w:after="0" w:line="219" w:lineRule="auto"/>
        <w:tabs>
          <w:tab w:leader="none" w:pos="266"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Vehicle-backed debt primarily represents asset-backed securities.</w:t>
      </w:r>
    </w:p>
    <w:p>
      <w:pPr>
        <w:ind w:left="266" w:hanging="266"/>
        <w:spacing w:after="0" w:line="192" w:lineRule="auto"/>
        <w:tabs>
          <w:tab w:leader="none" w:pos="266"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$0.6 billion of bank and bank-sponsored facilities.</w:t>
      </w:r>
    </w:p>
    <w:p>
      <w:pPr>
        <w:ind w:left="266" w:hanging="266"/>
        <w:spacing w:after="0" w:line="187" w:lineRule="auto"/>
        <w:tabs>
          <w:tab w:leader="none" w:pos="266" w:val="left"/>
        </w:tabs>
        <w:numPr>
          <w:ilvl w:val="0"/>
          <w:numId w:val="27"/>
        </w:numPr>
        <w:rPr>
          <w:rFonts w:ascii="Arial" w:cs="Arial" w:eastAsia="Arial" w:hAnsi="Arial"/>
          <w:sz w:val="18"/>
          <w:szCs w:val="18"/>
          <w:color w:val="auto"/>
          <w:vertAlign w:val="superscript"/>
        </w:rPr>
      </w:pPr>
      <w:r>
        <w:rPr>
          <w:rFonts w:ascii="Arial" w:cs="Arial" w:eastAsia="Arial" w:hAnsi="Arial"/>
          <w:sz w:val="14"/>
          <w:szCs w:val="14"/>
          <w:color w:val="auto"/>
        </w:rPr>
        <w:t>Includes $1.6 billion of bank and bank-sponsored facilities.</w:t>
      </w:r>
    </w:p>
    <w:p>
      <w:pPr>
        <w:ind w:left="266" w:hanging="266"/>
        <w:spacing w:after="0"/>
        <w:tabs>
          <w:tab w:leader="none" w:pos="266"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$2.1 billion of bank and bank-sponsored facilities.</w:t>
      </w:r>
    </w:p>
    <w:p>
      <w:pPr>
        <w:spacing w:after="0" w:line="14" w:lineRule="exact"/>
        <w:rPr>
          <w:rFonts w:ascii="Arial" w:cs="Arial" w:eastAsia="Arial" w:hAnsi="Arial"/>
          <w:sz w:val="9"/>
          <w:szCs w:val="9"/>
          <w:color w:val="auto"/>
        </w:rPr>
      </w:pPr>
    </w:p>
    <w:p>
      <w:pPr>
        <w:ind w:left="266" w:hanging="266"/>
        <w:spacing w:after="0"/>
        <w:tabs>
          <w:tab w:leader="none" w:pos="266" w:val="left"/>
        </w:tabs>
        <w:numPr>
          <w:ilvl w:val="0"/>
          <w:numId w:val="27"/>
        </w:numPr>
        <w:rPr>
          <w:rFonts w:ascii="Arial" w:cs="Arial" w:eastAsia="Arial" w:hAnsi="Arial"/>
          <w:sz w:val="9"/>
          <w:szCs w:val="9"/>
          <w:color w:val="auto"/>
        </w:rPr>
      </w:pPr>
      <w:r>
        <w:rPr>
          <w:rFonts w:ascii="Arial" w:cs="Arial" w:eastAsia="Arial" w:hAnsi="Arial"/>
          <w:sz w:val="14"/>
          <w:szCs w:val="14"/>
          <w:color w:val="auto"/>
        </w:rPr>
        <w:t>Includes $0.1 billion of bank and bank-sponsored facilities.</w:t>
      </w:r>
    </w:p>
    <w:p>
      <w:pPr>
        <w:spacing w:after="0" w:line="20" w:lineRule="exact"/>
        <w:rPr>
          <w:sz w:val="20"/>
          <w:szCs w:val="20"/>
          <w:color w:val="auto"/>
        </w:rPr>
      </w:pPr>
      <w:r>
        <w:rPr>
          <w:sz w:val="20"/>
          <w:szCs w:val="20"/>
          <w:color w:val="auto"/>
        </w:rPr>
        <w:br w:type="column"/>
      </w:r>
    </w:p>
    <w:p>
      <w:pPr>
        <w:jc w:val="center"/>
        <w:ind w:right="604"/>
        <w:spacing w:after="0" w:line="230" w:lineRule="auto"/>
        <w:rPr>
          <w:sz w:val="20"/>
          <w:szCs w:val="20"/>
          <w:color w:val="auto"/>
        </w:rPr>
      </w:pPr>
      <w:r>
        <w:rPr>
          <w:rFonts w:ascii="Arial" w:cs="Arial" w:eastAsia="Arial" w:hAnsi="Arial"/>
          <w:sz w:val="16"/>
          <w:szCs w:val="16"/>
          <w:b w:val="1"/>
          <w:bCs w:val="1"/>
          <w:color w:val="auto"/>
        </w:rPr>
        <w:t>Debt under Vehicle</w:t>
      </w:r>
    </w:p>
    <w:p>
      <w:pPr>
        <w:jc w:val="center"/>
        <w:ind w:right="604"/>
        <w:spacing w:after="0" w:line="230" w:lineRule="auto"/>
        <w:rPr>
          <w:sz w:val="20"/>
          <w:szCs w:val="20"/>
          <w:color w:val="auto"/>
        </w:rPr>
      </w:pPr>
      <w:r>
        <w:rPr>
          <w:rFonts w:ascii="Arial" w:cs="Arial" w:eastAsia="Arial" w:hAnsi="Arial"/>
          <w:sz w:val="16"/>
          <w:szCs w:val="16"/>
          <w:b w:val="1"/>
          <w:bCs w:val="1"/>
          <w:color w:val="auto"/>
        </w:rPr>
        <w:t xml:space="preserve">Programs </w:t>
      </w:r>
      <w:r>
        <w:rPr>
          <w:rFonts w:ascii="Arial" w:cs="Arial" w:eastAsia="Arial" w:hAnsi="Arial"/>
          <w:sz w:val="21"/>
          <w:szCs w:val="21"/>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-17145</wp:posOffset>
            </wp:positionV>
            <wp:extent cx="10369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ind w:left="1136" w:hanging="1136"/>
        <w:spacing w:after="0"/>
        <w:tabs>
          <w:tab w:leader="none" w:pos="1136" w:val="left"/>
        </w:tabs>
        <w:numPr>
          <w:ilvl w:val="0"/>
          <w:numId w:val="28"/>
        </w:numPr>
        <w:rPr>
          <w:rFonts w:ascii="Arial" w:cs="Arial" w:eastAsia="Arial" w:hAnsi="Arial"/>
          <w:sz w:val="15"/>
          <w:szCs w:val="15"/>
          <w:color w:val="auto"/>
        </w:rPr>
      </w:pPr>
      <w:r>
        <w:rPr>
          <w:rFonts w:ascii="Arial" w:cs="Arial" w:eastAsia="Arial" w:hAnsi="Arial"/>
          <w:sz w:val="15"/>
          <w:szCs w:val="15"/>
          <w:color w:val="auto"/>
        </w:rPr>
        <w:t>2,606</w:t>
      </w:r>
    </w:p>
    <w:p>
      <w:pPr>
        <w:spacing w:after="0" w:line="27"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4,546</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5,666</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2,199</w:t>
      </w:r>
    </w:p>
    <w:p>
      <w:pPr>
        <w:spacing w:after="0" w:line="84" w:lineRule="exact"/>
        <w:rPr>
          <w:rFonts w:ascii="Arial" w:cs="Arial" w:eastAsia="Arial" w:hAnsi="Arial"/>
          <w:sz w:val="15"/>
          <w:szCs w:val="15"/>
          <w:color w:val="auto"/>
        </w:rPr>
      </w:pPr>
    </w:p>
    <w:p>
      <w:pPr>
        <w:ind w:left="1136"/>
        <w:spacing w:after="0"/>
        <w:rPr>
          <w:rFonts w:ascii="Arial" w:cs="Arial" w:eastAsia="Arial" w:hAnsi="Arial"/>
          <w:sz w:val="15"/>
          <w:szCs w:val="15"/>
          <w:color w:val="auto"/>
        </w:rPr>
      </w:pPr>
      <w:r>
        <w:rPr>
          <w:rFonts w:ascii="Arial" w:cs="Arial" w:eastAsia="Arial" w:hAnsi="Arial"/>
          <w:sz w:val="15"/>
          <w:szCs w:val="15"/>
          <w:color w:val="auto"/>
        </w:rPr>
        <w:t>2,533</w:t>
      </w:r>
    </w:p>
    <w:p>
      <w:pPr>
        <w:spacing w:after="0" w:line="43" w:lineRule="exact"/>
        <w:rPr>
          <w:rFonts w:ascii="Arial" w:cs="Arial" w:eastAsia="Arial" w:hAnsi="Arial"/>
          <w:sz w:val="15"/>
          <w:szCs w:val="15"/>
          <w:color w:val="auto"/>
        </w:rPr>
      </w:pPr>
    </w:p>
    <w:p>
      <w:pPr>
        <w:ind w:left="1276"/>
        <w:spacing w:after="0"/>
        <w:rPr>
          <w:rFonts w:ascii="Arial" w:cs="Arial" w:eastAsia="Arial" w:hAnsi="Arial"/>
          <w:sz w:val="15"/>
          <w:szCs w:val="15"/>
          <w:color w:val="auto"/>
        </w:rPr>
      </w:pPr>
      <w:r>
        <w:rPr>
          <w:rFonts w:ascii="Arial" w:cs="Arial" w:eastAsia="Arial" w:hAnsi="Arial"/>
          <w:sz w:val="15"/>
          <w:szCs w:val="15"/>
          <w:color w:val="auto"/>
        </w:rPr>
        <w:t>427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37" w:lineRule="exact"/>
        <w:rPr>
          <w:sz w:val="20"/>
          <w:szCs w:val="20"/>
          <w:color w:val="auto"/>
        </w:rPr>
      </w:pPr>
    </w:p>
    <w:p>
      <w:pPr>
        <w:ind w:left="1056" w:hanging="1056"/>
        <w:spacing w:after="0"/>
        <w:tabs>
          <w:tab w:leader="none" w:pos="1056" w:val="left"/>
        </w:tabs>
        <w:numPr>
          <w:ilvl w:val="0"/>
          <w:numId w:val="29"/>
        </w:numPr>
        <w:rPr>
          <w:rFonts w:ascii="Arial" w:cs="Arial" w:eastAsia="Arial" w:hAnsi="Arial"/>
          <w:sz w:val="15"/>
          <w:szCs w:val="15"/>
          <w:color w:val="auto"/>
        </w:rPr>
      </w:pPr>
      <w:r>
        <w:rPr>
          <w:rFonts w:ascii="Arial" w:cs="Arial" w:eastAsia="Arial" w:hAnsi="Arial"/>
          <w:sz w:val="15"/>
          <w:szCs w:val="15"/>
          <w:color w:val="auto"/>
        </w:rPr>
        <w:t>17,977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27940</wp:posOffset>
            </wp:positionV>
            <wp:extent cx="10369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53975</wp:posOffset>
            </wp:positionV>
            <wp:extent cx="10369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1435" w:lineRule="exact"/>
        <w:rPr>
          <w:sz w:val="20"/>
          <w:szCs w:val="20"/>
          <w:color w:val="auto"/>
        </w:rPr>
      </w:pPr>
    </w:p>
    <w:p>
      <w:pPr>
        <w:sectPr>
          <w:pgSz w:w="11900" w:h="16838" w:orient="portrait"/>
          <w:cols w:equalWidth="0" w:num="2">
            <w:col w:w="7830" w:space="720"/>
            <w:col w:w="2196"/>
          </w:cols>
          <w:pgMar w:left="814" w:top="933" w:right="339" w:bottom="1440" w:gutter="0" w:footer="0" w:header="0"/>
          <w:type w:val="continuous"/>
        </w:sectPr>
      </w:pPr>
    </w:p>
    <w:p>
      <w:pPr>
        <w:spacing w:after="0" w:line="36"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50" w:lineRule="exact"/>
        <w:rPr>
          <w:sz w:val="20"/>
          <w:szCs w:val="20"/>
          <w:color w:val="auto"/>
        </w:rPr>
      </w:pPr>
    </w:p>
    <w:p>
      <w:pPr>
        <w:ind w:left="6"/>
        <w:spacing w:after="0" w:line="287" w:lineRule="auto"/>
        <w:rPr>
          <w:sz w:val="20"/>
          <w:szCs w:val="20"/>
          <w:color w:val="auto"/>
        </w:rPr>
      </w:pPr>
      <w:r>
        <w:rPr>
          <w:rFonts w:ascii="Arial" w:cs="Arial" w:eastAsia="Arial" w:hAnsi="Arial"/>
          <w:sz w:val="18"/>
          <w:szCs w:val="18"/>
          <w:color w:val="auto"/>
        </w:rPr>
        <w:t>As of September 30, 2024, available funding under our debt arrangements related to our vehicle programs, including related party debt due to Avis Budget Rental Car Funding, consisted of:</w:t>
      </w:r>
    </w:p>
    <w:p>
      <w:pPr>
        <w:spacing w:after="0" w:line="225"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4"/>
              </w:rPr>
              <w:t>Total</w:t>
            </w:r>
          </w:p>
        </w:tc>
        <w:tc>
          <w:tcPr>
            <w:tcW w:w="20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Outstanding</w:t>
            </w:r>
          </w:p>
        </w:tc>
        <w:tc>
          <w:tcPr>
            <w:tcW w:w="280" w:type="dxa"/>
            <w:vAlign w:val="bottom"/>
          </w:tcPr>
          <w:p>
            <w:pPr>
              <w:spacing w:after="0"/>
              <w:rPr>
                <w:sz w:val="18"/>
                <w:szCs w:val="18"/>
                <w:color w:val="auto"/>
              </w:rPr>
            </w:pPr>
          </w:p>
        </w:tc>
        <w:tc>
          <w:tcPr>
            <w:tcW w:w="1340" w:type="dxa"/>
            <w:vAlign w:val="bottom"/>
          </w:tcPr>
          <w:p>
            <w:pPr>
              <w:jc w:val="right"/>
              <w:ind w:right="379"/>
              <w:spacing w:after="0"/>
              <w:rPr>
                <w:sz w:val="20"/>
                <w:szCs w:val="20"/>
                <w:color w:val="auto"/>
              </w:rPr>
            </w:pPr>
            <w:r>
              <w:rPr>
                <w:rFonts w:ascii="Arial" w:cs="Arial" w:eastAsia="Arial" w:hAnsi="Arial"/>
                <w:sz w:val="16"/>
                <w:szCs w:val="16"/>
                <w:b w:val="1"/>
                <w:bCs w:val="1"/>
                <w:color w:val="auto"/>
              </w:rPr>
              <w:t>Available</w:t>
            </w:r>
          </w:p>
        </w:tc>
      </w:tr>
      <w:tr>
        <w:trPr>
          <w:trHeight w:val="216"/>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340"/>
              <w:spacing w:after="0" w:line="216" w:lineRule="exact"/>
              <w:rPr>
                <w:sz w:val="20"/>
                <w:szCs w:val="20"/>
                <w:color w:val="auto"/>
              </w:rPr>
            </w:pPr>
            <w:r>
              <w:rPr>
                <w:rFonts w:ascii="Arial" w:cs="Arial" w:eastAsia="Arial" w:hAnsi="Arial"/>
                <w:sz w:val="16"/>
                <w:szCs w:val="16"/>
                <w:b w:val="1"/>
                <w:bCs w:val="1"/>
                <w:color w:val="auto"/>
                <w:w w:val="95"/>
              </w:rPr>
              <w:t xml:space="preserve">Capacity </w:t>
            </w:r>
            <w:r>
              <w:rPr>
                <w:rFonts w:ascii="Arial" w:cs="Arial" w:eastAsia="Arial" w:hAnsi="Arial"/>
                <w:sz w:val="21"/>
                <w:szCs w:val="21"/>
                <w:color w:val="auto"/>
                <w:w w:val="95"/>
                <w:vertAlign w:val="superscript"/>
              </w:rPr>
              <w:t>(a)</w:t>
            </w:r>
          </w:p>
        </w:tc>
        <w:tc>
          <w:tcPr>
            <w:tcW w:w="200" w:type="dxa"/>
            <w:vAlign w:val="bottom"/>
          </w:tcPr>
          <w:p>
            <w:pPr>
              <w:spacing w:after="0"/>
              <w:rPr>
                <w:sz w:val="18"/>
                <w:szCs w:val="18"/>
                <w:color w:val="auto"/>
              </w:rPr>
            </w:pPr>
          </w:p>
        </w:tc>
        <w:tc>
          <w:tcPr>
            <w:tcW w:w="1520" w:type="dxa"/>
            <w:vAlign w:val="bottom"/>
            <w:gridSpan w:val="2"/>
          </w:tcPr>
          <w:p>
            <w:pPr>
              <w:jc w:val="center"/>
              <w:ind w:right="300"/>
              <w:spacing w:after="0" w:line="216" w:lineRule="exact"/>
              <w:rPr>
                <w:sz w:val="20"/>
                <w:szCs w:val="20"/>
                <w:color w:val="auto"/>
              </w:rPr>
            </w:pPr>
            <w:r>
              <w:rPr>
                <w:rFonts w:ascii="Arial" w:cs="Arial" w:eastAsia="Arial" w:hAnsi="Arial"/>
                <w:sz w:val="16"/>
                <w:szCs w:val="16"/>
                <w:b w:val="1"/>
                <w:bCs w:val="1"/>
                <w:color w:val="auto"/>
                <w:w w:val="95"/>
              </w:rPr>
              <w:t xml:space="preserve">Borrowings </w:t>
            </w:r>
            <w:r>
              <w:rPr>
                <w:rFonts w:ascii="Arial" w:cs="Arial" w:eastAsia="Arial" w:hAnsi="Arial"/>
                <w:sz w:val="21"/>
                <w:szCs w:val="21"/>
                <w:color w:val="auto"/>
                <w:w w:val="95"/>
                <w:vertAlign w:val="superscript"/>
              </w:rPr>
              <w:t>(b)</w:t>
            </w:r>
          </w:p>
        </w:tc>
        <w:tc>
          <w:tcPr>
            <w:tcW w:w="280" w:type="dxa"/>
            <w:vAlign w:val="bottom"/>
          </w:tcPr>
          <w:p>
            <w:pPr>
              <w:spacing w:after="0"/>
              <w:rPr>
                <w:sz w:val="18"/>
                <w:szCs w:val="18"/>
                <w:color w:val="auto"/>
              </w:rPr>
            </w:pPr>
          </w:p>
        </w:tc>
        <w:tc>
          <w:tcPr>
            <w:tcW w:w="1340" w:type="dxa"/>
            <w:vAlign w:val="bottom"/>
          </w:tcPr>
          <w:p>
            <w:pPr>
              <w:jc w:val="right"/>
              <w:ind w:right="399"/>
              <w:spacing w:after="0"/>
              <w:rPr>
                <w:sz w:val="20"/>
                <w:szCs w:val="20"/>
                <w:color w:val="auto"/>
              </w:rPr>
            </w:pPr>
            <w:r>
              <w:rPr>
                <w:rFonts w:ascii="Arial" w:cs="Arial" w:eastAsia="Arial" w:hAnsi="Arial"/>
                <w:sz w:val="16"/>
                <w:szCs w:val="16"/>
                <w:b w:val="1"/>
                <w:bCs w:val="1"/>
                <w:color w:val="auto"/>
              </w:rPr>
              <w:t>Capacity</w:t>
            </w: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 - Debt due to Avis Budget Rental Car Funding</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16,848</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13,903</w:t>
            </w:r>
          </w:p>
        </w:tc>
        <w:tc>
          <w:tcPr>
            <w:tcW w:w="100" w:type="dxa"/>
            <w:vAlign w:val="bottom"/>
          </w:tcPr>
          <w:p>
            <w:pPr>
              <w:spacing w:after="0"/>
              <w:rPr>
                <w:sz w:val="18"/>
                <w:szCs w:val="18"/>
                <w:color w:val="auto"/>
              </w:rPr>
            </w:pPr>
          </w:p>
        </w:tc>
        <w:tc>
          <w:tcPr>
            <w:tcW w:w="2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2,945</w:t>
            </w: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Americas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1,486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1,213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273</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Debt borrowings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3,357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2,672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685</w:t>
            </w:r>
          </w:p>
        </w:tc>
      </w:tr>
      <w:tr>
        <w:trPr>
          <w:trHeight w:val="216"/>
        </w:trPr>
        <w:tc>
          <w:tcPr>
            <w:tcW w:w="5100" w:type="dxa"/>
            <w:vAlign w:val="bottom"/>
          </w:tcPr>
          <w:p>
            <w:pPr>
              <w:spacing w:after="0"/>
              <w:rPr>
                <w:sz w:val="20"/>
                <w:szCs w:val="20"/>
                <w:color w:val="auto"/>
              </w:rPr>
            </w:pPr>
            <w:r>
              <w:rPr>
                <w:rFonts w:ascii="Arial" w:cs="Arial" w:eastAsia="Arial" w:hAnsi="Arial"/>
                <w:sz w:val="16"/>
                <w:szCs w:val="16"/>
                <w:color w:val="auto"/>
              </w:rPr>
              <w:t>International - Finance leases</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263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7"/>
        </w:trPr>
        <w:tc>
          <w:tcPr>
            <w:tcW w:w="5100" w:type="dxa"/>
            <w:vAlign w:val="bottom"/>
          </w:tcPr>
          <w:p>
            <w:pPr>
              <w:spacing w:after="0"/>
              <w:rPr>
                <w:sz w:val="20"/>
                <w:szCs w:val="20"/>
                <w:color w:val="auto"/>
              </w:rPr>
            </w:pPr>
            <w:r>
              <w:rPr>
                <w:rFonts w:ascii="Arial" w:cs="Arial" w:eastAsia="Arial" w:hAnsi="Arial"/>
                <w:sz w:val="16"/>
                <w:szCs w:val="16"/>
                <w:color w:val="auto"/>
              </w:rPr>
              <w:t>Other</w:t>
            </w: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17,977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3,987</w:t>
            </w:r>
          </w:p>
        </w:tc>
      </w:tr>
      <w:tr>
        <w:trPr>
          <w:trHeight w:val="20"/>
        </w:trPr>
        <w:tc>
          <w:tcPr>
            <w:tcW w:w="5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jc w:val="both"/>
        <w:ind w:left="326" w:hanging="326"/>
        <w:spacing w:after="0"/>
        <w:tabs>
          <w:tab w:leader="none" w:pos="334"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Capacity is subject to maintaining sufficient assets to collateralize debt. The total capacity for Americas - Debt due to Avis Budget Rental Car Funding includes increases from amendments and restatements of our asset-backed variable-funding financing facilities, which were most recently amended and restated in April 2024.</w:t>
      </w:r>
    </w:p>
    <w:p>
      <w:pPr>
        <w:spacing w:after="0" w:line="134" w:lineRule="exact"/>
        <w:rPr>
          <w:rFonts w:ascii="Arial" w:cs="Arial" w:eastAsia="Arial" w:hAnsi="Arial"/>
          <w:sz w:val="19"/>
          <w:szCs w:val="19"/>
          <w:color w:val="auto"/>
          <w:vertAlign w:val="superscript"/>
        </w:rPr>
      </w:pPr>
    </w:p>
    <w:p>
      <w:pPr>
        <w:ind w:left="326" w:right="20" w:hanging="326"/>
        <w:spacing w:after="0" w:line="213" w:lineRule="auto"/>
        <w:tabs>
          <w:tab w:leader="none" w:pos="316"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The outstanding debt is collateralized by vehicles and related assets of $17.0 billion for Americas - Debt due to Avis Budget Rental Car Funding; $1.9 billion for Americas - Debt borrowings; $3.4 billion for International - Debt borrowings; and $0.2 billion for International - Finance leases.</w:t>
      </w:r>
    </w:p>
    <w:p>
      <w:pPr>
        <w:spacing w:after="0" w:line="222"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Debt Covenants</w:t>
      </w:r>
    </w:p>
    <w:p>
      <w:pPr>
        <w:spacing w:after="0" w:line="250" w:lineRule="exact"/>
        <w:rPr>
          <w:sz w:val="20"/>
          <w:szCs w:val="20"/>
          <w:color w:val="auto"/>
        </w:rPr>
      </w:pPr>
    </w:p>
    <w:p>
      <w:pPr>
        <w:jc w:val="both"/>
        <w:ind w:left="6"/>
        <w:spacing w:after="0" w:line="259" w:lineRule="auto"/>
        <w:rPr>
          <w:sz w:val="20"/>
          <w:szCs w:val="20"/>
          <w:color w:val="auto"/>
        </w:rPr>
      </w:pPr>
      <w:r>
        <w:rPr>
          <w:rFonts w:ascii="Arial" w:cs="Arial" w:eastAsia="Arial" w:hAnsi="Arial"/>
          <w:sz w:val="18"/>
          <w:szCs w:val="18"/>
          <w:color w:val="auto"/>
        </w:rPr>
        <w:t>The agreements under our vehicle-backed funding programs contain restrictive covenants, including restrictions on dividends paid to us by certain of our subsidiaries and restrictions on indebtedness, mergers, liens, liquidations, and sale and leaseback transactions and in some cases also require compliance with certain financial requirements. As of September 30, 2024, we are not aware of any instances of non-compliance with any of the financial or restrictive covenants contained in the debt agreements under our vehicle-backed funding programs.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3" w:right="339" w:bottom="1440" w:gutter="0" w:footer="0" w:header="0"/>
          <w:type w:val="continuous"/>
        </w:sectPr>
      </w:pPr>
    </w:p>
    <w:bookmarkStart w:id="22" w:name="page23"/>
    <w:bookmarkEnd w:id="22"/>
    <w:p>
      <w:pPr>
        <w:ind w:left="442" w:right="7880" w:hanging="442"/>
        <w:spacing w:after="0" w:line="555" w:lineRule="auto"/>
        <w:tabs>
          <w:tab w:leader="none" w:pos="456"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jc w:val="both"/>
        <w:ind w:left="442"/>
        <w:spacing w:after="0" w:line="244" w:lineRule="auto"/>
        <w:rPr>
          <w:rFonts w:ascii="Arial" w:cs="Arial" w:eastAsia="Arial" w:hAnsi="Arial"/>
          <w:sz w:val="18"/>
          <w:szCs w:val="18"/>
          <w:b w:val="1"/>
          <w:bCs w:val="1"/>
          <w:color w:val="auto"/>
        </w:rPr>
      </w:pPr>
      <w:r>
        <w:rPr>
          <w:rFonts w:ascii="Arial" w:cs="Arial" w:eastAsia="Arial" w:hAnsi="Arial"/>
          <w:sz w:val="18"/>
          <w:szCs w:val="18"/>
          <w:color w:val="auto"/>
        </w:rPr>
        <w:t>In 2006, we completed the spin-offs of our Realogy and Wyndham subsidiaries (now known as Anywhere Real Estate, Inc., and Wyndham Hotels and Resorts, Inc. and Travel + Leisure Co., respectively). We do not believe that the impact of any resolution of pre-existing contingent liabilities in connection with the spin-offs should result in a material liability to us in relation to our consolidated financial position or liquidity, as Anywhere Real Estate, Inc., Wyndham Hotels and Resorts, Inc. and Travel + Leisure Co. have agreed to assume responsibility for these liabilities.</w:t>
      </w:r>
    </w:p>
    <w:p>
      <w:pPr>
        <w:spacing w:after="0" w:line="203" w:lineRule="exact"/>
        <w:rPr>
          <w:rFonts w:ascii="Arial" w:cs="Arial" w:eastAsia="Arial" w:hAnsi="Arial"/>
          <w:sz w:val="18"/>
          <w:szCs w:val="18"/>
          <w:b w:val="1"/>
          <w:bCs w:val="1"/>
          <w:color w:val="auto"/>
        </w:rPr>
      </w:pPr>
    </w:p>
    <w:p>
      <w:pPr>
        <w:jc w:val="both"/>
        <w:ind w:left="442"/>
        <w:spacing w:after="0" w:line="238" w:lineRule="auto"/>
        <w:rPr>
          <w:rFonts w:ascii="Arial" w:cs="Arial" w:eastAsia="Arial" w:hAnsi="Arial"/>
          <w:sz w:val="18"/>
          <w:szCs w:val="18"/>
          <w:b w:val="1"/>
          <w:bCs w:val="1"/>
          <w:color w:val="auto"/>
        </w:rPr>
      </w:pPr>
      <w:r>
        <w:rPr>
          <w:rFonts w:ascii="Arial" w:cs="Arial" w:eastAsia="Arial" w:hAnsi="Arial"/>
          <w:sz w:val="18"/>
          <w:szCs w:val="18"/>
          <w:color w:val="auto"/>
        </w:rPr>
        <w:t>In March 2023, the California Office of Tax Appeals (“OTA”) issued an opinion in a case involving notices of proposed assessment of California corporation franchise tax for tax year 1999 issued to us. The case involves whether (i) the notices of proposed assessment were barred by the statute of limitations; and (ii) a transaction undertaken by us in tax year 1999 constituted a tax-free reorganization under the Internal Revenue Code (“IRC”). The OTA concluded that the notices of proposed assessment were not barred by the statute of limitations and that the 1999 transaction was not a tax-free reorganization under the IRC. Anywhere Real Estate, Inc. has assumed 62.5%, and Wyndham Hotels and Resorts, Inc. and Travel + Leisure Co. have assumed 37.5% of the potential tax liability in this matter, respectively. We filed a petition for rehearing, which was denied in April 2024, and the tax assessment is expected to become payable, even if judicial relief is sought.</w:t>
      </w:r>
    </w:p>
    <w:p>
      <w:pPr>
        <w:spacing w:after="0" w:line="207" w:lineRule="exact"/>
        <w:rPr>
          <w:rFonts w:ascii="Arial" w:cs="Arial" w:eastAsia="Arial" w:hAnsi="Arial"/>
          <w:sz w:val="18"/>
          <w:szCs w:val="18"/>
          <w:b w:val="1"/>
          <w:bCs w:val="1"/>
          <w:color w:val="auto"/>
        </w:rPr>
      </w:pPr>
    </w:p>
    <w:p>
      <w:pPr>
        <w:ind w:left="442" w:right="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We are also named in litigation that is primarily related to the businesses of our former subsidiaries, including Realogy and Wyndham. We are entitled to indemnification from such entities for any liability resulting from such litigation.</w:t>
      </w:r>
    </w:p>
    <w:p>
      <w:pPr>
        <w:spacing w:after="0" w:line="180" w:lineRule="exact"/>
        <w:rPr>
          <w:rFonts w:ascii="Arial" w:cs="Arial" w:eastAsia="Arial" w:hAnsi="Arial"/>
          <w:sz w:val="18"/>
          <w:szCs w:val="18"/>
          <w:b w:val="1"/>
          <w:bCs w:val="1"/>
          <w:color w:val="auto"/>
        </w:rPr>
      </w:pPr>
    </w:p>
    <w:p>
      <w:pPr>
        <w:jc w:val="both"/>
        <w:ind w:left="442"/>
        <w:spacing w:after="0" w:line="237" w:lineRule="auto"/>
        <w:rPr>
          <w:rFonts w:ascii="Arial" w:cs="Arial" w:eastAsia="Arial" w:hAnsi="Arial"/>
          <w:sz w:val="18"/>
          <w:szCs w:val="18"/>
          <w:b w:val="1"/>
          <w:bCs w:val="1"/>
          <w:color w:val="auto"/>
        </w:rPr>
      </w:pPr>
      <w:r>
        <w:rPr>
          <w:rFonts w:ascii="Arial" w:cs="Arial" w:eastAsia="Arial" w:hAnsi="Arial"/>
          <w:sz w:val="18"/>
          <w:szCs w:val="18"/>
          <w:color w:val="auto"/>
        </w:rPr>
        <w:t>In September 2014, Dawn Valli et al. v. Avis Budget Group Inc., et al. was filed in U.S. District Court for the District of New Jersey. The plaintiffs seek to represent a purported nationwide class of certain renters of vehicles from our Avis and Budget subsidiaries from September 30, 2008 through the present. The plaintiffs seek damages in connection with claims relating to alleged misrepresentations and omissions concerning charging customers for traffic infractions and related administrative fees. On October 10, 2023, plaintiffs’ motion for class certification was denied as to their proposed nationwide class and granted as to a subclass, created at the Court’s discretion, of Avis Preferred and Budget Fastbreak members. We have been named as a defendant in other purported consumer class action lawsuits, including two class actions filed against us in New Jersey, one seeking damages in connection with a breach of contract claim and another related to ancillary charges at our Payless subsidiary. However, the Company intends to vigorously defend them.</w:t>
      </w:r>
    </w:p>
    <w:p>
      <w:pPr>
        <w:spacing w:after="0" w:line="225"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We are currently involved, and in the future may be involved, in claims and/or legal proceedings, including class actions, and governmental inquiries that are incidental to our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w:t>
      </w:r>
    </w:p>
    <w:p>
      <w:pPr>
        <w:spacing w:after="0" w:line="203"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We are a defendant in a number of legal proceedings for personal injury arising from the operation of our vehicles. In June 2023, two of our subsidiaries were named as defendants in a lawsuit filed in Dallas, Texas alleging that one of our employees caused the death of an individual with one of our vehicles: Peggy Dawson Edwards, Individually and as Anticipated Representative of the Estate of Michael Edwards, Sr., et. al. v. Avis Budget Car Rental, LLC; PV Holding Corp.; and Kevin Barnes, Cause No. CC-23-03188-E, pending in County Court at Law No. 5 for Dallas County, Texas. The complaint alleges that our subsidiaries are responsible for Mr. Edwards’ death and seeks compensatory and punitive damages in an unspecified amount exceeding $1 million. The court has set a trial date in May 2025 for this lawsuit. Given the early stages of the legal proceedings, it is not possible to predict the outcome of the claim. However, the Company intends to vigorously defend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3" w:name="page24"/>
    <w:bookmarkEnd w:id="23"/>
    <w:p>
      <w:pPr>
        <w:jc w:val="both"/>
        <w:ind w:left="442"/>
        <w:spacing w:after="0" w:line="259" w:lineRule="auto"/>
        <w:rPr>
          <w:sz w:val="20"/>
          <w:szCs w:val="20"/>
          <w:color w:val="auto"/>
        </w:rPr>
      </w:pPr>
      <w:r>
        <w:rPr>
          <w:rFonts w:ascii="Arial" w:cs="Arial" w:eastAsia="Arial" w:hAnsi="Arial"/>
          <w:sz w:val="18"/>
          <w:szCs w:val="18"/>
          <w:color w:val="auto"/>
        </w:rPr>
        <w:t>Litigation is inherently unpredictable and, although we believe that our accruals are adequate and/or that we have valid defenses in these matters, unfavorable resolutions could occur. We estimate that the potential exposure resulting from adverse outcomes of current legal proceedings in which it is reasonably possible that a loss may be incurred could, in the aggregate, be up to approximately $40 million in excess of amounts accrued as of September 30, 2024. We do not believe that the impact should result in a material liability to us in relation to our consolidated financial condition or results of operations.</w:t>
      </w:r>
    </w:p>
    <w:p>
      <w:pPr>
        <w:spacing w:after="0" w:line="208"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50" w:lineRule="exact"/>
        <w:rPr>
          <w:sz w:val="20"/>
          <w:szCs w:val="20"/>
          <w:color w:val="auto"/>
        </w:rPr>
      </w:pPr>
    </w:p>
    <w:p>
      <w:pPr>
        <w:jc w:val="both"/>
        <w:ind w:left="442"/>
        <w:spacing w:after="0" w:line="262" w:lineRule="auto"/>
        <w:rPr>
          <w:sz w:val="20"/>
          <w:szCs w:val="20"/>
          <w:color w:val="auto"/>
        </w:rPr>
      </w:pPr>
      <w:r>
        <w:rPr>
          <w:rFonts w:ascii="Arial" w:cs="Arial" w:eastAsia="Arial" w:hAnsi="Arial"/>
          <w:sz w:val="18"/>
          <w:szCs w:val="18"/>
          <w:color w:val="auto"/>
        </w:rPr>
        <w:t>We maintain agreements with vehicle manufacturers under which we have agreed to purchase approximately $ 3.9 billion of vehicles from manufacturers over the next 12 months, a $2.9 billion decrease compared to December 31, 2023,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205" w:lineRule="exact"/>
        <w:rPr>
          <w:sz w:val="20"/>
          <w:szCs w:val="20"/>
          <w:color w:val="auto"/>
        </w:rPr>
      </w:pPr>
    </w:p>
    <w:p>
      <w:pPr>
        <w:ind w:left="442"/>
        <w:spacing w:after="0"/>
        <w:rPr>
          <w:sz w:val="20"/>
          <w:szCs w:val="20"/>
          <w:color w:val="auto"/>
        </w:rPr>
      </w:pPr>
      <w:r>
        <w:rPr>
          <w:rFonts w:ascii="Arial" w:cs="Arial" w:eastAsia="Arial" w:hAnsi="Arial"/>
          <w:sz w:val="18"/>
          <w:szCs w:val="18"/>
          <w:b w:val="1"/>
          <w:bCs w:val="1"/>
          <w:i w:val="1"/>
          <w:iCs w:val="1"/>
          <w:color w:val="auto"/>
        </w:rPr>
        <w:t>Concentrations</w:t>
      </w:r>
    </w:p>
    <w:p>
      <w:pPr>
        <w:spacing w:after="0" w:line="250" w:lineRule="exact"/>
        <w:rPr>
          <w:sz w:val="20"/>
          <w:szCs w:val="20"/>
          <w:color w:val="auto"/>
        </w:rPr>
      </w:pPr>
    </w:p>
    <w:p>
      <w:pPr>
        <w:jc w:val="both"/>
        <w:ind w:left="442"/>
        <w:spacing w:after="0" w:line="259" w:lineRule="auto"/>
        <w:rPr>
          <w:sz w:val="20"/>
          <w:szCs w:val="20"/>
          <w:color w:val="auto"/>
        </w:rPr>
      </w:pPr>
      <w:r>
        <w:rPr>
          <w:rFonts w:ascii="Arial" w:cs="Arial" w:eastAsia="Arial" w:hAnsi="Arial"/>
          <w:sz w:val="18"/>
          <w:szCs w:val="18"/>
          <w:color w:val="auto"/>
        </w:rPr>
        <w:t>Concentrations of credit risk as of September 30, 2024 include (i) risks related to our repurchase and guaranteed depreciation agreements with domestic and foreign car manufacturers and primarily with respect to receivables for program cars that have been disposed but for which we have not yet received payment from the manufacturers and (ii) risks related to Realogy and Wyndham, including receivables of $38 million and $23 million, respectively, related to certain contingent, income tax and other corporate liabilities assumed by Realogy and Wyndham in connection with their disposition.</w:t>
      </w:r>
    </w:p>
    <w:p>
      <w:pPr>
        <w:spacing w:after="0" w:line="206" w:lineRule="exact"/>
        <w:rPr>
          <w:sz w:val="20"/>
          <w:szCs w:val="20"/>
          <w:color w:val="auto"/>
        </w:rPr>
      </w:pPr>
    </w:p>
    <w:p>
      <w:pPr>
        <w:ind w:left="442" w:right="8940" w:hanging="442"/>
        <w:spacing w:after="0" w:line="532" w:lineRule="auto"/>
        <w:tabs>
          <w:tab w:leader="none" w:pos="456"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Share Repurchases</w:t>
      </w: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Our Board of Directors has authorized the repurchase of up to approximately $8.1 billion of our common stock under a plan originally approved in 2013 and subsequently expanded, most recently in February 2023 (the “Stock Repurchase Program”). During the nine months ended September 30, 2024, we repurchased approximately 0.1 million shares of common stock at a cost of approximately $8 million (excluding excise taxes due under the Inflation Reduction Act of 2022) under the Stock Repurchase Program. During the nine months ended September 30, 2023</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we repurchased approximately 2.9 million shares of common stock at a cost of approximately $633 million (excluding excise taxes due under the Inflation Reduction Act of 2022) under the Stock Repurchase Program. As of September 30, 2024, approximately $794 million of authorization remained available to repurchase common stock under the Stock Repurchase Program.</w:t>
      </w:r>
    </w:p>
    <w:p>
      <w:pPr>
        <w:spacing w:after="0" w:line="210"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Common stock repurchases under the Stock Repurchase Program do not include shares withheld to satisfy employees’ income tax liabilities attributable to the vesting of restricted stock unit awards.</w:t>
      </w:r>
    </w:p>
    <w:p>
      <w:pPr>
        <w:spacing w:after="0" w:line="181"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Total Comprehensive Income (Loss)</w:t>
      </w:r>
    </w:p>
    <w:p>
      <w:pPr>
        <w:spacing w:after="0" w:line="250"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Comprehensive income (loss) consists of net income (loss) and other gains and losses affecting stockholders’ equity that, under GAAP, are excluded from net income (loss).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4" w:name="page25"/>
    <w:bookmarkEnd w:id="24"/>
    <w:p>
      <w:pPr>
        <w:ind w:left="6"/>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33"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5"/>
          </w:tcPr>
          <w:p>
            <w:pPr>
              <w:jc w:val="center"/>
              <w:ind w:right="380"/>
              <w:spacing w:after="0"/>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6"/>
                <w:szCs w:val="16"/>
                <w:color w:val="auto"/>
              </w:rPr>
            </w:pPr>
          </w:p>
        </w:tc>
        <w:tc>
          <w:tcPr>
            <w:tcW w:w="22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2220" w:type="dxa"/>
            <w:vAlign w:val="bottom"/>
            <w:gridSpan w:val="4"/>
          </w:tcPr>
          <w:p>
            <w:pPr>
              <w:jc w:val="right"/>
              <w:ind w:right="599"/>
              <w:spacing w:after="0"/>
              <w:rPr>
                <w:sz w:val="20"/>
                <w:szCs w:val="20"/>
                <w:color w:val="auto"/>
              </w:rPr>
            </w:pPr>
            <w:r>
              <w:rPr>
                <w:rFonts w:ascii="Arial" w:cs="Arial" w:eastAsia="Arial" w:hAnsi="Arial"/>
                <w:sz w:val="16"/>
                <w:szCs w:val="16"/>
                <w:b w:val="1"/>
                <w:bCs w:val="1"/>
                <w:color w:val="auto"/>
              </w:rPr>
              <w:t>September 30,</w:t>
            </w:r>
          </w:p>
        </w:tc>
        <w:tc>
          <w:tcPr>
            <w:tcW w:w="0" w:type="dxa"/>
            <w:vAlign w:val="bottom"/>
          </w:tcPr>
          <w:p>
            <w:pPr>
              <w:spacing w:after="0"/>
              <w:rPr>
                <w:sz w:val="1"/>
                <w:szCs w:val="1"/>
                <w:color w:val="auto"/>
              </w:rPr>
            </w:pPr>
          </w:p>
        </w:tc>
      </w:tr>
      <w:tr>
        <w:trPr>
          <w:trHeight w:val="209"/>
        </w:trPr>
        <w:tc>
          <w:tcPr>
            <w:tcW w:w="5140" w:type="dxa"/>
            <w:vAlign w:val="bottom"/>
            <w:vMerge w:val="restart"/>
          </w:tcPr>
          <w:p>
            <w:pPr>
              <w:spacing w:after="0"/>
              <w:rPr>
                <w:sz w:val="20"/>
                <w:szCs w:val="20"/>
                <w:color w:val="auto"/>
              </w:rPr>
            </w:pPr>
            <w:r>
              <w:rPr>
                <w:rFonts w:ascii="Arial" w:cs="Arial" w:eastAsia="Arial" w:hAnsi="Arial"/>
                <w:sz w:val="16"/>
                <w:szCs w:val="16"/>
                <w:color w:val="auto"/>
              </w:rPr>
              <w:t>Net income</w:t>
            </w: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140" w:type="dxa"/>
            <w:vAlign w:val="bottom"/>
            <w:vMerge w:val="continue"/>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627</w:t>
            </w:r>
          </w:p>
        </w:tc>
        <w:tc>
          <w:tcPr>
            <w:tcW w:w="8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5"/>
        </w:trPr>
        <w:tc>
          <w:tcPr>
            <w:tcW w:w="5140" w:type="dxa"/>
            <w:vAlign w:val="bottom"/>
          </w:tcPr>
          <w:p>
            <w:pPr>
              <w:ind w:left="100"/>
              <w:spacing w:after="0"/>
              <w:rPr>
                <w:sz w:val="20"/>
                <w:szCs w:val="20"/>
                <w:color w:val="auto"/>
              </w:rPr>
            </w:pPr>
            <w:r>
              <w:rPr>
                <w:rFonts w:ascii="Arial" w:cs="Arial" w:eastAsia="Arial" w:hAnsi="Arial"/>
                <w:sz w:val="16"/>
                <w:szCs w:val="16"/>
                <w:color w:val="auto"/>
              </w:rPr>
              <w:t>Less: net income attributable to non-controlling interests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6"/>
                <w:szCs w:val="16"/>
                <w:color w:val="auto"/>
              </w:rPr>
              <w:t>Net income attributable to Avis Budget Group, Inc.</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626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1,373</w:t>
            </w:r>
          </w:p>
        </w:tc>
        <w:tc>
          <w:tcPr>
            <w:tcW w:w="0" w:type="dxa"/>
            <w:vAlign w:val="bottom"/>
          </w:tcPr>
          <w:p>
            <w:pPr>
              <w:spacing w:after="0"/>
              <w:rPr>
                <w:sz w:val="1"/>
                <w:szCs w:val="1"/>
                <w:color w:val="auto"/>
              </w:rPr>
            </w:pPr>
          </w:p>
        </w:tc>
      </w:tr>
      <w:tr>
        <w:trPr>
          <w:trHeight w:val="215"/>
        </w:trPr>
        <w:tc>
          <w:tcPr>
            <w:tcW w:w="5140" w:type="dxa"/>
            <w:vAlign w:val="bottom"/>
          </w:tcPr>
          <w:p>
            <w:pPr>
              <w:spacing w:after="0"/>
              <w:rPr>
                <w:sz w:val="20"/>
                <w:szCs w:val="20"/>
                <w:color w:val="auto"/>
              </w:rPr>
            </w:pPr>
            <w:r>
              <w:rPr>
                <w:rFonts w:ascii="Arial" w:cs="Arial" w:eastAsia="Arial" w:hAnsi="Arial"/>
                <w:sz w:val="16"/>
                <w:szCs w:val="16"/>
                <w:color w:val="auto"/>
              </w:rPr>
              <w:t>Other comprehensive income (loss):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5140" w:type="dxa"/>
            <w:vAlign w:val="bottom"/>
          </w:tcPr>
          <w:p>
            <w:pPr>
              <w:ind w:left="100"/>
              <w:spacing w:after="0" w:line="164" w:lineRule="exact"/>
              <w:rPr>
                <w:sz w:val="20"/>
                <w:szCs w:val="20"/>
                <w:color w:val="auto"/>
              </w:rPr>
            </w:pPr>
            <w:r>
              <w:rPr>
                <w:rFonts w:ascii="Arial" w:cs="Arial" w:eastAsia="Arial" w:hAnsi="Arial"/>
                <w:sz w:val="16"/>
                <w:szCs w:val="16"/>
                <w:color w:val="auto"/>
              </w:rPr>
              <w:t>Currency translation adjustments (net of tax of $13, $(8), $5 and $(3),</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5"/>
        </w:trPr>
        <w:tc>
          <w:tcPr>
            <w:tcW w:w="5140" w:type="dxa"/>
            <w:vAlign w:val="bottom"/>
          </w:tcPr>
          <w:p>
            <w:pPr>
              <w:ind w:left="260"/>
              <w:spacing w:after="0" w:line="216" w:lineRule="exact"/>
              <w:rPr>
                <w:sz w:val="20"/>
                <w:szCs w:val="20"/>
                <w:color w:val="auto"/>
              </w:rPr>
            </w:pPr>
            <w:r>
              <w:rPr>
                <w:rFonts w:ascii="Arial" w:cs="Arial" w:eastAsia="Arial" w:hAnsi="Arial"/>
                <w:sz w:val="16"/>
                <w:szCs w:val="16"/>
                <w:color w:val="auto"/>
              </w:rPr>
              <w:t xml:space="preserve">respectively)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00"/>
              <w:spacing w:after="0" w:line="163" w:lineRule="exact"/>
              <w:rPr>
                <w:sz w:val="20"/>
                <w:szCs w:val="20"/>
                <w:color w:val="auto"/>
              </w:rPr>
            </w:pPr>
            <w:r>
              <w:rPr>
                <w:rFonts w:ascii="Arial" w:cs="Arial" w:eastAsia="Arial" w:hAnsi="Arial"/>
                <w:sz w:val="16"/>
                <w:szCs w:val="16"/>
                <w:color w:val="auto"/>
              </w:rPr>
              <w:t>Net unrealized gain (loss) on cash flow hedges (net of tax of $5, $(1),</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15"/>
        </w:trPr>
        <w:tc>
          <w:tcPr>
            <w:tcW w:w="5140" w:type="dxa"/>
            <w:vAlign w:val="bottom"/>
          </w:tcPr>
          <w:p>
            <w:pPr>
              <w:ind w:left="260"/>
              <w:spacing w:after="0"/>
              <w:rPr>
                <w:sz w:val="20"/>
                <w:szCs w:val="20"/>
                <w:color w:val="auto"/>
              </w:rPr>
            </w:pPr>
            <w:r>
              <w:rPr>
                <w:rFonts w:ascii="Arial" w:cs="Arial" w:eastAsia="Arial" w:hAnsi="Arial"/>
                <w:sz w:val="16"/>
                <w:szCs w:val="16"/>
                <w:color w:val="auto"/>
              </w:rPr>
              <w:t>$4 and $(3), respectively)</w:t>
            </w:r>
          </w:p>
        </w:tc>
        <w:tc>
          <w:tcPr>
            <w:tcW w:w="2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140" w:type="dxa"/>
            <w:vAlign w:val="bottom"/>
          </w:tcPr>
          <w:p>
            <w:pPr>
              <w:ind w:left="100"/>
              <w:spacing w:after="0" w:line="164" w:lineRule="exact"/>
              <w:rPr>
                <w:sz w:val="20"/>
                <w:szCs w:val="20"/>
                <w:color w:val="auto"/>
              </w:rPr>
            </w:pPr>
            <w:r>
              <w:rPr>
                <w:rFonts w:ascii="Arial" w:cs="Arial" w:eastAsia="Arial" w:hAnsi="Arial"/>
                <w:sz w:val="16"/>
                <w:szCs w:val="16"/>
                <w:color w:val="auto"/>
              </w:rPr>
              <w:t>Minimum pension liability adjustment (net of tax of $(1), $(1), $(1),</w:t>
            </w:r>
          </w:p>
        </w:tc>
        <w:tc>
          <w:tcPr>
            <w:tcW w:w="24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5140" w:type="dxa"/>
            <w:vAlign w:val="bottom"/>
          </w:tcPr>
          <w:p>
            <w:pPr>
              <w:ind w:left="260"/>
              <w:spacing w:after="0"/>
              <w:rPr>
                <w:sz w:val="20"/>
                <w:szCs w:val="20"/>
                <w:color w:val="auto"/>
              </w:rPr>
            </w:pPr>
            <w:r>
              <w:rPr>
                <w:rFonts w:ascii="Arial" w:cs="Arial" w:eastAsia="Arial" w:hAnsi="Arial"/>
                <w:sz w:val="16"/>
                <w:szCs w:val="16"/>
                <w:color w:val="auto"/>
              </w:rPr>
              <w:t>and $(1), respectively)</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6"/>
                <w:szCs w:val="16"/>
                <w:color w:val="auto"/>
              </w:rPr>
              <w:t>Comprehensive income attributable to Avis Budget Group, Inc.</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586</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9" w:lineRule="exact"/>
        <w:rPr>
          <w:sz w:val="20"/>
          <w:szCs w:val="20"/>
          <w:color w:val="auto"/>
        </w:rPr>
      </w:pPr>
    </w:p>
    <w:p>
      <w:pPr>
        <w:ind w:left="266" w:hanging="266"/>
        <w:spacing w:after="0"/>
        <w:tabs>
          <w:tab w:leader="none" w:pos="266"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Currency translation adjustments exclude income taxes related to indefinite investments in foreign subsidiaries.</w:t>
      </w:r>
    </w:p>
    <w:p>
      <w:pPr>
        <w:spacing w:after="0" w:line="234" w:lineRule="exact"/>
        <w:rPr>
          <w:sz w:val="20"/>
          <w:szCs w:val="20"/>
          <w:color w:val="auto"/>
        </w:rPr>
      </w:pPr>
    </w:p>
    <w:p>
      <w:pPr>
        <w:ind w:left="6"/>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115"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42" w:lineRule="exact"/>
        <w:rPr>
          <w:sz w:val="20"/>
          <w:szCs w:val="20"/>
          <w:color w:val="auto"/>
        </w:rPr>
      </w:pPr>
    </w:p>
    <w:tbl>
      <w:tblPr>
        <w:tblLayout w:type="fixed"/>
        <w:tblInd w:w="26"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280" w:type="dxa"/>
            <w:vAlign w:val="bottom"/>
            <w:vMerge w:val="restart"/>
          </w:tcPr>
          <w:p>
            <w:pPr>
              <w:jc w:val="center"/>
              <w:ind w:left="268"/>
              <w:spacing w:after="0"/>
              <w:rPr>
                <w:sz w:val="20"/>
                <w:szCs w:val="20"/>
                <w:color w:val="auto"/>
              </w:rPr>
            </w:pPr>
            <w:r>
              <w:rPr>
                <w:rFonts w:ascii="Arial" w:cs="Arial" w:eastAsia="Arial" w:hAnsi="Arial"/>
                <w:sz w:val="14"/>
                <w:szCs w:val="14"/>
                <w:b w:val="1"/>
                <w:bCs w:val="1"/>
                <w:color w:val="auto"/>
              </w:rPr>
              <w:t>Currency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Net Unrealized</w:t>
            </w:r>
          </w:p>
        </w:tc>
        <w:tc>
          <w:tcPr>
            <w:tcW w:w="220" w:type="dxa"/>
            <w:vAlign w:val="bottom"/>
          </w:tcPr>
          <w:p>
            <w:pPr>
              <w:spacing w:after="0"/>
              <w:rPr>
                <w:sz w:val="14"/>
                <w:szCs w:val="14"/>
                <w:color w:val="auto"/>
              </w:rPr>
            </w:pPr>
          </w:p>
        </w:tc>
        <w:tc>
          <w:tcPr>
            <w:tcW w:w="14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80" w:type="dxa"/>
            <w:vAlign w:val="bottom"/>
          </w:tcPr>
          <w:p>
            <w:pPr>
              <w:spacing w:after="0"/>
              <w:rPr>
                <w:sz w:val="14"/>
                <w:szCs w:val="14"/>
                <w:color w:val="auto"/>
              </w:rPr>
            </w:pPr>
          </w:p>
        </w:tc>
        <w:tc>
          <w:tcPr>
            <w:tcW w:w="1420" w:type="dxa"/>
            <w:vAlign w:val="bottom"/>
          </w:tcPr>
          <w:p>
            <w:pPr>
              <w:jc w:val="center"/>
              <w:ind w:right="128"/>
              <w:spacing w:after="0"/>
              <w:rPr>
                <w:sz w:val="20"/>
                <w:szCs w:val="20"/>
                <w:color w:val="auto"/>
              </w:rPr>
            </w:pPr>
            <w:r>
              <w:rPr>
                <w:rFonts w:ascii="Arial" w:cs="Arial" w:eastAsia="Arial" w:hAnsi="Arial"/>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4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rPr>
              <w:t>Gains (Losses)</w:t>
            </w:r>
          </w:p>
        </w:tc>
        <w:tc>
          <w:tcPr>
            <w:tcW w:w="22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rPr>
              <w:t>Pension</w:t>
            </w:r>
          </w:p>
        </w:tc>
        <w:tc>
          <w:tcPr>
            <w:tcW w:w="180" w:type="dxa"/>
            <w:vAlign w:val="bottom"/>
          </w:tcPr>
          <w:p>
            <w:pPr>
              <w:spacing w:after="0"/>
              <w:rPr>
                <w:sz w:val="12"/>
                <w:szCs w:val="12"/>
                <w:color w:val="auto"/>
              </w:rPr>
            </w:pPr>
          </w:p>
        </w:tc>
        <w:tc>
          <w:tcPr>
            <w:tcW w:w="142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37"/>
        </w:trPr>
        <w:tc>
          <w:tcPr>
            <w:tcW w:w="3440" w:type="dxa"/>
            <w:vAlign w:val="bottom"/>
          </w:tcPr>
          <w:p>
            <w:pPr>
              <w:spacing w:after="0"/>
              <w:rPr>
                <w:sz w:val="11"/>
                <w:szCs w:val="11"/>
                <w:color w:val="auto"/>
              </w:rPr>
            </w:pPr>
          </w:p>
        </w:tc>
        <w:tc>
          <w:tcPr>
            <w:tcW w:w="1280" w:type="dxa"/>
            <w:vAlign w:val="bottom"/>
          </w:tcPr>
          <w:p>
            <w:pPr>
              <w:jc w:val="center"/>
              <w:ind w:left="268"/>
              <w:spacing w:after="0" w:line="137" w:lineRule="exact"/>
              <w:rPr>
                <w:sz w:val="20"/>
                <w:szCs w:val="20"/>
                <w:color w:val="auto"/>
              </w:rPr>
            </w:pPr>
            <w:r>
              <w:rPr>
                <w:rFonts w:ascii="Arial" w:cs="Arial" w:eastAsia="Arial" w:hAnsi="Arial"/>
                <w:sz w:val="14"/>
                <w:szCs w:val="14"/>
                <w:b w:val="1"/>
                <w:bCs w:val="1"/>
                <w:color w:val="auto"/>
              </w:rPr>
              <w:t>Translation</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gridSpan w:val="2"/>
          </w:tcPr>
          <w:p>
            <w:pPr>
              <w:jc w:val="center"/>
              <w:ind w:right="280"/>
              <w:spacing w:after="0" w:line="137" w:lineRule="exact"/>
              <w:rPr>
                <w:sz w:val="20"/>
                <w:szCs w:val="20"/>
                <w:color w:val="auto"/>
              </w:rPr>
            </w:pPr>
            <w:r>
              <w:rPr>
                <w:rFonts w:ascii="Arial" w:cs="Arial" w:eastAsia="Arial" w:hAnsi="Arial"/>
                <w:sz w:val="14"/>
                <w:szCs w:val="14"/>
                <w:b w:val="1"/>
                <w:bCs w:val="1"/>
                <w:color w:val="auto"/>
              </w:rPr>
              <w:t>on Cash Flow</w:t>
            </w:r>
          </w:p>
        </w:tc>
        <w:tc>
          <w:tcPr>
            <w:tcW w:w="220" w:type="dxa"/>
            <w:vAlign w:val="bottom"/>
          </w:tcPr>
          <w:p>
            <w:pPr>
              <w:spacing w:after="0"/>
              <w:rPr>
                <w:sz w:val="11"/>
                <w:szCs w:val="11"/>
                <w:color w:val="auto"/>
              </w:rPr>
            </w:pPr>
          </w:p>
        </w:tc>
        <w:tc>
          <w:tcPr>
            <w:tcW w:w="1480" w:type="dxa"/>
            <w:vAlign w:val="bottom"/>
            <w:gridSpan w:val="2"/>
          </w:tcPr>
          <w:p>
            <w:pPr>
              <w:jc w:val="center"/>
              <w:ind w:right="300"/>
              <w:spacing w:after="0" w:line="137" w:lineRule="exact"/>
              <w:rPr>
                <w:sz w:val="20"/>
                <w:szCs w:val="20"/>
                <w:color w:val="auto"/>
              </w:rPr>
            </w:pPr>
            <w:r>
              <w:rPr>
                <w:rFonts w:ascii="Arial" w:cs="Arial" w:eastAsia="Arial" w:hAnsi="Arial"/>
                <w:sz w:val="14"/>
                <w:szCs w:val="14"/>
                <w:b w:val="1"/>
                <w:bCs w:val="1"/>
                <w:color w:val="auto"/>
              </w:rPr>
              <w:t>Liability</w:t>
            </w:r>
          </w:p>
        </w:tc>
        <w:tc>
          <w:tcPr>
            <w:tcW w:w="180" w:type="dxa"/>
            <w:vAlign w:val="bottom"/>
          </w:tcPr>
          <w:p>
            <w:pPr>
              <w:spacing w:after="0"/>
              <w:rPr>
                <w:sz w:val="11"/>
                <w:szCs w:val="11"/>
                <w:color w:val="auto"/>
              </w:rPr>
            </w:pPr>
          </w:p>
        </w:tc>
        <w:tc>
          <w:tcPr>
            <w:tcW w:w="1420" w:type="dxa"/>
            <w:vAlign w:val="bottom"/>
          </w:tcPr>
          <w:p>
            <w:pPr>
              <w:jc w:val="center"/>
              <w:ind w:right="108"/>
              <w:spacing w:after="0" w:line="137" w:lineRule="exact"/>
              <w:rPr>
                <w:sz w:val="20"/>
                <w:szCs w:val="20"/>
                <w:color w:val="auto"/>
              </w:rPr>
            </w:pPr>
            <w:r>
              <w:rPr>
                <w:rFonts w:ascii="Arial" w:cs="Arial" w:eastAsia="Arial" w:hAnsi="Arial"/>
                <w:sz w:val="14"/>
                <w:szCs w:val="14"/>
                <w:b w:val="1"/>
                <w:bCs w:val="1"/>
                <w:color w:val="auto"/>
              </w:rPr>
              <w:t>Comprehensive</w:t>
            </w:r>
          </w:p>
        </w:tc>
        <w:tc>
          <w:tcPr>
            <w:tcW w:w="0" w:type="dxa"/>
            <w:vAlign w:val="bottom"/>
          </w:tcPr>
          <w:p>
            <w:pPr>
              <w:spacing w:after="0"/>
              <w:rPr>
                <w:sz w:val="1"/>
                <w:szCs w:val="1"/>
                <w:color w:val="auto"/>
              </w:rPr>
            </w:pPr>
          </w:p>
        </w:tc>
      </w:tr>
      <w:tr>
        <w:trPr>
          <w:trHeight w:val="201"/>
        </w:trPr>
        <w:tc>
          <w:tcPr>
            <w:tcW w:w="3440" w:type="dxa"/>
            <w:vAlign w:val="bottom"/>
          </w:tcPr>
          <w:p>
            <w:pPr>
              <w:spacing w:after="0"/>
              <w:rPr>
                <w:sz w:val="17"/>
                <w:szCs w:val="17"/>
                <w:color w:val="auto"/>
              </w:rPr>
            </w:pPr>
          </w:p>
        </w:tc>
        <w:tc>
          <w:tcPr>
            <w:tcW w:w="1280" w:type="dxa"/>
            <w:vAlign w:val="bottom"/>
          </w:tcPr>
          <w:p>
            <w:pPr>
              <w:jc w:val="center"/>
              <w:ind w:left="268"/>
              <w:spacing w:after="0"/>
              <w:rPr>
                <w:sz w:val="20"/>
                <w:szCs w:val="20"/>
                <w:color w:val="auto"/>
              </w:rPr>
            </w:pPr>
            <w:r>
              <w:rPr>
                <w:rFonts w:ascii="Arial" w:cs="Arial" w:eastAsia="Arial" w:hAnsi="Arial"/>
                <w:sz w:val="14"/>
                <w:szCs w:val="14"/>
                <w:b w:val="1"/>
                <w:bCs w:val="1"/>
                <w:color w:val="auto"/>
              </w:rPr>
              <w:t>Adjustments</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2"/>
          </w:tcPr>
          <w:p>
            <w:pPr>
              <w:jc w:val="center"/>
              <w:ind w:right="280"/>
              <w:spacing w:after="0" w:line="201" w:lineRule="exact"/>
              <w:rPr>
                <w:sz w:val="20"/>
                <w:szCs w:val="20"/>
                <w:color w:val="auto"/>
              </w:rPr>
            </w:pPr>
            <w:r>
              <w:rPr>
                <w:rFonts w:ascii="Arial" w:cs="Arial" w:eastAsia="Arial" w:hAnsi="Arial"/>
                <w:sz w:val="14"/>
                <w:szCs w:val="14"/>
                <w:b w:val="1"/>
                <w:bCs w:val="1"/>
                <w:color w:val="auto"/>
                <w:w w:val="95"/>
              </w:rPr>
              <w:t xml:space="preserve">Hedges </w:t>
            </w:r>
            <w:r>
              <w:rPr>
                <w:rFonts w:ascii="Arial" w:cs="Arial" w:eastAsia="Arial" w:hAnsi="Arial"/>
                <w:sz w:val="18"/>
                <w:szCs w:val="18"/>
                <w:b w:val="1"/>
                <w:bCs w:val="1"/>
                <w:color w:val="auto"/>
                <w:w w:val="95"/>
                <w:vertAlign w:val="superscript"/>
              </w:rPr>
              <w:t>(a)</w:t>
            </w:r>
          </w:p>
        </w:tc>
        <w:tc>
          <w:tcPr>
            <w:tcW w:w="220" w:type="dxa"/>
            <w:vAlign w:val="bottom"/>
          </w:tcPr>
          <w:p>
            <w:pPr>
              <w:spacing w:after="0"/>
              <w:rPr>
                <w:sz w:val="17"/>
                <w:szCs w:val="17"/>
                <w:color w:val="auto"/>
              </w:rPr>
            </w:pPr>
          </w:p>
        </w:tc>
        <w:tc>
          <w:tcPr>
            <w:tcW w:w="1480" w:type="dxa"/>
            <w:vAlign w:val="bottom"/>
            <w:gridSpan w:val="2"/>
          </w:tcPr>
          <w:p>
            <w:pPr>
              <w:jc w:val="center"/>
              <w:ind w:right="320"/>
              <w:spacing w:after="0" w:line="201" w:lineRule="exact"/>
              <w:rPr>
                <w:sz w:val="20"/>
                <w:szCs w:val="20"/>
                <w:color w:val="auto"/>
              </w:rPr>
            </w:pPr>
            <w:r>
              <w:rPr>
                <w:rFonts w:ascii="Arial" w:cs="Arial" w:eastAsia="Arial" w:hAnsi="Arial"/>
                <w:sz w:val="14"/>
                <w:szCs w:val="14"/>
                <w:b w:val="1"/>
                <w:bCs w:val="1"/>
                <w:color w:val="auto"/>
                <w:w w:val="99"/>
              </w:rPr>
              <w:t xml:space="preserve">Adjustment </w:t>
            </w:r>
            <w:r>
              <w:rPr>
                <w:rFonts w:ascii="Arial" w:cs="Arial" w:eastAsia="Arial" w:hAnsi="Arial"/>
                <w:sz w:val="18"/>
                <w:szCs w:val="18"/>
                <w:b w:val="1"/>
                <w:bCs w:val="1"/>
                <w:color w:val="auto"/>
                <w:w w:val="99"/>
                <w:vertAlign w:val="superscript"/>
              </w:rPr>
              <w:t>(b)</w:t>
            </w:r>
          </w:p>
        </w:tc>
        <w:tc>
          <w:tcPr>
            <w:tcW w:w="180" w:type="dxa"/>
            <w:vAlign w:val="bottom"/>
          </w:tcPr>
          <w:p>
            <w:pPr>
              <w:spacing w:after="0"/>
              <w:rPr>
                <w:sz w:val="17"/>
                <w:szCs w:val="17"/>
                <w:color w:val="auto"/>
              </w:rPr>
            </w:pPr>
          </w:p>
        </w:tc>
        <w:tc>
          <w:tcPr>
            <w:tcW w:w="1420" w:type="dxa"/>
            <w:vAlign w:val="bottom"/>
          </w:tcPr>
          <w:p>
            <w:pPr>
              <w:jc w:val="center"/>
              <w:ind w:right="128"/>
              <w:spacing w:after="0"/>
              <w:rPr>
                <w:sz w:val="20"/>
                <w:szCs w:val="20"/>
                <w:color w:val="auto"/>
              </w:rPr>
            </w:pPr>
            <w:r>
              <w:rPr>
                <w:rFonts w:ascii="Arial" w:cs="Arial" w:eastAsia="Arial" w:hAnsi="Arial"/>
                <w:sz w:val="14"/>
                <w:szCs w:val="14"/>
                <w:b w:val="1"/>
                <w:bCs w:val="1"/>
                <w:color w:val="auto"/>
              </w:rPr>
              <w:t>Income (Loss)</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20"/>
                <w:szCs w:val="20"/>
                <w:color w:val="auto"/>
              </w:rPr>
            </w:pPr>
            <w:r>
              <w:rPr>
                <w:rFonts w:ascii="Arial" w:cs="Arial" w:eastAsia="Arial" w:hAnsi="Arial"/>
                <w:sz w:val="14"/>
                <w:szCs w:val="14"/>
                <w:color w:val="auto"/>
              </w:rPr>
              <w:t>Balance, January 1, 2024</w:t>
            </w:r>
          </w:p>
        </w:tc>
        <w:tc>
          <w:tcPr>
            <w:tcW w:w="1280" w:type="dxa"/>
            <w:vAlign w:val="bottom"/>
            <w:tcBorders>
              <w:top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2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37</w:t>
            </w:r>
          </w:p>
        </w:tc>
        <w:tc>
          <w:tcPr>
            <w:tcW w:w="80" w:type="dxa"/>
            <w:vAlign w:val="bottom"/>
          </w:tcPr>
          <w:p>
            <w:pPr>
              <w:spacing w:after="0"/>
              <w:rPr>
                <w:sz w:val="16"/>
                <w:szCs w:val="16"/>
                <w:color w:val="auto"/>
              </w:rPr>
            </w:pPr>
          </w:p>
        </w:tc>
        <w:tc>
          <w:tcPr>
            <w:tcW w:w="2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6"/>
                <w:szCs w:val="16"/>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57"/>
        </w:trPr>
        <w:tc>
          <w:tcPr>
            <w:tcW w:w="3440" w:type="dxa"/>
            <w:vAlign w:val="bottom"/>
          </w:tcPr>
          <w:p>
            <w:pPr>
              <w:ind w:left="100"/>
              <w:spacing w:after="0" w:line="157" w:lineRule="exact"/>
              <w:rPr>
                <w:sz w:val="20"/>
                <w:szCs w:val="20"/>
                <w:color w:val="auto"/>
              </w:rPr>
            </w:pPr>
            <w:r>
              <w:rPr>
                <w:rFonts w:ascii="Arial" w:cs="Arial" w:eastAsia="Arial" w:hAnsi="Arial"/>
                <w:sz w:val="14"/>
                <w:szCs w:val="14"/>
                <w:color w:val="auto"/>
              </w:rPr>
              <w:t>Other comprehensive income (loss) before</w:t>
            </w:r>
          </w:p>
        </w:tc>
        <w:tc>
          <w:tcPr>
            <w:tcW w:w="12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0"/>
        </w:trPr>
        <w:tc>
          <w:tcPr>
            <w:tcW w:w="3440" w:type="dxa"/>
            <w:vAlign w:val="bottom"/>
          </w:tcPr>
          <w:p>
            <w:pPr>
              <w:ind w:left="260"/>
              <w:spacing w:after="0"/>
              <w:rPr>
                <w:sz w:val="20"/>
                <w:szCs w:val="20"/>
                <w:color w:val="auto"/>
              </w:rPr>
            </w:pPr>
            <w:r>
              <w:rPr>
                <w:rFonts w:ascii="Arial" w:cs="Arial" w:eastAsia="Arial" w:hAnsi="Arial"/>
                <w:sz w:val="14"/>
                <w:szCs w:val="14"/>
                <w:color w:val="auto"/>
              </w:rPr>
              <w:t>reclassifications</w:t>
            </w:r>
          </w:p>
        </w:tc>
        <w:tc>
          <w:tcPr>
            <w:tcW w:w="1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40" w:type="dxa"/>
            <w:vAlign w:val="bottom"/>
          </w:tcPr>
          <w:p>
            <w:pPr>
              <w:ind w:left="100"/>
              <w:spacing w:after="0" w:line="147" w:lineRule="exact"/>
              <w:rPr>
                <w:sz w:val="20"/>
                <w:szCs w:val="20"/>
                <w:color w:val="auto"/>
              </w:rPr>
            </w:pPr>
            <w:r>
              <w:rPr>
                <w:rFonts w:ascii="Arial" w:cs="Arial" w:eastAsia="Arial" w:hAnsi="Arial"/>
                <w:sz w:val="14"/>
                <w:szCs w:val="14"/>
                <w:color w:val="auto"/>
              </w:rPr>
              <w:t>Amounts reclassified from accumulated other</w:t>
            </w:r>
          </w:p>
        </w:tc>
        <w:tc>
          <w:tcPr>
            <w:tcW w:w="128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comprehensive income (loss)</w:t>
            </w:r>
          </w:p>
        </w:tc>
        <w:tc>
          <w:tcPr>
            <w:tcW w:w="12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3440" w:type="dxa"/>
            <w:vAlign w:val="bottom"/>
          </w:tcPr>
          <w:p>
            <w:pPr>
              <w:ind w:left="100"/>
              <w:spacing w:after="0" w:line="129" w:lineRule="exact"/>
              <w:rPr>
                <w:sz w:val="20"/>
                <w:szCs w:val="20"/>
                <w:color w:val="auto"/>
              </w:rPr>
            </w:pPr>
            <w:r>
              <w:rPr>
                <w:rFonts w:ascii="Arial" w:cs="Arial" w:eastAsia="Arial" w:hAnsi="Arial"/>
                <w:sz w:val="14"/>
                <w:szCs w:val="14"/>
                <w:color w:val="auto"/>
              </w:rPr>
              <w:t>Net current-period other comprehensive income</w:t>
            </w:r>
          </w:p>
        </w:tc>
        <w:tc>
          <w:tcPr>
            <w:tcW w:w="1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(loss)</w:t>
            </w: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4"/>
                <w:szCs w:val="14"/>
                <w:color w:val="auto"/>
              </w:rPr>
              <w:t>Balance, September 30, 2024</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1"/>
        </w:trPr>
        <w:tc>
          <w:tcPr>
            <w:tcW w:w="3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3"/>
        </w:trPr>
        <w:tc>
          <w:tcPr>
            <w:tcW w:w="3440" w:type="dxa"/>
            <w:vAlign w:val="bottom"/>
          </w:tcPr>
          <w:p>
            <w:pPr>
              <w:spacing w:after="0"/>
              <w:rPr>
                <w:sz w:val="20"/>
                <w:szCs w:val="20"/>
                <w:color w:val="auto"/>
              </w:rPr>
            </w:pPr>
            <w:r>
              <w:rPr>
                <w:rFonts w:ascii="Arial" w:cs="Arial" w:eastAsia="Arial" w:hAnsi="Arial"/>
                <w:sz w:val="14"/>
                <w:szCs w:val="14"/>
                <w:color w:val="auto"/>
              </w:rPr>
              <w:t>Balance, January 1, 2023</w:t>
            </w: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8"/>
              <w:spacing w:after="0"/>
              <w:rPr>
                <w:sz w:val="20"/>
                <w:szCs w:val="20"/>
                <w:color w:val="auto"/>
              </w:rPr>
            </w:pPr>
            <w:r>
              <w:rPr>
                <w:rFonts w:ascii="Arial" w:cs="Arial" w:eastAsia="Arial" w:hAnsi="Arial"/>
                <w:sz w:val="14"/>
                <w:szCs w:val="14"/>
                <w:color w:val="auto"/>
              </w:rPr>
              <w:t>45</w:t>
            </w:r>
          </w:p>
        </w:tc>
        <w:tc>
          <w:tcPr>
            <w:tcW w:w="80" w:type="dxa"/>
            <w:vAlign w:val="bottom"/>
          </w:tcPr>
          <w:p>
            <w:pPr>
              <w:spacing w:after="0"/>
              <w:rPr>
                <w:sz w:val="24"/>
                <w:szCs w:val="24"/>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24"/>
                <w:szCs w:val="2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57"/>
        </w:trPr>
        <w:tc>
          <w:tcPr>
            <w:tcW w:w="3440" w:type="dxa"/>
            <w:vAlign w:val="bottom"/>
          </w:tcPr>
          <w:p>
            <w:pPr>
              <w:ind w:left="100"/>
              <w:spacing w:after="0" w:line="157" w:lineRule="exact"/>
              <w:rPr>
                <w:sz w:val="20"/>
                <w:szCs w:val="20"/>
                <w:color w:val="auto"/>
              </w:rPr>
            </w:pPr>
            <w:r>
              <w:rPr>
                <w:rFonts w:ascii="Arial" w:cs="Arial" w:eastAsia="Arial" w:hAnsi="Arial"/>
                <w:sz w:val="14"/>
                <w:szCs w:val="14"/>
                <w:color w:val="auto"/>
              </w:rPr>
              <w:t>Other comprehensive income (loss) before</w:t>
            </w:r>
          </w:p>
        </w:tc>
        <w:tc>
          <w:tcPr>
            <w:tcW w:w="1280" w:type="dxa"/>
            <w:vAlign w:val="bottom"/>
          </w:tcPr>
          <w:p>
            <w:pPr>
              <w:spacing w:after="0"/>
              <w:rPr>
                <w:sz w:val="13"/>
                <w:szCs w:val="13"/>
                <w:color w:val="auto"/>
              </w:rPr>
            </w:pPr>
          </w:p>
        </w:tc>
        <w:tc>
          <w:tcPr>
            <w:tcW w:w="320" w:type="dxa"/>
            <w:vAlign w:val="bottom"/>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vMerge w:val="restart"/>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0"/>
        </w:trPr>
        <w:tc>
          <w:tcPr>
            <w:tcW w:w="3440" w:type="dxa"/>
            <w:vAlign w:val="bottom"/>
          </w:tcPr>
          <w:p>
            <w:pPr>
              <w:ind w:left="260"/>
              <w:spacing w:after="0"/>
              <w:rPr>
                <w:sz w:val="20"/>
                <w:szCs w:val="20"/>
                <w:color w:val="auto"/>
              </w:rPr>
            </w:pPr>
            <w:r>
              <w:rPr>
                <w:rFonts w:ascii="Arial" w:cs="Arial" w:eastAsia="Arial" w:hAnsi="Arial"/>
                <w:sz w:val="14"/>
                <w:szCs w:val="14"/>
                <w:color w:val="auto"/>
              </w:rPr>
              <w:t>reclassifications</w:t>
            </w:r>
          </w:p>
        </w:tc>
        <w:tc>
          <w:tcPr>
            <w:tcW w:w="128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440" w:type="dxa"/>
            <w:vAlign w:val="bottom"/>
          </w:tcPr>
          <w:p>
            <w:pPr>
              <w:ind w:left="100"/>
              <w:spacing w:after="0" w:line="147" w:lineRule="exact"/>
              <w:rPr>
                <w:sz w:val="20"/>
                <w:szCs w:val="20"/>
                <w:color w:val="auto"/>
              </w:rPr>
            </w:pPr>
            <w:r>
              <w:rPr>
                <w:rFonts w:ascii="Arial" w:cs="Arial" w:eastAsia="Arial" w:hAnsi="Arial"/>
                <w:sz w:val="14"/>
                <w:szCs w:val="14"/>
                <w:color w:val="auto"/>
              </w:rPr>
              <w:t>Amounts reclassified from accumulated other</w:t>
            </w:r>
          </w:p>
        </w:tc>
        <w:tc>
          <w:tcPr>
            <w:tcW w:w="1280" w:type="dxa"/>
            <w:vAlign w:val="bottom"/>
          </w:tcPr>
          <w:p>
            <w:pPr>
              <w:spacing w:after="0"/>
              <w:rPr>
                <w:sz w:val="12"/>
                <w:szCs w:val="12"/>
                <w:color w:val="auto"/>
              </w:rPr>
            </w:pPr>
          </w:p>
        </w:tc>
        <w:tc>
          <w:tcPr>
            <w:tcW w:w="420" w:type="dxa"/>
            <w:vAlign w:val="bottom"/>
            <w:gridSpan w:val="2"/>
            <w:vMerge w:val="restart"/>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comprehensive income (loss)</w:t>
            </w:r>
          </w:p>
        </w:tc>
        <w:tc>
          <w:tcPr>
            <w:tcW w:w="128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3440" w:type="dxa"/>
            <w:vAlign w:val="bottom"/>
          </w:tcPr>
          <w:p>
            <w:pPr>
              <w:ind w:left="100"/>
              <w:spacing w:after="0" w:line="129" w:lineRule="exact"/>
              <w:rPr>
                <w:sz w:val="20"/>
                <w:szCs w:val="20"/>
                <w:color w:val="auto"/>
              </w:rPr>
            </w:pPr>
            <w:r>
              <w:rPr>
                <w:rFonts w:ascii="Arial" w:cs="Arial" w:eastAsia="Arial" w:hAnsi="Arial"/>
                <w:sz w:val="14"/>
                <w:szCs w:val="14"/>
                <w:color w:val="auto"/>
              </w:rPr>
              <w:t>Net current-period other comprehensive income</w:t>
            </w:r>
          </w:p>
        </w:tc>
        <w:tc>
          <w:tcPr>
            <w:tcW w:w="12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9"/>
        </w:trPr>
        <w:tc>
          <w:tcPr>
            <w:tcW w:w="3440" w:type="dxa"/>
            <w:vAlign w:val="bottom"/>
          </w:tcPr>
          <w:p>
            <w:pPr>
              <w:ind w:left="260"/>
              <w:spacing w:after="0"/>
              <w:rPr>
                <w:sz w:val="20"/>
                <w:szCs w:val="20"/>
                <w:color w:val="auto"/>
              </w:rPr>
            </w:pPr>
            <w:r>
              <w:rPr>
                <w:rFonts w:ascii="Arial" w:cs="Arial" w:eastAsia="Arial" w:hAnsi="Arial"/>
                <w:sz w:val="14"/>
                <w:szCs w:val="14"/>
                <w:color w:val="auto"/>
              </w:rPr>
              <w:t>(loss)</w:t>
            </w:r>
          </w:p>
        </w:tc>
        <w:tc>
          <w:tcPr>
            <w:tcW w:w="12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40" w:type="dxa"/>
            <w:vAlign w:val="bottom"/>
          </w:tcPr>
          <w:p>
            <w:pPr>
              <w:spacing w:after="0"/>
              <w:rPr>
                <w:sz w:val="20"/>
                <w:szCs w:val="20"/>
                <w:color w:val="auto"/>
              </w:rPr>
            </w:pPr>
            <w:r>
              <w:rPr>
                <w:rFonts w:ascii="Arial" w:cs="Arial" w:eastAsia="Arial" w:hAnsi="Arial"/>
                <w:sz w:val="14"/>
                <w:szCs w:val="14"/>
                <w:color w:val="auto"/>
              </w:rPr>
              <w:t>Balance, September 30, 2023</w:t>
            </w: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jc w:val="both"/>
        <w:ind w:left="6"/>
        <w:spacing w:after="0" w:line="264"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$79 million gain, net of tax, as of September 30, 2024 related to our hedge of our investment in euro-denominated foreign operations (see Note 16 – Financial Instruments).</w:t>
      </w:r>
    </w:p>
    <w:p>
      <w:pPr>
        <w:spacing w:after="0" w:line="1" w:lineRule="exact"/>
        <w:rPr>
          <w:sz w:val="20"/>
          <w:szCs w:val="20"/>
          <w:color w:val="auto"/>
        </w:rPr>
      </w:pPr>
    </w:p>
    <w:p>
      <w:pPr>
        <w:jc w:val="both"/>
        <w:ind w:left="326" w:hanging="326"/>
        <w:spacing w:after="0" w:line="238" w:lineRule="auto"/>
        <w:tabs>
          <w:tab w:leader="none" w:pos="319"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2024 and 2023, amounts reclassified from accumulated other comprehensive income (loss) into corporate interest expense were gains of $8 million ($5 million, net of tax) and gains of $2 million ($2 million, net of tax), respectively. For the nine months ended September 30, 2024 and 2023, the amounts reclassified from accumulated other comprehensive income (loss) into corporate interest expense were gains of $22 million ($16 million, net of tax) and gains of $10 million ($8 million, net of tax), respectively.</w:t>
      </w:r>
    </w:p>
    <w:p>
      <w:pPr>
        <w:spacing w:after="0" w:line="1" w:lineRule="exact"/>
        <w:rPr>
          <w:rFonts w:ascii="Arial" w:cs="Arial" w:eastAsia="Arial" w:hAnsi="Arial"/>
          <w:sz w:val="19"/>
          <w:szCs w:val="19"/>
          <w:color w:val="auto"/>
          <w:vertAlign w:val="superscript"/>
        </w:rPr>
      </w:pPr>
    </w:p>
    <w:p>
      <w:pPr>
        <w:jc w:val="both"/>
        <w:ind w:left="326" w:hanging="326"/>
        <w:spacing w:after="0"/>
        <w:tabs>
          <w:tab w:leader="none" w:pos="319"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For the three months ended September 30, 2024 and 2023, amounts reclassified from accumulated other comprehensive income (loss) into selling, general and administrative expenses were losses of $1 million ($1 million, net of tax) in each period. For the nine months ended September 30, 2024 and 2023, amounts reclassified from accumulated other comprehensive income (loss) into selling, general and administrative expenses were losses of $4 million ($3 million, net of tax) in each period.</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5" w:name="page26"/>
    <w:bookmarkEnd w:id="25"/>
    <w:p>
      <w:pPr>
        <w:jc w:val="both"/>
        <w:ind w:left="442" w:right="8380" w:hanging="442"/>
        <w:spacing w:after="0" w:line="563" w:lineRule="auto"/>
        <w:tabs>
          <w:tab w:leader="none" w:pos="456" w:val="left"/>
        </w:tabs>
        <w:numPr>
          <w:ilvl w:val="0"/>
          <w:numId w:val="3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Related Party Transactions </w:t>
      </w:r>
      <w:r>
        <w:rPr>
          <w:rFonts w:ascii="Arial" w:cs="Arial" w:eastAsia="Arial" w:hAnsi="Arial"/>
          <w:sz w:val="17"/>
          <w:szCs w:val="17"/>
          <w:b w:val="1"/>
          <w:bCs w:val="1"/>
          <w:i w:val="1"/>
          <w:iCs w:val="1"/>
          <w:color w:val="auto"/>
        </w:rPr>
        <w:t>SRS Mobility Ventures, LLC</w:t>
      </w:r>
    </w:p>
    <w:p>
      <w:pPr>
        <w:ind w:left="442"/>
        <w:spacing w:after="0" w:line="287" w:lineRule="auto"/>
        <w:rPr>
          <w:rFonts w:ascii="Arial" w:cs="Arial" w:eastAsia="Arial" w:hAnsi="Arial"/>
          <w:sz w:val="17"/>
          <w:szCs w:val="17"/>
          <w:b w:val="1"/>
          <w:bCs w:val="1"/>
          <w:color w:val="auto"/>
        </w:rPr>
      </w:pPr>
      <w:r>
        <w:rPr>
          <w:rFonts w:ascii="Arial" w:cs="Arial" w:eastAsia="Arial" w:hAnsi="Arial"/>
          <w:sz w:val="18"/>
          <w:szCs w:val="18"/>
          <w:color w:val="auto"/>
        </w:rPr>
        <w:t>In 2021, SRS Mobility Ventures, LLC acquired a 33 1/3% Class A Membership Interest in one of our subsidiaries at fair value of $37.5 million. SRS Mobility Ventures, LLC is an affiliate of our largest shareholder, SRS Investment Management, LLC.</w:t>
      </w:r>
    </w:p>
    <w:p>
      <w:pPr>
        <w:spacing w:after="0" w:line="179" w:lineRule="exact"/>
        <w:rPr>
          <w:rFonts w:ascii="Arial" w:cs="Arial" w:eastAsia="Arial" w:hAnsi="Arial"/>
          <w:sz w:val="17"/>
          <w:szCs w:val="17"/>
          <w:b w:val="1"/>
          <w:bCs w:val="1"/>
          <w:color w:val="auto"/>
        </w:rPr>
      </w:pPr>
    </w:p>
    <w:p>
      <w:pPr>
        <w:jc w:val="both"/>
        <w:ind w:left="442"/>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On September 1, 2022, through the issuance of Class B Preferred Voting Membership Interests, SRS Mobility Ventures, LLC increased their ownership in this subsidiary to 51% at fair value of $62 million. In accordance with ASC Topic 810-10-40, we must deconsolidate a subsidiary as of the date we cease to have a controlling interest in that subsidiary and recognize the gain or loss in net income at that time. The fair value of our retained investment was determined utilizing a discounted cash flow methodology based on various assumptions, including projections of future cash flows, which include forecast of future revenue and EBITDA. As a result, we deconsolidated our former subsidiary, Avis Mobility Ventures LLC (“AMV”), from our financial statements and began to report our proportional share of the former subsidiary’s income or loss within other (income) expense, net in our Consolidated Condensed Statements of Comprehensive Income as we do not have the ability to direct the significant activities of the former subsidiary and are therefore no longer primary beneficiary of the VIE. Upon deconsolidation, our former subsidiary had a net asset carrying amount of $49 million resulting in a gain of $10 million. In August and October 2023, SRS Mobility Ventures, LLC made capital contributions to AMV, increasing their ownership to approximately 65%. In June 2024, SRS Mobility Ventures, LLC made a capital contribution of approximately $22.2 million to AMV, and we simultaneously settled approximately $11.7 million in receivables from AMV related to services we provided. SRS Mobility Ventures, LLC’s ownership percentage remained at approximately 65% following these transactions.</w:t>
      </w:r>
    </w:p>
    <w:p>
      <w:pPr>
        <w:spacing w:after="0" w:line="212" w:lineRule="exact"/>
        <w:rPr>
          <w:rFonts w:ascii="Arial" w:cs="Arial" w:eastAsia="Arial" w:hAnsi="Arial"/>
          <w:sz w:val="17"/>
          <w:szCs w:val="17"/>
          <w:b w:val="1"/>
          <w:bCs w:val="1"/>
          <w:color w:val="auto"/>
        </w:rPr>
      </w:pPr>
    </w:p>
    <w:p>
      <w:pPr>
        <w:jc w:val="both"/>
        <w:ind w:left="442"/>
        <w:spacing w:after="0" w:line="268" w:lineRule="auto"/>
        <w:rPr>
          <w:rFonts w:ascii="Arial" w:cs="Arial" w:eastAsia="Arial" w:hAnsi="Arial"/>
          <w:sz w:val="17"/>
          <w:szCs w:val="17"/>
          <w:b w:val="1"/>
          <w:bCs w:val="1"/>
          <w:color w:val="auto"/>
        </w:rPr>
      </w:pPr>
      <w:r>
        <w:rPr>
          <w:rFonts w:ascii="Arial" w:cs="Arial" w:eastAsia="Arial" w:hAnsi="Arial"/>
          <w:sz w:val="18"/>
          <w:szCs w:val="18"/>
          <w:color w:val="auto"/>
        </w:rPr>
        <w:t>We continue to provide vehicles, related fleet services, and certain administrative services to AMV to support their operations. The following table provides amounts reported within our Consolidated Condensed Balance Sheets related to our equity method investment in AMV and these services.</w:t>
      </w:r>
    </w:p>
    <w:p>
      <w:pPr>
        <w:spacing w:after="0" w:line="243" w:lineRule="exact"/>
        <w:rPr>
          <w:sz w:val="20"/>
          <w:szCs w:val="20"/>
          <w:color w:val="auto"/>
        </w:rPr>
      </w:pPr>
    </w:p>
    <w:tbl>
      <w:tblPr>
        <w:tblLayout w:type="fixed"/>
        <w:tblInd w:w="462"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1380" w:type="dxa"/>
            <w:vAlign w:val="bottom"/>
          </w:tcPr>
          <w:p>
            <w:pPr>
              <w:jc w:val="center"/>
              <w:ind w:left="179"/>
              <w:spacing w:after="0"/>
              <w:rPr>
                <w:sz w:val="20"/>
                <w:szCs w:val="20"/>
                <w:color w:val="auto"/>
              </w:rPr>
            </w:pPr>
            <w:r>
              <w:rPr>
                <w:rFonts w:ascii="Arial" w:cs="Arial" w:eastAsia="Arial" w:hAnsi="Arial"/>
                <w:sz w:val="16"/>
                <w:szCs w:val="16"/>
                <w:b w:val="1"/>
                <w:bCs w:val="1"/>
                <w:color w:val="auto"/>
                <w:w w:val="99"/>
              </w:rPr>
              <w:t>As of</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As of</w:t>
            </w:r>
          </w:p>
        </w:tc>
      </w:tr>
      <w:tr>
        <w:trPr>
          <w:trHeight w:val="216"/>
        </w:trPr>
        <w:tc>
          <w:tcPr>
            <w:tcW w:w="6780" w:type="dxa"/>
            <w:vAlign w:val="bottom"/>
          </w:tcPr>
          <w:p>
            <w:pPr>
              <w:spacing w:after="0"/>
              <w:rPr>
                <w:sz w:val="18"/>
                <w:szCs w:val="18"/>
                <w:color w:val="auto"/>
              </w:rPr>
            </w:pPr>
          </w:p>
        </w:tc>
        <w:tc>
          <w:tcPr>
            <w:tcW w:w="1380" w:type="dxa"/>
            <w:vAlign w:val="bottom"/>
          </w:tcPr>
          <w:p>
            <w:pPr>
              <w:jc w:val="center"/>
              <w:ind w:left="159"/>
              <w:spacing w:after="0"/>
              <w:rPr>
                <w:sz w:val="20"/>
                <w:szCs w:val="20"/>
                <w:color w:val="auto"/>
              </w:rPr>
            </w:pPr>
            <w:r>
              <w:rPr>
                <w:rFonts w:ascii="Arial" w:cs="Arial" w:eastAsia="Arial" w:hAnsi="Arial"/>
                <w:sz w:val="16"/>
                <w:szCs w:val="16"/>
                <w:b w:val="1"/>
                <w:bCs w:val="1"/>
                <w:color w:val="auto"/>
              </w:rPr>
              <w:t>September 30,</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December 31,</w:t>
            </w:r>
          </w:p>
        </w:tc>
      </w:tr>
      <w:tr>
        <w:trPr>
          <w:trHeight w:val="217"/>
        </w:trPr>
        <w:tc>
          <w:tcPr>
            <w:tcW w:w="6780" w:type="dxa"/>
            <w:vAlign w:val="bottom"/>
          </w:tcPr>
          <w:p>
            <w:pPr>
              <w:spacing w:after="0"/>
              <w:rPr>
                <w:sz w:val="18"/>
                <w:szCs w:val="18"/>
                <w:color w:val="auto"/>
              </w:rPr>
            </w:pPr>
          </w:p>
        </w:tc>
        <w:tc>
          <w:tcPr>
            <w:tcW w:w="1380" w:type="dxa"/>
            <w:vAlign w:val="bottom"/>
            <w:tcBorders>
              <w:bottom w:val="single" w:sz="8" w:color="auto"/>
            </w:tcBorders>
          </w:tcPr>
          <w:p>
            <w:pPr>
              <w:jc w:val="center"/>
              <w:ind w:left="179"/>
              <w:spacing w:after="0"/>
              <w:rPr>
                <w:sz w:val="20"/>
                <w:szCs w:val="20"/>
                <w:color w:val="auto"/>
              </w:rPr>
            </w:pPr>
            <w:r>
              <w:rPr>
                <w:rFonts w:ascii="Arial" w:cs="Arial" w:eastAsia="Arial" w:hAnsi="Arial"/>
                <w:sz w:val="16"/>
                <w:szCs w:val="16"/>
                <w:b w:val="1"/>
                <w:bCs w:val="1"/>
                <w:color w:val="auto"/>
              </w:rPr>
              <w:t>2024</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2023</w:t>
            </w:r>
          </w:p>
        </w:tc>
      </w:tr>
      <w:tr>
        <w:trPr>
          <w:trHeight w:val="209"/>
        </w:trPr>
        <w:tc>
          <w:tcPr>
            <w:tcW w:w="6780" w:type="dxa"/>
            <w:vAlign w:val="bottom"/>
          </w:tcPr>
          <w:p>
            <w:pPr>
              <w:spacing w:after="0" w:line="209" w:lineRule="exact"/>
              <w:rPr>
                <w:sz w:val="20"/>
                <w:szCs w:val="20"/>
                <w:color w:val="auto"/>
              </w:rPr>
            </w:pPr>
            <w:r>
              <w:rPr>
                <w:rFonts w:ascii="Arial" w:cs="Arial" w:eastAsia="Arial" w:hAnsi="Arial"/>
                <w:sz w:val="16"/>
                <w:szCs w:val="16"/>
                <w:color w:val="auto"/>
              </w:rPr>
              <w:t xml:space="preserve">Receivables from AMV </w:t>
            </w:r>
            <w:r>
              <w:rPr>
                <w:rFonts w:ascii="Arial" w:cs="Arial" w:eastAsia="Arial" w:hAnsi="Arial"/>
                <w:sz w:val="21"/>
                <w:szCs w:val="21"/>
                <w:color w:val="auto"/>
                <w:vertAlign w:val="superscript"/>
              </w:rPr>
              <w:t>(a)</w:t>
            </w:r>
          </w:p>
        </w:tc>
        <w:tc>
          <w:tcPr>
            <w:tcW w:w="1380" w:type="dxa"/>
            <w:vAlign w:val="bottom"/>
          </w:tcPr>
          <w:p>
            <w:pPr>
              <w:jc w:val="right"/>
              <w:ind w:right="1199"/>
              <w:spacing w:after="0"/>
              <w:rPr>
                <w:sz w:val="20"/>
                <w:szCs w:val="20"/>
                <w:color w:val="auto"/>
              </w:rPr>
            </w:pPr>
            <w:r>
              <w:rPr>
                <w:rFonts w:ascii="Arial" w:cs="Arial" w:eastAsia="Arial" w:hAnsi="Arial"/>
                <w:sz w:val="16"/>
                <w:szCs w:val="16"/>
                <w:color w:val="auto"/>
                <w:w w:val="89"/>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16"/>
        </w:trPr>
        <w:tc>
          <w:tcPr>
            <w:tcW w:w="6780" w:type="dxa"/>
            <w:vAlign w:val="bottom"/>
          </w:tcPr>
          <w:p>
            <w:pPr>
              <w:spacing w:after="0" w:line="216" w:lineRule="exact"/>
              <w:rPr>
                <w:sz w:val="20"/>
                <w:szCs w:val="20"/>
                <w:color w:val="auto"/>
              </w:rPr>
            </w:pPr>
            <w:r>
              <w:rPr>
                <w:rFonts w:ascii="Arial" w:cs="Arial" w:eastAsia="Arial" w:hAnsi="Arial"/>
                <w:sz w:val="16"/>
                <w:szCs w:val="16"/>
                <w:color w:val="auto"/>
              </w:rPr>
              <w:t xml:space="preserve">Equity method investment in AMV </w:t>
            </w:r>
            <w:r>
              <w:rPr>
                <w:rFonts w:ascii="Arial" w:cs="Arial" w:eastAsia="Arial" w:hAnsi="Arial"/>
                <w:sz w:val="21"/>
                <w:szCs w:val="21"/>
                <w:color w:val="auto"/>
                <w:vertAlign w:val="superscript"/>
              </w:rPr>
              <w:t>(b)</w:t>
            </w:r>
          </w:p>
        </w:tc>
        <w:tc>
          <w:tcPr>
            <w:tcW w:w="13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24</w:t>
            </w:r>
          </w:p>
        </w:tc>
      </w:tr>
      <w:tr>
        <w:trPr>
          <w:trHeight w:val="286"/>
        </w:trPr>
        <w:tc>
          <w:tcPr>
            <w:tcW w:w="6780" w:type="dxa"/>
            <w:vAlign w:val="bottom"/>
          </w:tcPr>
          <w:p>
            <w:pPr>
              <w:spacing w:after="0"/>
              <w:rPr>
                <w:sz w:val="20"/>
                <w:szCs w:val="20"/>
                <w:color w:val="auto"/>
              </w:rPr>
            </w:pPr>
            <w:r>
              <w:rPr>
                <w:rFonts w:ascii="Arial" w:cs="Arial" w:eastAsia="Arial" w:hAnsi="Arial"/>
                <w:sz w:val="16"/>
                <w:szCs w:val="16"/>
                <w:color w:val="auto"/>
              </w:rPr>
              <w:t xml:space="preserve">Vehicles, net investment in lease with AMV </w:t>
            </w:r>
            <w:r>
              <w:rPr>
                <w:rFonts w:ascii="Arial" w:cs="Arial" w:eastAsia="Arial" w:hAnsi="Arial"/>
                <w:sz w:val="21"/>
                <w:szCs w:val="21"/>
                <w:color w:val="auto"/>
                <w:vertAlign w:val="superscript"/>
              </w:rPr>
              <w:t>(c)</w:t>
            </w:r>
          </w:p>
        </w:tc>
        <w:tc>
          <w:tcPr>
            <w:tcW w:w="1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6"/>
                <w:szCs w:val="16"/>
                <w:color w:val="auto"/>
                <w:w w:val="89"/>
              </w:rPr>
              <w:t>99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31</w:t>
            </w:r>
          </w:p>
        </w:tc>
      </w:tr>
    </w:tbl>
    <w:p>
      <w:pPr>
        <w:spacing w:after="0" w:line="2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8" w:lineRule="exact"/>
        <w:rPr>
          <w:sz w:val="20"/>
          <w:szCs w:val="20"/>
          <w:color w:val="auto"/>
        </w:rPr>
      </w:pPr>
    </w:p>
    <w:p>
      <w:pPr>
        <w:ind w:left="662" w:hanging="226"/>
        <w:spacing w:after="0"/>
        <w:tabs>
          <w:tab w:leader="none" w:pos="662" w:val="left"/>
        </w:tabs>
        <w:numPr>
          <w:ilvl w:val="0"/>
          <w:numId w:val="36"/>
        </w:numPr>
        <w:rPr>
          <w:rFonts w:ascii="Arial" w:cs="Arial" w:eastAsia="Arial" w:hAnsi="Arial"/>
          <w:sz w:val="19"/>
          <w:szCs w:val="19"/>
          <w:color w:val="auto"/>
          <w:vertAlign w:val="superscript"/>
        </w:rPr>
      </w:pPr>
      <w:r>
        <w:rPr>
          <w:rFonts w:ascii="Arial" w:cs="Arial" w:eastAsia="Arial" w:hAnsi="Arial"/>
          <w:sz w:val="14"/>
          <w:szCs w:val="14"/>
          <w:color w:val="auto"/>
        </w:rPr>
        <w:t>Included within other current assets.</w:t>
      </w:r>
    </w:p>
    <w:p>
      <w:pPr>
        <w:ind w:left="662" w:hanging="226"/>
        <w:spacing w:after="0" w:line="187" w:lineRule="auto"/>
        <w:tabs>
          <w:tab w:leader="none" w:pos="662" w:val="left"/>
        </w:tabs>
        <w:numPr>
          <w:ilvl w:val="0"/>
          <w:numId w:val="36"/>
        </w:numPr>
        <w:rPr>
          <w:rFonts w:ascii="Arial" w:cs="Arial" w:eastAsia="Arial" w:hAnsi="Arial"/>
          <w:sz w:val="18"/>
          <w:szCs w:val="18"/>
          <w:color w:val="auto"/>
          <w:vertAlign w:val="superscript"/>
        </w:rPr>
      </w:pPr>
      <w:r>
        <w:rPr>
          <w:rFonts w:ascii="Arial" w:cs="Arial" w:eastAsia="Arial" w:hAnsi="Arial"/>
          <w:sz w:val="14"/>
          <w:szCs w:val="14"/>
          <w:color w:val="auto"/>
        </w:rPr>
        <w:t>Included within other non-current assets.</w:t>
      </w:r>
    </w:p>
    <w:p>
      <w:pPr>
        <w:ind w:left="642" w:hanging="206"/>
        <w:spacing w:after="0"/>
        <w:tabs>
          <w:tab w:leader="none" w:pos="642" w:val="left"/>
        </w:tabs>
        <w:numPr>
          <w:ilvl w:val="0"/>
          <w:numId w:val="36"/>
        </w:numPr>
        <w:rPr>
          <w:rFonts w:ascii="Arial" w:cs="Arial" w:eastAsia="Arial" w:hAnsi="Arial"/>
          <w:sz w:val="9"/>
          <w:szCs w:val="9"/>
          <w:color w:val="auto"/>
        </w:rPr>
      </w:pPr>
      <w:r>
        <w:rPr>
          <w:rFonts w:ascii="Arial" w:cs="Arial" w:eastAsia="Arial" w:hAnsi="Arial"/>
          <w:sz w:val="14"/>
          <w:szCs w:val="14"/>
          <w:color w:val="auto"/>
        </w:rPr>
        <w:t>Included within vehicles, net. See Note 7 – Vehicle Rental Activities.</w:t>
      </w:r>
    </w:p>
    <w:p>
      <w:pPr>
        <w:spacing w:after="0" w:line="234"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components of other (income) expense, net are summarized below:</w:t>
      </w:r>
    </w:p>
    <w:p>
      <w:pPr>
        <w:spacing w:after="0" w:line="276"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232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0" w:type="dxa"/>
            <w:vAlign w:val="bottom"/>
            <w:gridSpan w:val="4"/>
          </w:tcPr>
          <w:p>
            <w:pPr>
              <w:jc w:val="right"/>
              <w:ind w:right="539"/>
              <w:spacing w:after="0"/>
              <w:rPr>
                <w:sz w:val="20"/>
                <w:szCs w:val="20"/>
                <w:color w:val="auto"/>
              </w:rPr>
            </w:pPr>
            <w:r>
              <w:rPr>
                <w:rFonts w:ascii="Arial" w:cs="Arial" w:eastAsia="Arial" w:hAnsi="Arial"/>
                <w:sz w:val="16"/>
                <w:szCs w:val="16"/>
                <w:b w:val="1"/>
                <w:bCs w:val="1"/>
                <w:color w:val="auto"/>
              </w:rPr>
              <w:t>Nine Months Ended</w:t>
            </w:r>
          </w:p>
        </w:tc>
      </w:tr>
      <w:tr>
        <w:trPr>
          <w:trHeight w:val="216"/>
        </w:trPr>
        <w:tc>
          <w:tcPr>
            <w:tcW w:w="4700" w:type="dxa"/>
            <w:vAlign w:val="bottom"/>
          </w:tcPr>
          <w:p>
            <w:pPr>
              <w:spacing w:after="0"/>
              <w:rPr>
                <w:sz w:val="18"/>
                <w:szCs w:val="18"/>
                <w:color w:val="auto"/>
              </w:rPr>
            </w:pPr>
          </w:p>
        </w:tc>
        <w:tc>
          <w:tcPr>
            <w:tcW w:w="2320" w:type="dxa"/>
            <w:vAlign w:val="bottom"/>
            <w:tcBorders>
              <w:bottom w:val="single" w:sz="8" w:color="auto"/>
            </w:tcBorders>
            <w:gridSpan w:val="4"/>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4"/>
          </w:tcPr>
          <w:p>
            <w:pPr>
              <w:jc w:val="right"/>
              <w:ind w:right="699"/>
              <w:spacing w:after="0"/>
              <w:rPr>
                <w:sz w:val="20"/>
                <w:szCs w:val="20"/>
                <w:color w:val="auto"/>
              </w:rPr>
            </w:pPr>
            <w:r>
              <w:rPr>
                <w:rFonts w:ascii="Arial" w:cs="Arial" w:eastAsia="Arial" w:hAnsi="Arial"/>
                <w:sz w:val="16"/>
                <w:szCs w:val="16"/>
                <w:b w:val="1"/>
                <w:bCs w:val="1"/>
                <w:color w:val="auto"/>
              </w:rPr>
              <w:t>September 30,</w:t>
            </w:r>
          </w:p>
        </w:tc>
      </w:tr>
      <w:tr>
        <w:trPr>
          <w:trHeight w:val="209"/>
        </w:trPr>
        <w:tc>
          <w:tcPr>
            <w:tcW w:w="4700" w:type="dxa"/>
            <w:vAlign w:val="bottom"/>
          </w:tcPr>
          <w:p>
            <w:pPr>
              <w:spacing w:after="0"/>
              <w:rPr>
                <w:sz w:val="18"/>
                <w:szCs w:val="18"/>
                <w:color w:val="auto"/>
              </w:rPr>
            </w:pPr>
          </w:p>
        </w:tc>
        <w:tc>
          <w:tcPr>
            <w:tcW w:w="9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r>
      <w:tr>
        <w:trPr>
          <w:trHeight w:val="208"/>
        </w:trPr>
        <w:tc>
          <w:tcPr>
            <w:tcW w:w="4700" w:type="dxa"/>
            <w:vAlign w:val="bottom"/>
          </w:tcPr>
          <w:p>
            <w:pPr>
              <w:spacing w:after="0"/>
              <w:rPr>
                <w:sz w:val="20"/>
                <w:szCs w:val="20"/>
                <w:color w:val="auto"/>
              </w:rPr>
            </w:pPr>
            <w:r>
              <w:rPr>
                <w:rFonts w:ascii="Arial" w:cs="Arial" w:eastAsia="Arial" w:hAnsi="Arial"/>
                <w:sz w:val="16"/>
                <w:szCs w:val="16"/>
                <w:color w:val="auto"/>
              </w:rPr>
              <w:t>(Income) expense for services to AMV, net</w:t>
            </w:r>
          </w:p>
        </w:tc>
        <w:tc>
          <w:tcPr>
            <w:tcW w:w="960" w:type="dxa"/>
            <w:vAlign w:val="bottom"/>
          </w:tcPr>
          <w:p>
            <w:pPr>
              <w:jc w:val="right"/>
              <w:ind w:right="77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center"/>
              <w:ind w:left="1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center"/>
              <w:ind w:left="67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216"/>
        </w:trPr>
        <w:tc>
          <w:tcPr>
            <w:tcW w:w="4700" w:type="dxa"/>
            <w:vAlign w:val="bottom"/>
          </w:tcPr>
          <w:p>
            <w:pPr>
              <w:spacing w:after="0"/>
              <w:rPr>
                <w:sz w:val="20"/>
                <w:szCs w:val="20"/>
                <w:color w:val="auto"/>
              </w:rPr>
            </w:pPr>
            <w:r>
              <w:rPr>
                <w:rFonts w:ascii="Arial" w:cs="Arial" w:eastAsia="Arial" w:hAnsi="Arial"/>
                <w:sz w:val="16"/>
                <w:szCs w:val="16"/>
                <w:color w:val="auto"/>
              </w:rPr>
              <w:t>(Income) loss on equity method investment in AMV, net</w:t>
            </w:r>
          </w:p>
        </w:tc>
        <w:tc>
          <w:tcPr>
            <w:tcW w:w="9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7</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10"/>
        </w:trPr>
        <w:tc>
          <w:tcPr>
            <w:tcW w:w="4700" w:type="dxa"/>
            <w:vAlign w:val="bottom"/>
          </w:tcPr>
          <w:p>
            <w:pPr>
              <w:spacing w:after="0"/>
              <w:rPr>
                <w:sz w:val="20"/>
                <w:szCs w:val="20"/>
                <w:color w:val="auto"/>
              </w:rPr>
            </w:pPr>
            <w:r>
              <w:rPr>
                <w:rFonts w:ascii="Arial" w:cs="Arial" w:eastAsia="Arial" w:hAnsi="Arial"/>
                <w:sz w:val="16"/>
                <w:szCs w:val="16"/>
                <w:color w:val="auto"/>
              </w:rPr>
              <w:t>Other (income) expense, net</w:t>
            </w:r>
          </w:p>
        </w:tc>
        <w:tc>
          <w:tcPr>
            <w:tcW w:w="96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center"/>
              <w:ind w:left="19"/>
              <w:spacing w:after="0"/>
              <w:rPr>
                <w:sz w:val="20"/>
                <w:szCs w:val="20"/>
                <w:color w:val="auto"/>
              </w:rPr>
            </w:pPr>
            <w:r>
              <w:rPr>
                <w:rFonts w:ascii="Arial" w:cs="Arial" w:eastAsia="Arial" w:hAnsi="Arial"/>
                <w:sz w:val="16"/>
                <w:szCs w:val="16"/>
                <w:color w:val="auto"/>
                <w:w w:val="89"/>
              </w:rPr>
              <w:t>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center"/>
              <w:ind w:left="69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r>
      <w:tr>
        <w:trPr>
          <w:trHeight w:val="21"/>
        </w:trPr>
        <w:tc>
          <w:tcPr>
            <w:tcW w:w="47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4" w:right="339" w:bottom="1440" w:gutter="0" w:footer="0" w:header="0"/>
        </w:sectPr>
      </w:pPr>
    </w:p>
    <w:bookmarkStart w:id="26" w:name="page27"/>
    <w:bookmarkEnd w:id="26"/>
    <w:p>
      <w:pPr>
        <w:ind w:left="442" w:hanging="442"/>
        <w:spacing w:after="0"/>
        <w:tabs>
          <w:tab w:leader="none" w:pos="44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2" w:lineRule="exact"/>
        <w:rPr>
          <w:rFonts w:ascii="Arial" w:cs="Arial" w:eastAsia="Arial" w:hAnsi="Arial"/>
          <w:sz w:val="18"/>
          <w:szCs w:val="18"/>
          <w:b w:val="1"/>
          <w:bCs w:val="1"/>
          <w:color w:val="auto"/>
        </w:rPr>
      </w:pPr>
    </w:p>
    <w:p>
      <w:pPr>
        <w:jc w:val="both"/>
        <w:ind w:left="442"/>
        <w:spacing w:after="0" w:line="265" w:lineRule="auto"/>
        <w:rPr>
          <w:rFonts w:ascii="Arial" w:cs="Arial" w:eastAsia="Arial" w:hAnsi="Arial"/>
          <w:sz w:val="18"/>
          <w:szCs w:val="18"/>
          <w:b w:val="1"/>
          <w:bCs w:val="1"/>
          <w:color w:val="auto"/>
        </w:rPr>
      </w:pPr>
      <w:r>
        <w:rPr>
          <w:rFonts w:ascii="Arial" w:cs="Arial" w:eastAsia="Arial" w:hAnsi="Arial"/>
          <w:sz w:val="18"/>
          <w:szCs w:val="18"/>
          <w:color w:val="auto"/>
        </w:rPr>
        <w:t>We recorded stock-based compensation expense of $1 million ($1 million, net of tax) and $7 million ($5 million, net of tax) during the three months ended September 30, 2024 and 2023, respectively. We recorded stock-based compensation expense of $14 million ($11 million, net of tax) and $23 million ($16 million, net of tax) during the nine months ended September 30, 2024 and 2023, respectively</w:t>
      </w:r>
      <w:r>
        <w:rPr>
          <w:rFonts w:ascii="Times New Roman" w:cs="Times New Roman" w:eastAsia="Times New Roman" w:hAnsi="Times New Roman"/>
          <w:sz w:val="18"/>
          <w:szCs w:val="18"/>
          <w:color w:val="auto"/>
        </w:rPr>
        <w:t>.</w:t>
      </w:r>
    </w:p>
    <w:p>
      <w:pPr>
        <w:spacing w:after="0" w:line="200" w:lineRule="exact"/>
        <w:rPr>
          <w:rFonts w:ascii="Arial" w:cs="Arial" w:eastAsia="Arial" w:hAnsi="Arial"/>
          <w:sz w:val="18"/>
          <w:szCs w:val="18"/>
          <w:b w:val="1"/>
          <w:bCs w:val="1"/>
          <w:color w:val="auto"/>
        </w:rPr>
      </w:pPr>
    </w:p>
    <w:p>
      <w:pPr>
        <w:spacing w:after="0" w:line="220"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As part of our declaration and payment of a special cash dividend in December 2023, we granted additional restricted stock units (“RSUs”) to our award holders with unvested shares as a dividend equivalent, which has been deferred until, and will not be paid unless, the shares of stock underlying the award vest.</w:t>
      </w:r>
    </w:p>
    <w:p>
      <w:pPr>
        <w:spacing w:after="0" w:line="197"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RSUs consisted of (in thousands of shares):</w:t>
      </w:r>
    </w:p>
    <w:p>
      <w:pPr>
        <w:spacing w:after="0" w:line="47" w:lineRule="exact"/>
        <w:rPr>
          <w:sz w:val="20"/>
          <w:szCs w:val="20"/>
          <w:color w:val="auto"/>
        </w:rPr>
      </w:pPr>
    </w:p>
    <w:tbl>
      <w:tblPr>
        <w:tblLayout w:type="fixed"/>
        <w:tblInd w:w="462"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 Average</w:t>
            </w:r>
          </w:p>
        </w:tc>
        <w:tc>
          <w:tcPr>
            <w:tcW w:w="140" w:type="dxa"/>
            <w:vAlign w:val="bottom"/>
          </w:tcPr>
          <w:p>
            <w:pPr>
              <w:spacing w:after="0"/>
              <w:rPr>
                <w:sz w:val="14"/>
                <w:szCs w:val="14"/>
                <w:color w:val="auto"/>
              </w:rPr>
            </w:pPr>
          </w:p>
        </w:tc>
        <w:tc>
          <w:tcPr>
            <w:tcW w:w="104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4"/>
        </w:trPr>
        <w:tc>
          <w:tcPr>
            <w:tcW w:w="4720" w:type="dxa"/>
            <w:vAlign w:val="bottom"/>
          </w:tcPr>
          <w:p>
            <w:pPr>
              <w:spacing w:after="0"/>
              <w:rPr>
                <w:sz w:val="12"/>
                <w:szCs w:val="12"/>
                <w:color w:val="auto"/>
              </w:rPr>
            </w:pPr>
          </w:p>
        </w:tc>
        <w:tc>
          <w:tcPr>
            <w:tcW w:w="116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Average</w:t>
            </w:r>
          </w:p>
        </w:tc>
        <w:tc>
          <w:tcPr>
            <w:tcW w:w="170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rPr>
              <w:t>Remaining</w:t>
            </w:r>
          </w:p>
        </w:tc>
        <w:tc>
          <w:tcPr>
            <w:tcW w:w="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Grant Date</w:t>
            </w: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rPr>
              <w:t>Contractual Term</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rPr>
              <w:t>Intrinsic Value</w:t>
            </w:r>
          </w:p>
        </w:tc>
        <w:tc>
          <w:tcPr>
            <w:tcW w:w="0" w:type="dxa"/>
            <w:vAlign w:val="bottom"/>
          </w:tcPr>
          <w:p>
            <w:pPr>
              <w:spacing w:after="0"/>
              <w:rPr>
                <w:sz w:val="1"/>
                <w:szCs w:val="1"/>
                <w:color w:val="auto"/>
              </w:rPr>
            </w:pPr>
          </w:p>
        </w:tc>
      </w:tr>
      <w:tr>
        <w:trPr>
          <w:trHeight w:val="189"/>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Time-based RSUs</w:t>
            </w:r>
          </w:p>
        </w:tc>
        <w:tc>
          <w:tcPr>
            <w:tcW w:w="1160" w:type="dxa"/>
            <w:vAlign w:val="bottom"/>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Fair Value</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(years)</w:t>
            </w:r>
          </w:p>
        </w:tc>
        <w:tc>
          <w:tcPr>
            <w:tcW w:w="140" w:type="dxa"/>
            <w:vAlign w:val="bottom"/>
          </w:tcPr>
          <w:p>
            <w:pPr>
              <w:spacing w:after="0"/>
              <w:rPr>
                <w:sz w:val="16"/>
                <w:szCs w:val="16"/>
                <w:color w:val="auto"/>
              </w:rPr>
            </w:pPr>
          </w:p>
        </w:tc>
        <w:tc>
          <w:tcPr>
            <w:tcW w:w="1040" w:type="dxa"/>
            <w:vAlign w:val="bottom"/>
          </w:tcPr>
          <w:p>
            <w:pPr>
              <w:jc w:val="center"/>
              <w:ind w:right="88"/>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180"/>
        </w:trPr>
        <w:tc>
          <w:tcPr>
            <w:tcW w:w="4720" w:type="dxa"/>
            <w:vAlign w:val="bottom"/>
            <w:vMerge w:val="continue"/>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at January 1, 2024</w:t>
            </w:r>
          </w:p>
        </w:tc>
        <w:tc>
          <w:tcPr>
            <w:tcW w:w="1160" w:type="dxa"/>
            <w:vAlign w:val="bottom"/>
          </w:tcPr>
          <w:p>
            <w:pPr>
              <w:jc w:val="right"/>
              <w:spacing w:after="0"/>
              <w:rPr>
                <w:sz w:val="20"/>
                <w:szCs w:val="20"/>
                <w:color w:val="auto"/>
              </w:rPr>
            </w:pPr>
            <w:r>
              <w:rPr>
                <w:rFonts w:ascii="Arial" w:cs="Arial" w:eastAsia="Arial" w:hAnsi="Arial"/>
                <w:sz w:val="14"/>
                <w:szCs w:val="14"/>
                <w:color w:val="auto"/>
              </w:rPr>
              <w:t>290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161.87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6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111.39</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4"/>
                <w:szCs w:val="14"/>
                <w:color w:val="auto"/>
              </w:rPr>
              <w:t>(120)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137.08</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163.81</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line="200" w:lineRule="exact"/>
              <w:rPr>
                <w:sz w:val="20"/>
                <w:szCs w:val="20"/>
                <w:color w:val="auto"/>
              </w:rPr>
            </w:pPr>
            <w:r>
              <w:rPr>
                <w:rFonts w:ascii="Arial" w:cs="Arial" w:eastAsia="Arial" w:hAnsi="Arial"/>
                <w:sz w:val="14"/>
                <w:szCs w:val="14"/>
                <w:color w:val="auto"/>
              </w:rPr>
              <w:t xml:space="preserve">Outstanding and expected to vest at September 30, 2024 </w:t>
            </w:r>
            <w:r>
              <w:rPr>
                <w:rFonts w:ascii="Arial" w:cs="Arial" w:eastAsia="Arial" w:hAnsi="Arial"/>
                <w:sz w:val="18"/>
                <w:szCs w:val="18"/>
                <w:color w:val="auto"/>
                <w:vertAlign w:val="superscript"/>
              </w:rPr>
              <w:t>(c)</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148.16</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
        </w:trPr>
        <w:tc>
          <w:tcPr>
            <w:tcW w:w="4720" w:type="dxa"/>
            <w:vAlign w:val="bottom"/>
            <w:vMerge w:val="restart"/>
          </w:tcPr>
          <w:p>
            <w:pPr>
              <w:spacing w:after="0"/>
              <w:rPr>
                <w:sz w:val="20"/>
                <w:szCs w:val="20"/>
                <w:color w:val="auto"/>
              </w:rPr>
            </w:pPr>
            <w:r>
              <w:rPr>
                <w:rFonts w:ascii="Arial" w:cs="Arial" w:eastAsia="Arial" w:hAnsi="Arial"/>
                <w:sz w:val="14"/>
                <w:szCs w:val="14"/>
                <w:b w:val="1"/>
                <w:bCs w:val="1"/>
                <w:color w:val="auto"/>
              </w:rPr>
              <w:t>Performance-based RSUs</w:t>
            </w: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2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at January 1, 2024</w:t>
            </w:r>
          </w:p>
        </w:tc>
        <w:tc>
          <w:tcPr>
            <w:tcW w:w="1160" w:type="dxa"/>
            <w:vAlign w:val="bottom"/>
          </w:tcPr>
          <w:p>
            <w:pPr>
              <w:jc w:val="right"/>
              <w:spacing w:after="0"/>
              <w:rPr>
                <w:sz w:val="20"/>
                <w:szCs w:val="20"/>
                <w:color w:val="auto"/>
              </w:rPr>
            </w:pPr>
            <w:r>
              <w:rPr>
                <w:rFonts w:ascii="Arial" w:cs="Arial" w:eastAsia="Arial" w:hAnsi="Arial"/>
                <w:sz w:val="14"/>
                <w:szCs w:val="14"/>
                <w:color w:val="auto"/>
              </w:rPr>
              <w:t>411</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128.77</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720" w:type="dxa"/>
            <w:vAlign w:val="bottom"/>
          </w:tcPr>
          <w:p>
            <w:pPr>
              <w:ind w:left="200"/>
              <w:spacing w:after="0"/>
              <w:rPr>
                <w:sz w:val="20"/>
                <w:szCs w:val="20"/>
                <w:color w:val="auto"/>
              </w:rPr>
            </w:pPr>
            <w:r>
              <w:rPr>
                <w:rFonts w:ascii="Arial" w:cs="Arial" w:eastAsia="Arial" w:hAnsi="Arial"/>
                <w:sz w:val="14"/>
                <w:szCs w:val="14"/>
                <w:color w:val="auto"/>
              </w:rPr>
              <w:t xml:space="preserve">Granted </w:t>
            </w:r>
            <w:r>
              <w:rPr>
                <w:rFonts w:ascii="Arial" w:cs="Arial" w:eastAsia="Arial" w:hAnsi="Arial"/>
                <w:sz w:val="18"/>
                <w:szCs w:val="18"/>
                <w:color w:val="auto"/>
                <w:vertAlign w:val="superscript"/>
              </w:rPr>
              <w:t>(a)</w:t>
            </w:r>
          </w:p>
        </w:tc>
        <w:tc>
          <w:tcPr>
            <w:tcW w:w="11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112.44</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4720" w:type="dxa"/>
            <w:vAlign w:val="bottom"/>
          </w:tcPr>
          <w:p>
            <w:pPr>
              <w:ind w:left="200"/>
              <w:spacing w:after="0" w:line="205" w:lineRule="exact"/>
              <w:rPr>
                <w:sz w:val="20"/>
                <w:szCs w:val="20"/>
                <w:color w:val="auto"/>
              </w:rPr>
            </w:pPr>
            <w:r>
              <w:rPr>
                <w:rFonts w:ascii="Arial" w:cs="Arial" w:eastAsia="Arial" w:hAnsi="Arial"/>
                <w:sz w:val="14"/>
                <w:szCs w:val="14"/>
                <w:color w:val="auto"/>
              </w:rPr>
              <w:t xml:space="preserve">Vested </w:t>
            </w:r>
            <w:r>
              <w:rPr>
                <w:rFonts w:ascii="Arial" w:cs="Arial" w:eastAsia="Arial" w:hAnsi="Arial"/>
                <w:sz w:val="18"/>
                <w:szCs w:val="18"/>
                <w:color w:val="auto"/>
                <w:vertAlign w:val="superscript"/>
              </w:rPr>
              <w:t>(b)</w:t>
            </w:r>
          </w:p>
        </w:tc>
        <w:tc>
          <w:tcPr>
            <w:tcW w:w="1160" w:type="dxa"/>
            <w:vAlign w:val="bottom"/>
          </w:tcPr>
          <w:p>
            <w:pPr>
              <w:jc w:val="right"/>
              <w:spacing w:after="0"/>
              <w:rPr>
                <w:sz w:val="20"/>
                <w:szCs w:val="20"/>
                <w:color w:val="auto"/>
              </w:rPr>
            </w:pPr>
            <w:r>
              <w:rPr>
                <w:rFonts w:ascii="Arial" w:cs="Arial" w:eastAsia="Arial" w:hAnsi="Arial"/>
                <w:sz w:val="14"/>
                <w:szCs w:val="14"/>
                <w:color w:val="auto"/>
              </w:rPr>
              <w:t>(222)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68.54</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720" w:type="dxa"/>
            <w:vAlign w:val="bottom"/>
          </w:tcPr>
          <w:p>
            <w:pPr>
              <w:ind w:left="200"/>
              <w:spacing w:after="0"/>
              <w:rPr>
                <w:sz w:val="20"/>
                <w:szCs w:val="20"/>
                <w:color w:val="auto"/>
              </w:rPr>
            </w:pPr>
            <w:r>
              <w:rPr>
                <w:rFonts w:ascii="Arial" w:cs="Arial" w:eastAsia="Arial" w:hAnsi="Arial"/>
                <w:sz w:val="14"/>
                <w:szCs w:val="14"/>
                <w:color w:val="auto"/>
              </w:rPr>
              <w:t>Forfeited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175.36</w:t>
            </w: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720" w:type="dxa"/>
            <w:vAlign w:val="bottom"/>
          </w:tcPr>
          <w:p>
            <w:pPr>
              <w:ind w:left="100"/>
              <w:spacing w:after="0"/>
              <w:rPr>
                <w:sz w:val="20"/>
                <w:szCs w:val="20"/>
                <w:color w:val="auto"/>
              </w:rPr>
            </w:pPr>
            <w:r>
              <w:rPr>
                <w:rFonts w:ascii="Arial" w:cs="Arial" w:eastAsia="Arial" w:hAnsi="Arial"/>
                <w:sz w:val="14"/>
                <w:szCs w:val="14"/>
                <w:color w:val="auto"/>
              </w:rPr>
              <w:t>Outstanding at September 30, 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159.74</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100"/>
              <w:spacing w:after="0"/>
              <w:rPr>
                <w:sz w:val="20"/>
                <w:szCs w:val="20"/>
                <w:color w:val="auto"/>
              </w:rPr>
            </w:pPr>
            <w:r>
              <w:rPr>
                <w:rFonts w:ascii="Arial" w:cs="Arial" w:eastAsia="Arial" w:hAnsi="Arial"/>
                <w:sz w:val="14"/>
                <w:szCs w:val="14"/>
                <w:color w:val="auto"/>
              </w:rPr>
              <w:t xml:space="preserve">Outstanding and expected to vest at September 30, 2024 </w:t>
            </w:r>
            <w:r>
              <w:rPr>
                <w:rFonts w:ascii="Arial" w:cs="Arial" w:eastAsia="Arial" w:hAnsi="Arial"/>
                <w:sz w:val="18"/>
                <w:szCs w:val="18"/>
                <w:color w:val="auto"/>
                <w:vertAlign w:val="superscript"/>
              </w:rPr>
              <w:t>(c)</w:t>
            </w: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192.77</w:t>
            </w:r>
          </w:p>
        </w:tc>
        <w:tc>
          <w:tcPr>
            <w:tcW w:w="100" w:type="dxa"/>
            <w:vAlign w:val="bottom"/>
          </w:tcPr>
          <w:p>
            <w:pPr>
              <w:spacing w:after="0" w:line="20" w:lineRule="exact"/>
              <w:rPr>
                <w:sz w:val="1"/>
                <w:szCs w:val="1"/>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45"/>
        </w:trPr>
        <w:tc>
          <w:tcPr>
            <w:tcW w:w="4720" w:type="dxa"/>
            <w:vAlign w:val="bottom"/>
            <w:vMerge w:val="continue"/>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jc w:val="both"/>
        <w:ind w:left="762" w:hanging="326"/>
        <w:spacing w:after="0" w:line="268" w:lineRule="auto"/>
        <w:tabs>
          <w:tab w:leader="none" w:pos="755" w:val="left"/>
        </w:tabs>
        <w:numPr>
          <w:ilvl w:val="0"/>
          <w:numId w:val="38"/>
        </w:numPr>
        <w:rPr>
          <w:rFonts w:ascii="Arial" w:cs="Arial" w:eastAsia="Arial" w:hAnsi="Arial"/>
          <w:sz w:val="9"/>
          <w:szCs w:val="9"/>
          <w:color w:val="auto"/>
        </w:rPr>
      </w:pPr>
      <w:r>
        <w:rPr>
          <w:rFonts w:ascii="Arial" w:cs="Arial" w:eastAsia="Arial" w:hAnsi="Arial"/>
          <w:sz w:val="14"/>
          <w:szCs w:val="14"/>
          <w:color w:val="auto"/>
        </w:rPr>
        <w:t>Reflects the maximum number of stock units assuming achievement of all performance- and time-vesting criteria and does not include those for non-employee directors. The weighted-average fair value of time-based RSUs and performance-based RSUs granted during the nine months ended September 30, 2023 was $209.08 and $208.64, respectively.</w:t>
      </w:r>
    </w:p>
    <w:p>
      <w:pPr>
        <w:spacing w:after="0" w:line="1" w:lineRule="exact"/>
        <w:rPr>
          <w:rFonts w:ascii="Arial" w:cs="Arial" w:eastAsia="Arial" w:hAnsi="Arial"/>
          <w:sz w:val="9"/>
          <w:szCs w:val="9"/>
          <w:color w:val="auto"/>
        </w:rPr>
      </w:pPr>
    </w:p>
    <w:p>
      <w:pPr>
        <w:ind w:left="762" w:hanging="326"/>
        <w:spacing w:after="0" w:line="192" w:lineRule="auto"/>
        <w:tabs>
          <w:tab w:leader="none" w:pos="762"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The total fair value of RSUs vested during the nine months ended September 30, 2024 and 2023 was $32 million and $21 million, respectively.</w:t>
      </w:r>
    </w:p>
    <w:p>
      <w:pPr>
        <w:ind w:left="762" w:hanging="326"/>
        <w:spacing w:after="0" w:line="213" w:lineRule="auto"/>
        <w:tabs>
          <w:tab w:leader="none" w:pos="749" w:val="left"/>
        </w:tabs>
        <w:numPr>
          <w:ilvl w:val="0"/>
          <w:numId w:val="38"/>
        </w:numPr>
        <w:rPr>
          <w:rFonts w:ascii="Arial" w:cs="Arial" w:eastAsia="Arial" w:hAnsi="Arial"/>
          <w:sz w:val="19"/>
          <w:szCs w:val="19"/>
          <w:color w:val="auto"/>
          <w:vertAlign w:val="superscript"/>
        </w:rPr>
      </w:pPr>
      <w:r>
        <w:rPr>
          <w:rFonts w:ascii="Arial" w:cs="Arial" w:eastAsia="Arial" w:hAnsi="Arial"/>
          <w:sz w:val="14"/>
          <w:szCs w:val="14"/>
          <w:color w:val="auto"/>
        </w:rPr>
        <w:t>Aggregate unrecognized compensation expense related to time-based and performance-based RSUs amounted to $28 million and will be recognized over a weighted average vesting period of 1.4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7" w:name="page28"/>
    <w:bookmarkEnd w:id="27"/>
    <w:p>
      <w:pPr>
        <w:ind w:left="442" w:hanging="442"/>
        <w:spacing w:after="0"/>
        <w:tabs>
          <w:tab w:leader="none" w:pos="44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54"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250" w:lineRule="exact"/>
        <w:rPr>
          <w:rFonts w:ascii="Arial" w:cs="Arial" w:eastAsia="Arial" w:hAnsi="Arial"/>
          <w:sz w:val="18"/>
          <w:szCs w:val="18"/>
          <w:b w:val="1"/>
          <w:bCs w:val="1"/>
          <w:color w:val="auto"/>
        </w:rPr>
      </w:pPr>
    </w:p>
    <w:p>
      <w:pPr>
        <w:jc w:val="both"/>
        <w:ind w:left="442"/>
        <w:spacing w:after="0" w:line="256"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We use currency exchange contracts to manage our exposure to changes in currency exchange rates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of our non-U.S.-dollar denominated receivables and forecasted royalties, forecasted earnings of non-U.S. subsidiaries and forecasted non-U.S.-dollar denominated acquisitions. We primarily hedge a portion of our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We have designated our euro-denominated notes as a hedge of our investment in euro-denominated foreign operations.</w:t>
      </w:r>
    </w:p>
    <w:p>
      <w:pPr>
        <w:spacing w:after="0" w:line="209" w:lineRule="exact"/>
        <w:rPr>
          <w:rFonts w:ascii="Arial" w:cs="Arial" w:eastAsia="Arial" w:hAnsi="Arial"/>
          <w:sz w:val="18"/>
          <w:szCs w:val="18"/>
          <w:b w:val="1"/>
          <w:bCs w:val="1"/>
          <w:color w:val="auto"/>
        </w:rPr>
      </w:pPr>
    </w:p>
    <w:p>
      <w:pPr>
        <w:ind w:left="442"/>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The estimated net amount of existing gains or losses we expect to reclassify from accumulated other comprehensive income (loss) to earnings for cash flow and net investment hedges over the next 12 months is not material.</w:t>
      </w:r>
    </w:p>
    <w:p>
      <w:pPr>
        <w:spacing w:after="0" w:line="179" w:lineRule="exact"/>
        <w:rPr>
          <w:rFonts w:ascii="Arial" w:cs="Arial" w:eastAsia="Arial" w:hAnsi="Arial"/>
          <w:sz w:val="18"/>
          <w:szCs w:val="18"/>
          <w:b w:val="1"/>
          <w:bCs w:val="1"/>
          <w:color w:val="auto"/>
        </w:rPr>
      </w:pPr>
    </w:p>
    <w:p>
      <w:pPr>
        <w:jc w:val="both"/>
        <w:ind w:left="442"/>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We use various hedging strategies including interest rate swaps and interest rate caps to create what we deem an</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 mix of fixed and floating rate assets and liabilities. We use interest rate swaps and interest rate caps to manage the risk related to our floating rate corporate debt and our floating rate vehicle-backed debt. We record the changes in the fair value of our cash flow hedges to other comprehensive income (loss), net of tax, and subsequently reclassify these amounts into earnings in the period during which the hedged transaction affects earnings and is presented in the same income statement line item as the earnings effect of the hedged item. We record the gains or losses related to freestanding derivatives, which are not designated as a hedge for accounting purposes, currently in earnings and are presented in the same line of the income statement expected for the hedged item. We estimate that approximately $18 million of gain currently recorded in accumulated other comprehensive income (loss) will be recognized in earnings over the next 12 months.</w:t>
      </w:r>
    </w:p>
    <w:p>
      <w:pPr>
        <w:spacing w:after="0" w:line="207" w:lineRule="exact"/>
        <w:rPr>
          <w:rFonts w:ascii="Arial" w:cs="Arial" w:eastAsia="Arial" w:hAnsi="Arial"/>
          <w:sz w:val="18"/>
          <w:szCs w:val="18"/>
          <w:b w:val="1"/>
          <w:bCs w:val="1"/>
          <w:color w:val="auto"/>
        </w:rPr>
      </w:pPr>
    </w:p>
    <w:p>
      <w:pPr>
        <w:jc w:val="both"/>
        <w:ind w:left="442"/>
        <w:spacing w:after="0" w:line="268"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Commodity Risk. </w:t>
      </w:r>
      <w:r>
        <w:rPr>
          <w:rFonts w:ascii="Arial" w:cs="Arial" w:eastAsia="Arial" w:hAnsi="Arial"/>
          <w:sz w:val="18"/>
          <w:szCs w:val="18"/>
          <w:color w:val="auto"/>
        </w:rPr>
        <w:t>We periodically enter into derivative commodity contracts to manage our exposure to changes in the price of fuel.</w:t>
      </w:r>
      <w:r>
        <w:rPr>
          <w:rFonts w:ascii="Arial" w:cs="Arial" w:eastAsia="Arial" w:hAnsi="Arial"/>
          <w:sz w:val="18"/>
          <w:szCs w:val="18"/>
          <w:i w:val="1"/>
          <w:iCs w:val="1"/>
          <w:color w:val="auto"/>
        </w:rPr>
        <w:t xml:space="preserve"> </w:t>
      </w:r>
      <w:r>
        <w:rPr>
          <w:rFonts w:ascii="Arial" w:cs="Arial" w:eastAsia="Arial" w:hAnsi="Arial"/>
          <w:sz w:val="18"/>
          <w:szCs w:val="18"/>
          <w:color w:val="auto"/>
        </w:rPr>
        <w:t>These instruments were designated as freestanding derivatives and the changes in fair value are recorded in earnings and are presented in the same line of the income statement expected for the hedged item.</w:t>
      </w:r>
    </w:p>
    <w:p>
      <w:pPr>
        <w:spacing w:after="0" w:line="197" w:lineRule="exact"/>
        <w:rPr>
          <w:rFonts w:ascii="Arial" w:cs="Arial" w:eastAsia="Arial" w:hAnsi="Arial"/>
          <w:sz w:val="18"/>
          <w:szCs w:val="18"/>
          <w:b w:val="1"/>
          <w:bCs w:val="1"/>
          <w:color w:val="auto"/>
        </w:rPr>
      </w:pPr>
    </w:p>
    <w:p>
      <w:pPr>
        <w:ind w:left="442"/>
        <w:spacing w:after="0"/>
        <w:rPr>
          <w:rFonts w:ascii="Arial" w:cs="Arial" w:eastAsia="Arial" w:hAnsi="Arial"/>
          <w:sz w:val="18"/>
          <w:szCs w:val="18"/>
          <w:b w:val="1"/>
          <w:bCs w:val="1"/>
          <w:color w:val="auto"/>
        </w:rPr>
      </w:pPr>
      <w:r>
        <w:rPr>
          <w:rFonts w:ascii="Arial" w:cs="Arial" w:eastAsia="Arial" w:hAnsi="Arial"/>
          <w:sz w:val="18"/>
          <w:szCs w:val="18"/>
          <w:color w:val="auto"/>
        </w:rPr>
        <w:t>We held derivative instruments with absolute notional values as follows:</w:t>
      </w:r>
    </w:p>
    <w:p>
      <w:pPr>
        <w:spacing w:after="0" w:line="33" w:lineRule="exact"/>
        <w:rPr>
          <w:sz w:val="20"/>
          <w:szCs w:val="20"/>
          <w:color w:val="auto"/>
        </w:rPr>
      </w:pPr>
    </w:p>
    <w:tbl>
      <w:tblPr>
        <w:tblLayout w:type="fixed"/>
        <w:tblInd w:w="462" w:type="dxa"/>
        <w:tblCellMar>
          <w:top w:w="0" w:type="dxa"/>
          <w:left w:w="0" w:type="dxa"/>
          <w:bottom w:w="0" w:type="dxa"/>
          <w:right w:w="0" w:type="dxa"/>
        </w:tblCellMar>
      </w:tblPr>
      <w:tr>
        <w:trPr>
          <w:trHeight w:val="184"/>
        </w:trPr>
        <w:tc>
          <w:tcPr>
            <w:tcW w:w="8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Pr>
          <w:p>
            <w:pPr>
              <w:jc w:val="right"/>
              <w:ind w:right="699"/>
              <w:spacing w:after="0"/>
              <w:rPr>
                <w:sz w:val="20"/>
                <w:szCs w:val="20"/>
                <w:color w:val="auto"/>
              </w:rPr>
            </w:pPr>
            <w:r>
              <w:rPr>
                <w:rFonts w:ascii="Arial" w:cs="Arial" w:eastAsia="Arial" w:hAnsi="Arial"/>
                <w:sz w:val="16"/>
                <w:szCs w:val="16"/>
                <w:b w:val="1"/>
                <w:bCs w:val="1"/>
                <w:color w:val="auto"/>
              </w:rPr>
              <w:t>As of</w:t>
            </w:r>
          </w:p>
        </w:tc>
      </w:tr>
      <w:tr>
        <w:trPr>
          <w:trHeight w:val="216"/>
        </w:trPr>
        <w:tc>
          <w:tcPr>
            <w:tcW w:w="8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September 30, 2024</w:t>
            </w:r>
          </w:p>
        </w:tc>
      </w:tr>
      <w:tr>
        <w:trPr>
          <w:trHeight w:val="208"/>
        </w:trPr>
        <w:tc>
          <w:tcPr>
            <w:tcW w:w="8200" w:type="dxa"/>
            <w:vAlign w:val="bottom"/>
          </w:tcPr>
          <w:p>
            <w:pPr>
              <w:spacing w:after="0"/>
              <w:rPr>
                <w:sz w:val="20"/>
                <w:szCs w:val="20"/>
                <w:color w:val="auto"/>
              </w:rPr>
            </w:pPr>
            <w:r>
              <w:rPr>
                <w:rFonts w:ascii="Arial" w:cs="Arial" w:eastAsia="Arial" w:hAnsi="Arial"/>
                <w:sz w:val="16"/>
                <w:szCs w:val="16"/>
                <w:color w:val="auto"/>
              </w:rPr>
              <w:t>Foreign exchange contracts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780" w:type="dxa"/>
            <w:vAlign w:val="bottom"/>
          </w:tcPr>
          <w:p>
            <w:pPr>
              <w:jc w:val="right"/>
              <w:spacing w:after="0"/>
              <w:rPr>
                <w:sz w:val="20"/>
                <w:szCs w:val="20"/>
                <w:color w:val="auto"/>
              </w:rPr>
            </w:pPr>
            <w:r>
              <w:rPr>
                <w:rFonts w:ascii="Arial" w:cs="Arial" w:eastAsia="Arial" w:hAnsi="Arial"/>
                <w:sz w:val="16"/>
                <w:szCs w:val="16"/>
                <w:color w:val="auto"/>
              </w:rPr>
              <w:t>1,665</w:t>
            </w:r>
          </w:p>
        </w:tc>
      </w:tr>
      <w:tr>
        <w:trPr>
          <w:trHeight w:val="217"/>
        </w:trPr>
        <w:tc>
          <w:tcPr>
            <w:tcW w:w="820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15,954</w:t>
            </w:r>
          </w:p>
        </w:tc>
      </w:tr>
      <w:tr>
        <w:trPr>
          <w:trHeight w:val="215"/>
        </w:trPr>
        <w:tc>
          <w:tcPr>
            <w:tcW w:w="8200" w:type="dxa"/>
            <w:vAlign w:val="bottom"/>
          </w:tcPr>
          <w:p>
            <w:pPr>
              <w:spacing w:after="0"/>
              <w:rPr>
                <w:sz w:val="20"/>
                <w:szCs w:val="20"/>
                <w:color w:val="auto"/>
              </w:rPr>
            </w:pPr>
            <w:r>
              <w:rPr>
                <w:rFonts w:ascii="Arial" w:cs="Arial" w:eastAsia="Arial" w:hAnsi="Arial"/>
                <w:sz w:val="16"/>
                <w:szCs w:val="16"/>
                <w:color w:val="auto"/>
              </w:rPr>
              <w:t>Interest rate swaps</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750</w:t>
            </w:r>
          </w:p>
        </w:tc>
      </w:tr>
    </w:tbl>
    <w:p>
      <w:pPr>
        <w:spacing w:after="0" w:line="96"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37" w:lineRule="exact"/>
        <w:rPr>
          <w:sz w:val="20"/>
          <w:szCs w:val="20"/>
          <w:color w:val="auto"/>
        </w:rPr>
      </w:pPr>
    </w:p>
    <w:p>
      <w:pPr>
        <w:ind w:left="762" w:hanging="326"/>
        <w:spacing w:after="0" w:line="231" w:lineRule="auto"/>
        <w:tabs>
          <w:tab w:leader="none" w:pos="755" w:val="left"/>
        </w:tabs>
        <w:numPr>
          <w:ilvl w:val="0"/>
          <w:numId w:val="40"/>
        </w:numPr>
        <w:rPr>
          <w:rFonts w:ascii="Arial" w:cs="Arial" w:eastAsia="Arial" w:hAnsi="Arial"/>
          <w:sz w:val="19"/>
          <w:szCs w:val="19"/>
          <w:color w:val="auto"/>
          <w:vertAlign w:val="superscript"/>
        </w:rPr>
      </w:pPr>
      <w:r>
        <w:rPr>
          <w:rFonts w:ascii="Arial" w:cs="Arial" w:eastAsia="Arial" w:hAnsi="Arial"/>
          <w:sz w:val="14"/>
          <w:szCs w:val="14"/>
          <w:color w:val="auto"/>
        </w:rPr>
        <w:t>Represents $10.6 billion of interest rate caps sold, partially offset by approximately $5.4 billion of interest rate caps purchased. These amounts exclude $5.8 billion of interest rate caps purchased by our Avis Budget Rental Car Funding subsidiary as it is not consolidated by us.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931" w:right="339" w:bottom="1440" w:gutter="0" w:footer="0" w:header="0"/>
        </w:sectPr>
      </w:pPr>
    </w:p>
    <w:bookmarkStart w:id="28" w:name="page29"/>
    <w:bookmarkEnd w:id="28"/>
    <w:p>
      <w:pPr>
        <w:ind w:left="6"/>
        <w:spacing w:after="0"/>
        <w:rPr>
          <w:sz w:val="20"/>
          <w:szCs w:val="20"/>
          <w:color w:val="auto"/>
        </w:rPr>
      </w:pPr>
      <w:r>
        <w:rPr>
          <w:rFonts w:ascii="Arial" w:cs="Arial" w:eastAsia="Arial" w:hAnsi="Arial"/>
          <w:sz w:val="18"/>
          <w:szCs w:val="18"/>
          <w:color w:val="auto"/>
        </w:rPr>
        <w:t>Estimated fair values (Level 2) of derivative instruments are as follows:</w:t>
      </w:r>
    </w:p>
    <w:p>
      <w:pPr>
        <w:spacing w:after="0" w:line="54" w:lineRule="exact"/>
        <w:rPr>
          <w:sz w:val="20"/>
          <w:szCs w:val="20"/>
          <w:color w:val="auto"/>
        </w:rPr>
      </w:pPr>
    </w:p>
    <w:tbl>
      <w:tblPr>
        <w:tblLayout w:type="fixed"/>
        <w:tblInd w:w="26"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ind w:left="260"/>
              <w:spacing w:after="0"/>
              <w:rPr>
                <w:sz w:val="20"/>
                <w:szCs w:val="20"/>
                <w:color w:val="auto"/>
              </w:rPr>
            </w:pPr>
            <w:r>
              <w:rPr>
                <w:rFonts w:ascii="Arial" w:cs="Arial" w:eastAsia="Arial" w:hAnsi="Arial"/>
                <w:sz w:val="16"/>
                <w:szCs w:val="16"/>
                <w:b w:val="1"/>
                <w:bCs w:val="1"/>
                <w:color w:val="auto"/>
              </w:rPr>
              <w:t>As of September 30, 2024</w:t>
            </w:r>
          </w:p>
        </w:tc>
        <w:tc>
          <w:tcPr>
            <w:tcW w:w="200" w:type="dxa"/>
            <w:vAlign w:val="bottom"/>
          </w:tcPr>
          <w:p>
            <w:pPr>
              <w:spacing w:after="0"/>
              <w:rPr>
                <w:sz w:val="18"/>
                <w:szCs w:val="18"/>
                <w:color w:val="auto"/>
              </w:rPr>
            </w:pPr>
          </w:p>
        </w:tc>
        <w:tc>
          <w:tcPr>
            <w:tcW w:w="270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vMerge w:val="restart"/>
          </w:tcPr>
          <w:p>
            <w:pPr>
              <w:ind w:left="10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2"/>
          </w:tcPr>
          <w:p>
            <w:pPr>
              <w:jc w:val="center"/>
              <w:ind w:right="300"/>
              <w:spacing w:after="0" w:line="155" w:lineRule="exact"/>
              <w:rPr>
                <w:sz w:val="20"/>
                <w:szCs w:val="20"/>
                <w:color w:val="auto"/>
              </w:rPr>
            </w:pPr>
            <w:r>
              <w:rPr>
                <w:rFonts w:ascii="Arial" w:cs="Arial" w:eastAsia="Arial" w:hAnsi="Arial"/>
                <w:sz w:val="16"/>
                <w:szCs w:val="16"/>
                <w:b w:val="1"/>
                <w:bCs w:val="1"/>
                <w:color w:val="auto"/>
                <w:w w:val="98"/>
              </w:rPr>
              <w:t>Fair Value,</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4"/>
                <w:szCs w:val="14"/>
                <w:color w:val="auto"/>
              </w:rPr>
            </w:pPr>
          </w:p>
        </w:tc>
        <w:tc>
          <w:tcPr>
            <w:tcW w:w="130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9"/>
              </w:rPr>
              <w:t>Derivative</w:t>
            </w:r>
          </w:p>
        </w:tc>
        <w:tc>
          <w:tcPr>
            <w:tcW w:w="200" w:type="dxa"/>
            <w:vAlign w:val="bottom"/>
          </w:tcPr>
          <w:p>
            <w:pPr>
              <w:spacing w:after="0"/>
              <w:rPr>
                <w:sz w:val="14"/>
                <w:szCs w:val="14"/>
                <w:color w:val="auto"/>
              </w:rPr>
            </w:pPr>
          </w:p>
        </w:tc>
        <w:tc>
          <w:tcPr>
            <w:tcW w:w="1200" w:type="dxa"/>
            <w:vAlign w:val="bottom"/>
          </w:tcPr>
          <w:p>
            <w:pPr>
              <w:jc w:val="center"/>
              <w:ind w:right="119"/>
              <w:spacing w:after="0" w:line="162" w:lineRule="exact"/>
              <w:rPr>
                <w:sz w:val="20"/>
                <w:szCs w:val="20"/>
                <w:color w:val="auto"/>
              </w:rPr>
            </w:pPr>
            <w:r>
              <w:rPr>
                <w:rFonts w:ascii="Arial" w:cs="Arial" w:eastAsia="Arial" w:hAnsi="Arial"/>
                <w:sz w:val="16"/>
                <w:szCs w:val="16"/>
                <w:b w:val="1"/>
                <w:bCs w:val="1"/>
                <w:color w:val="auto"/>
                <w:w w:val="99"/>
              </w:rPr>
              <w:t>Derivative</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500" w:type="dxa"/>
            <w:vAlign w:val="bottom"/>
            <w:gridSpan w:val="3"/>
          </w:tcPr>
          <w:p>
            <w:pPr>
              <w:ind w:left="20"/>
              <w:spacing w:after="0"/>
              <w:rPr>
                <w:sz w:val="20"/>
                <w:szCs w:val="20"/>
                <w:color w:val="auto"/>
              </w:rPr>
            </w:pPr>
            <w:r>
              <w:rPr>
                <w:rFonts w:ascii="Arial" w:cs="Arial" w:eastAsia="Arial" w:hAnsi="Arial"/>
                <w:sz w:val="16"/>
                <w:szCs w:val="16"/>
                <w:b w:val="1"/>
                <w:bCs w:val="1"/>
                <w:color w:val="auto"/>
              </w:rPr>
              <w:t>Asset Derivatives</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Assets</w:t>
            </w:r>
          </w:p>
        </w:tc>
        <w:tc>
          <w:tcPr>
            <w:tcW w:w="200" w:type="dxa"/>
            <w:vAlign w:val="bottom"/>
          </w:tcPr>
          <w:p>
            <w:pPr>
              <w:spacing w:after="0"/>
              <w:rPr>
                <w:sz w:val="18"/>
                <w:szCs w:val="18"/>
                <w:color w:val="auto"/>
              </w:rPr>
            </w:pPr>
          </w:p>
        </w:tc>
        <w:tc>
          <w:tcPr>
            <w:tcW w:w="120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Liabilities</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(b)</w:t>
            </w: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7"/>
        </w:trPr>
        <w:tc>
          <w:tcPr>
            <w:tcW w:w="4240" w:type="dxa"/>
            <w:vAlign w:val="bottom"/>
          </w:tcPr>
          <w:p>
            <w:pPr>
              <w:ind w:left="100"/>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9"/>
        </w:trPr>
        <w:tc>
          <w:tcPr>
            <w:tcW w:w="4240" w:type="dxa"/>
            <w:vAlign w:val="bottom"/>
          </w:tcPr>
          <w:p>
            <w:pPr>
              <w:ind w:left="10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ind w:left="6"/>
        <w:spacing w:after="0" w:line="255" w:lineRule="auto"/>
        <w:rPr>
          <w:sz w:val="20"/>
          <w:szCs w:val="20"/>
          <w:color w:val="auto"/>
        </w:rPr>
      </w:pPr>
      <w:r>
        <w:rPr>
          <w:rFonts w:ascii="Arial" w:cs="Arial" w:eastAsia="Arial" w:hAnsi="Arial"/>
          <w:sz w:val="14"/>
          <w:szCs w:val="14"/>
          <w:color w:val="auto"/>
        </w:rPr>
        <w:t>Amounts in this table exclude derivatives issued by Avis Budget Rental Car Funding, as it is not consolidated by us; however, certain amounts related to the derivatives held by Avis Budget Rental Car Funding are included within accumulated other comprehensive income (loss), as discussed in Note 13 – Stockholders' Equity.</w:t>
      </w:r>
    </w:p>
    <w:p>
      <w:pPr>
        <w:ind w:left="326" w:hanging="326"/>
        <w:spacing w:after="0" w:line="202" w:lineRule="auto"/>
        <w:tabs>
          <w:tab w:leader="none" w:pos="326"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in other non-current assets or other non-current liabilities.</w:t>
      </w:r>
    </w:p>
    <w:p>
      <w:pPr>
        <w:ind w:left="326" w:hanging="326"/>
        <w:spacing w:after="0" w:line="192" w:lineRule="auto"/>
        <w:tabs>
          <w:tab w:leader="none" w:pos="326"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assets or other current liabilities.</w:t>
      </w:r>
    </w:p>
    <w:p>
      <w:pPr>
        <w:ind w:left="306" w:hanging="306"/>
        <w:spacing w:after="0" w:line="193" w:lineRule="auto"/>
        <w:tabs>
          <w:tab w:leader="none" w:pos="306"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Included in assets under vehicle programs or liabilities under vehicle programs.</w:t>
      </w:r>
    </w:p>
    <w:p>
      <w:pPr>
        <w:spacing w:after="0" w:line="206"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effects of derivatives recognized in our Consolidated Condensed Financial Statements are as follows:</w:t>
      </w:r>
    </w:p>
    <w:p>
      <w:pPr>
        <w:spacing w:after="0" w:line="276" w:lineRule="exact"/>
        <w:rPr>
          <w:sz w:val="20"/>
          <w:szCs w:val="20"/>
          <w:color w:val="auto"/>
        </w:rPr>
      </w:pPr>
    </w:p>
    <w:tbl>
      <w:tblPr>
        <w:tblLayout w:type="fixed"/>
        <w:tblInd w:w="26" w:type="dxa"/>
        <w:tblCellMar>
          <w:top w:w="0" w:type="dxa"/>
          <w:left w:w="0" w:type="dxa"/>
          <w:bottom w:w="0" w:type="dxa"/>
          <w:right w:w="0" w:type="dxa"/>
        </w:tblCellMar>
      </w:tblPr>
      <w:tr>
        <w:trPr>
          <w:trHeight w:val="184"/>
        </w:trPr>
        <w:tc>
          <w:tcPr>
            <w:tcW w:w="4260" w:type="dxa"/>
            <w:vAlign w:val="bottom"/>
          </w:tcPr>
          <w:p>
            <w:pPr>
              <w:spacing w:after="0"/>
              <w:rPr>
                <w:sz w:val="16"/>
                <w:szCs w:val="16"/>
                <w:color w:val="auto"/>
              </w:rPr>
            </w:pPr>
          </w:p>
        </w:tc>
        <w:tc>
          <w:tcPr>
            <w:tcW w:w="2500" w:type="dxa"/>
            <w:vAlign w:val="bottom"/>
            <w:gridSpan w:val="4"/>
          </w:tcPr>
          <w:p>
            <w:pPr>
              <w:jc w:val="center"/>
              <w:ind w:left="259"/>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60" w:type="dxa"/>
            <w:vAlign w:val="bottom"/>
            <w:gridSpan w:val="4"/>
          </w:tcPr>
          <w:p>
            <w:pPr>
              <w:jc w:val="center"/>
              <w:ind w:right="27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right="399"/>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479"/>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2023</w:t>
            </w:r>
          </w:p>
        </w:tc>
        <w:tc>
          <w:tcPr>
            <w:tcW w:w="0" w:type="dxa"/>
            <w:vAlign w:val="bottom"/>
          </w:tcPr>
          <w:p>
            <w:pPr>
              <w:spacing w:after="0"/>
              <w:rPr>
                <w:sz w:val="1"/>
                <w:szCs w:val="1"/>
                <w:color w:val="auto"/>
              </w:rPr>
            </w:pPr>
          </w:p>
        </w:tc>
      </w:tr>
      <w:tr>
        <w:trPr>
          <w:trHeight w:val="195"/>
        </w:trPr>
        <w:tc>
          <w:tcPr>
            <w:tcW w:w="4260" w:type="dxa"/>
            <w:vAlign w:val="bottom"/>
            <w:vMerge w:val="continue"/>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tcPr>
          <w:p>
            <w:pPr>
              <w:ind w:left="100"/>
              <w:spacing w:after="0" w:line="216" w:lineRule="exact"/>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(b)</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680" w:type="dxa"/>
            <w:vAlign w:val="bottom"/>
            <w:gridSpan w:val="3"/>
          </w:tcPr>
          <w:p>
            <w:pPr>
              <w:ind w:left="760"/>
              <w:spacing w:after="0"/>
              <w:rPr>
                <w:sz w:val="20"/>
                <w:szCs w:val="20"/>
                <w:color w:val="auto"/>
              </w:rPr>
            </w:pPr>
            <w:r>
              <w:rPr>
                <w:rFonts w:ascii="Arial" w:cs="Arial" w:eastAsia="Arial" w:hAnsi="Arial"/>
                <w:sz w:val="16"/>
                <w:szCs w:val="16"/>
                <w:color w:val="auto"/>
              </w:rPr>
              <w:t>(12)  $</w:t>
            </w: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229"/>
        </w:trPr>
        <w:tc>
          <w:tcPr>
            <w:tcW w:w="4260" w:type="dxa"/>
            <w:vAlign w:val="bottom"/>
          </w:tcPr>
          <w:p>
            <w:pPr>
              <w:ind w:left="100"/>
              <w:spacing w:after="0" w:line="229" w:lineRule="exact"/>
              <w:rPr>
                <w:sz w:val="20"/>
                <w:szCs w:val="20"/>
                <w:color w:val="auto"/>
              </w:rPr>
            </w:pPr>
            <w:r>
              <w:rPr>
                <w:rFonts w:ascii="Arial" w:cs="Arial" w:eastAsia="Arial" w:hAnsi="Arial"/>
                <w:sz w:val="16"/>
                <w:szCs w:val="16"/>
                <w:color w:val="auto"/>
              </w:rPr>
              <w:t xml:space="preserve">Euro-denominated notes </w:t>
            </w:r>
            <w:r>
              <w:rPr>
                <w:rFonts w:ascii="Arial" w:cs="Arial" w:eastAsia="Arial" w:hAnsi="Arial"/>
                <w:sz w:val="21"/>
                <w:szCs w:val="21"/>
                <w:color w:val="auto"/>
                <w:vertAlign w:val="superscript"/>
              </w:rPr>
              <w:t>(c)</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(37)</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ind w:left="760"/>
              <w:spacing w:after="0"/>
              <w:rPr>
                <w:sz w:val="20"/>
                <w:szCs w:val="20"/>
                <w:color w:val="auto"/>
              </w:rPr>
            </w:pPr>
            <w:r>
              <w:rPr>
                <w:rFonts w:ascii="Arial" w:cs="Arial" w:eastAsia="Arial" w:hAnsi="Arial"/>
                <w:sz w:val="16"/>
                <w:szCs w:val="16"/>
                <w:color w:val="auto"/>
              </w:rPr>
              <w:t>(14)</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bl>
    <w:p>
      <w:pPr>
        <w:ind w:left="26"/>
        <w:spacing w:after="0" w:line="214" w:lineRule="auto"/>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(d)</w:t>
      </w:r>
    </w:p>
    <w:tbl>
      <w:tblPr>
        <w:tblLayout w:type="fixed"/>
        <w:tblInd w:w="126" w:type="dxa"/>
        <w:tblCellMar>
          <w:top w:w="0" w:type="dxa"/>
          <w:left w:w="0" w:type="dxa"/>
          <w:bottom w:w="0" w:type="dxa"/>
          <w:right w:w="0" w:type="dxa"/>
        </w:tblCellMar>
      </w:tblPr>
      <w:tr>
        <w:trPr>
          <w:trHeight w:val="203"/>
        </w:trPr>
        <w:tc>
          <w:tcPr>
            <w:tcW w:w="4160" w:type="dxa"/>
            <w:vAlign w:val="bottom"/>
          </w:tcPr>
          <w:p>
            <w:pPr>
              <w:spacing w:after="0" w:line="204"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(e)</w:t>
            </w:r>
          </w:p>
        </w:tc>
        <w:tc>
          <w:tcPr>
            <w:tcW w:w="580" w:type="dxa"/>
            <w:vAlign w:val="bottom"/>
          </w:tcPr>
          <w:p>
            <w:pPr>
              <w:spacing w:after="0"/>
              <w:rPr>
                <w:sz w:val="17"/>
                <w:szCs w:val="17"/>
                <w:color w:val="auto"/>
              </w:rPr>
            </w:pPr>
          </w:p>
        </w:tc>
        <w:tc>
          <w:tcPr>
            <w:tcW w:w="800" w:type="dxa"/>
            <w:vAlign w:val="bottom"/>
          </w:tcPr>
          <w:p>
            <w:pPr>
              <w:jc w:val="center"/>
              <w:ind w:left="37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center"/>
              <w:ind w:left="359"/>
              <w:spacing w:after="0"/>
              <w:rPr>
                <w:sz w:val="20"/>
                <w:szCs w:val="20"/>
                <w:color w:val="auto"/>
              </w:rPr>
            </w:pPr>
            <w:r>
              <w:rPr>
                <w:rFonts w:ascii="Arial" w:cs="Arial" w:eastAsia="Arial" w:hAnsi="Arial"/>
                <w:sz w:val="16"/>
                <w:szCs w:val="16"/>
                <w:color w:val="auto"/>
                <w:w w:val="98"/>
              </w:rPr>
              <w:t>(34)</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4160" w:type="dxa"/>
            <w:vAlign w:val="bottom"/>
          </w:tcPr>
          <w:p>
            <w:pPr>
              <w:spacing w:after="0" w:line="217" w:lineRule="exact"/>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(f)</w:t>
            </w:r>
          </w:p>
        </w:tc>
        <w:tc>
          <w:tcPr>
            <w:tcW w:w="580" w:type="dxa"/>
            <w:vAlign w:val="bottom"/>
          </w:tcPr>
          <w:p>
            <w:pPr>
              <w:spacing w:after="0"/>
              <w:rPr>
                <w:sz w:val="18"/>
                <w:szCs w:val="18"/>
                <w:color w:val="auto"/>
              </w:rPr>
            </w:pPr>
          </w:p>
        </w:tc>
        <w:tc>
          <w:tcPr>
            <w:tcW w:w="920" w:type="dxa"/>
            <w:vAlign w:val="bottom"/>
            <w:gridSpan w:val="2"/>
          </w:tcPr>
          <w:p>
            <w:pPr>
              <w:jc w:val="center"/>
              <w:ind w:left="319"/>
              <w:spacing w:after="0"/>
              <w:rPr>
                <w:sz w:val="20"/>
                <w:szCs w:val="20"/>
                <w:color w:val="auto"/>
              </w:rPr>
            </w:pPr>
            <w:r>
              <w:rPr>
                <w:rFonts w:ascii="Arial" w:cs="Arial" w:eastAsia="Arial" w:hAnsi="Arial"/>
                <w:sz w:val="16"/>
                <w:szCs w:val="16"/>
                <w:color w:val="auto"/>
                <w:w w:val="99"/>
              </w:rPr>
              <w:t>—</w:t>
            </w:r>
          </w:p>
        </w:tc>
        <w:tc>
          <w:tcPr>
            <w:tcW w:w="6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600" w:type="dxa"/>
            <w:vAlign w:val="bottom"/>
          </w:tcPr>
          <w:p>
            <w:pPr>
              <w:spacing w:after="0"/>
              <w:rPr>
                <w:sz w:val="18"/>
                <w:szCs w:val="18"/>
                <w:color w:val="auto"/>
              </w:rPr>
            </w:pPr>
          </w:p>
        </w:tc>
        <w:tc>
          <w:tcPr>
            <w:tcW w:w="880" w:type="dxa"/>
            <w:vAlign w:val="bottom"/>
            <w:gridSpan w:val="2"/>
          </w:tcPr>
          <w:p>
            <w:pPr>
              <w:jc w:val="center"/>
              <w:ind w:left="319"/>
              <w:spacing w:after="0"/>
              <w:rPr>
                <w:sz w:val="20"/>
                <w:szCs w:val="20"/>
                <w:color w:val="auto"/>
              </w:rPr>
            </w:pPr>
            <w:r>
              <w:rPr>
                <w:rFonts w:ascii="Arial" w:cs="Arial" w:eastAsia="Arial" w:hAnsi="Arial"/>
                <w:sz w:val="16"/>
                <w:szCs w:val="16"/>
                <w:color w:val="auto"/>
                <w:w w:val="99"/>
              </w:rPr>
              <w:t>—</w:t>
            </w:r>
          </w:p>
        </w:tc>
        <w:tc>
          <w:tcPr>
            <w:tcW w:w="6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4160" w:type="dxa"/>
            <w:vAlign w:val="bottom"/>
          </w:tcPr>
          <w:p>
            <w:pPr>
              <w:spacing w:after="0"/>
              <w:rPr>
                <w:sz w:val="20"/>
                <w:szCs w:val="20"/>
                <w:color w:val="auto"/>
              </w:rPr>
            </w:pPr>
            <w:r>
              <w:rPr>
                <w:rFonts w:ascii="Arial" w:cs="Arial" w:eastAsia="Arial" w:hAnsi="Arial"/>
                <w:sz w:val="16"/>
                <w:szCs w:val="16"/>
                <w:color w:val="auto"/>
              </w:rPr>
              <w:t>Total</w:t>
            </w: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center"/>
              <w:ind w:left="379"/>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62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center"/>
              <w:ind w:left="359"/>
              <w:spacing w:after="0"/>
              <w:rPr>
                <w:sz w:val="20"/>
                <w:szCs w:val="20"/>
                <w:color w:val="auto"/>
              </w:rPr>
            </w:pPr>
            <w:r>
              <w:rPr>
                <w:rFonts w:ascii="Arial" w:cs="Arial" w:eastAsia="Arial" w:hAnsi="Arial"/>
                <w:sz w:val="16"/>
                <w:szCs w:val="16"/>
                <w:color w:val="auto"/>
                <w:w w:val="98"/>
              </w:rPr>
              <w:t>(60)</w:t>
            </w:r>
          </w:p>
        </w:tc>
        <w:tc>
          <w:tcPr>
            <w:tcW w:w="80" w:type="dxa"/>
            <w:vAlign w:val="bottom"/>
          </w:tcPr>
          <w:p>
            <w:pPr>
              <w:spacing w:after="0"/>
              <w:rPr>
                <w:sz w:val="18"/>
                <w:szCs w:val="18"/>
                <w:color w:val="auto"/>
              </w:rPr>
            </w:pPr>
          </w:p>
        </w:tc>
        <w:tc>
          <w:tcPr>
            <w:tcW w:w="600" w:type="dxa"/>
            <w:vAlign w:val="bottom"/>
            <w:tcBorders>
              <w:top w:val="single" w:sz="8" w:color="auto"/>
              <w:bottom w:val="single" w:sz="8" w:color="auto"/>
            </w:tcBorders>
          </w:tcPr>
          <w:p>
            <w:pPr>
              <w:jc w:val="right"/>
              <w:ind w:right="399"/>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20"/>
        </w:trPr>
        <w:tc>
          <w:tcPr>
            <w:tcW w:w="4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ind w:left="326" w:hanging="326"/>
        <w:spacing w:after="0"/>
        <w:tabs>
          <w:tab w:leader="none" w:pos="326" w:val="left"/>
        </w:tabs>
        <w:numPr>
          <w:ilvl w:val="0"/>
          <w:numId w:val="42"/>
        </w:numPr>
        <w:rPr>
          <w:rFonts w:ascii="Arial" w:cs="Arial" w:eastAsia="Arial" w:hAnsi="Arial"/>
          <w:sz w:val="9"/>
          <w:szCs w:val="9"/>
          <w:color w:val="auto"/>
        </w:rPr>
      </w:pPr>
      <w:r>
        <w:rPr>
          <w:rFonts w:ascii="Arial" w:cs="Arial" w:eastAsia="Arial" w:hAnsi="Arial"/>
          <w:sz w:val="14"/>
          <w:szCs w:val="14"/>
          <w:color w:val="auto"/>
        </w:rPr>
        <w:t>Recognized, net of tax, as a component of accumulated other comprehensive income (loss) within stockholders’ equity.</w:t>
      </w:r>
    </w:p>
    <w:p>
      <w:pPr>
        <w:spacing w:after="0" w:line="41" w:lineRule="exact"/>
        <w:rPr>
          <w:rFonts w:ascii="Arial" w:cs="Arial" w:eastAsia="Arial" w:hAnsi="Arial"/>
          <w:sz w:val="9"/>
          <w:szCs w:val="9"/>
          <w:color w:val="auto"/>
        </w:rPr>
      </w:pPr>
    </w:p>
    <w:p>
      <w:pPr>
        <w:ind w:left="326" w:hanging="326"/>
        <w:spacing w:after="0" w:line="222" w:lineRule="auto"/>
        <w:tabs>
          <w:tab w:leader="none" w:pos="319"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Classified as a net unrealized gain (loss) on cash flow hedges in accumulated other comprehensive income (loss). Refer to Note 13 – Stockholders' Equity for amounts reclassified from accumulated other comprehensive income (loss) into earnings.</w:t>
      </w:r>
    </w:p>
    <w:p>
      <w:pPr>
        <w:ind w:left="306" w:hanging="306"/>
        <w:spacing w:after="0" w:line="192" w:lineRule="auto"/>
        <w:tabs>
          <w:tab w:leader="none" w:pos="30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Classified as a net investment hedge within currency translation adjustment in accumulated other comprehensive income (loss).</w:t>
      </w:r>
    </w:p>
    <w:p>
      <w:pPr>
        <w:ind w:left="326" w:hanging="326"/>
        <w:spacing w:after="0" w:line="192" w:lineRule="auto"/>
        <w:tabs>
          <w:tab w:leader="none" w:pos="32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326" w:hanging="326"/>
        <w:spacing w:after="0" w:line="192" w:lineRule="auto"/>
        <w:tabs>
          <w:tab w:leader="none" w:pos="32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Included in interest expense.</w:t>
      </w:r>
    </w:p>
    <w:p>
      <w:pPr>
        <w:ind w:left="326" w:hanging="326"/>
        <w:spacing w:after="0" w:line="193" w:lineRule="auto"/>
        <w:tabs>
          <w:tab w:leader="none" w:pos="326" w:val="left"/>
        </w:tabs>
        <w:numPr>
          <w:ilvl w:val="0"/>
          <w:numId w:val="42"/>
        </w:numPr>
        <w:rPr>
          <w:rFonts w:ascii="Arial" w:cs="Arial" w:eastAsia="Arial" w:hAnsi="Arial"/>
          <w:sz w:val="19"/>
          <w:szCs w:val="19"/>
          <w:color w:val="auto"/>
          <w:vertAlign w:val="superscript"/>
        </w:rPr>
      </w:pPr>
      <w:r>
        <w:rPr>
          <w:rFonts w:ascii="Arial" w:cs="Arial" w:eastAsia="Arial" w:hAnsi="Arial"/>
          <w:sz w:val="14"/>
          <w:szCs w:val="14"/>
          <w:color w:val="auto"/>
        </w:rPr>
        <w:t>Primarily included in vehicle interest, net.</w:t>
      </w:r>
    </w:p>
    <w:p>
      <w:pPr>
        <w:spacing w:after="0" w:line="200" w:lineRule="exact"/>
        <w:rPr>
          <w:sz w:val="20"/>
          <w:szCs w:val="20"/>
          <w:color w:val="auto"/>
        </w:rPr>
      </w:pPr>
    </w:p>
    <w:p>
      <w:pPr>
        <w:spacing w:after="0" w:line="357"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sectPr>
      </w:pPr>
    </w:p>
    <w:bookmarkStart w:id="29" w:name="page30"/>
    <w:bookmarkEnd w:id="29"/>
    <w:p>
      <w:pPr>
        <w:ind w:left="442"/>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50" w:lineRule="exact"/>
        <w:rPr>
          <w:sz w:val="20"/>
          <w:szCs w:val="20"/>
          <w:color w:val="auto"/>
        </w:rPr>
      </w:pPr>
    </w:p>
    <w:p>
      <w:pPr>
        <w:ind w:left="442"/>
        <w:spacing w:after="0"/>
        <w:rPr>
          <w:sz w:val="20"/>
          <w:szCs w:val="20"/>
          <w:color w:val="auto"/>
        </w:rPr>
      </w:pPr>
      <w:r>
        <w:rPr>
          <w:rFonts w:ascii="Arial" w:cs="Arial" w:eastAsia="Arial" w:hAnsi="Arial"/>
          <w:sz w:val="18"/>
          <w:szCs w:val="18"/>
          <w:color w:val="auto"/>
        </w:rPr>
        <w:t>The carrying amounts and estimated fair values (Level 2) of debt instruments are as follows:</w:t>
      </w:r>
    </w:p>
    <w:p>
      <w:pPr>
        <w:spacing w:after="0" w:line="297" w:lineRule="exact"/>
        <w:rPr>
          <w:sz w:val="20"/>
          <w:szCs w:val="20"/>
          <w:color w:val="auto"/>
        </w:rPr>
      </w:pPr>
    </w:p>
    <w:tbl>
      <w:tblPr>
        <w:tblLayout w:type="fixed"/>
        <w:tblInd w:w="462" w:type="dxa"/>
        <w:tblCellMar>
          <w:top w:w="0" w:type="dxa"/>
          <w:left w:w="0" w:type="dxa"/>
          <w:bottom w:w="0" w:type="dxa"/>
          <w:right w:w="0" w:type="dxa"/>
        </w:tblCellMar>
      </w:tblPr>
      <w:tr>
        <w:trPr>
          <w:trHeight w:val="217"/>
        </w:trPr>
        <w:tc>
          <w:tcPr>
            <w:tcW w:w="4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60" w:type="dxa"/>
            <w:vAlign w:val="bottom"/>
            <w:gridSpan w:val="5"/>
          </w:tcPr>
          <w:p>
            <w:pPr>
              <w:ind w:left="220"/>
              <w:spacing w:after="0"/>
              <w:rPr>
                <w:sz w:val="20"/>
                <w:szCs w:val="20"/>
                <w:color w:val="auto"/>
              </w:rPr>
            </w:pPr>
            <w:r>
              <w:rPr>
                <w:rFonts w:ascii="Arial" w:cs="Arial" w:eastAsia="Arial" w:hAnsi="Arial"/>
                <w:sz w:val="16"/>
                <w:szCs w:val="16"/>
                <w:b w:val="1"/>
                <w:bCs w:val="1"/>
                <w:color w:val="auto"/>
              </w:rPr>
              <w:t>As of September 30, 2024</w:t>
            </w:r>
          </w:p>
        </w:tc>
        <w:tc>
          <w:tcPr>
            <w:tcW w:w="240" w:type="dxa"/>
            <w:vAlign w:val="bottom"/>
          </w:tcPr>
          <w:p>
            <w:pPr>
              <w:spacing w:after="0"/>
              <w:rPr>
                <w:sz w:val="18"/>
                <w:szCs w:val="18"/>
                <w:color w:val="auto"/>
              </w:rPr>
            </w:pPr>
          </w:p>
        </w:tc>
        <w:tc>
          <w:tcPr>
            <w:tcW w:w="2660" w:type="dxa"/>
            <w:vAlign w:val="bottom"/>
            <w:gridSpan w:val="4"/>
          </w:tcPr>
          <w:p>
            <w:pPr>
              <w:jc w:val="right"/>
              <w:ind w:right="419"/>
              <w:spacing w:after="0"/>
              <w:rPr>
                <w:sz w:val="20"/>
                <w:szCs w:val="20"/>
                <w:color w:val="auto"/>
              </w:rPr>
            </w:pPr>
            <w:r>
              <w:rPr>
                <w:rFonts w:ascii="Arial" w:cs="Arial" w:eastAsia="Arial" w:hAnsi="Arial"/>
                <w:sz w:val="16"/>
                <w:szCs w:val="16"/>
                <w:b w:val="1"/>
                <w:bCs w:val="1"/>
                <w:color w:val="auto"/>
              </w:rPr>
              <w:t>As of December 31, 2023</w:t>
            </w:r>
          </w:p>
        </w:tc>
        <w:tc>
          <w:tcPr>
            <w:tcW w:w="0" w:type="dxa"/>
            <w:vAlign w:val="bottom"/>
          </w:tcPr>
          <w:p>
            <w:pPr>
              <w:spacing w:after="0"/>
              <w:rPr>
                <w:sz w:val="1"/>
                <w:szCs w:val="1"/>
                <w:color w:val="auto"/>
              </w:rPr>
            </w:pPr>
          </w:p>
        </w:tc>
      </w:tr>
      <w:tr>
        <w:trPr>
          <w:trHeight w:val="155"/>
        </w:trPr>
        <w:tc>
          <w:tcPr>
            <w:tcW w:w="424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2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center"/>
              <w:ind w:right="139"/>
              <w:spacing w:after="0" w:line="155" w:lineRule="exact"/>
              <w:rPr>
                <w:sz w:val="20"/>
                <w:szCs w:val="20"/>
                <w:color w:val="auto"/>
              </w:rPr>
            </w:pPr>
            <w:r>
              <w:rPr>
                <w:rFonts w:ascii="Arial" w:cs="Arial" w:eastAsia="Arial" w:hAnsi="Arial"/>
                <w:sz w:val="16"/>
                <w:szCs w:val="16"/>
                <w:b w:val="1"/>
                <w:bCs w:val="1"/>
                <w:color w:val="auto"/>
                <w:w w:val="99"/>
              </w:rPr>
              <w:t>Estimated</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gridSpan w:val="2"/>
            <w:vMerge w:val="restart"/>
          </w:tcPr>
          <w:p>
            <w:pPr>
              <w:jc w:val="center"/>
              <w:ind w:right="340"/>
              <w:spacing w:after="0"/>
              <w:rPr>
                <w:sz w:val="20"/>
                <w:szCs w:val="20"/>
                <w:color w:val="auto"/>
              </w:rPr>
            </w:pPr>
            <w:r>
              <w:rPr>
                <w:rFonts w:ascii="Arial" w:cs="Arial" w:eastAsia="Arial" w:hAnsi="Arial"/>
                <w:sz w:val="16"/>
                <w:szCs w:val="16"/>
                <w:b w:val="1"/>
                <w:bCs w:val="1"/>
                <w:color w:val="auto"/>
              </w:rPr>
              <w:t>Carrying</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119"/>
              <w:spacing w:after="0" w:line="155" w:lineRule="exact"/>
              <w:rPr>
                <w:sz w:val="20"/>
                <w:szCs w:val="20"/>
                <w:color w:val="auto"/>
              </w:rPr>
            </w:pPr>
            <w:r>
              <w:rPr>
                <w:rFonts w:ascii="Arial" w:cs="Arial" w:eastAsia="Arial" w:hAnsi="Arial"/>
                <w:sz w:val="16"/>
                <w:szCs w:val="16"/>
                <w:b w:val="1"/>
                <w:bCs w:val="1"/>
                <w:color w:val="auto"/>
                <w:w w:val="99"/>
              </w:rPr>
              <w:t>Estimated</w:t>
            </w:r>
          </w:p>
        </w:tc>
        <w:tc>
          <w:tcPr>
            <w:tcW w:w="0" w:type="dxa"/>
            <w:vAlign w:val="bottom"/>
          </w:tcPr>
          <w:p>
            <w:pPr>
              <w:spacing w:after="0"/>
              <w:rPr>
                <w:sz w:val="1"/>
                <w:szCs w:val="1"/>
                <w:color w:val="auto"/>
              </w:rPr>
            </w:pPr>
          </w:p>
        </w:tc>
      </w:tr>
      <w:tr>
        <w:trPr>
          <w:trHeight w:val="162"/>
        </w:trPr>
        <w:tc>
          <w:tcPr>
            <w:tcW w:w="4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95"/>
              </w:rPr>
              <w:t>Fair</w:t>
            </w:r>
          </w:p>
        </w:tc>
        <w:tc>
          <w:tcPr>
            <w:tcW w:w="2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center"/>
              <w:ind w:right="139"/>
              <w:spacing w:after="0" w:line="162" w:lineRule="exact"/>
              <w:rPr>
                <w:sz w:val="20"/>
                <w:szCs w:val="20"/>
                <w:color w:val="auto"/>
              </w:rPr>
            </w:pPr>
            <w:r>
              <w:rPr>
                <w:rFonts w:ascii="Arial" w:cs="Arial" w:eastAsia="Arial" w:hAnsi="Arial"/>
                <w:sz w:val="16"/>
                <w:szCs w:val="16"/>
                <w:b w:val="1"/>
                <w:bCs w:val="1"/>
                <w:color w:val="auto"/>
              </w:rPr>
              <w:t>Fair</w:t>
            </w:r>
          </w:p>
        </w:tc>
        <w:tc>
          <w:tcPr>
            <w:tcW w:w="0" w:type="dxa"/>
            <w:vAlign w:val="bottom"/>
          </w:tcPr>
          <w:p>
            <w:pPr>
              <w:spacing w:after="0"/>
              <w:rPr>
                <w:sz w:val="1"/>
                <w:szCs w:val="1"/>
                <w:color w:val="auto"/>
              </w:rPr>
            </w:pPr>
          </w:p>
        </w:tc>
      </w:tr>
      <w:tr>
        <w:trPr>
          <w:trHeight w:val="216"/>
        </w:trPr>
        <w:tc>
          <w:tcPr>
            <w:tcW w:w="4240" w:type="dxa"/>
            <w:vAlign w:val="bottom"/>
            <w:vMerge w:val="restart"/>
          </w:tcPr>
          <w:p>
            <w:pPr>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Value</w:t>
            </w:r>
          </w:p>
        </w:tc>
        <w:tc>
          <w:tcPr>
            <w:tcW w:w="24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9"/>
              </w:rPr>
              <w:t>Amount</w:t>
            </w:r>
          </w:p>
        </w:tc>
        <w:tc>
          <w:tcPr>
            <w:tcW w:w="200" w:type="dxa"/>
            <w:vAlign w:val="bottom"/>
          </w:tcPr>
          <w:p>
            <w:pPr>
              <w:spacing w:after="0"/>
              <w:rPr>
                <w:sz w:val="18"/>
                <w:szCs w:val="18"/>
                <w:color w:val="auto"/>
              </w:rPr>
            </w:pPr>
          </w:p>
        </w:tc>
        <w:tc>
          <w:tcPr>
            <w:tcW w:w="1200" w:type="dxa"/>
            <w:vAlign w:val="bottom"/>
          </w:tcPr>
          <w:p>
            <w:pPr>
              <w:jc w:val="center"/>
              <w:ind w:right="139"/>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195"/>
        </w:trPr>
        <w:tc>
          <w:tcPr>
            <w:tcW w:w="4240" w:type="dxa"/>
            <w:vAlign w:val="bottom"/>
            <w:vMerge w:val="continue"/>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540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5,465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5,517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4,812</w:t>
            </w:r>
          </w:p>
        </w:tc>
        <w:tc>
          <w:tcPr>
            <w:tcW w:w="0" w:type="dxa"/>
            <w:vAlign w:val="bottom"/>
          </w:tcPr>
          <w:p>
            <w:pPr>
              <w:spacing w:after="0"/>
              <w:rPr>
                <w:sz w:val="1"/>
                <w:szCs w:val="1"/>
                <w:color w:val="auto"/>
              </w:rPr>
            </w:pPr>
          </w:p>
        </w:tc>
      </w:tr>
      <w:tr>
        <w:trPr>
          <w:trHeight w:val="433"/>
        </w:trPr>
        <w:tc>
          <w:tcPr>
            <w:tcW w:w="4240" w:type="dxa"/>
            <w:vAlign w:val="bottom"/>
          </w:tcPr>
          <w:p>
            <w:pPr>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40" w:type="dxa"/>
            <w:vAlign w:val="bottom"/>
          </w:tcPr>
          <w:p>
            <w:pPr>
              <w:ind w:left="100"/>
              <w:spacing w:after="0" w:line="163" w:lineRule="exact"/>
              <w:rPr>
                <w:sz w:val="20"/>
                <w:szCs w:val="20"/>
                <w:color w:val="auto"/>
              </w:rPr>
            </w:pPr>
            <w:r>
              <w:rPr>
                <w:rFonts w:ascii="Arial" w:cs="Arial" w:eastAsia="Arial" w:hAnsi="Arial"/>
                <w:sz w:val="16"/>
                <w:szCs w:val="16"/>
                <w:color w:val="auto"/>
              </w:rPr>
              <w:t>Vehicle-backed debt due to Avis Budget Rental Car</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13,837</w:t>
            </w:r>
          </w:p>
        </w:tc>
        <w:tc>
          <w:tcPr>
            <w:tcW w:w="100" w:type="dxa"/>
            <w:vAlign w:val="bottom"/>
          </w:tcPr>
          <w:p>
            <w:pPr>
              <w:spacing w:after="0"/>
              <w:rPr>
                <w:sz w:val="14"/>
                <w:szCs w:val="14"/>
                <w:color w:val="auto"/>
              </w:rPr>
            </w:pPr>
          </w:p>
        </w:tc>
        <w:tc>
          <w:tcPr>
            <w:tcW w:w="220" w:type="dxa"/>
            <w:vAlign w:val="bottom"/>
            <w:vMerge w:val="restart"/>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13,981</w:t>
            </w:r>
          </w:p>
        </w:tc>
        <w:tc>
          <w:tcPr>
            <w:tcW w:w="10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vMerge w:val="restart"/>
          </w:tcPr>
          <w:p>
            <w:pPr>
              <w:jc w:val="right"/>
              <w:spacing w:after="0"/>
              <w:rPr>
                <w:sz w:val="20"/>
                <w:szCs w:val="20"/>
                <w:color w:val="auto"/>
              </w:rPr>
            </w:pPr>
            <w:r>
              <w:rPr>
                <w:rFonts w:ascii="Arial" w:cs="Arial" w:eastAsia="Arial" w:hAnsi="Arial"/>
                <w:sz w:val="16"/>
                <w:szCs w:val="16"/>
                <w:color w:val="auto"/>
              </w:rPr>
              <w:t>15,441</w:t>
            </w:r>
          </w:p>
        </w:tc>
        <w:tc>
          <w:tcPr>
            <w:tcW w:w="100" w:type="dxa"/>
            <w:vAlign w:val="bottom"/>
          </w:tcPr>
          <w:p>
            <w:pPr>
              <w:spacing w:after="0"/>
              <w:rPr>
                <w:sz w:val="14"/>
                <w:szCs w:val="14"/>
                <w:color w:val="auto"/>
              </w:rPr>
            </w:pPr>
          </w:p>
        </w:tc>
        <w:tc>
          <w:tcPr>
            <w:tcW w:w="20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1200" w:type="dxa"/>
            <w:vAlign w:val="bottom"/>
            <w:vMerge w:val="restart"/>
          </w:tcPr>
          <w:p>
            <w:pPr>
              <w:jc w:val="right"/>
              <w:spacing w:after="0"/>
              <w:rPr>
                <w:sz w:val="20"/>
                <w:szCs w:val="20"/>
                <w:color w:val="auto"/>
              </w:rPr>
            </w:pPr>
            <w:r>
              <w:rPr>
                <w:rFonts w:ascii="Arial" w:cs="Arial" w:eastAsia="Arial" w:hAnsi="Arial"/>
                <w:sz w:val="16"/>
                <w:szCs w:val="16"/>
                <w:color w:val="auto"/>
              </w:rPr>
              <w:t>15,238</w:t>
            </w:r>
          </w:p>
        </w:tc>
        <w:tc>
          <w:tcPr>
            <w:tcW w:w="0" w:type="dxa"/>
            <w:vAlign w:val="bottom"/>
          </w:tcPr>
          <w:p>
            <w:pPr>
              <w:spacing w:after="0"/>
              <w:rPr>
                <w:sz w:val="1"/>
                <w:szCs w:val="1"/>
                <w:color w:val="auto"/>
              </w:rPr>
            </w:pPr>
          </w:p>
        </w:tc>
      </w:tr>
      <w:tr>
        <w:trPr>
          <w:trHeight w:val="215"/>
        </w:trPr>
        <w:tc>
          <w:tcPr>
            <w:tcW w:w="4240" w:type="dxa"/>
            <w:vAlign w:val="bottom"/>
          </w:tcPr>
          <w:p>
            <w:pPr>
              <w:ind w:left="260"/>
              <w:spacing w:after="0"/>
              <w:rPr>
                <w:sz w:val="20"/>
                <w:szCs w:val="20"/>
                <w:color w:val="auto"/>
              </w:rPr>
            </w:pPr>
            <w:r>
              <w:rPr>
                <w:rFonts w:ascii="Arial" w:cs="Arial" w:eastAsia="Arial" w:hAnsi="Arial"/>
                <w:sz w:val="16"/>
                <w:szCs w:val="16"/>
                <w:color w:val="auto"/>
              </w:rPr>
              <w:t>Funding</w:t>
            </w: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1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240" w:type="dxa"/>
            <w:vAlign w:val="bottom"/>
          </w:tcPr>
          <w:p>
            <w:pPr>
              <w:ind w:left="10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4,043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4,075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3,422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3,435</w:t>
            </w:r>
          </w:p>
        </w:tc>
        <w:tc>
          <w:tcPr>
            <w:tcW w:w="0" w:type="dxa"/>
            <w:vAlign w:val="bottom"/>
          </w:tcPr>
          <w:p>
            <w:pPr>
              <w:spacing w:after="0"/>
              <w:rPr>
                <w:sz w:val="1"/>
                <w:szCs w:val="1"/>
                <w:color w:val="auto"/>
              </w:rPr>
            </w:pPr>
          </w:p>
        </w:tc>
      </w:tr>
      <w:tr>
        <w:trPr>
          <w:trHeight w:val="287"/>
        </w:trPr>
        <w:tc>
          <w:tcPr>
            <w:tcW w:w="4240" w:type="dxa"/>
            <w:vAlign w:val="bottom"/>
          </w:tcPr>
          <w:p>
            <w:pPr>
              <w:ind w:left="10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42"/>
        <w:spacing w:after="0"/>
        <w:rPr>
          <w:sz w:val="20"/>
          <w:szCs w:val="20"/>
          <w:color w:val="auto"/>
        </w:rPr>
      </w:pPr>
      <w:r>
        <w:rPr>
          <w:rFonts w:ascii="Arial" w:cs="Arial" w:eastAsia="Arial" w:hAnsi="Arial"/>
          <w:sz w:val="16"/>
          <w:szCs w:val="16"/>
          <w:color w:val="auto"/>
        </w:rPr>
        <w:t>________</w:t>
      </w:r>
    </w:p>
    <w:p>
      <w:pPr>
        <w:spacing w:after="0" w:line="118" w:lineRule="exact"/>
        <w:rPr>
          <w:sz w:val="20"/>
          <w:szCs w:val="20"/>
          <w:color w:val="auto"/>
        </w:rPr>
      </w:pPr>
    </w:p>
    <w:p>
      <w:pPr>
        <w:ind w:left="662" w:hanging="226"/>
        <w:spacing w:after="0"/>
        <w:tabs>
          <w:tab w:leader="none" w:pos="662" w:val="left"/>
        </w:tabs>
        <w:numPr>
          <w:ilvl w:val="1"/>
          <w:numId w:val="43"/>
        </w:numPr>
        <w:rPr>
          <w:rFonts w:ascii="Arial" w:cs="Arial" w:eastAsia="Arial" w:hAnsi="Arial"/>
          <w:sz w:val="9"/>
          <w:szCs w:val="9"/>
          <w:color w:val="auto"/>
        </w:rPr>
      </w:pPr>
      <w:r>
        <w:rPr>
          <w:rFonts w:ascii="Arial" w:cs="Arial" w:eastAsia="Arial" w:hAnsi="Arial"/>
          <w:sz w:val="14"/>
          <w:szCs w:val="14"/>
          <w:color w:val="auto"/>
        </w:rPr>
        <w:t>Derivatives in a liability position.</w:t>
      </w:r>
    </w:p>
    <w:p>
      <w:pPr>
        <w:spacing w:after="0" w:line="200" w:lineRule="exact"/>
        <w:rPr>
          <w:rFonts w:ascii="Arial" w:cs="Arial" w:eastAsia="Arial" w:hAnsi="Arial"/>
          <w:sz w:val="9"/>
          <w:szCs w:val="9"/>
          <w:color w:val="auto"/>
        </w:rPr>
      </w:pPr>
    </w:p>
    <w:p>
      <w:pPr>
        <w:spacing w:after="0" w:line="290" w:lineRule="exact"/>
        <w:rPr>
          <w:rFonts w:ascii="Arial" w:cs="Arial" w:eastAsia="Arial" w:hAnsi="Arial"/>
          <w:sz w:val="9"/>
          <w:szCs w:val="9"/>
          <w:color w:val="auto"/>
        </w:rPr>
      </w:pPr>
    </w:p>
    <w:p>
      <w:pPr>
        <w:ind w:left="442" w:hanging="442"/>
        <w:spacing w:after="0"/>
        <w:tabs>
          <w:tab w:leader="none" w:pos="44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52" w:lineRule="exact"/>
        <w:rPr>
          <w:rFonts w:ascii="Arial" w:cs="Arial" w:eastAsia="Arial" w:hAnsi="Arial"/>
          <w:sz w:val="18"/>
          <w:szCs w:val="18"/>
          <w:b w:val="1"/>
          <w:bCs w:val="1"/>
          <w:color w:val="auto"/>
        </w:rPr>
      </w:pPr>
    </w:p>
    <w:p>
      <w:pPr>
        <w:jc w:val="both"/>
        <w:ind w:left="442"/>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Our chief operating decision-maker assesses performance and allocates resources based upon the separate financial information of our operating segments. In identifying our reportable segments, we also consider the nature of services provided by our operating segments, the geographical areas in which the segments operate and other relevant factors. We aggregate certain of our operating segments into our reportable segments.</w:t>
      </w:r>
    </w:p>
    <w:p>
      <w:pPr>
        <w:spacing w:after="0" w:line="203" w:lineRule="exact"/>
        <w:rPr>
          <w:rFonts w:ascii="Arial" w:cs="Arial" w:eastAsia="Arial" w:hAnsi="Arial"/>
          <w:sz w:val="18"/>
          <w:szCs w:val="18"/>
          <w:b w:val="1"/>
          <w:bCs w:val="1"/>
          <w:color w:val="auto"/>
        </w:rPr>
      </w:pPr>
    </w:p>
    <w:p>
      <w:pPr>
        <w:jc w:val="both"/>
        <w:ind w:left="442"/>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transaction-related costs, net; legal matters,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8"/>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2"/>
          </w:cols>
          <w:pgMar w:left="378" w:top="1176" w:right="339" w:bottom="1440" w:gutter="0" w:footer="0" w:header="0"/>
        </w:sectPr>
      </w:pPr>
    </w:p>
    <w:bookmarkStart w:id="30" w:name="page31"/>
    <w:bookmarkEnd w:id="30"/>
    <w:p>
      <w:pPr>
        <w:jc w:val="both"/>
        <w:ind w:left="6"/>
        <w:spacing w:after="0" w:line="262"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Our presentation of Adjusted EBITDA may not be comparable to similarly titled measures used by other companies.</w:t>
      </w:r>
    </w:p>
    <w:p>
      <w:pPr>
        <w:spacing w:after="0" w:line="244" w:lineRule="exact"/>
        <w:rPr>
          <w:sz w:val="20"/>
          <w:szCs w:val="20"/>
          <w:color w:val="auto"/>
        </w:rPr>
      </w:pPr>
    </w:p>
    <w:tbl>
      <w:tblPr>
        <w:tblLayout w:type="fixed"/>
        <w:tblInd w:w="26"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2024</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1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center"/>
              <w:ind w:right="130"/>
              <w:spacing w:after="0" w:line="169" w:lineRule="exact"/>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40" w:type="dxa"/>
            <w:vAlign w:val="bottom"/>
          </w:tcPr>
          <w:p>
            <w:pPr>
              <w:jc w:val="right"/>
              <w:ind w:right="21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rPr>
              <w:t>EBITDA</w:t>
            </w:r>
          </w:p>
        </w:tc>
        <w:tc>
          <w:tcPr>
            <w:tcW w:w="200" w:type="dxa"/>
            <w:vAlign w:val="bottom"/>
          </w:tcPr>
          <w:p>
            <w:pPr>
              <w:spacing w:after="0"/>
              <w:rPr>
                <w:sz w:val="21"/>
                <w:szCs w:val="21"/>
                <w:color w:val="auto"/>
              </w:rPr>
            </w:pPr>
          </w:p>
        </w:tc>
        <w:tc>
          <w:tcPr>
            <w:tcW w:w="128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250"/>
              <w:spacing w:after="0"/>
              <w:rPr>
                <w:sz w:val="20"/>
                <w:szCs w:val="20"/>
                <w:color w:val="auto"/>
              </w:rPr>
            </w:pPr>
            <w:r>
              <w:rPr>
                <w:rFonts w:ascii="Arial" w:cs="Arial" w:eastAsia="Arial" w:hAnsi="Arial"/>
                <w:sz w:val="18"/>
                <w:szCs w:val="18"/>
                <w:b w:val="1"/>
                <w:bCs w:val="1"/>
                <w:color w:val="auto"/>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2,736</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840</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3,480</w:t>
            </w:r>
          </w:p>
        </w:tc>
        <w:tc>
          <w:tcPr>
            <w:tcW w:w="4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3,564</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ectPr>
          <w:pgSz w:w="11900" w:h="16838" w:orient="portrait"/>
          <w:cols w:equalWidth="0" w:num="1">
            <w:col w:w="10746"/>
          </w:cols>
          <w:pgMar w:left="814" w:top="931" w:right="339" w:bottom="1440" w:gutter="0" w:footer="0" w:header="0"/>
        </w:sectPr>
      </w:pPr>
    </w:p>
    <w:p>
      <w:pPr>
        <w:ind w:left="26"/>
        <w:spacing w:after="0"/>
        <w:rPr>
          <w:sz w:val="20"/>
          <w:szCs w:val="20"/>
          <w:color w:val="auto"/>
        </w:rPr>
      </w:pPr>
      <w:r>
        <w:rPr>
          <w:rFonts w:ascii="Arial" w:cs="Arial" w:eastAsia="Arial" w:hAnsi="Arial"/>
          <w:sz w:val="17"/>
          <w:szCs w:val="17"/>
          <w:color w:val="auto"/>
        </w:rPr>
        <w:t>Reconciliation of Adjusted EBITDA to Income before income taxes:</w:t>
      </w:r>
    </w:p>
    <w:p>
      <w:pPr>
        <w:spacing w:after="0" w:line="291" w:lineRule="exact"/>
        <w:rPr>
          <w:sz w:val="20"/>
          <w:szCs w:val="20"/>
          <w:color w:val="auto"/>
        </w:rPr>
      </w:pPr>
    </w:p>
    <w:p>
      <w:pPr>
        <w:ind w:left="26"/>
        <w:spacing w:after="0"/>
        <w:rPr>
          <w:sz w:val="20"/>
          <w:szCs w:val="20"/>
          <w:color w:val="auto"/>
        </w:rPr>
      </w:pPr>
      <w:r>
        <w:rPr>
          <w:rFonts w:ascii="Arial" w:cs="Arial" w:eastAsia="Arial" w:hAnsi="Arial"/>
          <w:sz w:val="18"/>
          <w:szCs w:val="18"/>
          <w:color w:val="auto"/>
        </w:rPr>
        <w:t>Adjusted EBITDA</w:t>
      </w:r>
    </w:p>
    <w:p>
      <w:pPr>
        <w:spacing w:after="0" w:line="32" w:lineRule="exact"/>
        <w:rPr>
          <w:sz w:val="20"/>
          <w:szCs w:val="20"/>
          <w:color w:val="auto"/>
        </w:rPr>
      </w:pPr>
    </w:p>
    <w:p>
      <w:pPr>
        <w:ind w:left="26"/>
        <w:spacing w:after="0"/>
        <w:tabs>
          <w:tab w:leader="none" w:pos="686" w:val="left"/>
        </w:tabs>
        <w:rPr>
          <w:sz w:val="20"/>
          <w:szCs w:val="20"/>
          <w:color w:val="auto"/>
        </w:rPr>
      </w:pPr>
      <w:r>
        <w:rPr>
          <w:rFonts w:ascii="Arial" w:cs="Arial" w:eastAsia="Arial" w:hAnsi="Arial"/>
          <w:sz w:val="18"/>
          <w:szCs w:val="18"/>
          <w:color w:val="auto"/>
        </w:rPr>
        <w:t>Less:</w:t>
        <w:tab/>
        <w:t>Non-vehicle related depreciation and amortization</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Interest expense related to corporate debt, net:</w:t>
      </w:r>
    </w:p>
    <w:p>
      <w:pPr>
        <w:spacing w:after="0" w:line="23" w:lineRule="exact"/>
        <w:rPr>
          <w:sz w:val="20"/>
          <w:szCs w:val="20"/>
          <w:color w:val="auto"/>
        </w:rPr>
      </w:pPr>
    </w:p>
    <w:p>
      <w:pPr>
        <w:ind w:left="826"/>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826"/>
        <w:spacing w:after="0"/>
        <w:rPr>
          <w:sz w:val="20"/>
          <w:szCs w:val="20"/>
          <w:color w:val="auto"/>
        </w:rPr>
      </w:pPr>
      <w:r>
        <w:rPr>
          <w:rFonts w:ascii="Arial" w:cs="Arial" w:eastAsia="Arial" w:hAnsi="Arial"/>
          <w:sz w:val="18"/>
          <w:szCs w:val="18"/>
          <w:color w:val="auto"/>
        </w:rPr>
        <w:t>Early extinguishment of debt</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Restructuring and other related charges</w:t>
      </w:r>
    </w:p>
    <w:p>
      <w:pPr>
        <w:spacing w:after="0" w:line="23" w:lineRule="exact"/>
        <w:rPr>
          <w:sz w:val="20"/>
          <w:szCs w:val="20"/>
          <w:color w:val="auto"/>
        </w:rPr>
      </w:pPr>
    </w:p>
    <w:p>
      <w:pPr>
        <w:ind w:left="706"/>
        <w:spacing w:after="0"/>
        <w:rPr>
          <w:sz w:val="20"/>
          <w:szCs w:val="20"/>
          <w:color w:val="auto"/>
        </w:rPr>
      </w:pPr>
      <w:r>
        <w:rPr>
          <w:rFonts w:ascii="Arial" w:cs="Arial" w:eastAsia="Arial" w:hAnsi="Arial"/>
          <w:sz w:val="18"/>
          <w:szCs w:val="18"/>
          <w:color w:val="auto"/>
        </w:rPr>
        <w:t>Transaction-related costs, net</w:t>
      </w:r>
    </w:p>
    <w:p>
      <w:pPr>
        <w:ind w:left="706"/>
        <w:spacing w:after="0" w:line="236" w:lineRule="auto"/>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p>
      <w:pPr>
        <w:spacing w:after="0" w:line="1" w:lineRule="exact"/>
        <w:rPr>
          <w:sz w:val="20"/>
          <w:szCs w:val="20"/>
          <w:color w:val="auto"/>
        </w:rPr>
      </w:pPr>
    </w:p>
    <w:p>
      <w:pPr>
        <w:ind w:left="706"/>
        <w:spacing w:after="0"/>
        <w:rPr>
          <w:sz w:val="20"/>
          <w:szCs w:val="20"/>
          <w:color w:val="auto"/>
        </w:rPr>
      </w:pPr>
      <w:r>
        <w:rPr>
          <w:rFonts w:ascii="Arial" w:cs="Arial" w:eastAsia="Arial" w:hAnsi="Arial"/>
          <w:sz w:val="18"/>
          <w:szCs w:val="18"/>
          <w:color w:val="auto"/>
        </w:rPr>
        <w:t>Reported within operating expenses:</w:t>
      </w:r>
    </w:p>
    <w:p>
      <w:pPr>
        <w:spacing w:after="0" w:line="14" w:lineRule="exact"/>
        <w:rPr>
          <w:sz w:val="20"/>
          <w:szCs w:val="20"/>
          <w:color w:val="auto"/>
        </w:rPr>
      </w:pPr>
    </w:p>
    <w:p>
      <w:pPr>
        <w:ind w:left="866"/>
        <w:spacing w:after="0"/>
        <w:rPr>
          <w:sz w:val="20"/>
          <w:szCs w:val="20"/>
          <w:color w:val="auto"/>
        </w:rPr>
      </w:pPr>
      <w:r>
        <w:rPr>
          <w:rFonts w:ascii="Arial" w:cs="Arial" w:eastAsia="Arial" w:hAnsi="Arial"/>
          <w:sz w:val="18"/>
          <w:szCs w:val="18"/>
          <w:color w:val="auto"/>
        </w:rPr>
        <w:t>Cloud computing costs</w:t>
      </w:r>
    </w:p>
    <w:p>
      <w:pPr>
        <w:spacing w:after="0" w:line="54" w:lineRule="exact"/>
        <w:rPr>
          <w:sz w:val="20"/>
          <w:szCs w:val="20"/>
          <w:color w:val="auto"/>
        </w:rPr>
      </w:pPr>
    </w:p>
    <w:p>
      <w:pPr>
        <w:ind w:left="26"/>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30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2024</w:t>
            </w:r>
          </w:p>
        </w:tc>
        <w:tc>
          <w:tcPr>
            <w:tcW w:w="1580" w:type="dxa"/>
            <w:vAlign w:val="bottom"/>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18"/>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503</w:t>
            </w:r>
          </w:p>
        </w:tc>
        <w:tc>
          <w:tcPr>
            <w:tcW w:w="158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39"/>
        </w:trPr>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450"/>
        </w:trPr>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300" w:type="dxa"/>
            <w:vAlign w:val="bottom"/>
          </w:tcPr>
          <w:p>
            <w:pPr>
              <w:spacing w:after="0"/>
              <w:rPr>
                <w:sz w:val="19"/>
                <w:szCs w:val="19"/>
                <w:color w:val="auto"/>
              </w:rPr>
            </w:pPr>
          </w:p>
        </w:tc>
        <w:tc>
          <w:tcPr>
            <w:tcW w:w="2640" w:type="dxa"/>
            <w:vAlign w:val="bottom"/>
            <w:gridSpan w:val="2"/>
          </w:tcPr>
          <w:p>
            <w:pPr>
              <w:jc w:val="right"/>
              <w:ind w:right="1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w:t>
            </w:r>
          </w:p>
        </w:tc>
        <w:tc>
          <w:tcPr>
            <w:tcW w:w="1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300" w:type="dxa"/>
            <w:vAlign w:val="bottom"/>
          </w:tcPr>
          <w:p>
            <w:pPr>
              <w:spacing w:after="0"/>
              <w:rPr>
                <w:sz w:val="19"/>
                <w:szCs w:val="19"/>
                <w:color w:val="auto"/>
              </w:rPr>
            </w:pPr>
          </w:p>
        </w:tc>
        <w:tc>
          <w:tcPr>
            <w:tcW w:w="2640" w:type="dxa"/>
            <w:vAlign w:val="bottom"/>
            <w:gridSpan w:val="2"/>
          </w:tcPr>
          <w:p>
            <w:pPr>
              <w:jc w:val="right"/>
              <w:ind w:right="16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39"/>
        </w:trPr>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55"/>
        </w:trPr>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5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w:t>
            </w:r>
          </w:p>
        </w:tc>
        <w:tc>
          <w:tcPr>
            <w:tcW w:w="15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w:t>
            </w: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9" w:lineRule="exact"/>
        <w:rPr>
          <w:sz w:val="20"/>
          <w:szCs w:val="20"/>
          <w:color w:val="auto"/>
        </w:rPr>
      </w:pPr>
    </w:p>
    <w:p>
      <w:pPr>
        <w:sectPr>
          <w:pgSz w:w="11900" w:h="16838" w:orient="portrait"/>
          <w:cols w:equalWidth="0" w:num="2">
            <w:col w:w="5346" w:space="480"/>
            <w:col w:w="4920"/>
          </w:cols>
          <w:pgMar w:left="814" w:top="931" w:right="339" w:bottom="1440" w:gutter="0" w:footer="0" w:header="0"/>
          <w:type w:val="continuous"/>
        </w:sectPr>
      </w:pPr>
    </w:p>
    <w:p>
      <w:pPr>
        <w:ind w:left="6"/>
        <w:spacing w:after="0"/>
        <w:rPr>
          <w:sz w:val="20"/>
          <w:szCs w:val="20"/>
          <w:color w:val="auto"/>
        </w:rPr>
      </w:pPr>
      <w:r>
        <w:rPr>
          <w:rFonts w:ascii="Arial" w:cs="Arial" w:eastAsia="Arial" w:hAnsi="Arial"/>
          <w:sz w:val="14"/>
          <w:szCs w:val="14"/>
          <w:color w:val="auto"/>
        </w:rPr>
        <w:t>__________</w:t>
      </w:r>
    </w:p>
    <w:p>
      <w:pPr>
        <w:ind w:left="326" w:hanging="326"/>
        <w:spacing w:after="0" w:line="224" w:lineRule="auto"/>
        <w:tabs>
          <w:tab w:leader="none" w:pos="326"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26" w:hanging="326"/>
        <w:spacing w:after="0" w:line="213" w:lineRule="auto"/>
        <w:tabs>
          <w:tab w:leader="none" w:pos="319"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474"/>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-320675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46"/>
          </w:cols>
          <w:pgMar w:left="814" w:top="931" w:right="339" w:bottom="1440" w:gutter="0" w:footer="0" w:header="0"/>
          <w:type w:val="continuous"/>
        </w:sectPr>
      </w:pPr>
    </w:p>
    <w:bookmarkStart w:id="31" w:name="page32"/>
    <w:bookmarkEnd w:id="31"/>
    <w:tbl>
      <w:tblPr>
        <w:tblLayout w:type="fixed"/>
        <w:tblInd w:w="520" w:type="dxa"/>
        <w:tblCellMar>
          <w:top w:w="0" w:type="dxa"/>
          <w:left w:w="0" w:type="dxa"/>
          <w:bottom w:w="0" w:type="dxa"/>
          <w:right w:w="0" w:type="dxa"/>
        </w:tblCellMar>
      </w:tblPr>
      <w:tr>
        <w:trPr>
          <w:trHeight w:val="235"/>
        </w:trPr>
        <w:tc>
          <w:tcPr>
            <w:tcW w:w="43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7"/>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11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2023</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jc w:val="center"/>
              <w:ind w:right="110"/>
              <w:spacing w:after="0" w:line="169" w:lineRule="exact"/>
              <w:rPr>
                <w:sz w:val="20"/>
                <w:szCs w:val="20"/>
                <w:color w:val="auto"/>
              </w:rPr>
            </w:pPr>
            <w:r>
              <w:rPr>
                <w:rFonts w:ascii="Arial" w:cs="Arial" w:eastAsia="Arial" w:hAnsi="Arial"/>
                <w:sz w:val="18"/>
                <w:szCs w:val="18"/>
                <w:b w:val="1"/>
                <w:bCs w:val="1"/>
                <w:color w:val="auto"/>
                <w:w w:val="98"/>
              </w:rPr>
              <w:t>Adjusted</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Revenues</w:t>
            </w:r>
          </w:p>
        </w:tc>
        <w:tc>
          <w:tcPr>
            <w:tcW w:w="240" w:type="dxa"/>
            <w:vAlign w:val="bottom"/>
          </w:tcPr>
          <w:p>
            <w:pPr>
              <w:spacing w:after="0"/>
              <w:rPr>
                <w:sz w:val="14"/>
                <w:szCs w:val="14"/>
                <w:color w:val="auto"/>
              </w:rPr>
            </w:pPr>
          </w:p>
        </w:tc>
        <w:tc>
          <w:tcPr>
            <w:tcW w:w="118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3"/>
        </w:trPr>
        <w:tc>
          <w:tcPr>
            <w:tcW w:w="4300" w:type="dxa"/>
            <w:vAlign w:val="bottom"/>
            <w:vMerge w:val="restart"/>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spacing w:after="0"/>
              <w:rPr>
                <w:sz w:val="21"/>
                <w:szCs w:val="21"/>
                <w:color w:val="auto"/>
              </w:rPr>
            </w:pPr>
          </w:p>
        </w:tc>
        <w:tc>
          <w:tcPr>
            <w:tcW w:w="12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EBITDA</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614</w:t>
            </w:r>
          </w:p>
        </w:tc>
        <w:tc>
          <w:tcPr>
            <w:tcW w:w="12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7,180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227"/>
        </w:trPr>
        <w:tc>
          <w:tcPr>
            <w:tcW w:w="430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37"/>
        </w:trPr>
        <w:tc>
          <w:tcPr>
            <w:tcW w:w="4300" w:type="dxa"/>
            <w:vAlign w:val="bottom"/>
          </w:tcPr>
          <w:p>
            <w:pPr>
              <w:spacing w:after="0" w:line="237" w:lineRule="exact"/>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4300" w:type="dxa"/>
            <w:vAlign w:val="bottom"/>
          </w:tcPr>
          <w:p>
            <w:pPr>
              <w:ind w:left="240"/>
              <w:spacing w:after="0"/>
              <w:rPr>
                <w:sz w:val="20"/>
                <w:szCs w:val="20"/>
                <w:color w:val="auto"/>
              </w:rPr>
            </w:pPr>
            <w:r>
              <w:rPr>
                <w:rFonts w:ascii="Arial" w:cs="Arial" w:eastAsia="Arial" w:hAnsi="Arial"/>
                <w:sz w:val="18"/>
                <w:szCs w:val="18"/>
                <w:color w:val="auto"/>
              </w:rPr>
              <w:t>Total Company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9,079</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4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5720" w:type="dxa"/>
            <w:vAlign w:val="bottom"/>
            <w:gridSpan w:val="3"/>
          </w:tcPr>
          <w:p>
            <w:pPr>
              <w:spacing w:after="0"/>
              <w:rPr>
                <w:sz w:val="20"/>
                <w:szCs w:val="20"/>
                <w:color w:val="auto"/>
              </w:rPr>
            </w:pPr>
            <w:r>
              <w:rPr>
                <w:rFonts w:ascii="Arial" w:cs="Arial" w:eastAsia="Arial" w:hAnsi="Arial"/>
                <w:sz w:val="18"/>
                <w:szCs w:val="18"/>
                <w:color w:val="auto"/>
              </w:rPr>
              <w:t>Reconciliation of Adjusted EBITDA to Income before income taxes:</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43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2,179</w:t>
            </w:r>
          </w:p>
        </w:tc>
        <w:tc>
          <w:tcPr>
            <w:tcW w:w="0" w:type="dxa"/>
            <w:vAlign w:val="bottom"/>
          </w:tcPr>
          <w:p>
            <w:pPr>
              <w:spacing w:after="0"/>
              <w:rPr>
                <w:sz w:val="1"/>
                <w:szCs w:val="1"/>
                <w:color w:val="auto"/>
              </w:rPr>
            </w:pPr>
          </w:p>
        </w:tc>
      </w:tr>
      <w:tr>
        <w:trPr>
          <w:trHeight w:val="230"/>
        </w:trPr>
        <w:tc>
          <w:tcPr>
            <w:tcW w:w="5720" w:type="dxa"/>
            <w:vAlign w:val="bottom"/>
            <w:gridSpan w:val="3"/>
          </w:tcPr>
          <w:p>
            <w:pPr>
              <w:spacing w:after="0"/>
              <w:rPr>
                <w:sz w:val="20"/>
                <w:szCs w:val="20"/>
                <w:color w:val="auto"/>
              </w:rPr>
            </w:pPr>
            <w:r>
              <w:rPr>
                <w:rFonts w:ascii="Arial" w:cs="Arial" w:eastAsia="Arial" w:hAnsi="Arial"/>
                <w:sz w:val="18"/>
                <w:szCs w:val="18"/>
                <w:color w:val="auto"/>
              </w:rPr>
              <w:t>Less:   Non-vehicle related depreciation and amortization</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500" w:type="dxa"/>
            <w:vAlign w:val="bottom"/>
            <w:gridSpan w:val="2"/>
          </w:tcPr>
          <w:p>
            <w:pPr>
              <w:ind w:left="680"/>
              <w:spacing w:after="0"/>
              <w:rPr>
                <w:sz w:val="20"/>
                <w:szCs w:val="20"/>
                <w:color w:val="auto"/>
              </w:rPr>
            </w:pPr>
            <w:r>
              <w:rPr>
                <w:rFonts w:ascii="Arial" w:cs="Arial" w:eastAsia="Arial" w:hAnsi="Arial"/>
                <w:sz w:val="18"/>
                <w:szCs w:val="18"/>
                <w:color w:val="auto"/>
              </w:rPr>
              <w:t>Interest expense related to corporate debt, net:</w:t>
            </w: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80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9"/>
        </w:trPr>
        <w:tc>
          <w:tcPr>
            <w:tcW w:w="4300" w:type="dxa"/>
            <w:vAlign w:val="bottom"/>
          </w:tcPr>
          <w:p>
            <w:pPr>
              <w:ind w:left="800"/>
              <w:spacing w:after="0"/>
              <w:rPr>
                <w:sz w:val="20"/>
                <w:szCs w:val="20"/>
                <w:color w:val="auto"/>
              </w:rPr>
            </w:pPr>
            <w:r>
              <w:rPr>
                <w:rFonts w:ascii="Arial" w:cs="Arial" w:eastAsia="Arial" w:hAnsi="Arial"/>
                <w:sz w:val="18"/>
                <w:szCs w:val="18"/>
                <w:color w:val="auto"/>
              </w:rPr>
              <w:t>Early extinguishment of debt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300" w:type="dxa"/>
            <w:vAlign w:val="bottom"/>
          </w:tcPr>
          <w:p>
            <w:pPr>
              <w:ind w:left="680"/>
              <w:spacing w:after="0"/>
              <w:rPr>
                <w:sz w:val="20"/>
                <w:szCs w:val="20"/>
                <w:color w:val="auto"/>
              </w:rPr>
            </w:pPr>
            <w:r>
              <w:rPr>
                <w:rFonts w:ascii="Arial" w:cs="Arial" w:eastAsia="Arial" w:hAnsi="Arial"/>
                <w:sz w:val="18"/>
                <w:szCs w:val="18"/>
                <w:color w:val="auto"/>
              </w:rPr>
              <w:t>Restructuring and other related charges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7"/>
        </w:trPr>
        <w:tc>
          <w:tcPr>
            <w:tcW w:w="4300" w:type="dxa"/>
            <w:vAlign w:val="bottom"/>
          </w:tcPr>
          <w:p>
            <w:pPr>
              <w:ind w:left="680"/>
              <w:spacing w:after="0"/>
              <w:rPr>
                <w:sz w:val="20"/>
                <w:szCs w:val="20"/>
                <w:color w:val="auto"/>
              </w:rPr>
            </w:pPr>
            <w:r>
              <w:rPr>
                <w:rFonts w:ascii="Arial" w:cs="Arial" w:eastAsia="Arial" w:hAnsi="Arial"/>
                <w:sz w:val="18"/>
                <w:szCs w:val="18"/>
                <w:color w:val="auto"/>
              </w:rPr>
              <w:t>Transaction-related costs, net</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2"/>
        </w:trPr>
        <w:tc>
          <w:tcPr>
            <w:tcW w:w="4300" w:type="dxa"/>
            <w:vAlign w:val="bottom"/>
          </w:tcPr>
          <w:p>
            <w:pPr>
              <w:ind w:left="680"/>
              <w:spacing w:after="0" w:line="232" w:lineRule="exact"/>
              <w:rPr>
                <w:sz w:val="20"/>
                <w:szCs w:val="20"/>
                <w:color w:val="auto"/>
              </w:rPr>
            </w:pPr>
            <w:r>
              <w:rPr>
                <w:rFonts w:ascii="Arial" w:cs="Arial" w:eastAsia="Arial" w:hAnsi="Arial"/>
                <w:sz w:val="18"/>
                <w:szCs w:val="18"/>
                <w:color w:val="auto"/>
              </w:rPr>
              <w:t xml:space="preserve">Other (income) expense, net </w:t>
            </w:r>
            <w:r>
              <w:rPr>
                <w:rFonts w:ascii="Arial" w:cs="Arial" w:eastAsia="Arial" w:hAnsi="Arial"/>
                <w:sz w:val="23"/>
                <w:szCs w:val="23"/>
                <w:color w:val="auto"/>
                <w:vertAlign w:val="superscript"/>
              </w:rPr>
              <w:t>(b)</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300" w:type="dxa"/>
            <w:vAlign w:val="bottom"/>
          </w:tcPr>
          <w:p>
            <w:pPr>
              <w:ind w:left="680"/>
              <w:spacing w:after="0"/>
              <w:rPr>
                <w:sz w:val="20"/>
                <w:szCs w:val="20"/>
                <w:color w:val="auto"/>
              </w:rPr>
            </w:pPr>
            <w:r>
              <w:rPr>
                <w:rFonts w:ascii="Arial" w:cs="Arial" w:eastAsia="Arial" w:hAnsi="Arial"/>
                <w:sz w:val="18"/>
                <w:szCs w:val="18"/>
                <w:color w:val="auto"/>
              </w:rPr>
              <w:t>Reported within 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840"/>
              <w:spacing w:after="0"/>
              <w:rPr>
                <w:sz w:val="20"/>
                <w:szCs w:val="20"/>
                <w:color w:val="auto"/>
              </w:rPr>
            </w:pPr>
            <w:r>
              <w:rPr>
                <w:rFonts w:ascii="Arial" w:cs="Arial" w:eastAsia="Arial" w:hAnsi="Arial"/>
                <w:sz w:val="18"/>
                <w:szCs w:val="18"/>
                <w:color w:val="auto"/>
              </w:rPr>
              <w:t>Cloud computing costs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5"/>
        </w:trPr>
        <w:tc>
          <w:tcPr>
            <w:tcW w:w="4300" w:type="dxa"/>
            <w:vAlign w:val="bottom"/>
          </w:tcPr>
          <w:p>
            <w:pPr>
              <w:ind w:left="840"/>
              <w:spacing w:after="0"/>
              <w:rPr>
                <w:sz w:val="20"/>
                <w:szCs w:val="20"/>
                <w:color w:val="auto"/>
              </w:rPr>
            </w:pPr>
            <w:r>
              <w:rPr>
                <w:rFonts w:ascii="Arial" w:cs="Arial" w:eastAsia="Arial" w:hAnsi="Arial"/>
                <w:sz w:val="18"/>
                <w:szCs w:val="18"/>
                <w:color w:val="auto"/>
              </w:rPr>
              <w:t>Legal matters, net</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19" w:lineRule="auto"/>
        <w:tabs>
          <w:tab w:leader="none" w:pos="82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820" w:hanging="326"/>
        <w:spacing w:after="0" w:line="222" w:lineRule="auto"/>
        <w:tabs>
          <w:tab w:leader="none" w:pos="813"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6" w:lineRule="exact"/>
        <w:rPr>
          <w:sz w:val="20"/>
          <w:szCs w:val="20"/>
          <w:color w:val="auto"/>
        </w:rPr>
      </w:pPr>
    </w:p>
    <w:p>
      <w:pPr>
        <w:jc w:val="both"/>
        <w:ind w:left="500"/>
        <w:spacing w:after="0" w:line="262" w:lineRule="auto"/>
        <w:rPr>
          <w:sz w:val="20"/>
          <w:szCs w:val="20"/>
          <w:color w:val="auto"/>
        </w:rPr>
      </w:pPr>
      <w:r>
        <w:rPr>
          <w:rFonts w:ascii="Arial" w:cs="Arial" w:eastAsia="Arial" w:hAnsi="Arial"/>
          <w:sz w:val="18"/>
          <w:szCs w:val="18"/>
          <w:color w:val="auto"/>
        </w:rPr>
        <w:t>Since December 31, 2023, there have been no significant changes in segment assets exclusive of assets under vehicle programs. As of September 30, 2024 and December 31, 2023, International’s segment assets under vehicle programs were approximately $4.1 billion and $3.7 billion, respectively. This increase in assets under vehicle programs is directly correlated to the size and cost of our vehicle fleet.</w:t>
      </w:r>
    </w:p>
    <w:p>
      <w:pPr>
        <w:spacing w:after="0" w:line="203"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52"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October 2024, we repaid the outstanding borrowings under our floating rate term loan due 2029 which had an aggregate outstanding balance of $535 million plus accrued interest.</w:t>
      </w:r>
    </w:p>
    <w:p>
      <w:pPr>
        <w:spacing w:after="0" w:line="179" w:lineRule="exact"/>
        <w:rPr>
          <w:rFonts w:ascii="Arial" w:cs="Arial" w:eastAsia="Arial" w:hAnsi="Arial"/>
          <w:sz w:val="18"/>
          <w:szCs w:val="18"/>
          <w:b w:val="1"/>
          <w:bCs w:val="1"/>
          <w:color w:val="auto"/>
        </w:rPr>
      </w:pPr>
    </w:p>
    <w:p>
      <w:pPr>
        <w:ind w:left="500"/>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In October 2024, we repurchased approximately 422 thousand shares of common stock at a cost of approximately $34.5 million under the Stock Repurchase Program.</w:t>
      </w:r>
    </w:p>
    <w:p>
      <w:pPr>
        <w:spacing w:after="0" w:line="17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November 2024, we reduced the capacity under our asset-backed variable-funding financing facilities by $770 million.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32" w:name="page33"/>
    <w:bookmarkEnd w:id="32"/>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included in this Quarterly Report on Form 10-Q and with our 2023 Form 10-K. Our actual results of operations may differ materially from those discussed in forward-looking statements as a result of various factors, including those discussed in “Forward-Looking Statements.” See “Forward-Looking Statements” and “Risk Factors” for additional information. Unless otherwise noted, all dollar amounts in tables are in millions.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operate three of the most globally recognized brands in mobility solutions, Avis, Budget and Zipcar, together with several other brands well recognized in their respective markets. We are a leading vehicle rental operator in North America, Europe, Australasia and certain other regions we serve, with an average rental fleet of approximately 736,000 vehicles in third quarter 2024. We also license the use of our trademarks to licensees in the areas in which we do not operate directly. We and our licensees operate our brands in approximately 180 countries throughout the world.</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(i) vehicle rental operations in North America, South America, Central America and the Caribbean, (ii) car sharing operations in certain of these markets, and (iii) licensees in certain areas in which we do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(i) vehicle rental operations in Europe, the Middle East, Africa, Asia and Australasia, (ii) car sharing operations in certain of these markets, and (iii) licensees in certain areas in which we do not operate directly.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5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strategy continues to primarily focus on customer experience and costs to strengthen our Company, maximize profitability, and deliver stakeholder value. During the three months ended September 30, 2024, we generated revenues of $3.5 billion, net income of $238 million and Adjusted EBITDA of $503 million. These results were primarily driven by consistent year-over-year volume, decreased revenue per day, and increased fleet and interest costs.</w:t>
      </w:r>
    </w:p>
    <w:p>
      <w:pPr>
        <w:spacing w:after="0" w:line="2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be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interest rates, inflationary impact on items such as commodity prices and wages, cost of new vehicles, used car values, and an economic downturn that may impact travel demand, all of which may be exacerbated by the ongoing military conflicts in the Middle East and Eastern Europe. We continue to monitor the potential favorable or unfavorable impacts of these and other factors on our business, operations, financial condition, and future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measure performance principally using the following key metrics: (i) rental days, which represent the total number of days (or portion thereof) a vehicle was rented, (ii) revenue per day, which represents revenues divided by rental days, (iii) vehicle utilization, which represents rental days divided by available rental days, with available rental days being defined as average rental fleet times the number of days in the period, and (iv) per-unit fleet costs, which represent vehicle depreciation, lease charges and gain or loss on vehicle sales, divided by average rental fleet. Our rental days, revenue per day and vehicle utilization metrics are all calculated based on the actual rental of the vehicle during a 24-hour period. We believe that this methodology provides management with the most relevant metrics in order to effectively manage the performance of the business. Our calculation may not be comparable to the calculation of similarly titled metrics by other companies. We present currency exchange rate effects to provide a method of assessing how our business performed excluding the effects of foreign currency rate fluctuations. Currency exchange rate effects are calculated by translating the current period results at the prior period average exchange rate plus any related gains and losses on currency hedges.</w:t>
      </w:r>
    </w:p>
    <w:p>
      <w:pPr>
        <w:spacing w:after="0" w:line="21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(loss) from continuing operations before non-vehicle related depreciation and amortization; any impairment charges; restructuring and other related charges; early extinguishment of debt costs; non-vehicle related interest; transaction -related costs, net; legal matters, which includes amounts recorded in excess of $5 million related to class action lawsuits and personal injury matters; non-operational charges related to shareholder activist activity, which includes third-party advisory, legal and other professional fees; COVID-19 charges, net; cloud computing costs; other (income) expense, net; and income taxes.</w:t>
      </w:r>
    </w:p>
    <w:p>
      <w:pPr>
        <w:spacing w:after="0" w:line="2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Adjusted EBITDA is useful as a supplemental measure in evaluating the performance of our operating businesses and in comparing our results from period to period. We also believe that Adjusted EBITDA is useful to investors because it allows them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 titled measures used by other companies.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2024:</w:t>
      </w:r>
    </w:p>
    <w:p>
      <w:pPr>
        <w:spacing w:after="0" w:line="252" w:lineRule="exact"/>
        <w:rPr>
          <w:sz w:val="20"/>
          <w:szCs w:val="20"/>
          <w:color w:val="auto"/>
        </w:rPr>
      </w:pPr>
    </w:p>
    <w:p>
      <w:pPr>
        <w:ind w:left="66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revenues totaled $9.1 billion, a decrease of $165 million year-over-year, primarily due to decreased revenue per day, partially offset by an increase in volume.</w:t>
      </w:r>
    </w:p>
    <w:p>
      <w:pPr>
        <w:spacing w:after="0" w:line="44"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net income was $137 million, representing a decrease of $1.2 billion year-over-year, primarily due to increased fleet and interest costs.</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Adjusted EBITDA was $729 million, representing a decrease of $1.5 billion year-over-year.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i w:val="1"/>
          <w:iCs w:val="1"/>
          <w:color w:val="auto"/>
        </w:rPr>
        <w:t>Three Months Ended September 30, 2024 vs. Three Months Ended September 30, 2023</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6"/>
                <w:szCs w:val="16"/>
                <w:b w:val="1"/>
                <w:bCs w:val="1"/>
                <w:color w:val="auto"/>
              </w:rPr>
              <w:t>Three Months Ended September 30,</w:t>
            </w:r>
          </w:p>
        </w:tc>
        <w:tc>
          <w:tcPr>
            <w:tcW w:w="1200" w:type="dxa"/>
            <w:vAlign w:val="bottom"/>
            <w:tcBorders>
              <w:bottom w:val="single" w:sz="8" w:color="auto"/>
            </w:tcBorders>
          </w:tcPr>
          <w:p>
            <w:pPr>
              <w:spacing w:after="0"/>
              <w:rPr>
                <w:sz w:val="18"/>
                <w:szCs w:val="18"/>
                <w:color w:val="auto"/>
              </w:rPr>
            </w:pPr>
          </w:p>
        </w:tc>
      </w:tr>
      <w:tr>
        <w:trPr>
          <w:trHeight w:val="209"/>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0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1,575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56 %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367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19 %</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3,151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2,807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344</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12 %</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329</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(428)</w:t>
            </w:r>
          </w:p>
        </w:tc>
        <w:tc>
          <w:tcPr>
            <w:tcW w:w="3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(57 %)</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(30 %)</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(389)</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(62 %)</w:t>
            </w:r>
          </w:p>
        </w:tc>
      </w:tr>
      <w:tr>
        <w:trPr>
          <w:trHeight w:val="21"/>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decreased $84 million, or 2%, during the three months ended September 30, 2024 compared to the similar period in 2023, primarily due to a 2% decrease in revenue per day, excluding exchange rate effects, partially offset by a $6 million positive impact from currency exchange rate movements. Total expenses increased 12% during the three months ended September 30, 2024 compared to the similar period in 2023, primarily due to increased fleet and interest costs. Our effective tax rates were a provision of 27.7% and 17.2% for the three months ended September 30, 2024 and 2023, respectively. As a result of these items, our net income decreased by $389 million compared to the similar period in 2023. For the three months ended September 30, 2024 and 2023, we reported earnings per diluted share of $6.65 and $16.78,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45.2% of revenue during the three months ended September 30, 2024 compared to 43.3% during the similar period in 2023, primarily due to an increase in fleet costs. Vehicle depreciation and lease charges increased to 23.2% of revenue during the three months ended September 30, 2024 compared to 14.5% during the similar period in 2023, primarily due to increased per unit fleet costs, excluding exchange rate effects, driven by increased depreciation rates and a decrease in the gain on sale of vehicles. Selling, general and administrative costs decreased to 10.5% of revenue during the three months ended September 30, 2024 compared to 11.1% during the similar period in 2023, primarily due to decreased commissions and other selling, general and administrative costs. Vehicle interest costs increased to 6.9% of revenue during the three months ended September 30, 2024, compared to 5.8% during the similar period in 2023, primarily due to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5" w:name="page36"/>
    <w:bookmarkEnd w:id="35"/>
    <w:p>
      <w:pPr>
        <w:ind w:right="20"/>
        <w:spacing w:after="0" w:line="276"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39"/>
              <w:spacing w:after="0"/>
              <w:rPr>
                <w:sz w:val="20"/>
                <w:szCs w:val="20"/>
                <w:color w:val="auto"/>
              </w:rPr>
            </w:pPr>
            <w:r>
              <w:rPr>
                <w:rFonts w:ascii="Arial" w:cs="Arial" w:eastAsia="Arial" w:hAnsi="Arial"/>
                <w:sz w:val="16"/>
                <w:szCs w:val="16"/>
                <w:b w:val="1"/>
                <w:bCs w:val="1"/>
                <w:color w:val="auto"/>
              </w:rPr>
              <w:t>2024</w:t>
            </w:r>
          </w:p>
        </w:tc>
        <w:tc>
          <w:tcPr>
            <w:tcW w:w="11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384</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740</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840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196</w:t>
            </w:r>
          </w:p>
        </w:tc>
        <w:tc>
          <w:tcPr>
            <w:tcW w:w="0" w:type="dxa"/>
            <w:vAlign w:val="bottom"/>
          </w:tcPr>
          <w:p>
            <w:pPr>
              <w:spacing w:after="0"/>
              <w:rPr>
                <w:sz w:val="1"/>
                <w:szCs w:val="1"/>
                <w:color w:val="auto"/>
              </w:rPr>
            </w:pPr>
          </w:p>
        </w:tc>
      </w:tr>
      <w:tr>
        <w:trPr>
          <w:trHeight w:val="218"/>
        </w:trPr>
        <w:tc>
          <w:tcPr>
            <w:tcW w:w="510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5100" w:type="dxa"/>
            <w:vAlign w:val="bottom"/>
          </w:tcPr>
          <w:p>
            <w:pPr>
              <w:ind w:left="12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3,564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1"/>
        </w:trPr>
        <w:tc>
          <w:tcPr>
            <w:tcW w:w="5100" w:type="dxa"/>
            <w:vAlign w:val="bottom"/>
            <w:vMerge w:val="restart"/>
          </w:tcPr>
          <w:p>
            <w:pPr>
              <w:spacing w:after="0"/>
              <w:rPr>
                <w:sz w:val="20"/>
                <w:szCs w:val="20"/>
                <w:color w:val="auto"/>
              </w:rPr>
            </w:pPr>
            <w:r>
              <w:rPr>
                <w:rFonts w:ascii="Arial" w:cs="Arial" w:eastAsia="Arial" w:hAnsi="Arial"/>
                <w:sz w:val="16"/>
                <w:szCs w:val="16"/>
                <w:color w:val="auto"/>
              </w:rPr>
              <w:t>Reconciliation of Net income to Adjusted EBITDA:</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238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627</w:t>
            </w:r>
          </w:p>
        </w:tc>
        <w:tc>
          <w:tcPr>
            <w:tcW w:w="0" w:type="dxa"/>
            <w:vAlign w:val="bottom"/>
          </w:tcPr>
          <w:p>
            <w:pPr>
              <w:spacing w:after="0"/>
              <w:rPr>
                <w:sz w:val="1"/>
                <w:szCs w:val="1"/>
                <w:color w:val="auto"/>
              </w:rPr>
            </w:pPr>
          </w:p>
        </w:tc>
      </w:tr>
      <w:tr>
        <w:trPr>
          <w:trHeight w:val="215"/>
        </w:trPr>
        <w:tc>
          <w:tcPr>
            <w:tcW w:w="510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Add:  Non-vehicle related 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100" w:type="dxa"/>
            <w:vAlign w:val="bottom"/>
          </w:tcPr>
          <w:p>
            <w:pPr>
              <w:ind w:left="54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5"/>
        </w:trPr>
        <w:tc>
          <w:tcPr>
            <w:tcW w:w="5100" w:type="dxa"/>
            <w:vAlign w:val="bottom"/>
          </w:tcPr>
          <w:p>
            <w:pPr>
              <w:ind w:left="540"/>
              <w:spacing w:after="0"/>
              <w:rPr>
                <w:sz w:val="20"/>
                <w:szCs w:val="20"/>
                <w:color w:val="auto"/>
              </w:rPr>
            </w:pPr>
            <w:r>
              <w:rPr>
                <w:rFonts w:ascii="Arial" w:cs="Arial" w:eastAsia="Arial" w:hAnsi="Arial"/>
                <w:sz w:val="16"/>
                <w:szCs w:val="16"/>
                <w:color w:val="auto"/>
              </w:rPr>
              <w:t>Reported within operating 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100" w:type="dxa"/>
            <w:vAlign w:val="bottom"/>
          </w:tcPr>
          <w:p>
            <w:pPr>
              <w:ind w:left="640"/>
              <w:spacing w:after="0"/>
              <w:rPr>
                <w:sz w:val="20"/>
                <w:szCs w:val="20"/>
                <w:color w:val="auto"/>
              </w:rPr>
            </w:pPr>
            <w:r>
              <w:rPr>
                <w:rFonts w:ascii="Arial" w:cs="Arial" w:eastAsia="Arial" w:hAnsi="Arial"/>
                <w:sz w:val="16"/>
                <w:szCs w:val="16"/>
                <w:color w:val="auto"/>
              </w:rPr>
              <w:t>Cloud computing costs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1"/>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__________</w:t>
      </w:r>
    </w:p>
    <w:p>
      <w:pPr>
        <w:spacing w:after="0" w:line="90" w:lineRule="exact"/>
        <w:rPr>
          <w:sz w:val="20"/>
          <w:szCs w:val="20"/>
          <w:color w:val="auto"/>
        </w:rPr>
      </w:pPr>
    </w:p>
    <w:p>
      <w:pPr>
        <w:ind w:left="320" w:hanging="312"/>
        <w:spacing w:after="0"/>
        <w:tabs>
          <w:tab w:leader="none" w:pos="32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2" w:lineRule="exact"/>
        <w:rPr>
          <w:rFonts w:ascii="Arial" w:cs="Arial" w:eastAsia="Arial" w:hAnsi="Arial"/>
          <w:sz w:val="19"/>
          <w:szCs w:val="19"/>
          <w:color w:val="auto"/>
          <w:vertAlign w:val="superscript"/>
        </w:rPr>
      </w:pPr>
    </w:p>
    <w:p>
      <w:pPr>
        <w:ind w:left="340" w:hanging="332"/>
        <w:spacing w:after="0" w:line="222" w:lineRule="auto"/>
        <w:tabs>
          <w:tab w:leader="none" w:pos="333"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Americas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5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2,736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(4 %)</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(48 %)</w:t>
            </w:r>
          </w:p>
        </w:tc>
      </w:tr>
    </w:tbl>
    <w:p>
      <w:pPr>
        <w:spacing w:after="0" w:line="33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Revenues decreased during the three months ended September 30, 2024 compared to the similar period in 2023, primarily due to a 2% decrease in volume, a 1% decrease in revenue per day and a $4 million negative impact from currency exchange rate movements.</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45.9% of revenue during the three months ended September 30, 2024 compared to 44.1% during the similar period in 2023, primarily due to an increase in fleet costs. Vehicle depreciation and lease charges increased to 23.2% of revenue during the three months ended September 30, 2024 compared to 13.2% during the similar period in 2023, primarily due to increased per-unit fleet costs, driven by increased depreciation rates and a decrease in the gain on sale of vehicles. Selling, general and administrative costs decreased to 9.0% of revenue during the three months ended September 30, 2024 compared to 9.3% during the similar period in 2023, primarily due to decreased commissions and other selling, general and administrative costs. Vehicle interest costs increased to 7.5% of revenue during the three months ended September 30, 2024 compared to 6.4% during the similar period in 2023, primarily due to rising interest rates.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decreased during the three months ended September 30, 2024 compared to the similar period in 2023, primarily due to higher per-unit fleet and interest costs.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4020" w:type="dxa"/>
            <w:vAlign w:val="bottom"/>
            <w:tcBorders>
              <w:bottom w:val="single" w:sz="8" w:color="auto"/>
            </w:tcBorders>
            <w:gridSpan w:val="7"/>
          </w:tcPr>
          <w:p>
            <w:pPr>
              <w:jc w:val="right"/>
              <w:ind w:right="559"/>
              <w:spacing w:after="0"/>
              <w:rPr>
                <w:sz w:val="20"/>
                <w:szCs w:val="20"/>
                <w:color w:val="auto"/>
              </w:rPr>
            </w:pPr>
            <w:r>
              <w:rPr>
                <w:rFonts w:ascii="Arial" w:cs="Arial" w:eastAsia="Arial" w:hAnsi="Arial"/>
                <w:sz w:val="16"/>
                <w:szCs w:val="16"/>
                <w:b w:val="1"/>
                <w:bCs w:val="1"/>
                <w:color w:val="auto"/>
              </w:rPr>
              <w:t>Three Months Ended September 30,</w:t>
            </w:r>
          </w:p>
        </w:tc>
      </w:tr>
      <w:tr>
        <w:trPr>
          <w:trHeight w:val="209"/>
        </w:trPr>
        <w:tc>
          <w:tcPr>
            <w:tcW w:w="720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200" w:type="dxa"/>
            <w:vAlign w:val="bottom"/>
          </w:tcPr>
          <w:p>
            <w:pPr>
              <w:spacing w:after="0"/>
              <w:rPr>
                <w:sz w:val="20"/>
                <w:szCs w:val="20"/>
                <w:color w:val="auto"/>
              </w:rPr>
            </w:pPr>
            <w:r>
              <w:rPr>
                <w:rFonts w:ascii="Arial" w:cs="Arial" w:eastAsia="Arial" w:hAnsi="Arial"/>
                <w:sz w:val="16"/>
                <w:szCs w:val="16"/>
                <w:color w:val="auto"/>
              </w:rPr>
              <w:t>Revenues</w:t>
            </w: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840</w:t>
            </w:r>
          </w:p>
        </w:tc>
        <w:tc>
          <w:tcPr>
            <w:tcW w:w="8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828</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Adjusted EBITDA</w:t>
            </w:r>
          </w:p>
        </w:tc>
        <w:tc>
          <w:tcPr>
            <w:tcW w:w="8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139</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(29 %)</w:t>
            </w:r>
          </w:p>
        </w:tc>
      </w:tr>
    </w:tbl>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three months ended September 30, 2024, compared to the similar period in 2023, primarily due to a 5% increase in volume and a $10 million positive impact from currency exchange rate movements, partially offset by a 5% decrease in revenue per day, excluding exchange rate effects.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41.4% of revenue during the three months ended September 30, 2024 compared to 39.4% during the similar period in 2023, primarily due to an increase in volume. Vehicle depreciation and lease charges increased to 23.1% of revenue during the three months ended September 30, 2024 compared to 18.7% during the similar period in 2023, primarily due to increased per-unit fleet costs, excluding exchange rate effects, driven by increased fleet levels, increased depreciation rates, and a decrease in the gain on sale of vehicles. Selling, general and administrative costs decreased to 13.8% of revenue during the three months ended September 30, 2024 compared to 14.2% during the similar period in 2023 primarily due to decreased other selling, general and administrative costs. Vehicle interest costs increased to 5.2% of revenue during the three months ended September 30, 2024 compared to 4.1% during the similar period in 2023, primarily due to rising interest rates.</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Adjusted EBITDA decreased during the three months ended September 30, 2024 compared to the similar period in 2023, primarily due to higher per-unit fleet and interest costs and a $3 million negative impact from currency exchange rate movements.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Nine Months Ended September 30, 2024 vs. Nine Months Ended September 30, 2023</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condensed results of operations comprised of the following:</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8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6"/>
          </w:tcPr>
          <w:p>
            <w:pPr>
              <w:ind w:left="20"/>
              <w:spacing w:after="0"/>
              <w:rPr>
                <w:sz w:val="20"/>
                <w:szCs w:val="20"/>
                <w:color w:val="auto"/>
              </w:rPr>
            </w:pPr>
            <w:r>
              <w:rPr>
                <w:rFonts w:ascii="Arial" w:cs="Arial" w:eastAsia="Arial" w:hAnsi="Arial"/>
                <w:sz w:val="16"/>
                <w:szCs w:val="16"/>
                <w:b w:val="1"/>
                <w:bCs w:val="1"/>
                <w:color w:val="auto"/>
              </w:rPr>
              <w:t>Nine Months Ended September 30,</w:t>
            </w:r>
          </w:p>
        </w:tc>
        <w:tc>
          <w:tcPr>
            <w:tcW w:w="1220" w:type="dxa"/>
            <w:vAlign w:val="bottom"/>
            <w:tcBorders>
              <w:bottom w:val="single" w:sz="8" w:color="auto"/>
            </w:tcBorders>
          </w:tcPr>
          <w:p>
            <w:pPr>
              <w:spacing w:after="0"/>
              <w:rPr>
                <w:sz w:val="18"/>
                <w:szCs w:val="18"/>
                <w:color w:val="auto"/>
              </w:rPr>
            </w:pPr>
          </w:p>
        </w:tc>
      </w:tr>
      <w:tr>
        <w:trPr>
          <w:trHeight w:val="210"/>
        </w:trPr>
        <w:tc>
          <w:tcPr>
            <w:tcW w:w="5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ind w:left="60"/>
              <w:spacing w:after="0"/>
              <w:rPr>
                <w:sz w:val="20"/>
                <w:szCs w:val="20"/>
                <w:color w:val="auto"/>
              </w:rPr>
            </w:pPr>
            <w:r>
              <w:rPr>
                <w:rFonts w:ascii="Arial" w:cs="Arial" w:eastAsia="Arial" w:hAnsi="Arial"/>
                <w:sz w:val="16"/>
                <w:szCs w:val="16"/>
                <w:b w:val="1"/>
                <w:bCs w:val="1"/>
                <w:color w:val="auto"/>
              </w:rPr>
              <w:t>$ Change</w:t>
            </w:r>
          </w:p>
        </w:tc>
        <w:tc>
          <w:tcPr>
            <w:tcW w:w="1220" w:type="dxa"/>
            <w:vAlign w:val="bottom"/>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9"/>
        </w:trPr>
        <w:tc>
          <w:tcPr>
            <w:tcW w:w="588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(2 %)</w:t>
            </w:r>
          </w:p>
        </w:tc>
      </w:tr>
      <w:tr>
        <w:trPr>
          <w:trHeight w:val="303"/>
        </w:trPr>
        <w:tc>
          <w:tcPr>
            <w:tcW w:w="5880" w:type="dxa"/>
            <w:vAlign w:val="bottom"/>
          </w:tcPr>
          <w:p>
            <w:pPr>
              <w:spacing w:after="0"/>
              <w:rPr>
                <w:sz w:val="20"/>
                <w:szCs w:val="20"/>
                <w:color w:val="auto"/>
              </w:rPr>
            </w:pPr>
            <w:r>
              <w:rPr>
                <w:rFonts w:ascii="Arial" w:cs="Arial" w:eastAsia="Arial" w:hAnsi="Arial"/>
                <w:sz w:val="16"/>
                <w:szCs w:val="16"/>
                <w:b w:val="1"/>
                <w:bCs w:val="1"/>
                <w:color w:val="auto"/>
              </w:rPr>
              <w:t>Expenses</w:t>
            </w: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Operating</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4,451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4,325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depreciation and lease charges,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1,018</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Selling, general and administrative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(59)</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Vehicle interest,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513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41 %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Non-vehicle related depreciation and amortization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Interest expense related to corporate debt, net: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20 %</w:t>
            </w:r>
          </w:p>
        </w:tc>
      </w:tr>
      <w:tr>
        <w:trPr>
          <w:trHeight w:val="216"/>
        </w:trPr>
        <w:tc>
          <w:tcPr>
            <w:tcW w:w="5880" w:type="dxa"/>
            <w:vAlign w:val="bottom"/>
          </w:tcPr>
          <w:p>
            <w:pPr>
              <w:ind w:left="240"/>
              <w:spacing w:after="0"/>
              <w:rPr>
                <w:sz w:val="20"/>
                <w:szCs w:val="20"/>
                <w:color w:val="auto"/>
              </w:rPr>
            </w:pPr>
            <w:r>
              <w:rPr>
                <w:rFonts w:ascii="Arial" w:cs="Arial" w:eastAsia="Arial" w:hAnsi="Arial"/>
                <w:sz w:val="16"/>
                <w:szCs w:val="16"/>
                <w:color w:val="auto"/>
              </w:rPr>
              <w:t>Early extinguishment of debt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Restructuring and other related charges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Transaction-related costs, net</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0"/>
        </w:trPr>
        <w:tc>
          <w:tcPr>
            <w:tcW w:w="5880" w:type="dxa"/>
            <w:vAlign w:val="bottom"/>
          </w:tcPr>
          <w:p>
            <w:pPr>
              <w:spacing w:after="0"/>
              <w:rPr>
                <w:sz w:val="20"/>
                <w:szCs w:val="20"/>
                <w:color w:val="auto"/>
              </w:rPr>
            </w:pPr>
            <w:r>
              <w:rPr>
                <w:rFonts w:ascii="Arial" w:cs="Arial" w:eastAsia="Arial" w:hAnsi="Arial"/>
                <w:sz w:val="16"/>
                <w:szCs w:val="16"/>
                <w:color w:val="auto"/>
              </w:rPr>
              <w:t>Total expenses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7,492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1,373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18 %</w:t>
            </w:r>
          </w:p>
        </w:tc>
      </w:tr>
      <w:tr>
        <w:trPr>
          <w:trHeight w:val="325"/>
        </w:trPr>
        <w:tc>
          <w:tcPr>
            <w:tcW w:w="588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1,752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(1,538)</w:t>
            </w:r>
          </w:p>
        </w:tc>
        <w:tc>
          <w:tcPr>
            <w:tcW w:w="28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(88 %)</w:t>
            </w:r>
          </w:p>
        </w:tc>
      </w:tr>
      <w:tr>
        <w:trPr>
          <w:trHeight w:val="215"/>
        </w:trPr>
        <w:tc>
          <w:tcPr>
            <w:tcW w:w="588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(80 %)</w:t>
            </w:r>
          </w:p>
        </w:tc>
      </w:tr>
      <w:tr>
        <w:trPr>
          <w:trHeight w:val="210"/>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1,375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(1,235)</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216"/>
        </w:trPr>
        <w:tc>
          <w:tcPr>
            <w:tcW w:w="5880" w:type="dxa"/>
            <w:vAlign w:val="bottom"/>
          </w:tcPr>
          <w:p>
            <w:pPr>
              <w:ind w:left="120"/>
              <w:spacing w:after="0"/>
              <w:rPr>
                <w:sz w:val="20"/>
                <w:szCs w:val="20"/>
                <w:color w:val="auto"/>
              </w:rPr>
            </w:pPr>
            <w:r>
              <w:rPr>
                <w:rFonts w:ascii="Arial" w:cs="Arial" w:eastAsia="Arial" w:hAnsi="Arial"/>
                <w:sz w:val="16"/>
                <w:szCs w:val="16"/>
                <w:color w:val="auto"/>
              </w:rPr>
              <w:t>Less: net income attributable to non-controlling interests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1"/>
        </w:trPr>
        <w:tc>
          <w:tcPr>
            <w:tcW w:w="5880" w:type="dxa"/>
            <w:vAlign w:val="bottom"/>
          </w:tcPr>
          <w:p>
            <w:pPr>
              <w:spacing w:after="0"/>
              <w:rPr>
                <w:sz w:val="20"/>
                <w:szCs w:val="20"/>
                <w:color w:val="auto"/>
              </w:rPr>
            </w:pPr>
            <w:r>
              <w:rPr>
                <w:rFonts w:ascii="Arial" w:cs="Arial" w:eastAsia="Arial" w:hAnsi="Arial"/>
                <w:sz w:val="16"/>
                <w:szCs w:val="16"/>
                <w:b w:val="1"/>
                <w:bCs w:val="1"/>
                <w:color w:val="auto"/>
              </w:rPr>
              <w:t>Net income attributable to Avis Budget Group, Inc.</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1,373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(1,236)</w:t>
            </w:r>
          </w:p>
        </w:tc>
        <w:tc>
          <w:tcPr>
            <w:tcW w:w="2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(90 %)</w:t>
            </w:r>
          </w:p>
        </w:tc>
      </w:tr>
      <w:tr>
        <w:trPr>
          <w:trHeight w:val="21"/>
        </w:trPr>
        <w:tc>
          <w:tcPr>
            <w:tcW w:w="58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Revenues decreased $ 165 million or 2% during the nine months ended September 30, 2024 compared to the similar period in 2023, primarily due to a 4% decrease in revenue per day, excluding exchange rate effects, and a $4 million negative impact from currency exchange rate movements, partially offset by a 2% increase in volume. Total expenses increased 18% during the nine months ended September 30, 2024, compared to the similar period in 2023, primarily due to increased fleet and interest costs. Our effective tax rates were a provision of 34.6% and 21.5% for the nine months ended September 30, 2024 and 2023, respectively. As a result of these items, our net income decreased by $1.2 billion compared to the similar period in 2023. For the nine months ended September 30, 2024 and 2023, we reported earnings per diluted share of $3.84 and $34.71, respectively.</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49.0% of revenue during the nine months ended September 30, 2024 compared to 46.8% during the similar period in 2023, primarily due to an increase in volume. Vehicle depreciation and lease charges increased to 24.0% of revenue during the nine months ended September 30, 2024 compared to 12.5% during the similar period in 2023, primarily due to increased per unit fleet costs, excluding exchange rate effects, driven by increased fleet levels, increased depreciation rates, and a decrease in the gain on sale of vehicles. Selling, general and administrative costs decreased to 11.5% of revenue during the nine months ended September 30, 2024, compared to 11.9% during the similar period in 2023, primarily due to decreased marketing costs and other selling, general and administrative costs. Vehicle interest costs increased to 8.0% of revenue during the nine months ended September 30, 2024 compared to 5.5% during the similar period in 2023, primarily due to rising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38" w:name="page39"/>
    <w:bookmarkEnd w:id="38"/>
    <w:p>
      <w:pPr>
        <w:spacing w:after="0" w:line="287" w:lineRule="auto"/>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5"/>
          </w:tcPr>
          <w:p>
            <w:pPr>
              <w:ind w:left="40"/>
              <w:spacing w:after="0"/>
              <w:rPr>
                <w:sz w:val="20"/>
                <w:szCs w:val="20"/>
                <w:color w:val="auto"/>
              </w:rPr>
            </w:pPr>
            <w:r>
              <w:rPr>
                <w:rFonts w:ascii="Arial" w:cs="Arial" w:eastAsia="Arial" w:hAnsi="Arial"/>
                <w:sz w:val="16"/>
                <w:szCs w:val="16"/>
                <w:b w:val="1"/>
                <w:bCs w:val="1"/>
                <w:color w:val="auto"/>
              </w:rPr>
              <w:t>Nine Months Ended September 30,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2024</w:t>
            </w:r>
          </w:p>
        </w:tc>
        <w:tc>
          <w:tcPr>
            <w:tcW w:w="13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2023</w:t>
            </w: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ind w:left="120"/>
              <w:spacing w:after="0"/>
              <w:rPr>
                <w:sz w:val="20"/>
                <w:szCs w:val="20"/>
                <w:color w:val="auto"/>
              </w:rPr>
            </w:pPr>
            <w:r>
              <w:rPr>
                <w:rFonts w:ascii="Arial" w:cs="Arial" w:eastAsia="Arial" w:hAnsi="Arial"/>
                <w:sz w:val="16"/>
                <w:szCs w:val="16"/>
                <w:b w:val="1"/>
                <w:bCs w:val="1"/>
                <w:color w:val="auto"/>
              </w:rPr>
              <w:t>Revenues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Adjusted EBITDA</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Americas</w:t>
            </w: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614</w:t>
            </w:r>
          </w:p>
        </w:tc>
        <w:tc>
          <w:tcPr>
            <w:tcW w:w="80" w:type="dxa"/>
            <w:vAlign w:val="bottom"/>
          </w:tcPr>
          <w:p>
            <w:pPr>
              <w:spacing w:after="0"/>
              <w:rPr>
                <w:sz w:val="18"/>
                <w:szCs w:val="18"/>
                <w:color w:val="auto"/>
              </w:rPr>
            </w:pPr>
          </w:p>
        </w:tc>
        <w:tc>
          <w:tcPr>
            <w:tcW w:w="2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1,887</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International</w:t>
            </w: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18"/>
        </w:trPr>
        <w:tc>
          <w:tcPr>
            <w:tcW w:w="5100" w:type="dxa"/>
            <w:vAlign w:val="bottom"/>
          </w:tcPr>
          <w:p>
            <w:pPr>
              <w:spacing w:after="0" w:line="218" w:lineRule="exact"/>
              <w:rPr>
                <w:sz w:val="20"/>
                <w:szCs w:val="20"/>
                <w:color w:val="auto"/>
              </w:rPr>
            </w:pPr>
            <w:r>
              <w:rPr>
                <w:rFonts w:ascii="Arial" w:cs="Arial" w:eastAsia="Arial" w:hAnsi="Arial"/>
                <w:sz w:val="16"/>
                <w:szCs w:val="16"/>
                <w:color w:val="auto"/>
              </w:rPr>
              <w:t xml:space="preserve">Corporate and Other </w:t>
            </w:r>
            <w:r>
              <w:rPr>
                <w:rFonts w:ascii="Arial" w:cs="Arial" w:eastAsia="Arial" w:hAnsi="Arial"/>
                <w:sz w:val="21"/>
                <w:szCs w:val="21"/>
                <w:color w:val="auto"/>
                <w:vertAlign w:val="superscript"/>
              </w:rPr>
              <w:t>(a)</w:t>
            </w: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0"/>
        </w:trPr>
        <w:tc>
          <w:tcPr>
            <w:tcW w:w="5100" w:type="dxa"/>
            <w:vAlign w:val="bottom"/>
          </w:tcPr>
          <w:p>
            <w:pPr>
              <w:ind w:left="540"/>
              <w:spacing w:after="0"/>
              <w:rPr>
                <w:sz w:val="20"/>
                <w:szCs w:val="20"/>
                <w:color w:val="auto"/>
              </w:rPr>
            </w:pPr>
            <w:r>
              <w:rPr>
                <w:rFonts w:ascii="Arial" w:cs="Arial" w:eastAsia="Arial" w:hAnsi="Arial"/>
                <w:sz w:val="16"/>
                <w:szCs w:val="16"/>
                <w:color w:val="auto"/>
              </w:rPr>
              <w:t>Total Company</w:t>
            </w: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9,079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9,244</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6"/>
                <w:szCs w:val="16"/>
                <w:color w:val="auto"/>
              </w:rPr>
              <w:t>Reconciliation of Net income to Adjusted EBITDA:</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51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5100" w:type="dxa"/>
            <w:vAlign w:val="bottom"/>
          </w:tcPr>
          <w:p>
            <w:pPr>
              <w:spacing w:after="0"/>
              <w:rPr>
                <w:sz w:val="20"/>
                <w:szCs w:val="20"/>
                <w:color w:val="auto"/>
              </w:rPr>
            </w:pPr>
            <w:r>
              <w:rPr>
                <w:rFonts w:ascii="Arial" w:cs="Arial" w:eastAsia="Arial" w:hAnsi="Arial"/>
                <w:sz w:val="16"/>
                <w:szCs w:val="16"/>
                <w:color w:val="auto"/>
              </w:rPr>
              <w:t>Net income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1,375</w:t>
            </w:r>
          </w:p>
        </w:tc>
        <w:tc>
          <w:tcPr>
            <w:tcW w:w="0" w:type="dxa"/>
            <w:vAlign w:val="bottom"/>
          </w:tcPr>
          <w:p>
            <w:pPr>
              <w:spacing w:after="0"/>
              <w:rPr>
                <w:sz w:val="1"/>
                <w:szCs w:val="1"/>
                <w:color w:val="auto"/>
              </w:rPr>
            </w:pPr>
          </w:p>
        </w:tc>
      </w:tr>
      <w:tr>
        <w:trPr>
          <w:trHeight w:val="215"/>
        </w:trPr>
        <w:tc>
          <w:tcPr>
            <w:tcW w:w="510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Income before income taxes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1,752</w:t>
            </w:r>
          </w:p>
        </w:tc>
        <w:tc>
          <w:tcPr>
            <w:tcW w:w="0" w:type="dxa"/>
            <w:vAlign w:val="bottom"/>
          </w:tcPr>
          <w:p>
            <w:pPr>
              <w:spacing w:after="0"/>
              <w:rPr>
                <w:sz w:val="1"/>
                <w:szCs w:val="1"/>
                <w:color w:val="auto"/>
              </w:rPr>
            </w:pPr>
          </w:p>
        </w:tc>
      </w:tr>
      <w:tr>
        <w:trPr>
          <w:trHeight w:val="215"/>
        </w:trPr>
        <w:tc>
          <w:tcPr>
            <w:tcW w:w="5100" w:type="dxa"/>
            <w:vAlign w:val="bottom"/>
          </w:tcPr>
          <w:p>
            <w:pPr>
              <w:spacing w:after="0"/>
              <w:rPr>
                <w:sz w:val="20"/>
                <w:szCs w:val="20"/>
                <w:color w:val="auto"/>
              </w:rPr>
            </w:pPr>
            <w:r>
              <w:rPr>
                <w:rFonts w:ascii="Arial" w:cs="Arial" w:eastAsia="Arial" w:hAnsi="Arial"/>
                <w:sz w:val="16"/>
                <w:szCs w:val="16"/>
                <w:color w:val="auto"/>
              </w:rPr>
              <w:t>Add:  Non-vehicle related depreciation and amortization</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Interest expense related to corporate debt,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Interest expense</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Early extinguishment of debt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Restructuring and other related charges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6"/>
        </w:trPr>
        <w:tc>
          <w:tcPr>
            <w:tcW w:w="5100" w:type="dxa"/>
            <w:vAlign w:val="bottom"/>
          </w:tcPr>
          <w:p>
            <w:pPr>
              <w:ind w:left="540"/>
              <w:spacing w:after="0"/>
              <w:rPr>
                <w:sz w:val="20"/>
                <w:szCs w:val="20"/>
                <w:color w:val="auto"/>
              </w:rPr>
            </w:pPr>
            <w:r>
              <w:rPr>
                <w:rFonts w:ascii="Arial" w:cs="Arial" w:eastAsia="Arial" w:hAnsi="Arial"/>
                <w:sz w:val="16"/>
                <w:szCs w:val="16"/>
                <w:color w:val="auto"/>
              </w:rPr>
              <w:t>Transaction-related costs,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7"/>
        </w:trPr>
        <w:tc>
          <w:tcPr>
            <w:tcW w:w="5100" w:type="dxa"/>
            <w:vAlign w:val="bottom"/>
          </w:tcPr>
          <w:p>
            <w:pPr>
              <w:ind w:left="540"/>
              <w:spacing w:after="0" w:line="218" w:lineRule="exact"/>
              <w:rPr>
                <w:sz w:val="20"/>
                <w:szCs w:val="20"/>
                <w:color w:val="auto"/>
              </w:rPr>
            </w:pPr>
            <w:r>
              <w:rPr>
                <w:rFonts w:ascii="Arial" w:cs="Arial" w:eastAsia="Arial" w:hAnsi="Arial"/>
                <w:sz w:val="16"/>
                <w:szCs w:val="16"/>
                <w:color w:val="auto"/>
              </w:rPr>
              <w:t xml:space="preserve">Other (income) expense, net </w:t>
            </w:r>
            <w:r>
              <w:rPr>
                <w:rFonts w:ascii="Arial" w:cs="Arial" w:eastAsia="Arial" w:hAnsi="Arial"/>
                <w:sz w:val="21"/>
                <w:szCs w:val="21"/>
                <w:color w:val="auto"/>
                <w:vertAlign w:val="superscript"/>
              </w:rPr>
              <w:t>(b)</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5100" w:type="dxa"/>
            <w:vAlign w:val="bottom"/>
          </w:tcPr>
          <w:p>
            <w:pPr>
              <w:ind w:left="540"/>
              <w:spacing w:after="0"/>
              <w:rPr>
                <w:sz w:val="20"/>
                <w:szCs w:val="20"/>
                <w:color w:val="auto"/>
              </w:rPr>
            </w:pPr>
            <w:r>
              <w:rPr>
                <w:rFonts w:ascii="Arial" w:cs="Arial" w:eastAsia="Arial" w:hAnsi="Arial"/>
                <w:sz w:val="16"/>
                <w:szCs w:val="16"/>
                <w:color w:val="auto"/>
              </w:rPr>
              <w:t>Reported within operating expenses: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ind w:left="640"/>
              <w:spacing w:after="0"/>
              <w:rPr>
                <w:sz w:val="20"/>
                <w:szCs w:val="20"/>
                <w:color w:val="auto"/>
              </w:rPr>
            </w:pPr>
            <w:r>
              <w:rPr>
                <w:rFonts w:ascii="Arial" w:cs="Arial" w:eastAsia="Arial" w:hAnsi="Arial"/>
                <w:sz w:val="16"/>
                <w:szCs w:val="16"/>
                <w:color w:val="auto"/>
              </w:rPr>
              <w:t>Cloud computing costs</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7"/>
        </w:trPr>
        <w:tc>
          <w:tcPr>
            <w:tcW w:w="5100" w:type="dxa"/>
            <w:vAlign w:val="bottom"/>
          </w:tcPr>
          <w:p>
            <w:pPr>
              <w:ind w:left="640"/>
              <w:spacing w:after="0"/>
              <w:rPr>
                <w:sz w:val="20"/>
                <w:szCs w:val="20"/>
                <w:color w:val="auto"/>
              </w:rPr>
            </w:pPr>
            <w:r>
              <w:rPr>
                <w:rFonts w:ascii="Arial" w:cs="Arial" w:eastAsia="Arial" w:hAnsi="Arial"/>
                <w:sz w:val="16"/>
                <w:szCs w:val="16"/>
                <w:color w:val="auto"/>
              </w:rPr>
              <w:t>Legal matters, net</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20"/>
                <w:szCs w:val="20"/>
                <w:color w:val="auto"/>
              </w:rPr>
            </w:pPr>
            <w:r>
              <w:rPr>
                <w:rFonts w:ascii="Arial" w:cs="Arial" w:eastAsia="Arial" w:hAnsi="Arial"/>
                <w:sz w:val="16"/>
                <w:szCs w:val="16"/>
                <w:color w:val="auto"/>
              </w:rPr>
              <w:t>Adjusted EBITDA</w:t>
            </w: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2,179</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________</w:t>
      </w:r>
    </w:p>
    <w:p>
      <w:pPr>
        <w:spacing w:after="0" w:line="89" w:lineRule="exact"/>
        <w:rPr>
          <w:sz w:val="20"/>
          <w:szCs w:val="20"/>
          <w:color w:val="auto"/>
        </w:rPr>
      </w:pPr>
    </w:p>
    <w:p>
      <w:pPr>
        <w:ind w:left="320" w:hanging="312"/>
        <w:spacing w:after="0"/>
        <w:tabs>
          <w:tab w:leader="none" w:pos="320"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222" w:lineRule="auto"/>
        <w:tabs>
          <w:tab w:leader="none" w:pos="333"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Primarily consists of gains or losses related to our equity investment in a former subsidiary, offset by fleet related and certain administrative services provided to the same former subsidiary.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Americas</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6,994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7,180</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(3 %)</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1,887</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(67 %)</w:t>
            </w:r>
          </w:p>
        </w:tc>
      </w:tr>
    </w:tbl>
    <w:p>
      <w:pPr>
        <w:spacing w:after="0" w:line="33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decreased during the nine months ended September 30, 2024 compared to the similar period in 2023, primarily due to a 3% decrease in revenue per day and a $6 million negative impact from currency exchange rate movements, partially offset by a 1% increase in volume.</w:t>
      </w:r>
    </w:p>
    <w:p>
      <w:pPr>
        <w:spacing w:after="0" w:line="1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expenses increased to 49.3% of revenue during the nine months ended September 30, 2024 compared to 47.1% during the similar period in 2023, primarily due to an increase in volume. Vehicle depreciation and lease charges increased to 23.7% of revenue during the nine months ended September 30, 2024 compared to 11.0% during the similar period in 2023, primarily due to increased per-unit fleet costs, driven by increased fleet levels, increased depreciation rates, and a decrease in the gain on sale of vehicles. Selling, general and administrative costs were approximately 9.5% of revenue during the nine months ended September 30, 2024 compared to 9.7% during the similar period in 2023, primarily due to decreased marketing costs and other selling, general and administrative costs. Vehicle interest costs increased to 8.7% of revenue during the nine months ended September 30, 2024 compared to 6.0% during the similar period in 2023, primarily due to rising interest rates.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9" w:name="page40"/>
    <w:bookmarkEnd w:id="39"/>
    <w:p>
      <w:pPr>
        <w:jc w:val="both"/>
        <w:ind w:right="20"/>
        <w:spacing w:after="0" w:line="287" w:lineRule="auto"/>
        <w:rPr>
          <w:sz w:val="20"/>
          <w:szCs w:val="20"/>
          <w:color w:val="auto"/>
        </w:rPr>
      </w:pPr>
      <w:r>
        <w:rPr>
          <w:rFonts w:ascii="Arial" w:cs="Arial" w:eastAsia="Arial" w:hAnsi="Arial"/>
          <w:sz w:val="18"/>
          <w:szCs w:val="18"/>
          <w:color w:val="auto"/>
        </w:rPr>
        <w:t>Adjusted EBITDA decreased during the nine months ended September 30, 2024 compared to the similar period in 2023, primarily due to higher per-unit fleet and interest costs, and approximately $2 million negative impact from currency exchange rate movements.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6"/>
          </w:tcPr>
          <w:p>
            <w:pPr>
              <w:jc w:val="right"/>
              <w:ind w:right="619"/>
              <w:spacing w:after="0"/>
              <w:rPr>
                <w:sz w:val="20"/>
                <w:szCs w:val="20"/>
                <w:color w:val="auto"/>
              </w:rPr>
            </w:pPr>
            <w:r>
              <w:rPr>
                <w:rFonts w:ascii="Arial" w:cs="Arial" w:eastAsia="Arial" w:hAnsi="Arial"/>
                <w:sz w:val="16"/>
                <w:szCs w:val="16"/>
                <w:b w:val="1"/>
                <w:bCs w:val="1"/>
                <w:color w:val="auto"/>
              </w:rPr>
              <w:t>Nine Months Ended September 30,</w:t>
            </w:r>
          </w:p>
        </w:tc>
      </w:tr>
      <w:tr>
        <w:trPr>
          <w:trHeight w:val="209"/>
        </w:trPr>
        <w:tc>
          <w:tcPr>
            <w:tcW w:w="7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4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 Change</w:t>
            </w:r>
          </w:p>
        </w:tc>
      </w:tr>
      <w:tr>
        <w:trPr>
          <w:trHeight w:val="208"/>
        </w:trPr>
        <w:tc>
          <w:tcPr>
            <w:tcW w:w="7160" w:type="dxa"/>
            <w:vAlign w:val="bottom"/>
          </w:tcPr>
          <w:p>
            <w:pPr>
              <w:spacing w:after="0"/>
              <w:rPr>
                <w:sz w:val="20"/>
                <w:szCs w:val="20"/>
                <w:color w:val="auto"/>
              </w:rPr>
            </w:pPr>
            <w:r>
              <w:rPr>
                <w:rFonts w:ascii="Arial" w:cs="Arial" w:eastAsia="Arial" w:hAnsi="Arial"/>
                <w:sz w:val="16"/>
                <w:szCs w:val="16"/>
                <w:color w:val="auto"/>
              </w:rPr>
              <w:t>Revenues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2,085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1 %</w:t>
            </w:r>
          </w:p>
        </w:tc>
      </w:tr>
      <w:tr>
        <w:trPr>
          <w:trHeight w:val="215"/>
        </w:trPr>
        <w:tc>
          <w:tcPr>
            <w:tcW w:w="7160" w:type="dxa"/>
            <w:vAlign w:val="bottom"/>
          </w:tcPr>
          <w:p>
            <w:pPr>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(54 %)</w:t>
            </w:r>
          </w:p>
        </w:tc>
      </w:tr>
    </w:tbl>
    <w:p>
      <w:pPr>
        <w:spacing w:after="0" w:line="9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Revenues increased during the nine months ended September 30, 2024 compared to the similar period in 2023, primarily due to a 5% increase in volume, a $2 million positive impact from currency exchange rate movements, partially offset by a 4% decrease in revenue per day, excluding exchange rate effects.</w:t>
      </w:r>
    </w:p>
    <w:p>
      <w:pPr>
        <w:spacing w:after="0" w:line="6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Operating expenses increased to 46.4% of revenue during the nine months ended September 30, 2024 compared to 44.8% during the similar period in 2023, primarily due to an increase in volume. Vehicle depreciation and lease charges increased to 24.8% of revenue during the nine months ended September 30, 2024 compared to 17.7% during the similar period in 2023, primarily due to increased per-unit fleet costs, excluding exchange rate effects, driven by increased fleet levels, increased depreciation rates, and a decrease in the gain on sale of vehicles. Selling, general and administrative costs were approximately 15.5% of revenue during the nine months ended September 30, 2024 compared to 15.6% during the similar period in 2023. Vehicle interest costs increased to 5.6% of revenue during the nine months ended September 30, 2024 compared to 3.9% during the similar period in 2023, primarily due to rising interest rates.</w:t>
      </w:r>
    </w:p>
    <w:p>
      <w:pPr>
        <w:spacing w:after="0" w:line="22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Adjusted EBITDA decreased during the nine months ended September 30, 2024 compared to the similar period in 2023, primarily due to higher per-unit fleet and interest costs, and approximately $11 million negative impact from currency exchange rate movements.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16"/>
                <w:szCs w:val="16"/>
                <w:color w:val="auto"/>
              </w:rPr>
            </w:pPr>
          </w:p>
        </w:tc>
        <w:tc>
          <w:tcPr>
            <w:tcW w:w="158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w:t>
            </w:r>
          </w:p>
        </w:tc>
        <w:tc>
          <w:tcPr>
            <w:tcW w:w="300" w:type="dxa"/>
            <w:vAlign w:val="bottom"/>
          </w:tcPr>
          <w:p>
            <w:pPr>
              <w:spacing w:after="0"/>
              <w:rPr>
                <w:sz w:val="16"/>
                <w:szCs w:val="16"/>
                <w:color w:val="auto"/>
              </w:rPr>
            </w:pPr>
          </w:p>
        </w:tc>
        <w:tc>
          <w:tcPr>
            <w:tcW w:w="12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080" w:type="dxa"/>
            <w:vAlign w:val="bottom"/>
          </w:tcPr>
          <w:p>
            <w:pPr>
              <w:spacing w:after="0"/>
              <w:rPr>
                <w:sz w:val="20"/>
                <w:szCs w:val="20"/>
                <w:color w:val="auto"/>
              </w:rPr>
            </w:pPr>
            <w:r>
              <w:rPr>
                <w:rFonts w:ascii="Arial" w:cs="Arial" w:eastAsia="Arial" w:hAnsi="Arial"/>
                <w:sz w:val="16"/>
                <w:szCs w:val="16"/>
                <w:color w:val="auto"/>
              </w:rPr>
              <w:t>Total assets exclusive of assets under vehicle programs</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9,647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9,590</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6080" w:type="dxa"/>
            <w:vAlign w:val="bottom"/>
          </w:tcPr>
          <w:p>
            <w:pPr>
              <w:spacing w:after="0"/>
              <w:rPr>
                <w:sz w:val="20"/>
                <w:szCs w:val="20"/>
                <w:color w:val="auto"/>
              </w:rPr>
            </w:pPr>
            <w:r>
              <w:rPr>
                <w:rFonts w:ascii="Arial" w:cs="Arial" w:eastAsia="Arial" w:hAnsi="Arial"/>
                <w:sz w:val="16"/>
                <w:szCs w:val="16"/>
                <w:color w:val="auto"/>
              </w:rPr>
              <w:t>Total liabilities exclusive of liabilities under vehicle programs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11,651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10,095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Assets under vehicle programs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23,102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22,979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Liabilities under vehicle programs</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21,327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22,817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(1,490)</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0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(229)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bl>
    <w:p>
      <w:pPr>
        <w:spacing w:after="0" w:line="36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increase in liabilities exclusive of liabilities under vehicle programs is primarily due to the increase in corporate indebtedness from the issuance of senior notes. See “Liquidity and Capital Resources,” and Note 10 – Long-term Corporate Debt and Borrowing Arrangements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decrease in liabilities under vehicle programs is primarily due to the repayment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2024, we issued €600 million of 7.000% euro-denominated Senior Notes due February 2029, at par, with interest payable semi-annually. In April 2024, we used net proceeds from the offering to redeem all of our outstanding 4.750% euro-denominated Senior Notes due January 2026 plus accrued interest, with the remainder being used for general corporate purposes.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May 2024, we issued an additional € 200 million 7.250% euro-denominated Senior Notes due July 2030, at 100.25% of their face value, with interest payable semi-annually. Net proceeds from the offering were used for general corporate purposes.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September 2024, we issued $700 million of 8.250% Senior Notes due January 2030, at par, with interest payable semi-annually. In October 2024, we used net proceeds from the offering to repay the outstanding borrowings under our floating rate term loan due 2029, with the remainder being used for general corporate purposes.</w:t>
      </w:r>
    </w:p>
    <w:p>
      <w:pPr>
        <w:spacing w:after="0" w:line="1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2024, our Avis Budget Rental Car Funding (AESOP) subsidiary issued approximately $2.4 billion of asset-backed notes with expected final payment dates ranging from April 2026 to December 2029, and a weighted average interest rate of 5.46%. In March and April 2024, AESOP amended and restated its asset-backed variable-funding financing facilities. The proceeds from these borrowings will be used to repay maturing vehicle-backed debt and the acquisition of rental cars in the United States. In February 2024, we amended our European rental fleet securitization program to increase its capacity to approximately €1.9 billion and extend its maturity to September 2026. We also added £200 million to our capacity under the program. The program is used to finance fleet purchases for certain of our European operations.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w:t>
      </w:r>
      <w:r>
        <w:rPr>
          <w:rFonts w:ascii="Arial" w:cs="Arial" w:eastAsia="Arial" w:hAnsi="Arial"/>
          <w:sz w:val="18"/>
          <w:szCs w:val="18"/>
          <w:color w:val="262626"/>
        </w:rPr>
        <w:t xml:space="preserve"> of our common stock under a plan originally approved in 2013 and subsequently expanded, most recently in </w:t>
      </w:r>
      <w:r>
        <w:rPr>
          <w:rFonts w:ascii="Arial" w:cs="Arial" w:eastAsia="Arial" w:hAnsi="Arial"/>
          <w:sz w:val="18"/>
          <w:szCs w:val="18"/>
          <w:color w:val="000000"/>
        </w:rPr>
        <w:t>February 2023.</w:t>
      </w:r>
      <w:r>
        <w:rPr>
          <w:rFonts w:ascii="Arial" w:cs="Arial" w:eastAsia="Arial" w:hAnsi="Arial"/>
          <w:sz w:val="18"/>
          <w:szCs w:val="18"/>
          <w:color w:val="262626"/>
        </w:rPr>
        <w:t xml:space="preserve"> Our stock repurchases may occur through open market purchases, privately negotiated transactions or trading plans pursuant to Rule 10b5-1 of the Securities Exchange Act of 1934, as amended. The amount and timing of specific repurchases are subject to market conditions, applicable legal requirements, restricted payment capacity under our debt instruments and other factors. The Stock Repurchase Program may be suspended, modified or discontinued at any time without prior notice. The Stock Repurchase Program has no set expiration or termination date. D</w:t>
      </w:r>
      <w:r>
        <w:rPr>
          <w:rFonts w:ascii="Arial" w:cs="Arial" w:eastAsia="Arial" w:hAnsi="Arial"/>
          <w:sz w:val="18"/>
          <w:szCs w:val="18"/>
          <w:color w:val="000000"/>
        </w:rPr>
        <w:t>uring the nine months ended September 30,</w:t>
      </w:r>
      <w:r>
        <w:rPr>
          <w:rFonts w:ascii="Arial" w:cs="Arial" w:eastAsia="Arial" w:hAnsi="Arial"/>
          <w:sz w:val="18"/>
          <w:szCs w:val="18"/>
          <w:color w:val="262626"/>
        </w:rPr>
        <w:t xml:space="preserve"> </w:t>
      </w:r>
      <w:r>
        <w:rPr>
          <w:rFonts w:ascii="Arial" w:cs="Arial" w:eastAsia="Arial" w:hAnsi="Arial"/>
          <w:sz w:val="18"/>
          <w:szCs w:val="18"/>
          <w:color w:val="000000"/>
        </w:rPr>
        <w:t>2024, we repurchased approximately 0.1 million shares of common stock at a cost of approximately $8 million (excluding excise taxes due under the Inflation Reduction Act of 2022) under the Stock Repurchase Program</w:t>
      </w:r>
      <w:r>
        <w:rPr>
          <w:rFonts w:ascii="Arial" w:cs="Arial" w:eastAsia="Arial" w:hAnsi="Arial"/>
          <w:sz w:val="18"/>
          <w:szCs w:val="18"/>
          <w:color w:val="262626"/>
        </w:rPr>
        <w:t>.</w:t>
      </w:r>
      <w:r>
        <w:rPr>
          <w:rFonts w:ascii="Arial" w:cs="Arial" w:eastAsia="Arial" w:hAnsi="Arial"/>
          <w:sz w:val="18"/>
          <w:szCs w:val="18"/>
          <w:color w:val="000000"/>
        </w:rPr>
        <w:t xml:space="preserve"> As of September 30, 2024, approximately $794 million of authorization remained available to repurchase common stock under the Stock Repurchase Program.</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7"/>
          </w:tcPr>
          <w:p>
            <w:pPr>
              <w:jc w:val="right"/>
              <w:ind w:right="379"/>
              <w:spacing w:after="0"/>
              <w:rPr>
                <w:sz w:val="20"/>
                <w:szCs w:val="20"/>
                <w:color w:val="auto"/>
              </w:rPr>
            </w:pPr>
            <w:r>
              <w:rPr>
                <w:rFonts w:ascii="Arial" w:cs="Arial" w:eastAsia="Arial" w:hAnsi="Arial"/>
                <w:sz w:val="16"/>
                <w:szCs w:val="16"/>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7620" w:type="dxa"/>
            <w:vAlign w:val="bottom"/>
            <w:vMerge w:val="restart"/>
          </w:tcPr>
          <w:p>
            <w:pPr>
              <w:spacing w:after="0"/>
              <w:rPr>
                <w:sz w:val="20"/>
                <w:szCs w:val="20"/>
                <w:color w:val="auto"/>
              </w:rPr>
            </w:pPr>
            <w:r>
              <w:rPr>
                <w:rFonts w:ascii="Arial" w:cs="Arial" w:eastAsia="Arial" w:hAnsi="Arial"/>
                <w:sz w:val="16"/>
                <w:szCs w:val="16"/>
                <w:color w:val="auto"/>
              </w:rPr>
              <w:t>Cash provided by (used in):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94"/>
        </w:trPr>
        <w:tc>
          <w:tcPr>
            <w:tcW w:w="7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2,746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3,035</w:t>
            </w:r>
          </w:p>
        </w:tc>
        <w:tc>
          <w:tcPr>
            <w:tcW w:w="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(289)</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Investing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(2,696)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(6,930)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4,234</w:t>
            </w:r>
          </w:p>
        </w:tc>
        <w:tc>
          <w:tcPr>
            <w:tcW w:w="0" w:type="dxa"/>
            <w:vAlign w:val="bottom"/>
          </w:tcPr>
          <w:p>
            <w:pPr>
              <w:spacing w:after="0"/>
              <w:rPr>
                <w:sz w:val="1"/>
                <w:szCs w:val="1"/>
                <w:color w:val="auto"/>
              </w:rPr>
            </w:pPr>
          </w:p>
        </w:tc>
      </w:tr>
      <w:tr>
        <w:trPr>
          <w:trHeight w:val="216"/>
        </w:trPr>
        <w:tc>
          <w:tcPr>
            <w:tcW w:w="7620" w:type="dxa"/>
            <w:vAlign w:val="bottom"/>
          </w:tcPr>
          <w:p>
            <w:pPr>
              <w:ind w:left="220"/>
              <w:spacing w:after="0"/>
              <w:rPr>
                <w:sz w:val="20"/>
                <w:szCs w:val="20"/>
                <w:color w:val="auto"/>
              </w:rPr>
            </w:pPr>
            <w:r>
              <w:rPr>
                <w:rFonts w:ascii="Arial" w:cs="Arial" w:eastAsia="Arial" w:hAnsi="Arial"/>
                <w:sz w:val="16"/>
                <w:szCs w:val="16"/>
                <w:color w:val="auto"/>
              </w:rPr>
              <w:t>Financing activities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3,978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(4,021)</w:t>
            </w:r>
          </w:p>
        </w:tc>
        <w:tc>
          <w:tcPr>
            <w:tcW w:w="0" w:type="dxa"/>
            <w:vAlign w:val="bottom"/>
          </w:tcPr>
          <w:p>
            <w:pPr>
              <w:spacing w:after="0"/>
              <w:rPr>
                <w:sz w:val="1"/>
                <w:szCs w:val="1"/>
                <w:color w:val="auto"/>
              </w:rPr>
            </w:pPr>
          </w:p>
        </w:tc>
      </w:tr>
      <w:tr>
        <w:trPr>
          <w:trHeight w:val="216"/>
        </w:trPr>
        <w:tc>
          <w:tcPr>
            <w:tcW w:w="7620" w:type="dxa"/>
            <w:vAlign w:val="bottom"/>
          </w:tcPr>
          <w:p>
            <w:pPr>
              <w:spacing w:after="0"/>
              <w:rPr>
                <w:sz w:val="20"/>
                <w:szCs w:val="20"/>
                <w:color w:val="auto"/>
              </w:rPr>
            </w:pPr>
            <w:r>
              <w:rPr>
                <w:rFonts w:ascii="Arial" w:cs="Arial" w:eastAsia="Arial" w:hAnsi="Arial"/>
                <w:sz w:val="16"/>
                <w:szCs w:val="16"/>
                <w:color w:val="auto"/>
              </w:rPr>
              <w:t>Effect of changes in exchange rates on cash and cash equivalents, program and restricted cash</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7620" w:type="dxa"/>
            <w:vAlign w:val="bottom"/>
          </w:tcPr>
          <w:p>
            <w:pPr>
              <w:spacing w:after="0"/>
              <w:rPr>
                <w:sz w:val="20"/>
                <w:szCs w:val="20"/>
                <w:color w:val="auto"/>
              </w:rPr>
            </w:pPr>
            <w:r>
              <w:rPr>
                <w:rFonts w:ascii="Arial" w:cs="Arial" w:eastAsia="Arial" w:hAnsi="Arial"/>
                <w:sz w:val="16"/>
                <w:szCs w:val="16"/>
                <w:color w:val="auto"/>
              </w:rPr>
              <w:t>Net increase in cash and cash equivalents, program and restricted cash</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15"/>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beginning of period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642</w:t>
            </w: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1"/>
        </w:trPr>
        <w:tc>
          <w:tcPr>
            <w:tcW w:w="7620" w:type="dxa"/>
            <w:vAlign w:val="bottom"/>
          </w:tcPr>
          <w:p>
            <w:pPr>
              <w:spacing w:after="0"/>
              <w:rPr>
                <w:sz w:val="20"/>
                <w:szCs w:val="20"/>
                <w:color w:val="auto"/>
              </w:rPr>
            </w:pPr>
            <w:r>
              <w:rPr>
                <w:rFonts w:ascii="Arial" w:cs="Arial" w:eastAsia="Arial" w:hAnsi="Arial"/>
                <w:sz w:val="16"/>
                <w:szCs w:val="16"/>
                <w:color w:val="auto"/>
              </w:rPr>
              <w:t>Cash and cash equivalents, program and restricted cash, end of period</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
        </w:trPr>
        <w:tc>
          <w:tcPr>
            <w:tcW w:w="7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1" w:name="page42"/>
    <w:bookmarkEnd w:id="41"/>
    <w:p>
      <w:pPr>
        <w:jc w:val="both"/>
        <w:spacing w:after="0" w:line="287" w:lineRule="auto"/>
        <w:rPr>
          <w:sz w:val="20"/>
          <w:szCs w:val="20"/>
          <w:color w:val="auto"/>
        </w:rPr>
      </w:pPr>
      <w:r>
        <w:rPr>
          <w:rFonts w:ascii="Arial" w:cs="Arial" w:eastAsia="Arial" w:hAnsi="Arial"/>
          <w:sz w:val="18"/>
          <w:szCs w:val="18"/>
          <w:color w:val="auto"/>
        </w:rPr>
        <w:t>The decrease in cash provided by operating activities during the nine months ended September 30, 2024 compared with the similar period in 2023 is primarily due to the decrease in our net income.</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decrease in cash used in investing activities during the nine months ended September 30, 2024 compared with the similar period in 2023 is primarily due to the decrease in our investment in vehicles.</w:t>
      </w:r>
    </w:p>
    <w:p>
      <w:pPr>
        <w:spacing w:after="0" w:line="180" w:lineRule="exact"/>
        <w:rPr>
          <w:sz w:val="20"/>
          <w:szCs w:val="20"/>
          <w:color w:val="auto"/>
        </w:rPr>
      </w:pPr>
    </w:p>
    <w:p>
      <w:pPr>
        <w:jc w:val="both"/>
        <w:ind w:right="20"/>
        <w:spacing w:after="0" w:line="318" w:lineRule="auto"/>
        <w:rPr>
          <w:sz w:val="20"/>
          <w:szCs w:val="20"/>
          <w:color w:val="auto"/>
        </w:rPr>
      </w:pPr>
      <w:r>
        <w:rPr>
          <w:rFonts w:ascii="Arial" w:cs="Arial" w:eastAsia="Arial" w:hAnsi="Arial"/>
          <w:sz w:val="17"/>
          <w:szCs w:val="17"/>
          <w:color w:val="auto"/>
        </w:rPr>
        <w:t>The decrease in cash provided by financing activities during the nine months ended September 30, 2024 compared with the similar period in 2023 is primarily due to the increase in our payments under vehicle programs, partially offset by the increase in our net corporate borrowings.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September 30, 2024, we had approximately $23.9 billion of indebtedness, including corporate indebtedness of approximately $6.0 billion and debt under vehicle programs of approximately $17.9 billion. For information regarding our debt and borrowing arrangements, see Notes 1, 10 and 11 to our Consolidated Condensed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The present intention of management is to reinvest the undistributed earnings of our foreign subsidiaries indefinitely into our foreign operations. Our primary sources of funding are operating revenue, cash received upon the sale of vehicles, borrowings under our vehicle-backed borrowing arrangements and our senior revolving credit facility, and other financing activities.</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liquidity has in the past been, and could in the future be, negatively affected by any financial market disruptions or a worsening of the United States and worldwide economies, or by increases in interest rates, which may result in unfavorable conditions in the mobility industry, in the asset-backed financing market and in the credit markets generally. We believe these factors have affected and could further affect the debt ratings assigned to us by credit rating agencies and the cost of our borrowings. Additionally, a worsening or prolonged downturn in the worldwide economy or a disruption in the credit markets could further impact our liquidity due to (i) 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As of September 30, 2024, we had $ 602 million of available cash and cash equivalents and access to available borrowings under our revolving credit facility of approximately $536 million, providing us with access to approximately $1.1 billion of total liquidity.</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consolidated first lien leverage ratio requirement and other covenants associated with our senior credit facilities and other borrowings. As of September 30, 2024, we were in compliance with the financial covenants governing our indebtedness. For additional information regarding our liquidity risks, see Part I, Item 1A, “Risk Factors” of our 2023 Form 10-K.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2023 Form 10-K with the exception of our commitment to purchase vehicles, which decreased by approximately $2.9 billion from December 31, 2023, to approximately $3.9 billion as of September 30, 2024 due to existing fleet levels. Changes to our obligations related to corporate indebtedness and debt under vehicle programs are presented above within the section titled “Liquidity and Capital Resources—Debt and Financing Arrangements” and also within Notes 10 and 11 to our Consolidated Condensed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w:t>
      </w:r>
    </w:p>
    <w:p>
      <w:pPr>
        <w:spacing w:after="0" w:line="2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(GAAP), we are required to make estimates and assumptions that affect the amounts reported therein. Several of the estimates and assumptions we are required to make relate to matters that are inherently uncertain as they relate to future events and/or events that are outside of our control. If there is a significant unfavorable change to current conditions, it could result in a material adverse impact to our consolidated results of operations, financial position and liquidity. We believe that the estimates and assumptions we used when preparing our financial statements were the most appropriate at that time. Presented within the section titled “Critical Accounting Estimates” of our 2023 Form 10-K are the accounting policies (related to goodwill and other indefinite-lived intangible assets, vehicles, income taxes and public liability, property damage and other insurance liabilities) that we believe require subjective and complex judgments that could potentially affect reported results. There have been no significant changes to those accounting policies or our assessment of which accounting policies we would consider to be critical accounting policies.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5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fuel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2024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fuel. We anticipate that such commodity risk will remain a market risk exposure for the foreseeable future. We determined that a 10% change in the price of unleaded fuel would not have a material impact on our earnings for the period ended September 30, 2024. For additional information regarding our long-term borrowings and financial instruments, see Notes 10, 11 and 16 to our Consolidated Condensed Financial Statements.</w:t>
      </w:r>
    </w:p>
    <w:p>
      <w:pPr>
        <w:spacing w:after="0" w:line="21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jc w:val="both"/>
        <w:ind w:left="340" w:hanging="332"/>
        <w:spacing w:after="0" w:line="259"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2024.</w:t>
      </w:r>
    </w:p>
    <w:p>
      <w:pPr>
        <w:spacing w:after="0" w:line="206" w:lineRule="exact"/>
        <w:rPr>
          <w:rFonts w:ascii="Arial" w:cs="Arial" w:eastAsia="Arial" w:hAnsi="Arial"/>
          <w:sz w:val="18"/>
          <w:szCs w:val="18"/>
          <w:color w:val="auto"/>
        </w:rPr>
      </w:pPr>
    </w:p>
    <w:p>
      <w:pPr>
        <w:jc w:val="both"/>
        <w:ind w:left="340" w:hanging="332"/>
        <w:spacing w:after="0" w:line="268" w:lineRule="auto"/>
        <w:tabs>
          <w:tab w:leader="none" w:pos="33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third quarter of 2024, there was no change in our internal control over</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reporting (as such term is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For information regarding our legal proceedings, see Note 12 – Commitments and Contingencies to our Consolidated Condensed Financial Statements and refer to our 2023 Form 10-K.</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SEC regulations require us to disclose certain information about proceedings arising under federal, state or local environmental provisions if we reasonably believe that such proceedings may result in monetary sanctions above a stated threshold. In accordance with these regulations, we use a threshold of $1 million for purposes of determining whether disclosure of any such proceedings is required pursuant to this item.</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During the quarter ended September 30, 2024, we had no material developments to report with respect to our risk factors. For additional information regarding our risk factors, please refer to our 2023 Form 10-K.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6"/>
                <w:szCs w:val="16"/>
                <w:color w:val="auto"/>
              </w:rPr>
            </w:pPr>
          </w:p>
        </w:tc>
        <w:tc>
          <w:tcPr>
            <w:tcW w:w="218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16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9"/>
              </w:rPr>
              <w:t>Total Number 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20" w:type="dxa"/>
            <w:vAlign w:val="bottom"/>
          </w:tcPr>
          <w:p>
            <w:pPr>
              <w:spacing w:after="0"/>
              <w:rPr>
                <w:sz w:val="14"/>
                <w:szCs w:val="14"/>
                <w:color w:val="auto"/>
              </w:rPr>
            </w:pPr>
          </w:p>
        </w:tc>
        <w:tc>
          <w:tcPr>
            <w:tcW w:w="2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of Shares That May Yet Be</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restart"/>
          </w:tcPr>
          <w:p>
            <w:pPr>
              <w:jc w:val="center"/>
              <w:ind w:right="280"/>
              <w:spacing w:after="0"/>
              <w:rPr>
                <w:sz w:val="20"/>
                <w:szCs w:val="20"/>
                <w:color w:val="auto"/>
              </w:rPr>
            </w:pPr>
            <w:r>
              <w:rPr>
                <w:rFonts w:ascii="Arial" w:cs="Arial" w:eastAsia="Arial" w:hAnsi="Arial"/>
                <w:sz w:val="16"/>
                <w:szCs w:val="16"/>
                <w:b w:val="1"/>
                <w:bCs w:val="1"/>
                <w:color w:val="auto"/>
                <w:w w:val="99"/>
              </w:rPr>
              <w:t>Average Price Paid per</w:t>
            </w: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 Plans</w:t>
            </w:r>
          </w:p>
        </w:tc>
        <w:tc>
          <w:tcPr>
            <w:tcW w:w="120" w:type="dxa"/>
            <w:vAlign w:val="bottom"/>
          </w:tcPr>
          <w:p>
            <w:pPr>
              <w:spacing w:after="0"/>
              <w:rPr>
                <w:sz w:val="14"/>
                <w:szCs w:val="14"/>
                <w:color w:val="auto"/>
              </w:rPr>
            </w:pPr>
          </w:p>
        </w:tc>
        <w:tc>
          <w:tcPr>
            <w:tcW w:w="2180" w:type="dxa"/>
            <w:vAlign w:val="bottom"/>
            <w:gridSpan w:val="2"/>
          </w:tcPr>
          <w:p>
            <w:pPr>
              <w:ind w:left="40"/>
              <w:spacing w:after="0" w:line="162" w:lineRule="exact"/>
              <w:rPr>
                <w:sz w:val="20"/>
                <w:szCs w:val="20"/>
                <w:color w:val="auto"/>
              </w:rPr>
            </w:pPr>
            <w:r>
              <w:rPr>
                <w:rFonts w:ascii="Arial" w:cs="Arial" w:eastAsia="Arial" w:hAnsi="Arial"/>
                <w:sz w:val="16"/>
                <w:szCs w:val="16"/>
                <w:b w:val="1"/>
                <w:bCs w:val="1"/>
                <w:color w:val="auto"/>
              </w:rPr>
              <w:t>Purchased Under the Plans</w:t>
            </w:r>
          </w:p>
        </w:tc>
        <w:tc>
          <w:tcPr>
            <w:tcW w:w="0" w:type="dxa"/>
            <w:vAlign w:val="bottom"/>
          </w:tcPr>
          <w:p>
            <w:pPr>
              <w:spacing w:after="0"/>
              <w:rPr>
                <w:sz w:val="1"/>
                <w:szCs w:val="1"/>
                <w:color w:val="auto"/>
              </w:rPr>
            </w:pPr>
          </w:p>
        </w:tc>
      </w:tr>
      <w:tr>
        <w:trPr>
          <w:trHeight w:val="162"/>
        </w:trPr>
        <w:tc>
          <w:tcPr>
            <w:tcW w:w="1220" w:type="dxa"/>
            <w:vAlign w:val="bottom"/>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2"/>
            <w:vMerge w:val="continue"/>
          </w:tcPr>
          <w:p>
            <w:pPr>
              <w:spacing w:after="0"/>
              <w:rPr>
                <w:sz w:val="14"/>
                <w:szCs w:val="14"/>
                <w:color w:val="auto"/>
              </w:rPr>
            </w:pPr>
          </w:p>
        </w:tc>
        <w:tc>
          <w:tcPr>
            <w:tcW w:w="216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120" w:type="dxa"/>
            <w:vAlign w:val="bottom"/>
          </w:tcPr>
          <w:p>
            <w:pPr>
              <w:spacing w:after="0"/>
              <w:rPr>
                <w:sz w:val="14"/>
                <w:szCs w:val="14"/>
                <w:color w:val="auto"/>
              </w:rPr>
            </w:pPr>
          </w:p>
        </w:tc>
        <w:tc>
          <w:tcPr>
            <w:tcW w:w="218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rPr>
              <w:t>or Programs</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216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96"/>
              </w:rPr>
              <w:t xml:space="preserve">(in millions) </w:t>
            </w:r>
            <w:r>
              <w:rPr>
                <w:rFonts w:ascii="Arial" w:cs="Arial" w:eastAsia="Arial" w:hAnsi="Arial"/>
                <w:sz w:val="21"/>
                <w:szCs w:val="21"/>
                <w:b w:val="1"/>
                <w:bCs w:val="1"/>
                <w:color w:val="auto"/>
                <w:w w:val="96"/>
                <w:vertAlign w:val="superscript"/>
              </w:rPr>
              <w:t>(a)</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Share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(in millions)</w:t>
            </w:r>
          </w:p>
        </w:tc>
        <w:tc>
          <w:tcPr>
            <w:tcW w:w="8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ind w:right="499"/>
              <w:spacing w:after="0"/>
              <w:rPr>
                <w:sz w:val="20"/>
                <w:szCs w:val="20"/>
                <w:color w:val="auto"/>
              </w:rPr>
            </w:pPr>
            <w:r>
              <w:rPr>
                <w:rFonts w:ascii="Arial" w:cs="Arial" w:eastAsia="Arial" w:hAnsi="Arial"/>
                <w:sz w:val="16"/>
                <w:szCs w:val="16"/>
                <w:b w:val="1"/>
                <w:bCs w:val="1"/>
                <w:color w:val="auto"/>
                <w:w w:val="99"/>
              </w:rPr>
              <w:t>in millions)</w:t>
            </w:r>
          </w:p>
        </w:tc>
        <w:tc>
          <w:tcPr>
            <w:tcW w:w="0" w:type="dxa"/>
            <w:vAlign w:val="bottom"/>
          </w:tcPr>
          <w:p>
            <w:pPr>
              <w:spacing w:after="0"/>
              <w:rPr>
                <w:sz w:val="1"/>
                <w:szCs w:val="1"/>
                <w:color w:val="auto"/>
              </w:rPr>
            </w:pPr>
          </w:p>
        </w:tc>
      </w:tr>
      <w:tr>
        <w:trPr>
          <w:trHeight w:val="208"/>
        </w:trPr>
        <w:tc>
          <w:tcPr>
            <w:tcW w:w="1220" w:type="dxa"/>
            <w:vAlign w:val="bottom"/>
          </w:tcPr>
          <w:p>
            <w:pPr>
              <w:jc w:val="right"/>
              <w:spacing w:after="0"/>
              <w:rPr>
                <w:sz w:val="20"/>
                <w:szCs w:val="20"/>
                <w:color w:val="auto"/>
              </w:rPr>
            </w:pPr>
            <w:r>
              <w:rPr>
                <w:rFonts w:ascii="Arial" w:cs="Arial" w:eastAsia="Arial" w:hAnsi="Arial"/>
                <w:sz w:val="16"/>
                <w:szCs w:val="16"/>
                <w:color w:val="auto"/>
              </w:rPr>
              <w:t>July 2024</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0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rPr>
              <w:t>0.0</w:t>
            </w:r>
          </w:p>
        </w:tc>
        <w:tc>
          <w:tcPr>
            <w:tcW w:w="120" w:type="dxa"/>
            <w:vAlign w:val="bottom"/>
          </w:tcPr>
          <w:p>
            <w:pPr>
              <w:spacing w:after="0"/>
              <w:rPr>
                <w:sz w:val="18"/>
                <w:szCs w:val="18"/>
                <w:color w:val="auto"/>
              </w:rPr>
            </w:pPr>
          </w:p>
        </w:tc>
        <w:tc>
          <w:tcPr>
            <w:tcW w:w="74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5"/>
        </w:trPr>
        <w:tc>
          <w:tcPr>
            <w:tcW w:w="1220" w:type="dxa"/>
            <w:vAlign w:val="bottom"/>
          </w:tcPr>
          <w:p>
            <w:pPr>
              <w:jc w:val="right"/>
              <w:spacing w:after="0"/>
              <w:rPr>
                <w:sz w:val="20"/>
                <w:szCs w:val="20"/>
                <w:color w:val="auto"/>
              </w:rPr>
            </w:pPr>
            <w:r>
              <w:rPr>
                <w:rFonts w:ascii="Arial" w:cs="Arial" w:eastAsia="Arial" w:hAnsi="Arial"/>
                <w:sz w:val="16"/>
                <w:szCs w:val="16"/>
                <w:color w:val="auto"/>
              </w:rPr>
              <w:t>August 2024</w:t>
            </w:r>
          </w:p>
        </w:tc>
        <w:tc>
          <w:tcPr>
            <w:tcW w:w="2160" w:type="dxa"/>
            <w:vAlign w:val="bottom"/>
          </w:tcPr>
          <w:p>
            <w:pPr>
              <w:jc w:val="center"/>
              <w:spacing w:after="0"/>
              <w:rPr>
                <w:sz w:val="20"/>
                <w:szCs w:val="20"/>
                <w:color w:val="auto"/>
              </w:rPr>
            </w:pPr>
            <w:r>
              <w:rPr>
                <w:rFonts w:ascii="Arial" w:cs="Arial" w:eastAsia="Arial" w:hAnsi="Arial"/>
                <w:sz w:val="16"/>
                <w:szCs w:val="16"/>
                <w:color w:val="auto"/>
              </w:rPr>
              <w:t>0.0</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1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160" w:type="dxa"/>
            <w:vAlign w:val="bottom"/>
          </w:tcPr>
          <w:p>
            <w:pPr>
              <w:jc w:val="center"/>
              <w:spacing w:after="0"/>
              <w:rPr>
                <w:sz w:val="20"/>
                <w:szCs w:val="20"/>
                <w:color w:val="auto"/>
              </w:rPr>
            </w:pPr>
            <w:r>
              <w:rPr>
                <w:rFonts w:ascii="Arial" w:cs="Arial" w:eastAsia="Arial" w:hAnsi="Arial"/>
                <w:sz w:val="16"/>
                <w:szCs w:val="16"/>
                <w:color w:val="auto"/>
              </w:rPr>
              <w:t>0.0</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17"/>
        </w:trPr>
        <w:tc>
          <w:tcPr>
            <w:tcW w:w="1220" w:type="dxa"/>
            <w:vAlign w:val="bottom"/>
          </w:tcPr>
          <w:p>
            <w:pPr>
              <w:jc w:val="right"/>
              <w:spacing w:after="0"/>
              <w:rPr>
                <w:sz w:val="20"/>
                <w:szCs w:val="20"/>
                <w:color w:val="auto"/>
              </w:rPr>
            </w:pPr>
            <w:r>
              <w:rPr>
                <w:rFonts w:ascii="Arial" w:cs="Arial" w:eastAsia="Arial" w:hAnsi="Arial"/>
                <w:sz w:val="16"/>
                <w:szCs w:val="16"/>
                <w:color w:val="auto"/>
                <w:w w:val="99"/>
              </w:rPr>
              <w:t>September 2024</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81.97</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0.1</w:t>
            </w:r>
          </w:p>
        </w:tc>
        <w:tc>
          <w:tcPr>
            <w:tcW w:w="86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794</w:t>
            </w:r>
          </w:p>
        </w:tc>
        <w:tc>
          <w:tcPr>
            <w:tcW w:w="0" w:type="dxa"/>
            <w:vAlign w:val="bottom"/>
          </w:tcPr>
          <w:p>
            <w:pPr>
              <w:spacing w:after="0"/>
              <w:rPr>
                <w:sz w:val="1"/>
                <w:szCs w:val="1"/>
                <w:color w:val="auto"/>
              </w:rPr>
            </w:pPr>
          </w:p>
        </w:tc>
      </w:tr>
      <w:tr>
        <w:trPr>
          <w:trHeight w:val="211"/>
        </w:trPr>
        <w:tc>
          <w:tcPr>
            <w:tcW w:w="12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0.1</w:t>
            </w:r>
          </w:p>
        </w:tc>
        <w:tc>
          <w:tcPr>
            <w:tcW w:w="28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2020" w:type="dxa"/>
            <w:vAlign w:val="bottom"/>
          </w:tcPr>
          <w:p>
            <w:pPr>
              <w:jc w:val="right"/>
              <w:spacing w:after="0"/>
              <w:rPr>
                <w:sz w:val="20"/>
                <w:szCs w:val="20"/>
                <w:color w:val="auto"/>
              </w:rPr>
            </w:pPr>
            <w:r>
              <w:rPr>
                <w:rFonts w:ascii="Arial" w:cs="Arial" w:eastAsia="Arial" w:hAnsi="Arial"/>
                <w:sz w:val="16"/>
                <w:szCs w:val="16"/>
                <w:b w:val="1"/>
                <w:bCs w:val="1"/>
                <w:color w:val="auto"/>
              </w:rPr>
              <w:t>81.97</w:t>
            </w:r>
          </w:p>
        </w:tc>
        <w:tc>
          <w:tcPr>
            <w:tcW w:w="12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0.1</w:t>
            </w:r>
          </w:p>
        </w:tc>
        <w:tc>
          <w:tcPr>
            <w:tcW w:w="860" w:type="dxa"/>
            <w:vAlign w:val="bottom"/>
            <w:gridSpan w:val="2"/>
          </w:tcPr>
          <w:p>
            <w:pPr>
              <w:ind w:left="140"/>
              <w:spacing w:after="0"/>
              <w:rPr>
                <w:sz w:val="20"/>
                <w:szCs w:val="20"/>
                <w:color w:val="auto"/>
              </w:rPr>
            </w:pPr>
            <w:r>
              <w:rPr>
                <w:rFonts w:ascii="Arial" w:cs="Arial" w:eastAsia="Arial" w:hAnsi="Arial"/>
                <w:sz w:val="16"/>
                <w:szCs w:val="16"/>
                <w:b w:val="1"/>
                <w:bCs w:val="1"/>
                <w:color w:val="auto"/>
              </w:rPr>
              <w:t>$</w:t>
            </w:r>
          </w:p>
        </w:tc>
        <w:tc>
          <w:tcPr>
            <w:tcW w:w="1440" w:type="dxa"/>
            <w:vAlign w:val="bottom"/>
          </w:tcPr>
          <w:p>
            <w:pPr>
              <w:jc w:val="right"/>
              <w:spacing w:after="0"/>
              <w:rPr>
                <w:sz w:val="20"/>
                <w:szCs w:val="20"/>
                <w:color w:val="auto"/>
              </w:rPr>
            </w:pPr>
            <w:r>
              <w:rPr>
                <w:rFonts w:ascii="Arial" w:cs="Arial" w:eastAsia="Arial" w:hAnsi="Arial"/>
                <w:sz w:val="16"/>
                <w:szCs w:val="16"/>
                <w:b w:val="1"/>
                <w:bCs w:val="1"/>
                <w:color w:val="auto"/>
              </w:rPr>
              <w:t>794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w:t>
      </w:r>
    </w:p>
    <w:p>
      <w:pPr>
        <w:spacing w:after="0" w:line="17" w:lineRule="exact"/>
        <w:rPr>
          <w:sz w:val="20"/>
          <w:szCs w:val="20"/>
          <w:color w:val="auto"/>
        </w:rPr>
      </w:pPr>
    </w:p>
    <w:p>
      <w:pPr>
        <w:ind w:left="320" w:hanging="312"/>
        <w:spacing w:after="0"/>
        <w:tabs>
          <w:tab w:leader="none" w:pos="320" w:val="left"/>
        </w:tabs>
        <w:numPr>
          <w:ilvl w:val="0"/>
          <w:numId w:val="52"/>
        </w:numPr>
        <w:rPr>
          <w:rFonts w:ascii="Arial" w:cs="Arial" w:eastAsia="Arial" w:hAnsi="Arial"/>
          <w:sz w:val="19"/>
          <w:szCs w:val="19"/>
          <w:color w:val="auto"/>
          <w:vertAlign w:val="superscript"/>
        </w:rPr>
      </w:pPr>
      <w:r>
        <w:rPr>
          <w:rFonts w:ascii="Arial" w:cs="Arial" w:eastAsia="Arial" w:hAnsi="Arial"/>
          <w:sz w:val="14"/>
          <w:szCs w:val="14"/>
          <w:color w:val="auto"/>
        </w:rPr>
        <w:t>Excludes shares which were withheld by the Company to satisfy employees’ income tax liabilities attributable to the vesting of restricted stock unit awards.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262626"/>
        </w:rPr>
        <w:t xml:space="preserve">Our Board of Directors has authorized the repurchase of up to approximately </w:t>
      </w:r>
      <w:r>
        <w:rPr>
          <w:rFonts w:ascii="Arial" w:cs="Arial" w:eastAsia="Arial" w:hAnsi="Arial"/>
          <w:sz w:val="18"/>
          <w:szCs w:val="18"/>
          <w:color w:val="000000"/>
        </w:rPr>
        <w:t>$8.1 billion of our common stock under a plan originally</w:t>
      </w:r>
      <w:r>
        <w:rPr>
          <w:rFonts w:ascii="Arial" w:cs="Arial" w:eastAsia="Arial" w:hAnsi="Arial"/>
          <w:sz w:val="18"/>
          <w:szCs w:val="18"/>
          <w:color w:val="262626"/>
        </w:rPr>
        <w:t xml:space="preserve"> </w:t>
      </w:r>
      <w:r>
        <w:rPr>
          <w:rFonts w:ascii="Arial" w:cs="Arial" w:eastAsia="Arial" w:hAnsi="Arial"/>
          <w:sz w:val="18"/>
          <w:szCs w:val="18"/>
          <w:color w:val="000000"/>
        </w:rPr>
        <w:t>approved in 2013 and subsequently expanded, most recently in February 2023</w:t>
      </w:r>
      <w:r>
        <w:rPr>
          <w:rFonts w:ascii="Arial" w:cs="Arial" w:eastAsia="Arial" w:hAnsi="Arial"/>
          <w:sz w:val="18"/>
          <w:szCs w:val="18"/>
          <w:color w:val="262626"/>
        </w:rPr>
        <w:t>. Under our Stock Repurchase Program, the Company may</w:t>
      </w:r>
      <w:r>
        <w:rPr>
          <w:rFonts w:ascii="Arial" w:cs="Arial" w:eastAsia="Arial" w:hAnsi="Arial"/>
          <w:sz w:val="18"/>
          <w:szCs w:val="18"/>
          <w:color w:val="000000"/>
        </w:rPr>
        <w:t xml:space="preserve"> </w:t>
      </w:r>
      <w:r>
        <w:rPr>
          <w:rFonts w:ascii="Arial" w:cs="Arial" w:eastAsia="Arial" w:hAnsi="Arial"/>
          <w:sz w:val="18"/>
          <w:szCs w:val="18"/>
          <w:color w:val="262626"/>
        </w:rPr>
        <w:t>repurchase shares from time to time in open market transactions, and may also repurchase shares in accelerated share repurchases, tender offers, privately negotiated transactions or by other means. Repurchases may also be made under a plan pursuant to Rule 10b5-1 under the Securities Exchange Act of 1934, as amended. The timing and amount of repurchase transactions will be determined by the Company’s management based on its evaluation of market conditions, the Company’s share price, legal requirements, restricted payment capacity under its debt instruments and other factors. The Stock Repurchase Program may be suspended, modified or discontinued without prior notice.</w:t>
      </w:r>
    </w:p>
    <w:p>
      <w:pPr>
        <w:spacing w:after="0" w:line="21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262626"/>
        </w:rPr>
        <w:t xml:space="preserve">During </w:t>
      </w:r>
      <w:r>
        <w:rPr>
          <w:rFonts w:ascii="Arial" w:cs="Arial" w:eastAsia="Arial" w:hAnsi="Arial"/>
          <w:sz w:val="18"/>
          <w:szCs w:val="18"/>
          <w:color w:val="000000"/>
        </w:rPr>
        <w:t>the quarter ended September 30, 2024</w:t>
      </w:r>
      <w:r>
        <w:rPr>
          <w:rFonts w:ascii="Arial" w:cs="Arial" w:eastAsia="Arial" w:hAnsi="Arial"/>
          <w:sz w:val="18"/>
          <w:szCs w:val="18"/>
          <w:color w:val="262626"/>
        </w:rPr>
        <w:t>, no director or Section 16 officer of the Company adopted or terminated a "Rule 10b5-1 trading arrangement" or "non-Rule 10b5-1 trading arrangement," as each term is defined in Item 408(a) of Regulation S-K.</w:t>
      </w:r>
    </w:p>
    <w:p>
      <w:pPr>
        <w:spacing w:after="0" w:line="180"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3660" w:type="dxa"/>
            <w:vAlign w:val="bottom"/>
          </w:tcPr>
          <w:p>
            <w:pPr>
              <w:spacing w:after="0"/>
              <w:rPr>
                <w:sz w:val="21"/>
                <w:szCs w:val="21"/>
                <w:color w:val="auto"/>
              </w:rPr>
            </w:pPr>
          </w:p>
        </w:tc>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AVIS BUDGET GROUP, INC.</w:t>
            </w:r>
          </w:p>
        </w:tc>
      </w:tr>
      <w:tr>
        <w:trPr>
          <w:trHeight w:val="488"/>
        </w:trPr>
        <w:tc>
          <w:tcPr>
            <w:tcW w:w="3660" w:type="dxa"/>
            <w:vAlign w:val="bottom"/>
          </w:tcPr>
          <w:p>
            <w:pPr>
              <w:ind w:left="20"/>
              <w:spacing w:after="0"/>
              <w:rPr>
                <w:sz w:val="20"/>
                <w:szCs w:val="20"/>
                <w:color w:val="auto"/>
              </w:rPr>
            </w:pPr>
            <w:r>
              <w:rPr>
                <w:rFonts w:ascii="Arial" w:cs="Arial" w:eastAsia="Arial" w:hAnsi="Arial"/>
                <w:sz w:val="18"/>
                <w:szCs w:val="18"/>
                <w:color w:val="auto"/>
              </w:rPr>
              <w:t>Date:   November 1, 2024</w:t>
            </w:r>
          </w:p>
        </w:tc>
        <w:tc>
          <w:tcPr>
            <w:tcW w:w="7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Cathleen DeGenova</w:t>
            </w:r>
          </w:p>
        </w:tc>
      </w:tr>
      <w:tr>
        <w:trPr>
          <w:trHeight w:val="218"/>
        </w:trPr>
        <w:tc>
          <w:tcPr>
            <w:tcW w:w="3660" w:type="dxa"/>
            <w:vAlign w:val="bottom"/>
          </w:tcPr>
          <w:p>
            <w:pPr>
              <w:spacing w:after="0"/>
              <w:rPr>
                <w:sz w:val="18"/>
                <w:szCs w:val="18"/>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Cathleen DeGenova</w:t>
            </w:r>
          </w:p>
        </w:tc>
      </w:tr>
      <w:tr>
        <w:trPr>
          <w:trHeight w:val="229"/>
        </w:trPr>
        <w:tc>
          <w:tcPr>
            <w:tcW w:w="3660" w:type="dxa"/>
            <w:vAlign w:val="bottom"/>
          </w:tcPr>
          <w:p>
            <w:pPr>
              <w:spacing w:after="0"/>
              <w:rPr>
                <w:sz w:val="19"/>
                <w:szCs w:val="19"/>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r>
      <w:tr>
        <w:trPr>
          <w:trHeight w:val="239"/>
        </w:trPr>
        <w:tc>
          <w:tcPr>
            <w:tcW w:w="3660" w:type="dxa"/>
            <w:vAlign w:val="bottom"/>
          </w:tcPr>
          <w:p>
            <w:pPr>
              <w:spacing w:after="0"/>
              <w:rPr>
                <w:sz w:val="20"/>
                <w:szCs w:val="20"/>
                <w:color w:val="auto"/>
              </w:rPr>
            </w:pPr>
          </w:p>
        </w:tc>
        <w:tc>
          <w:tcPr>
            <w:tcW w:w="75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r>
        <w:trPr>
          <w:trHeight w:val="918"/>
        </w:trPr>
        <w:tc>
          <w:tcPr>
            <w:tcW w:w="3660" w:type="dxa"/>
            <w:vAlign w:val="bottom"/>
          </w:tcPr>
          <w:p>
            <w:pPr>
              <w:spacing w:after="0"/>
              <w:rPr>
                <w:sz w:val="24"/>
                <w:szCs w:val="24"/>
                <w:color w:val="auto"/>
              </w:rPr>
            </w:pPr>
          </w:p>
        </w:tc>
        <w:tc>
          <w:tcPr>
            <w:tcW w:w="7580" w:type="dxa"/>
            <w:vAlign w:val="bottom"/>
          </w:tcPr>
          <w:p>
            <w:pPr>
              <w:ind w:left="1860"/>
              <w:spacing w:after="0"/>
              <w:rPr>
                <w:sz w:val="20"/>
                <w:szCs w:val="20"/>
                <w:color w:val="auto"/>
              </w:rPr>
            </w:pPr>
            <w:r>
              <w:rPr>
                <w:rFonts w:ascii="Arial" w:cs="Arial" w:eastAsia="Arial" w:hAnsi="Arial"/>
                <w:sz w:val="18"/>
                <w:szCs w:val="18"/>
                <w:color w:val="auto"/>
              </w:rPr>
              <w:t>43</w:t>
            </w:r>
          </w:p>
        </w:tc>
      </w:tr>
      <w:tr>
        <w:trPr>
          <w:trHeight w:val="111"/>
        </w:trPr>
        <w:tc>
          <w:tcPr>
            <w:tcW w:w="3660" w:type="dxa"/>
            <w:vAlign w:val="bottom"/>
            <w:tcBorders>
              <w:bottom w:val="single" w:sz="8" w:color="9A9A9A"/>
            </w:tcBorders>
          </w:tcPr>
          <w:p>
            <w:pPr>
              <w:spacing w:after="0"/>
              <w:rPr>
                <w:sz w:val="9"/>
                <w:szCs w:val="9"/>
                <w:color w:val="auto"/>
              </w:rPr>
            </w:pPr>
          </w:p>
        </w:tc>
        <w:tc>
          <w:tcPr>
            <w:tcW w:w="7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23"/>
        </w:trPr>
        <w:tc>
          <w:tcPr>
            <w:tcW w:w="1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660" w:type="dxa"/>
            <w:vAlign w:val="bottom"/>
            <w:gridSpan w:val="10"/>
          </w:tcPr>
          <w:p>
            <w:pPr>
              <w:ind w:left="2440"/>
              <w:spacing w:after="0"/>
              <w:rPr>
                <w:sz w:val="20"/>
                <w:szCs w:val="20"/>
                <w:color w:val="auto"/>
              </w:rPr>
            </w:pPr>
            <w:r>
              <w:rPr>
                <w:rFonts w:ascii="Arial" w:cs="Arial" w:eastAsia="Arial" w:hAnsi="Arial"/>
                <w:sz w:val="16"/>
                <w:szCs w:val="16"/>
                <w:b w:val="1"/>
                <w:bCs w:val="1"/>
                <w:color w:val="auto"/>
              </w:rPr>
              <w:t>Exhibit Index</w:t>
            </w:r>
          </w:p>
        </w:tc>
      </w:tr>
      <w:tr>
        <w:trPr>
          <w:trHeight w:val="250"/>
        </w:trPr>
        <w:tc>
          <w:tcPr>
            <w:tcW w:w="12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2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c>
          <w:tcPr>
            <w:tcW w:w="30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 No.</w:t>
            </w:r>
          </w:p>
        </w:tc>
        <w:tc>
          <w:tcPr>
            <w:tcW w:w="13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tcPr>
          <w:p>
            <w:pPr>
              <w:spacing w:after="0"/>
              <w:rPr>
                <w:sz w:val="18"/>
                <w:szCs w:val="18"/>
                <w:color w:val="auto"/>
              </w:rPr>
            </w:pPr>
          </w:p>
        </w:tc>
        <w:tc>
          <w:tcPr>
            <w:tcW w:w="6040" w:type="dxa"/>
            <w:vAlign w:val="bottom"/>
            <w:tcBorders>
              <w:bottom w:val="single" w:sz="8" w:color="auto"/>
              <w:right w:val="single" w:sz="8" w:color="auto"/>
            </w:tcBorders>
            <w:gridSpan w:val="9"/>
          </w:tcPr>
          <w:p>
            <w:pPr>
              <w:ind w:left="520"/>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w:t>
            </w:r>
          </w:p>
        </w:tc>
        <w:tc>
          <w:tcPr>
            <w:tcW w:w="10040" w:type="dxa"/>
            <w:vAlign w:val="bottom"/>
            <w:tcBorders>
              <w:right w:val="single" w:sz="8" w:color="auto"/>
            </w:tcBorders>
            <w:gridSpan w:val="11"/>
          </w:tcPr>
          <w:p>
            <w:pPr>
              <w:spacing w:after="0" w:line="169" w:lineRule="exact"/>
              <w:rPr>
                <w:rFonts w:ascii="Arial" w:cs="Arial" w:eastAsia="Arial" w:hAnsi="Arial"/>
                <w:sz w:val="16"/>
                <w:szCs w:val="16"/>
                <w:color w:val="0000FF"/>
              </w:rPr>
            </w:pPr>
            <w:hyperlink r:id="rId65">
              <w:r>
                <w:rPr>
                  <w:rFonts w:ascii="Arial" w:cs="Arial" w:eastAsia="Arial" w:hAnsi="Arial"/>
                  <w:sz w:val="16"/>
                  <w:szCs w:val="16"/>
                  <w:color w:val="0000FF"/>
                </w:rPr>
                <w:t>Amended and Restated Certificate of Incorporation of Avis Budget Group, Inc. (incorporated by reference to Exhibit 3.1 to the Company’s</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40" w:type="dxa"/>
            <w:vAlign w:val="bottom"/>
            <w:tcBorders>
              <w:top w:val="single" w:sz="8" w:color="0000FF"/>
            </w:tcBorders>
            <w:gridSpan w:val="7"/>
          </w:tcPr>
          <w:p>
            <w:pPr>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Current Report on Form 8-K dated September 5, 2006).</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40" w:type="dxa"/>
            <w:vAlign w:val="bottom"/>
            <w:tcBorders>
              <w:right w:val="single" w:sz="8" w:color="auto"/>
            </w:tcBorders>
            <w:gridSpan w:val="11"/>
          </w:tcPr>
          <w:p>
            <w:pPr>
              <w:spacing w:after="0" w:line="169" w:lineRule="exact"/>
              <w:rPr>
                <w:rFonts w:ascii="Arial" w:cs="Arial" w:eastAsia="Arial" w:hAnsi="Arial"/>
                <w:sz w:val="16"/>
                <w:szCs w:val="16"/>
                <w:color w:val="0000FF"/>
              </w:rPr>
            </w:pPr>
            <w:hyperlink r:id="rId66">
              <w:r>
                <w:rPr>
                  <w:rFonts w:ascii="Arial" w:cs="Arial" w:eastAsia="Arial" w:hAnsi="Arial"/>
                  <w:sz w:val="16"/>
                  <w:szCs w:val="16"/>
                  <w:color w:val="0000FF"/>
                </w:rPr>
                <w:t>Amended and Restated Bylaws of Avis Budget Group, Inc., dated as of August 10, 2020 (incorporated by reference to Exhibit 3.2 to the</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20" w:type="dxa"/>
            <w:vAlign w:val="bottom"/>
            <w:tcBorders>
              <w:top w:val="single" w:sz="8" w:color="0000FF"/>
            </w:tcBorders>
            <w:gridSpan w:val="6"/>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Company’s Current Report on Form 8-K dated August 13, 2020).</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4.1</w:t>
            </w:r>
          </w:p>
        </w:tc>
        <w:tc>
          <w:tcPr>
            <w:tcW w:w="10040" w:type="dxa"/>
            <w:vAlign w:val="bottom"/>
            <w:tcBorders>
              <w:right w:val="single" w:sz="8" w:color="auto"/>
            </w:tcBorders>
            <w:gridSpan w:val="11"/>
          </w:tcPr>
          <w:p>
            <w:pPr>
              <w:spacing w:after="0" w:line="169" w:lineRule="exact"/>
              <w:rPr>
                <w:rFonts w:ascii="Arial" w:cs="Arial" w:eastAsia="Arial" w:hAnsi="Arial"/>
                <w:sz w:val="16"/>
                <w:szCs w:val="16"/>
                <w:color w:val="0000FF"/>
              </w:rPr>
            </w:pPr>
            <w:hyperlink r:id="rId67">
              <w:r>
                <w:rPr>
                  <w:rFonts w:ascii="Arial" w:cs="Arial" w:eastAsia="Arial" w:hAnsi="Arial"/>
                  <w:sz w:val="16"/>
                  <w:szCs w:val="16"/>
                  <w:color w:val="0000FF"/>
                </w:rPr>
                <w:t>Indenture, dated as of September 13, 2024, by and among Avis Budget Car Rental, LLC and Avis Budget Finance, Inc., together as</w:t>
              </w:r>
            </w:hyperlink>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10000" w:type="dxa"/>
            <w:vAlign w:val="bottom"/>
            <w:tcBorders>
              <w:top w:val="single" w:sz="8" w:color="0000FF"/>
            </w:tcBorders>
            <w:gridSpan w:val="10"/>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issuers, the guarantors party thereto and U.S. Bank Trust Company, National Association, as trustee (incorporated by reference to Exhibit</w:t>
              </w:r>
            </w:hyperlink>
          </w:p>
        </w:tc>
        <w:tc>
          <w:tcPr>
            <w:tcW w:w="40" w:type="dxa"/>
            <w:vAlign w:val="bottom"/>
            <w:tcBorders>
              <w:right w:val="single" w:sz="8" w:color="auto"/>
            </w:tcBorders>
          </w:tcPr>
          <w:p>
            <w:pPr>
              <w:spacing w:after="0"/>
              <w:rPr>
                <w:sz w:val="12"/>
                <w:szCs w:val="12"/>
                <w:color w:val="auto"/>
              </w:rPr>
            </w:pP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4.1 to the Company’s Current Report on Form 8-K dated September 13, 2024).</w:t>
              </w:r>
            </w:hyperlink>
          </w:p>
        </w:tc>
        <w:tc>
          <w:tcPr>
            <w:tcW w:w="20" w:type="dxa"/>
            <w:vAlign w:val="bottom"/>
          </w:tcPr>
          <w:p>
            <w:pPr>
              <w:spacing w:after="0"/>
              <w:rPr>
                <w:sz w:val="12"/>
                <w:szCs w:val="12"/>
                <w:color w:val="auto"/>
              </w:rPr>
            </w:pPr>
          </w:p>
        </w:tc>
        <w:tc>
          <w:tcPr>
            <w:tcW w:w="60" w:type="dxa"/>
            <w:vAlign w:val="bottom"/>
            <w:tcBorders>
              <w:right w:val="single" w:sz="8" w:color="auto"/>
            </w:tcBorders>
            <w:gridSpan w:val="2"/>
          </w:tcPr>
          <w:p>
            <w:pPr>
              <w:spacing w:after="0"/>
              <w:rPr>
                <w:sz w:val="12"/>
                <w:szCs w:val="12"/>
                <w:color w:val="auto"/>
              </w:rPr>
            </w:pP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31.1</w:t>
            </w:r>
          </w:p>
        </w:tc>
        <w:tc>
          <w:tcPr>
            <w:tcW w:w="1004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Certification of Chief Executive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1934, as amended.</w:t>
            </w:r>
          </w:p>
        </w:tc>
        <w:tc>
          <w:tcPr>
            <w:tcW w:w="60" w:type="dxa"/>
            <w:vAlign w:val="bottom"/>
            <w:tcBorders>
              <w:right w:val="single" w:sz="8" w:color="auto"/>
            </w:tcBorders>
            <w:gridSpan w:val="2"/>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31.2</w:t>
            </w:r>
          </w:p>
        </w:tc>
        <w:tc>
          <w:tcPr>
            <w:tcW w:w="1004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Certification of Chief Financial Officer pursuant to Rules 13(a)-14(a) and 15(d)-14(a) promulgated under the Securities Exchange Act of</w:t>
            </w:r>
          </w:p>
        </w:tc>
      </w:tr>
      <w:tr>
        <w:trPr>
          <w:trHeight w:val="142"/>
        </w:trPr>
        <w:tc>
          <w:tcPr>
            <w:tcW w:w="1260" w:type="dxa"/>
            <w:vAlign w:val="bottom"/>
            <w:tcBorders>
              <w:left w:val="single" w:sz="8" w:color="auto"/>
              <w:right w:val="single" w:sz="8" w:color="auto"/>
            </w:tcBorders>
          </w:tcPr>
          <w:p>
            <w:pPr>
              <w:spacing w:after="0"/>
              <w:rPr>
                <w:sz w:val="12"/>
                <w:szCs w:val="12"/>
                <w:color w:val="auto"/>
              </w:rPr>
            </w:pPr>
          </w:p>
        </w:tc>
        <w:tc>
          <w:tcPr>
            <w:tcW w:w="9980" w:type="dxa"/>
            <w:vAlign w:val="bottom"/>
            <w:tcBorders>
              <w:top w:val="single" w:sz="8" w:color="0000FF"/>
            </w:tcBorders>
            <w:gridSpan w:val="9"/>
          </w:tcPr>
          <w:p>
            <w:pPr>
              <w:spacing w:after="0" w:line="142" w:lineRule="exact"/>
              <w:rPr>
                <w:sz w:val="20"/>
                <w:szCs w:val="20"/>
                <w:color w:val="auto"/>
              </w:rPr>
            </w:pPr>
            <w:r>
              <w:rPr>
                <w:rFonts w:ascii="Arial" w:cs="Arial" w:eastAsia="Arial" w:hAnsi="Arial"/>
                <w:sz w:val="16"/>
                <w:szCs w:val="16"/>
                <w:color w:val="0000FF"/>
              </w:rPr>
              <w:t>1934, as amended.</w:t>
            </w:r>
          </w:p>
        </w:tc>
        <w:tc>
          <w:tcPr>
            <w:tcW w:w="60" w:type="dxa"/>
            <w:vAlign w:val="bottom"/>
            <w:tcBorders>
              <w:right w:val="single" w:sz="8" w:color="auto"/>
            </w:tcBorders>
            <w:gridSpan w:val="2"/>
          </w:tcPr>
          <w:p>
            <w:pPr>
              <w:spacing w:after="0"/>
              <w:rPr>
                <w:sz w:val="12"/>
                <w:szCs w:val="12"/>
                <w:color w:val="auto"/>
              </w:rPr>
            </w:pPr>
          </w:p>
        </w:tc>
      </w:tr>
      <w:tr>
        <w:trPr>
          <w:trHeight w:val="21"/>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69"/>
        </w:trPr>
        <w:tc>
          <w:tcPr>
            <w:tcW w:w="126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color w:val="auto"/>
              </w:rPr>
              <w:t>32</w:t>
            </w:r>
          </w:p>
        </w:tc>
        <w:tc>
          <w:tcPr>
            <w:tcW w:w="10040" w:type="dxa"/>
            <w:vAlign w:val="bottom"/>
            <w:tcBorders>
              <w:right w:val="single" w:sz="8" w:color="auto"/>
            </w:tcBorders>
            <w:gridSpan w:val="11"/>
          </w:tcPr>
          <w:p>
            <w:pPr>
              <w:spacing w:after="0" w:line="169" w:lineRule="exact"/>
              <w:rPr>
                <w:sz w:val="20"/>
                <w:szCs w:val="20"/>
                <w:color w:val="auto"/>
              </w:rPr>
            </w:pPr>
            <w:r>
              <w:rPr>
                <w:rFonts w:ascii="Arial" w:cs="Arial" w:eastAsia="Arial" w:hAnsi="Arial"/>
                <w:sz w:val="16"/>
                <w:szCs w:val="16"/>
                <w:color w:val="0000FF"/>
              </w:rPr>
              <w:t>Certification pursuant to 18 U.S.C. Section 1350, as adopted pursuant to Section 906 of the Sarbanes-Oxley Act of 2002.</w:t>
            </w:r>
          </w:p>
        </w:tc>
      </w:tr>
      <w:tr>
        <w:trPr>
          <w:trHeight w:val="20"/>
        </w:trPr>
        <w:tc>
          <w:tcPr>
            <w:tcW w:w="126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380" w:type="dxa"/>
            <w:vAlign w:val="bottom"/>
            <w:tcBorders>
              <w:top w:val="single" w:sz="8" w:color="0000FF"/>
              <w:bottom w:val="single" w:sz="8" w:color="auto"/>
            </w:tcBorders>
          </w:tcPr>
          <w:p>
            <w:pPr>
              <w:spacing w:after="0" w:line="20" w:lineRule="exact"/>
              <w:rPr>
                <w:sz w:val="1"/>
                <w:szCs w:val="1"/>
                <w:color w:val="auto"/>
              </w:rPr>
            </w:pPr>
          </w:p>
        </w:tc>
        <w:tc>
          <w:tcPr>
            <w:tcW w:w="2620" w:type="dxa"/>
            <w:vAlign w:val="bottom"/>
            <w:tcBorders>
              <w:top w:val="single" w:sz="8" w:color="0000FF"/>
              <w:bottom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1020" w:type="dxa"/>
            <w:vAlign w:val="bottom"/>
            <w:tcBorders>
              <w:top w:val="single" w:sz="8" w:color="0000FF"/>
              <w:bottom w:val="single" w:sz="8" w:color="auto"/>
            </w:tcBorders>
          </w:tcPr>
          <w:p>
            <w:pPr>
              <w:spacing w:after="0" w:line="20" w:lineRule="exact"/>
              <w:rPr>
                <w:sz w:val="1"/>
                <w:szCs w:val="1"/>
                <w:color w:val="auto"/>
              </w:rPr>
            </w:pPr>
          </w:p>
        </w:tc>
        <w:tc>
          <w:tcPr>
            <w:tcW w:w="3000" w:type="dxa"/>
            <w:vAlign w:val="bottom"/>
            <w:tcBorders>
              <w:top w:val="single" w:sz="8" w:color="0000FF"/>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r>
      <w:tr>
        <w:trPr>
          <w:trHeight w:val="156"/>
        </w:trPr>
        <w:tc>
          <w:tcPr>
            <w:tcW w:w="1260" w:type="dxa"/>
            <w:vAlign w:val="bottom"/>
            <w:tcBorders>
              <w:left w:val="single" w:sz="8" w:color="auto"/>
              <w:right w:val="single" w:sz="8" w:color="auto"/>
            </w:tcBorders>
          </w:tcPr>
          <w:p>
            <w:pPr>
              <w:ind w:left="40"/>
              <w:spacing w:after="0" w:line="155" w:lineRule="exact"/>
              <w:rPr>
                <w:sz w:val="20"/>
                <w:szCs w:val="20"/>
                <w:color w:val="auto"/>
              </w:rPr>
            </w:pPr>
            <w:r>
              <w:rPr>
                <w:rFonts w:ascii="Arial" w:cs="Arial" w:eastAsia="Arial" w:hAnsi="Arial"/>
                <w:sz w:val="16"/>
                <w:szCs w:val="16"/>
                <w:color w:val="auto"/>
              </w:rPr>
              <w:t>101.INS</w:t>
            </w:r>
          </w:p>
        </w:tc>
        <w:tc>
          <w:tcPr>
            <w:tcW w:w="10040" w:type="dxa"/>
            <w:vAlign w:val="bottom"/>
            <w:tcBorders>
              <w:right w:val="single" w:sz="8" w:color="auto"/>
            </w:tcBorders>
            <w:gridSpan w:val="11"/>
          </w:tcPr>
          <w:p>
            <w:pPr>
              <w:spacing w:after="0" w:line="155" w:lineRule="exact"/>
              <w:rPr>
                <w:sz w:val="20"/>
                <w:szCs w:val="20"/>
                <w:color w:val="auto"/>
              </w:rPr>
            </w:pPr>
            <w:r>
              <w:rPr>
                <w:rFonts w:ascii="Arial" w:cs="Arial" w:eastAsia="Arial" w:hAnsi="Arial"/>
                <w:sz w:val="16"/>
                <w:szCs w:val="16"/>
                <w:color w:val="auto"/>
              </w:rPr>
              <w:t>XBRL Instance Document - the instance document does not appear in the Interactive Data File because its XBRL tags are embedded</w:t>
            </w:r>
          </w:p>
        </w:tc>
      </w:tr>
      <w:tr>
        <w:trPr>
          <w:trHeight w:val="215"/>
        </w:trPr>
        <w:tc>
          <w:tcPr>
            <w:tcW w:w="1260" w:type="dxa"/>
            <w:vAlign w:val="bottom"/>
            <w:tcBorders>
              <w:left w:val="single" w:sz="8" w:color="auto"/>
              <w:bottom w:val="single" w:sz="8" w:color="auto"/>
              <w:right w:val="single" w:sz="8" w:color="auto"/>
            </w:tcBorders>
          </w:tcPr>
          <w:p>
            <w:pPr>
              <w:spacing w:after="0"/>
              <w:rPr>
                <w:sz w:val="18"/>
                <w:szCs w:val="18"/>
                <w:color w:val="auto"/>
              </w:rPr>
            </w:pP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within the Inline XBRL document.</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101.SCH</w:t>
            </w: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Schema.</w:t>
            </w:r>
          </w:p>
        </w:tc>
      </w:tr>
      <w:tr>
        <w:trPr>
          <w:trHeight w:val="210"/>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101.CAL</w:t>
            </w: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101.DEF</w:t>
            </w: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101.LAB</w:t>
            </w: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Label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101.PRE</w:t>
            </w: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09"/>
        </w:trPr>
        <w:tc>
          <w:tcPr>
            <w:tcW w:w="12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color w:val="auto"/>
              </w:rPr>
              <w:t>104</w:t>
            </w:r>
          </w:p>
        </w:tc>
        <w:tc>
          <w:tcPr>
            <w:tcW w:w="10040" w:type="dxa"/>
            <w:vAlign w:val="bottom"/>
            <w:tcBorders>
              <w:bottom w:val="single" w:sz="8" w:color="auto"/>
              <w:right w:val="single" w:sz="8" w:color="auto"/>
            </w:tcBorders>
            <w:gridSpan w:val="11"/>
          </w:tcPr>
          <w:p>
            <w:pPr>
              <w:spacing w:after="0"/>
              <w:rPr>
                <w:sz w:val="20"/>
                <w:szCs w:val="20"/>
                <w:color w:val="auto"/>
              </w:rPr>
            </w:pPr>
            <w:r>
              <w:rPr>
                <w:rFonts w:ascii="Arial" w:cs="Arial" w:eastAsia="Arial" w:hAnsi="Arial"/>
                <w:sz w:val="16"/>
                <w:szCs w:val="16"/>
                <w:color w:val="auto"/>
              </w:rPr>
              <w:t>Cover Page Interactive Data File -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40" w:top="935"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I, Joseph A. Ferraro, certify that:</w:t>
      </w:r>
    </w:p>
    <w:p>
      <w:pPr>
        <w:spacing w:after="0" w:line="90" w:lineRule="exact"/>
        <w:rPr>
          <w:sz w:val="20"/>
          <w:szCs w:val="20"/>
          <w:color w:val="auto"/>
        </w:rPr>
      </w:pPr>
    </w:p>
    <w:p>
      <w:pPr>
        <w:ind w:left="640" w:hanging="308"/>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03"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9"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5"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9"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5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9"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5"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9"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2024</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Joseph A. Ferraro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2139315</wp:posOffset>
            </wp:positionH>
            <wp:positionV relativeFrom="paragraph">
              <wp:posOffset>17780</wp:posOffset>
            </wp:positionV>
            <wp:extent cx="28632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0"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I, Izilda P. Martins, certify that:</w:t>
      </w:r>
    </w:p>
    <w:p>
      <w:pPr>
        <w:spacing w:after="0" w:line="171"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8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left="660" w:right="14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130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6" w:lineRule="exact"/>
        <w:rPr>
          <w:rFonts w:ascii="Arial" w:cs="Arial" w:eastAsia="Arial" w:hAnsi="Arial"/>
          <w:sz w:val="18"/>
          <w:szCs w:val="18"/>
          <w:color w:val="auto"/>
        </w:rPr>
      </w:pPr>
    </w:p>
    <w:p>
      <w:pPr>
        <w:ind w:left="1300" w:right="540" w:hanging="320"/>
        <w:spacing w:after="0" w:line="291" w:lineRule="auto"/>
        <w:tabs>
          <w:tab w:leader="none" w:pos="1298" w:val="left"/>
        </w:tabs>
        <w:numPr>
          <w:ilvl w:val="1"/>
          <w:numId w:val="5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8" w:lineRule="exact"/>
        <w:rPr>
          <w:rFonts w:ascii="Arial" w:cs="Arial" w:eastAsia="Arial" w:hAnsi="Arial"/>
          <w:sz w:val="17"/>
          <w:szCs w:val="17"/>
          <w:color w:val="auto"/>
        </w:rPr>
      </w:pPr>
    </w:p>
    <w:p>
      <w:pPr>
        <w:ind w:left="1300" w:right="300" w:hanging="320"/>
        <w:spacing w:after="0" w:line="268" w:lineRule="auto"/>
        <w:tabs>
          <w:tab w:leader="none" w:pos="1288"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left="1300" w:right="6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6" w:lineRule="exact"/>
        <w:rPr>
          <w:rFonts w:ascii="Arial" w:cs="Arial" w:eastAsia="Arial" w:hAnsi="Arial"/>
          <w:sz w:val="18"/>
          <w:szCs w:val="18"/>
          <w:color w:val="auto"/>
        </w:rPr>
      </w:pPr>
    </w:p>
    <w:p>
      <w:pPr>
        <w:ind w:left="660" w:right="360" w:hanging="328"/>
        <w:spacing w:after="0" w:line="268" w:lineRule="auto"/>
        <w:tabs>
          <w:tab w:leader="none" w:pos="64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jc w:val="both"/>
        <w:ind w:left="1300" w:right="440" w:hanging="320"/>
        <w:spacing w:after="0" w:line="268"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left="1300" w:right="780" w:hanging="320"/>
        <w:spacing w:after="0" w:line="287" w:lineRule="auto"/>
        <w:tabs>
          <w:tab w:leader="none" w:pos="1298"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2024</w:t>
      </w:r>
    </w:p>
    <w:p>
      <w:pPr>
        <w:spacing w:after="0" w:line="266" w:lineRule="exact"/>
        <w:rPr>
          <w:sz w:val="20"/>
          <w:szCs w:val="20"/>
          <w:color w:val="auto"/>
        </w:rPr>
      </w:pPr>
    </w:p>
    <w:p>
      <w:pPr>
        <w:jc w:val="center"/>
        <w:spacing w:after="0"/>
        <w:tabs>
          <w:tab w:leader="none" w:pos="1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Izilda P. Martins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1487805</wp:posOffset>
            </wp:positionH>
            <wp:positionV relativeFrom="paragraph">
              <wp:posOffset>17780</wp:posOffset>
            </wp:positionV>
            <wp:extent cx="41662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240"/>
          </w:cols>
          <w:pgMar w:left="320" w:top="890"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3"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2024, as filed with the Securities and Exchange Commission on the date hereof (the “Report”), Joseph A. Ferraro, as Chief Executive Officer of the Company, and Izilda P. Martins, as Chief Financial Officer of the Company, each hereby certifies, pursuant to 18 U.S.C. Section 1350, as adopted pursuant to Section 906 of the Sarbanes-Oxley Act of 2002, that, to the best of his knowledge:</w:t>
      </w:r>
    </w:p>
    <w:p>
      <w:pPr>
        <w:spacing w:after="0" w:line="122" w:lineRule="exact"/>
        <w:rPr>
          <w:sz w:val="20"/>
          <w:szCs w:val="20"/>
          <w:color w:val="auto"/>
        </w:rPr>
      </w:pPr>
    </w:p>
    <w:p>
      <w:pPr>
        <w:ind w:left="640" w:hanging="308"/>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87" w:lineRule="auto"/>
        <w:tabs>
          <w:tab w:leader="none" w:pos="65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JOSEPH A. FERRARO</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A. Ferraro</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2024</w:t>
      </w: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 IZILDA P. MARTINS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Izilda P. Martins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November 1, 2024</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
      <w:numFmt w:val="bullet"/>
      <w:start w:val="1"/>
    </w:lvl>
  </w:abstractNum>
  <w:abstractNum w:abstractNumId="4">
    <w:nsid w:val="8138641"/>
    <w:multiLevelType w:val="hybridMultilevel"/>
    <w:lvl w:ilvl="0">
      <w:lvlJc w:val="left"/>
      <w:lvlText w:val="(%1)"/>
      <w:numFmt w:val="lowerLetter"/>
      <w:start w:val="1"/>
    </w:lvl>
  </w:abstractNum>
  <w:abstractNum w:abstractNumId="5">
    <w:nsid w:val="1E7FF521"/>
    <w:multiLevelType w:val="hybridMultilevel"/>
    <w:lvl w:ilvl="0">
      <w:lvlJc w:val="left"/>
      <w:lvlText w:val="(%1)"/>
      <w:numFmt w:val="lowerLetter"/>
      <w:start w:val="1"/>
    </w:lvl>
  </w:abstractNum>
  <w:abstractNum w:abstractNumId="6">
    <w:nsid w:val="7C3DBD3D"/>
    <w:multiLevelType w:val="hybridMultilevel"/>
    <w:lvl w:ilvl="0">
      <w:lvlJc w:val="left"/>
      <w:lvlText w:val="%1."/>
      <w:numFmt w:val="decimal"/>
      <w:start w:val="1"/>
    </w:lvl>
  </w:abstractNum>
  <w:abstractNum w:abstractNumId="7">
    <w:nsid w:val="737B8DDC"/>
    <w:multiLevelType w:val="hybridMultilevel"/>
    <w:lvl w:ilvl="0">
      <w:lvlJc w:val="left"/>
      <w:lvlText w:val="•"/>
      <w:numFmt w:val="bullet"/>
      <w:start w:val="1"/>
    </w:lvl>
  </w:abstractNum>
  <w:abstractNum w:abstractNumId="8">
    <w:nsid w:val="6CEAF087"/>
    <w:multiLevelType w:val="hybridMultilevel"/>
    <w:lvl w:ilvl="0">
      <w:lvlJc w:val="left"/>
      <w:lvlText w:val="(%1)"/>
      <w:numFmt w:val="lowerLetter"/>
      <w:start w:val="1"/>
    </w:lvl>
  </w:abstractNum>
  <w:abstractNum w:abstractNumId="9">
    <w:nsid w:val="22221A70"/>
    <w:multiLevelType w:val="hybridMultilevel"/>
    <w:lvl w:ilvl="0">
      <w:lvlJc w:val="left"/>
      <w:lvlText w:val="(%1)"/>
      <w:numFmt w:val="lowerLetter"/>
      <w:start w:val="1"/>
    </w:lvl>
  </w:abstractNum>
  <w:abstractNum w:abstractNumId="10">
    <w:nsid w:val="4516DDE9"/>
    <w:multiLevelType w:val="hybridMultilevel"/>
    <w:lvl w:ilvl="0">
      <w:lvlJc w:val="left"/>
      <w:lvlText w:val="%1."/>
      <w:numFmt w:val="decimal"/>
      <w:start w:val="2"/>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1"/>
    </w:lvl>
  </w:abstractNum>
  <w:abstractNum w:abstractNumId="13">
    <w:nsid w:val="419AC241"/>
    <w:multiLevelType w:val="hybridMultilevel"/>
    <w:lvl w:ilvl="0">
      <w:lvlJc w:val="left"/>
      <w:lvlText w:val="(%1)"/>
      <w:numFmt w:val="lowerLetter"/>
      <w:start w:val="1"/>
    </w:lvl>
  </w:abstractNum>
  <w:abstractNum w:abstractNumId="14">
    <w:nsid w:val="5577F8E1"/>
    <w:multiLevelType w:val="hybridMultilevel"/>
    <w:lvl w:ilvl="0">
      <w:lvlJc w:val="left"/>
      <w:lvlText w:val="%1."/>
      <w:numFmt w:val="decimal"/>
      <w:start w:val="3"/>
    </w:lvl>
  </w:abstractNum>
  <w:abstractNum w:abstractNumId="15">
    <w:nsid w:val="440BADFC"/>
    <w:multiLevelType w:val="hybridMultilevel"/>
    <w:lvl w:ilvl="0">
      <w:lvlJc w:val="left"/>
      <w:lvlText w:val="%1."/>
      <w:numFmt w:val="decimal"/>
      <w:start w:val="4"/>
    </w:lvl>
  </w:abstractNum>
  <w:abstractNum w:abstractNumId="16">
    <w:nsid w:val="5072367"/>
    <w:multiLevelType w:val="hybridMultilevel"/>
    <w:lvl w:ilvl="0">
      <w:lvlJc w:val="left"/>
      <w:lvlText w:val="%1"/>
      <w:numFmt w:val="decimal"/>
      <w:start w:val="1"/>
    </w:lvl>
    <w:lvl w:ilvl="1">
      <w:lvlJc w:val="left"/>
      <w:lvlText w:val="(%2)"/>
      <w:numFmt w:val="lowerLetter"/>
      <w:start w:val="1"/>
    </w:lvl>
  </w:abstractNum>
  <w:abstractNum w:abstractNumId="17">
    <w:nsid w:val="3804823E"/>
    <w:multiLevelType w:val="hybridMultilevel"/>
    <w:lvl w:ilvl="0">
      <w:lvlJc w:val="left"/>
      <w:lvlText w:val="%1."/>
      <w:numFmt w:val="decimal"/>
      <w:start w:val="5"/>
    </w:lvl>
    <w:lvl w:ilvl="1">
      <w:lvlJc w:val="left"/>
      <w:lvlText w:val="%2"/>
      <w:numFmt w:val="lowerLetter"/>
      <w:start w:val="1"/>
    </w:lvl>
  </w:abstractNum>
  <w:abstractNum w:abstractNumId="18">
    <w:nsid w:val="77465F01"/>
    <w:multiLevelType w:val="hybridMultilevel"/>
    <w:lvl w:ilvl="0">
      <w:lvlJc w:val="left"/>
      <w:lvlText w:val="%1."/>
      <w:numFmt w:val="decimal"/>
      <w:start w:val="7"/>
    </w:lvl>
  </w:abstractNum>
  <w:abstractNum w:abstractNumId="19">
    <w:nsid w:val="7724C67E"/>
    <w:multiLevelType w:val="hybridMultilevel"/>
    <w:lvl w:ilvl="0">
      <w:lvlJc w:val="left"/>
      <w:lvlText w:val="(%1)"/>
      <w:numFmt w:val="lowerLetter"/>
      <w:start w:val="1"/>
    </w:lvl>
  </w:abstractNum>
  <w:abstractNum w:abstractNumId="20">
    <w:nsid w:val="5C482A97"/>
    <w:multiLevelType w:val="hybridMultilevel"/>
    <w:lvl w:ilvl="0">
      <w:lvlJc w:val="left"/>
      <w:lvlText w:val="%1."/>
      <w:numFmt w:val="decimal"/>
      <w:start w:val="8"/>
    </w:lvl>
  </w:abstractNum>
  <w:abstractNum w:abstractNumId="21">
    <w:nsid w:val="2463B9EA"/>
    <w:multiLevelType w:val="hybridMultilevel"/>
    <w:lvl w:ilvl="0">
      <w:lvlJc w:val="left"/>
      <w:lvlText w:val="%1."/>
      <w:numFmt w:val="decimal"/>
      <w:start w:val="10"/>
    </w:lvl>
  </w:abstractNum>
  <w:abstractNum w:abstractNumId="22">
    <w:nsid w:val="5E884ADC"/>
    <w:multiLevelType w:val="hybridMultilevel"/>
    <w:lvl w:ilvl="0">
      <w:lvlJc w:val="left"/>
      <w:lvlText w:val="(%1)"/>
      <w:numFmt w:val="lowerLetter"/>
      <w:start w:val="1"/>
    </w:lvl>
  </w:abstractNum>
  <w:abstractNum w:abstractNumId="23">
    <w:nsid w:val="51EAD36B"/>
    <w:multiLevelType w:val="hybridMultilevel"/>
    <w:lvl w:ilvl="0">
      <w:lvlJc w:val="left"/>
      <w:lvlText w:val="(%1)"/>
      <w:numFmt w:val="lowerLetter"/>
      <w:start w:val="1"/>
    </w:lvl>
  </w:abstractNum>
  <w:abstractNum w:abstractNumId="24">
    <w:nsid w:val="2D517796"/>
    <w:multiLevelType w:val="hybridMultilevel"/>
    <w:lvl w:ilvl="0">
      <w:lvlJc w:val="left"/>
      <w:lvlText w:val="%1."/>
      <w:numFmt w:val="decimal"/>
      <w:start w:val="11"/>
    </w:lvl>
  </w:abstractNum>
  <w:abstractNum w:abstractNumId="25">
    <w:nsid w:val="580BD78F"/>
    <w:multiLevelType w:val="hybridMultilevel"/>
    <w:lvl w:ilvl="0">
      <w:lvlJc w:val="left"/>
      <w:lvlText w:val="(%1)"/>
      <w:numFmt w:val="lowerLetter"/>
      <w:start w:val="1"/>
    </w:lvl>
  </w:abstractNum>
  <w:abstractNum w:abstractNumId="26">
    <w:nsid w:val="153EA438"/>
    <w:multiLevelType w:val="hybridMultilevel"/>
    <w:lvl w:ilvl="0">
      <w:lvlJc w:val="left"/>
      <w:lvlText w:val="(%1)"/>
      <w:numFmt w:val="lowerLetter"/>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1)"/>
      <w:numFmt w:val="lowerLetter"/>
      <w:start w:val="1"/>
    </w:lvl>
  </w:abstractNum>
  <w:abstractNum w:abstractNumId="30">
    <w:nsid w:val="2A487CB0"/>
    <w:multiLevelType w:val="hybridMultilevel"/>
    <w:lvl w:ilvl="0">
      <w:lvlJc w:val="left"/>
      <w:lvlText w:val="%1."/>
      <w:numFmt w:val="decimal"/>
      <w:start w:val="12"/>
    </w:lvl>
  </w:abstractNum>
  <w:abstractNum w:abstractNumId="31">
    <w:nsid w:val="1D4ED43B"/>
    <w:multiLevelType w:val="hybridMultilevel"/>
    <w:lvl w:ilvl="0">
      <w:lvlJc w:val="left"/>
      <w:lvlText w:val="%1."/>
      <w:numFmt w:val="decimal"/>
      <w:start w:val="13"/>
    </w:lvl>
  </w:abstractNum>
  <w:abstractNum w:abstractNumId="32">
    <w:nsid w:val="725A06FB"/>
    <w:multiLevelType w:val="hybridMultilevel"/>
    <w:lvl w:ilvl="0">
      <w:lvlJc w:val="left"/>
      <w:lvlText w:val="(%1)"/>
      <w:numFmt w:val="lowerLetter"/>
      <w:start w:val="1"/>
    </w:lvl>
  </w:abstractNum>
  <w:abstractNum w:abstractNumId="33">
    <w:nsid w:val="2CD89A32"/>
    <w:multiLevelType w:val="hybridMultilevel"/>
    <w:lvl w:ilvl="0">
      <w:lvlJc w:val="left"/>
      <w:lvlText w:val="(%1)"/>
      <w:numFmt w:val="lowerLetter"/>
      <w:start w:val="1"/>
    </w:lvl>
  </w:abstractNum>
  <w:abstractNum w:abstractNumId="34">
    <w:nsid w:val="57E4CCAF"/>
    <w:multiLevelType w:val="hybridMultilevel"/>
    <w:lvl w:ilvl="0">
      <w:lvlJc w:val="left"/>
      <w:lvlText w:val="%1."/>
      <w:numFmt w:val="decimal"/>
      <w:start w:val="14"/>
    </w:lvl>
  </w:abstractNum>
  <w:abstractNum w:abstractNumId="35">
    <w:nsid w:val="7A6D8D3C"/>
    <w:multiLevelType w:val="hybridMultilevel"/>
    <w:lvl w:ilvl="0">
      <w:lvlJc w:val="left"/>
      <w:lvlText w:val="(%1)"/>
      <w:numFmt w:val="lowerLetter"/>
      <w:start w:val="1"/>
    </w:lvl>
  </w:abstractNum>
  <w:abstractNum w:abstractNumId="36">
    <w:nsid w:val="4B588F54"/>
    <w:multiLevelType w:val="hybridMultilevel"/>
    <w:lvl w:ilvl="0">
      <w:lvlJc w:val="left"/>
      <w:lvlText w:val="%1."/>
      <w:numFmt w:val="decimal"/>
      <w:start w:val="15"/>
    </w:lvl>
  </w:abstractNum>
  <w:abstractNum w:abstractNumId="37">
    <w:nsid w:val="542289EC"/>
    <w:multiLevelType w:val="hybridMultilevel"/>
    <w:lvl w:ilvl="0">
      <w:lvlJc w:val="left"/>
      <w:lvlText w:val="(%1)"/>
      <w:numFmt w:val="lowerLetter"/>
      <w:start w:val="1"/>
    </w:lvl>
  </w:abstractNum>
  <w:abstractNum w:abstractNumId="38">
    <w:nsid w:val="6DE91B18"/>
    <w:multiLevelType w:val="hybridMultilevel"/>
    <w:lvl w:ilvl="0">
      <w:lvlJc w:val="left"/>
      <w:lvlText w:val="%1."/>
      <w:numFmt w:val="decimal"/>
      <w:start w:val="16"/>
    </w:lvl>
  </w:abstractNum>
  <w:abstractNum w:abstractNumId="39">
    <w:nsid w:val="38437FDB"/>
    <w:multiLevelType w:val="hybridMultilevel"/>
    <w:lvl w:ilvl="0">
      <w:lvlJc w:val="left"/>
      <w:lvlText w:val="(%1)"/>
      <w:numFmt w:val="lowerLetter"/>
      <w:start w:val="1"/>
    </w:lvl>
  </w:abstractNum>
  <w:abstractNum w:abstractNumId="40">
    <w:nsid w:val="7644A45C"/>
    <w:multiLevelType w:val="hybridMultilevel"/>
    <w:lvl w:ilvl="0">
      <w:lvlJc w:val="left"/>
      <w:lvlText w:val="(%1)"/>
      <w:numFmt w:val="lowerLetter"/>
      <w:start w:val="1"/>
    </w:lvl>
  </w:abstractNum>
  <w:abstractNum w:abstractNumId="41">
    <w:nsid w:val="32FFF902"/>
    <w:multiLevelType w:val="hybridMultilevel"/>
    <w:lvl w:ilvl="0">
      <w:lvlJc w:val="left"/>
      <w:lvlText w:val="(%1)"/>
      <w:numFmt w:val="lowerLetter"/>
      <w:start w:val="1"/>
    </w:lvl>
  </w:abstractNum>
  <w:abstractNum w:abstractNumId="42">
    <w:nsid w:val="684A481A"/>
    <w:multiLevelType w:val="hybridMultilevel"/>
    <w:lvl w:ilvl="0">
      <w:lvlJc w:val="left"/>
      <w:lvlText w:val="%1"/>
      <w:numFmt w:val="decimal"/>
      <w:start w:val="1"/>
    </w:lvl>
    <w:lvl w:ilvl="1">
      <w:lvlJc w:val="left"/>
      <w:lvlText w:val="(%2)"/>
      <w:numFmt w:val="lowerLetter"/>
      <w:start w:val="1"/>
    </w:lvl>
  </w:abstractNum>
  <w:abstractNum w:abstractNumId="43">
    <w:nsid w:val="579478FE"/>
    <w:multiLevelType w:val="hybridMultilevel"/>
    <w:lvl w:ilvl="0">
      <w:lvlJc w:val="left"/>
      <w:lvlText w:val="%1."/>
      <w:numFmt w:val="decimal"/>
      <w:start w:val="17"/>
    </w:lvl>
    <w:lvl w:ilvl="1">
      <w:lvlJc w:val="left"/>
      <w:lvlText w:val="%2"/>
      <w:numFmt w:val="lowerLetter"/>
      <w:start w:val="1"/>
    </w:lvl>
  </w:abstractNum>
  <w:abstractNum w:abstractNumId="44">
    <w:nsid w:val="749ABB43"/>
    <w:multiLevelType w:val="hybridMultilevel"/>
    <w:lvl w:ilvl="0">
      <w:lvlJc w:val="left"/>
      <w:lvlText w:val="(%1)"/>
      <w:numFmt w:val="lowerLetter"/>
      <w:start w:val="1"/>
    </w:lvl>
  </w:abstractNum>
  <w:abstractNum w:abstractNumId="45">
    <w:nsid w:val="3DC240FB"/>
    <w:multiLevelType w:val="hybridMultilevel"/>
    <w:lvl w:ilvl="0">
      <w:lvlJc w:val="left"/>
      <w:lvlText w:val="(%1)"/>
      <w:numFmt w:val="lowerLetter"/>
      <w:start w:val="1"/>
    </w:lvl>
  </w:abstractNum>
  <w:abstractNum w:abstractNumId="46">
    <w:nsid w:val="1BA026FA"/>
    <w:multiLevelType w:val="hybridMultilevel"/>
    <w:lvl w:ilvl="0">
      <w:lvlJc w:val="left"/>
      <w:lvlText w:val="%1."/>
      <w:numFmt w:val="decimal"/>
      <w:start w:val="18"/>
    </w:lvl>
  </w:abstractNum>
  <w:abstractNum w:abstractNumId="47">
    <w:nsid w:val="79A1DEAA"/>
    <w:multiLevelType w:val="hybridMultilevel"/>
    <w:lvl w:ilvl="0">
      <w:lvlJc w:val="left"/>
      <w:lvlText w:val="•"/>
      <w:numFmt w:val="bullet"/>
      <w:start w:val="1"/>
    </w:lvl>
  </w:abstractNum>
  <w:abstractNum w:abstractNumId="48">
    <w:nsid w:val="75C6C33A"/>
    <w:multiLevelType w:val="hybridMultilevel"/>
    <w:lvl w:ilvl="0">
      <w:lvlJc w:val="left"/>
      <w:lvlText w:val="(%1)"/>
      <w:numFmt w:val="lowerLetter"/>
      <w:start w:val="1"/>
    </w:lvl>
  </w:abstractNum>
  <w:abstractNum w:abstractNumId="49">
    <w:nsid w:val="12E685FB"/>
    <w:multiLevelType w:val="hybridMultilevel"/>
    <w:lvl w:ilvl="0">
      <w:lvlJc w:val="left"/>
      <w:lvlText w:val="(%1)"/>
      <w:numFmt w:val="lowerLetter"/>
      <w:start w:val="1"/>
    </w:lvl>
  </w:abstractNum>
  <w:abstractNum w:abstractNumId="50">
    <w:nsid w:val="70C6A529"/>
    <w:multiLevelType w:val="hybridMultilevel"/>
    <w:lvl w:ilvl="0">
      <w:lvlJc w:val="left"/>
      <w:lvlText w:val="(%1)"/>
      <w:numFmt w:val="lowerLetter"/>
      <w:start w:val="1"/>
    </w:lvl>
  </w:abstractNum>
  <w:abstractNum w:abstractNumId="51">
    <w:nsid w:val="520EEDD1"/>
    <w:multiLevelType w:val="hybridMultilevel"/>
    <w:lvl w:ilvl="0">
      <w:lvlJc w:val="left"/>
      <w:lvlText w:val="(%1)"/>
      <w:numFmt w:val="lowerLetter"/>
      <w:start w:val="1"/>
    </w:lvl>
  </w:abstractNum>
  <w:abstractNum w:abstractNumId="52">
    <w:nsid w:val="374A3FE6"/>
    <w:multiLevelType w:val="hybridMultilevel"/>
    <w:lvl w:ilvl="0">
      <w:lvlJc w:val="left"/>
      <w:lvlText w:val="%1."/>
      <w:numFmt w:val="decimal"/>
      <w:start w:val="1"/>
    </w:lvl>
    <w:lvl w:ilvl="1">
      <w:lvlJc w:val="left"/>
      <w:lvlText w:val="%2)"/>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65" Type="http://schemas.openxmlformats.org/officeDocument/2006/relationships/hyperlink" Target="http://www.sec.gov/Archives/edgar/data/723612/000072361206000058/articles.htm" TargetMode="External"/><Relationship Id="rId66" Type="http://schemas.openxmlformats.org/officeDocument/2006/relationships/hyperlink" Target="http://www.sec.gov/Archives/edgar/data/723612/000119312520218349/d84038dex32.htm" TargetMode="External"/><Relationship Id="rId67" Type="http://schemas.openxmlformats.org/officeDocument/2006/relationships/hyperlink" Target="http://www.sec.gov/Archives/edgar/data/723612/000119312524218909/d890045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2024-11-01T08:44:23Z</dcterms:created>
  <dcterms:modified xsi:type="dcterms:W3CDTF">2024-11-01T08:44:23Z</dcterms:modified>
</cp:coreProperties>
</file>