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center"/>
        <w:rPr>
          <w:rFonts w:ascii="Trebuchet;sans-serif" w:hAnsi="Trebuchet;sans-serif"/>
          <w:b/>
          <w:color w:val="000000"/>
          <w:sz w:val="24"/>
        </w:rPr>
      </w:pPr>
      <w:r>
        <w:rPr>
          <w:rFonts w:ascii="Trebuchet;sans-serif" w:hAnsi="Trebuchet;sans-serif"/>
          <w:b/>
          <w:color w:val="000000"/>
          <w:sz w:val="24"/>
        </w:rPr>
        <w:t>UNITED STATES</w:t>
      </w:r>
    </w:p>
    <w:p>
      <w:pPr>
        <w:pStyle w:val="TextBody"/>
        <w:bidi w:val="0"/>
        <w:spacing w:lineRule="auto" w:line="288" w:before="60" w:after="60"/>
        <w:jc w:val="center"/>
        <w:rPr>
          <w:rFonts w:ascii="Trebuchet;sans-serif" w:hAnsi="Trebuchet;sans-serif"/>
          <w:b/>
          <w:color w:val="000000"/>
          <w:sz w:val="24"/>
        </w:rPr>
      </w:pPr>
      <w:r>
        <w:rPr>
          <w:rFonts w:ascii="Trebuchet;sans-serif" w:hAnsi="Trebuchet;sans-serif"/>
          <w:b/>
          <w:color w:val="000000"/>
          <w:sz w:val="24"/>
        </w:rPr>
        <w:t>SECURITIES AND EXCHANGE COMMISSION</w:t>
      </w:r>
    </w:p>
    <w:p>
      <w:pPr>
        <w:pStyle w:val="TextBody"/>
        <w:bidi w:val="0"/>
        <w:spacing w:lineRule="auto" w:line="288" w:before="0" w:after="0"/>
        <w:jc w:val="center"/>
        <w:rPr>
          <w:rFonts w:ascii="Trebuchet;sans-serif" w:hAnsi="Trebuchet;sans-serif"/>
          <w:b/>
          <w:color w:val="000000"/>
          <w:sz w:val="24"/>
        </w:rPr>
      </w:pPr>
      <w:r>
        <w:rPr>
          <w:rFonts w:ascii="Trebuchet;sans-serif" w:hAnsi="Trebuchet;sans-serif"/>
          <w:b/>
          <w:color w:val="000000"/>
          <w:sz w:val="24"/>
        </w:rPr>
        <w:t>WASHINGTON, D.C. 20549</w:t>
      </w:r>
    </w:p>
    <w:p>
      <w:pPr>
        <w:pStyle w:val="TextBody"/>
        <w:bidi w:val="0"/>
        <w:spacing w:lineRule="auto" w:line="288" w:before="0" w:after="0"/>
        <w:jc w:val="center"/>
        <w:rPr>
          <w:rFonts w:ascii="Trebuchet;sans-serif" w:hAnsi="Trebuchet;sans-serif"/>
          <w:b/>
          <w:color w:val="000000"/>
          <w:sz w:val="24"/>
        </w:rPr>
      </w:pPr>
      <w:r>
        <w:rPr>
          <w:rFonts w:ascii="Trebuchet;sans-serif" w:hAnsi="Trebuchet;sans-serif"/>
          <w:b/>
          <w:color w:val="000000"/>
          <w:sz w:val="24"/>
        </w:rPr>
        <w:t xml:space="preserve">_________________ </w:t>
      </w:r>
    </w:p>
    <w:p>
      <w:pPr>
        <w:pStyle w:val="TextBody"/>
        <w:bidi w:val="0"/>
        <w:spacing w:before="0" w:after="0"/>
        <w:jc w:val="center"/>
        <w:rPr/>
      </w:pPr>
      <w:r>
        <w:rPr/>
      </w:r>
    </w:p>
    <w:p>
      <w:pPr>
        <w:pStyle w:val="TextBody"/>
        <w:bidi w:val="0"/>
        <w:spacing w:lineRule="auto" w:line="288" w:before="0" w:after="0"/>
        <w:jc w:val="center"/>
        <w:rPr>
          <w:rFonts w:ascii="Trebuchet;sans-serif" w:hAnsi="Trebuchet;sans-serif"/>
          <w:b/>
          <w:color w:val="000000"/>
          <w:sz w:val="24"/>
        </w:rPr>
      </w:pPr>
      <w:r>
        <w:rPr>
          <w:rFonts w:ascii="Trebuchet;sans-serif" w:hAnsi="Trebuchet;sans-serif"/>
          <w:b/>
          <w:color w:val="000000"/>
          <w:sz w:val="24"/>
        </w:rPr>
        <w:t>FORM 8-K</w:t>
      </w:r>
    </w:p>
    <w:p>
      <w:pPr>
        <w:pStyle w:val="TextBody"/>
        <w:bidi w:val="0"/>
        <w:spacing w:lineRule="auto" w:line="288" w:before="0" w:after="0"/>
        <w:jc w:val="center"/>
        <w:rPr>
          <w:rFonts w:ascii="Trebuchet;sans-serif" w:hAnsi="Trebuchet;sans-serif"/>
          <w:b/>
          <w:color w:val="000000"/>
          <w:sz w:val="24"/>
        </w:rPr>
      </w:pPr>
      <w:r>
        <w:rPr>
          <w:rFonts w:ascii="Trebuchet;sans-serif" w:hAnsi="Trebuchet;sans-serif"/>
          <w:b/>
          <w:color w:val="000000"/>
          <w:sz w:val="24"/>
        </w:rPr>
        <w:t>_________________</w:t>
      </w:r>
    </w:p>
    <w:p>
      <w:pPr>
        <w:pStyle w:val="TextBody"/>
        <w:bidi w:val="0"/>
        <w:spacing w:before="0" w:after="0"/>
        <w:jc w:val="center"/>
        <w:rPr/>
      </w:pPr>
      <w:r>
        <w:rPr/>
      </w:r>
    </w:p>
    <w:p>
      <w:pPr>
        <w:pStyle w:val="TextBody"/>
        <w:bidi w:val="0"/>
        <w:spacing w:lineRule="auto" w:line="288" w:before="60" w:after="60"/>
        <w:jc w:val="center"/>
        <w:rPr>
          <w:rFonts w:ascii="Trebuchet;sans-serif" w:hAnsi="Trebuchet;sans-serif"/>
          <w:b/>
          <w:color w:val="000000"/>
          <w:sz w:val="24"/>
        </w:rPr>
      </w:pPr>
      <w:r>
        <w:rPr>
          <w:rFonts w:ascii="Trebuchet;sans-serif" w:hAnsi="Trebuchet;sans-serif"/>
          <w:b/>
          <w:color w:val="000000"/>
          <w:sz w:val="24"/>
        </w:rPr>
        <w:t>CURRENT REPORT</w:t>
      </w:r>
    </w:p>
    <w:p>
      <w:pPr>
        <w:pStyle w:val="TextBody"/>
        <w:bidi w:val="0"/>
        <w:spacing w:lineRule="auto" w:line="288" w:before="100" w:after="100"/>
        <w:jc w:val="center"/>
        <w:rPr>
          <w:rFonts w:ascii="Trebuchet;sans-serif" w:hAnsi="Trebuchet;sans-serif"/>
          <w:b/>
          <w:color w:val="000000"/>
          <w:sz w:val="20"/>
        </w:rPr>
      </w:pPr>
      <w:r>
        <w:rPr>
          <w:rFonts w:ascii="Trebuchet;sans-serif" w:hAnsi="Trebuchet;sans-serif"/>
          <w:b/>
          <w:color w:val="000000"/>
          <w:sz w:val="20"/>
        </w:rPr>
        <w:t xml:space="preserve">Pursuant to Section 13 or 15(d) of The Securities Exchange Act of 1934 </w:t>
      </w:r>
    </w:p>
    <w:p>
      <w:pPr>
        <w:pStyle w:val="TextBody"/>
        <w:bidi w:val="0"/>
        <w:spacing w:lineRule="auto" w:line="288" w:before="0" w:after="0"/>
        <w:jc w:val="center"/>
        <w:rPr>
          <w:rFonts w:ascii="Trebuchet;sans-serif" w:hAnsi="Trebuchet;sans-serif"/>
          <w:b/>
          <w:color w:val="000000"/>
          <w:sz w:val="20"/>
        </w:rPr>
      </w:pPr>
      <w:r>
        <w:rPr>
          <w:rFonts w:ascii="Trebuchet;sans-serif" w:hAnsi="Trebuchet;sans-serif"/>
          <w:b/>
          <w:color w:val="000000"/>
          <w:sz w:val="20"/>
        </w:rPr>
        <w:t>Date of Report (Date of Earliest Event Reported): July 28, 2026</w:t>
      </w:r>
    </w:p>
    <w:p>
      <w:pPr>
        <w:pStyle w:val="TextBody"/>
        <w:bidi w:val="0"/>
        <w:spacing w:lineRule="auto" w:line="288" w:before="0" w:after="0"/>
        <w:jc w:val="center"/>
        <w:rPr>
          <w:rFonts w:ascii="Trebuchet;sans-serif" w:hAnsi="Trebuchet;sans-serif"/>
          <w:b/>
          <w:color w:val="000000"/>
          <w:sz w:val="24"/>
        </w:rPr>
      </w:pPr>
      <w:r>
        <w:rPr>
          <w:rFonts w:ascii="Trebuchet;sans-serif" w:hAnsi="Trebuchet;sans-serif"/>
          <w:b/>
          <w:color w:val="000000"/>
          <w:sz w:val="24"/>
        </w:rPr>
        <w:t xml:space="preserve">_________________ </w:t>
      </w:r>
    </w:p>
    <w:p>
      <w:pPr>
        <w:pStyle w:val="TextBody"/>
        <w:bidi w:val="0"/>
        <w:spacing w:lineRule="auto" w:line="288" w:before="100" w:after="100"/>
        <w:jc w:val="center"/>
        <w:rPr>
          <w:rFonts w:ascii="Trebuchet;sans-serif" w:hAnsi="Trebuchet;sans-serif"/>
          <w:b/>
          <w:color w:val="000000"/>
          <w:sz w:val="24"/>
        </w:rPr>
      </w:pPr>
      <w:r>
        <w:rPr>
          <w:rFonts w:ascii="Trebuchet;sans-serif" w:hAnsi="Trebuchet;sans-serif"/>
          <w:b/>
          <w:color w:val="000000"/>
          <w:sz w:val="24"/>
        </w:rPr>
        <w:t>Avis Budget Group, Inc.</w:t>
      </w:r>
    </w:p>
    <w:p>
      <w:pPr>
        <w:pStyle w:val="TextBody"/>
        <w:bidi w:val="0"/>
        <w:spacing w:lineRule="auto" w:line="288" w:before="0" w:after="0"/>
        <w:jc w:val="center"/>
        <w:rPr>
          <w:rFonts w:ascii="Trebuchet;sans-serif" w:hAnsi="Trebuchet;sans-serif"/>
          <w:b/>
          <w:color w:val="000000"/>
          <w:sz w:val="18"/>
        </w:rPr>
      </w:pPr>
      <w:r>
        <w:rPr>
          <w:rFonts w:ascii="Trebuchet;sans-serif" w:hAnsi="Trebuchet;sans-serif"/>
          <w:b/>
          <w:color w:val="000000"/>
          <w:sz w:val="18"/>
        </w:rPr>
        <w:t xml:space="preserve">(Exact Name of Registrant as Specified in its Charter) </w:t>
      </w:r>
    </w:p>
    <w:p>
      <w:pPr>
        <w:pStyle w:val="TextBody"/>
        <w:bidi w:val="0"/>
        <w:spacing w:lineRule="auto" w:line="288" w:before="0" w:after="0"/>
        <w:jc w:val="center"/>
        <w:rPr>
          <w:rFonts w:ascii="Trebuchet;sans-serif" w:hAnsi="Trebuchet;sans-serif"/>
          <w:b/>
          <w:color w:val="000000"/>
          <w:sz w:val="24"/>
        </w:rPr>
      </w:pPr>
      <w:r>
        <w:rPr>
          <w:rFonts w:ascii="Trebuchet;sans-serif" w:hAnsi="Trebuchet;sans-serif"/>
          <w:b/>
          <w:color w:val="000000"/>
          <w:sz w:val="24"/>
        </w:rPr>
        <w:t>_________________</w:t>
      </w:r>
    </w:p>
    <w:tbl>
      <w:tblPr>
        <w:tblW w:w="10205" w:type="dxa"/>
        <w:jc w:val="center"/>
        <w:tblInd w:w="0" w:type="dxa"/>
        <w:tblLayout w:type="fixed"/>
        <w:tblCellMar>
          <w:top w:w="28" w:type="dxa"/>
          <w:left w:w="28" w:type="dxa"/>
          <w:bottom w:w="28" w:type="dxa"/>
          <w:right w:w="28" w:type="dxa"/>
        </w:tblCellMar>
      </w:tblPr>
      <w:tblGrid>
        <w:gridCol w:w="1489"/>
        <w:gridCol w:w="1306"/>
        <w:gridCol w:w="1314"/>
        <w:gridCol w:w="848"/>
        <w:gridCol w:w="848"/>
        <w:gridCol w:w="855"/>
        <w:gridCol w:w="1037"/>
        <w:gridCol w:w="1037"/>
        <w:gridCol w:w="1471"/>
      </w:tblGrid>
      <w:tr>
        <w:trPr/>
        <w:tc>
          <w:tcPr>
            <w:tcW w:w="148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Delaware</w:t>
            </w:r>
          </w:p>
        </w:tc>
        <w:tc>
          <w:tcPr>
            <w:tcW w:w="2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001-10308</w:t>
            </w:r>
          </w:p>
        </w:tc>
        <w:tc>
          <w:tcPr>
            <w:tcW w:w="3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06-0918165</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18"/>
              </w:rPr>
            </w:pPr>
            <w:r>
              <w:rPr>
                <w:rFonts w:ascii="Trebuchet;sans-serif" w:hAnsi="Trebuchet;sans-serif"/>
                <w:b/>
                <w:color w:val="000000"/>
                <w:sz w:val="18"/>
              </w:rPr>
              <w:t>(State or Other Jurisdiction of Incorporation)</w:t>
            </w:r>
          </w:p>
        </w:tc>
        <w:tc>
          <w:tcPr>
            <w:tcW w:w="2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18"/>
              </w:rPr>
            </w:pPr>
            <w:r>
              <w:rPr>
                <w:rFonts w:ascii="Trebuchet;sans-serif" w:hAnsi="Trebuchet;sans-serif"/>
                <w:b/>
                <w:color w:val="000000"/>
                <w:sz w:val="18"/>
              </w:rPr>
              <w:t>(Commission File Number)</w:t>
            </w:r>
          </w:p>
        </w:tc>
        <w:tc>
          <w:tcPr>
            <w:tcW w:w="3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18"/>
              </w:rPr>
            </w:pPr>
            <w:r>
              <w:rPr>
                <w:rFonts w:ascii="Trebuchet;sans-serif" w:hAnsi="Trebuchet;sans-serif"/>
                <w:b/>
                <w:color w:val="000000"/>
                <w:sz w:val="18"/>
              </w:rPr>
              <w:t>(IRS Employer Identification Number)</w:t>
            </w:r>
          </w:p>
        </w:tc>
      </w:tr>
    </w:tbl>
    <w:tbl>
      <w:tblPr>
        <w:tblW w:w="5620" w:type="dxa"/>
        <w:jc w:val="center"/>
        <w:tblInd w:w="0" w:type="dxa"/>
        <w:tblLayout w:type="fixed"/>
        <w:tblCellMar>
          <w:top w:w="28" w:type="dxa"/>
          <w:left w:w="28" w:type="dxa"/>
          <w:bottom w:w="28" w:type="dxa"/>
          <w:right w:w="28" w:type="dxa"/>
        </w:tblCellMar>
      </w:tblPr>
      <w:tblGrid>
        <w:gridCol w:w="1483"/>
        <w:gridCol w:w="1303"/>
        <w:gridCol w:w="1308"/>
        <w:gridCol w:w="109"/>
        <w:gridCol w:w="109"/>
        <w:gridCol w:w="109"/>
        <w:gridCol w:w="351"/>
        <w:gridCol w:w="351"/>
        <w:gridCol w:w="497"/>
      </w:tblGrid>
      <w:tr>
        <w:trPr/>
        <w:tc>
          <w:tcPr>
            <w:tcW w:w="148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Trebuchet;sans-serif" w:hAnsi="Trebuchet;sans-serif"/>
                <w:b/>
                <w:color w:val="000000"/>
                <w:sz w:val="20"/>
              </w:rPr>
            </w:pPr>
            <w:r>
              <w:rPr>
                <w:rFonts w:ascii="Trebuchet;sans-serif" w:hAnsi="Trebuchet;sans-serif"/>
                <w:b/>
                <w:color w:val="000000"/>
                <w:sz w:val="20"/>
              </w:rPr>
              <w:t>379 Interpace Parkway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07054</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rebuchet;sans-serif" w:hAnsi="Trebuchet;sans-serif"/>
                <w:b/>
                <w:color w:val="000000"/>
                <w:sz w:val="20"/>
              </w:rPr>
            </w:pPr>
            <w:r>
              <w:rPr>
                <w:rFonts w:ascii="Trebuchet;sans-serif" w:hAnsi="Trebuchet;sans-serif"/>
                <w:b/>
                <w:color w:val="000000"/>
                <w:sz w:val="20"/>
              </w:rPr>
              <w:t>Parsippany, NJ</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18"/>
              </w:rPr>
            </w:pPr>
            <w:r>
              <w:rPr>
                <w:rFonts w:ascii="Trebuchet;sans-serif" w:hAnsi="Trebuchet;sans-serif"/>
                <w:b/>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18"/>
              </w:rPr>
            </w:pPr>
            <w:r>
              <w:rPr>
                <w:rFonts w:ascii="Trebuchet;sans-serif" w:hAnsi="Trebuchet;sans-serif"/>
                <w:b/>
                <w:color w:val="000000"/>
                <w:sz w:val="18"/>
              </w:rPr>
              <w:t>(Zip Code)</w:t>
            </w:r>
          </w:p>
        </w:tc>
      </w:tr>
    </w:tbl>
    <w:p>
      <w:pPr>
        <w:pStyle w:val="TextBody"/>
        <w:bidi w:val="0"/>
        <w:spacing w:lineRule="auto" w:line="288" w:before="100" w:after="100"/>
        <w:jc w:val="center"/>
        <w:rPr>
          <w:rFonts w:ascii="Trebuchet;sans-serif" w:hAnsi="Trebuchet;sans-serif"/>
          <w:b/>
          <w:color w:val="000000"/>
          <w:sz w:val="20"/>
        </w:rPr>
      </w:pPr>
      <w:r>
        <w:rPr>
          <w:rFonts w:ascii="Trebuchet;sans-serif" w:hAnsi="Trebuchet;sans-serif"/>
          <w:b/>
          <w:color w:val="000000"/>
          <w:sz w:val="20"/>
        </w:rPr>
        <w:t>Registrant’s telephone number, including area code: (973) 496-4700</w:t>
      </w:r>
    </w:p>
    <w:p>
      <w:pPr>
        <w:pStyle w:val="TextBody"/>
        <w:bidi w:val="0"/>
        <w:spacing w:lineRule="auto" w:line="288" w:before="100" w:after="100"/>
        <w:jc w:val="center"/>
        <w:rPr>
          <w:rFonts w:ascii="Trebuchet;sans-serif" w:hAnsi="Trebuchet;sans-serif"/>
          <w:b/>
          <w:color w:val="000000"/>
          <w:sz w:val="20"/>
        </w:rPr>
      </w:pPr>
      <w:r>
        <w:rPr>
          <w:rFonts w:ascii="Trebuchet;sans-serif" w:hAnsi="Trebuchet;sans-serif"/>
          <w:b/>
          <w:color w:val="000000"/>
          <w:sz w:val="20"/>
        </w:rPr>
        <w:t xml:space="preserve">N/A </w:t>
      </w:r>
    </w:p>
    <w:p>
      <w:pPr>
        <w:pStyle w:val="TextBody"/>
        <w:bidi w:val="0"/>
        <w:spacing w:lineRule="auto" w:line="288" w:before="100" w:after="100"/>
        <w:jc w:val="center"/>
        <w:rPr>
          <w:rFonts w:ascii="Trebuchet;sans-serif" w:hAnsi="Trebuchet;sans-serif"/>
          <w:b/>
          <w:color w:val="000000"/>
          <w:sz w:val="20"/>
        </w:rPr>
      </w:pPr>
      <w:r>
        <w:rPr>
          <w:rFonts w:ascii="Trebuchet;sans-serif" w:hAnsi="Trebuchet;sans-serif"/>
          <w:b/>
          <w:color w:val="000000"/>
          <w:sz w:val="20"/>
        </w:rPr>
        <w:t xml:space="preserve">(Former name or former address, if changed since last report.) </w:t>
      </w:r>
    </w:p>
    <w:p>
      <w:pPr>
        <w:pStyle w:val="TextBody"/>
        <w:bidi w:val="0"/>
        <w:spacing w:lineRule="auto" w:line="288" w:before="100" w:after="100"/>
        <w:jc w:val="center"/>
        <w:rPr>
          <w:rFonts w:ascii="Trebuchet;sans-serif" w:hAnsi="Trebuchet;sans-serif"/>
          <w:b/>
          <w:color w:val="000000"/>
          <w:sz w:val="24"/>
        </w:rPr>
      </w:pPr>
      <w:r>
        <w:rPr>
          <w:rFonts w:ascii="Trebuchet;sans-serif" w:hAnsi="Trebuchet;sans-serif"/>
          <w:b/>
          <w:color w:val="000000"/>
          <w:sz w:val="24"/>
        </w:rPr>
        <w:t>_________________</w:t>
      </w:r>
    </w:p>
    <w:p>
      <w:pPr>
        <w:pStyle w:val="TextBody"/>
        <w:bidi w:val="0"/>
        <w:spacing w:lineRule="auto" w:line="288" w:before="0" w:after="0"/>
        <w:jc w:val="left"/>
        <w:rPr>
          <w:rFonts w:ascii="Trebuchet;sans-serif" w:hAnsi="Trebuchet;sans-serif"/>
          <w:b w:val="false"/>
          <w:color w:val="000000"/>
          <w:sz w:val="16"/>
        </w:rPr>
      </w:pPr>
      <w:r>
        <w:rPr>
          <w:rFonts w:ascii="Trebuchet;sans-serif" w:hAnsi="Trebuchet;sans-serif"/>
          <w:b w:val="false"/>
          <w:color w:val="000000"/>
          <w:sz w:val="16"/>
        </w:rPr>
        <w:t xml:space="preserve">Check the appropriate box below if the Form 8-K filing is intended to simultaneously satisfy the filing obligation of the registrant under any of the following provisions: </w:t>
      </w:r>
    </w:p>
    <w:p>
      <w:pPr>
        <w:pStyle w:val="TextBody"/>
        <w:bidi w:val="0"/>
        <w:spacing w:before="0" w:after="0"/>
        <w:jc w:val="left"/>
        <w:rPr/>
      </w:pPr>
      <w:r>
        <w:rPr/>
      </w:r>
    </w:p>
    <w:p>
      <w:pPr>
        <w:pStyle w:val="TextBody"/>
        <w:bidi w:val="0"/>
        <w:spacing w:lineRule="auto" w:line="288" w:before="0" w:after="0"/>
        <w:ind w:left="0" w:right="0" w:hanging="180"/>
        <w:jc w:val="left"/>
        <w:rPr>
          <w:color w:val="000000"/>
        </w:rPr>
      </w:pPr>
      <w:r>
        <w:rPr>
          <w:color w:val="000000"/>
        </w:rPr>
        <w:t xml:space="preserve">☐ </w:t>
      </w:r>
      <w:r>
        <w:rPr>
          <w:rFonts w:ascii="Trebuchet;sans-serif" w:hAnsi="Trebuchet;sans-serif"/>
          <w:b w:val="false"/>
          <w:color w:val="000000"/>
          <w:sz w:val="16"/>
        </w:rPr>
        <w:t xml:space="preserve">Written communications pursuant to Rule 425 under the Securities Act (17 CFR 230.425) </w:t>
      </w:r>
    </w:p>
    <w:p>
      <w:pPr>
        <w:pStyle w:val="TextBody"/>
        <w:bidi w:val="0"/>
        <w:spacing w:lineRule="auto" w:line="288" w:before="100" w:after="100"/>
        <w:ind w:left="0" w:right="0" w:hanging="180"/>
        <w:jc w:val="left"/>
        <w:rPr>
          <w:color w:val="000000"/>
        </w:rPr>
      </w:pPr>
      <w:r>
        <w:rPr>
          <w:color w:val="000000"/>
        </w:rPr>
        <w:t xml:space="preserve">☐ </w:t>
      </w:r>
      <w:r>
        <w:rPr>
          <w:rFonts w:ascii="Trebuchet;sans-serif" w:hAnsi="Trebuchet;sans-serif"/>
          <w:b w:val="false"/>
          <w:color w:val="000000"/>
          <w:sz w:val="16"/>
        </w:rPr>
        <w:t xml:space="preserve">Soliciting material pursuant to Rule 14a-12 under the Exchange Act (17 CFR 240.14a-12) </w:t>
      </w:r>
    </w:p>
    <w:p>
      <w:pPr>
        <w:pStyle w:val="TextBody"/>
        <w:bidi w:val="0"/>
        <w:spacing w:lineRule="auto" w:line="288" w:before="100" w:after="100"/>
        <w:ind w:left="0" w:right="0" w:hanging="180"/>
        <w:jc w:val="left"/>
        <w:rPr>
          <w:color w:val="000000"/>
        </w:rPr>
      </w:pPr>
      <w:r>
        <w:rPr>
          <w:color w:val="000000"/>
        </w:rPr>
        <w:t xml:space="preserve">☐ </w:t>
      </w:r>
      <w:r>
        <w:rPr>
          <w:rFonts w:ascii="Trebuchet;sans-serif" w:hAnsi="Trebuchet;sans-serif"/>
          <w:b w:val="false"/>
          <w:color w:val="000000"/>
          <w:sz w:val="16"/>
        </w:rPr>
        <w:t xml:space="preserve">Pre-commencement communications pursuant to Rule 14d-2(b) under the Exchange Act (17 CFR 240.14d-2(b)) </w:t>
      </w:r>
    </w:p>
    <w:p>
      <w:pPr>
        <w:pStyle w:val="TextBody"/>
        <w:bidi w:val="0"/>
        <w:spacing w:lineRule="auto" w:line="288" w:before="100" w:after="100"/>
        <w:ind w:left="0" w:right="0" w:hanging="180"/>
        <w:jc w:val="left"/>
        <w:rPr>
          <w:color w:val="000000"/>
        </w:rPr>
      </w:pPr>
      <w:r>
        <w:rPr>
          <w:color w:val="000000"/>
        </w:rPr>
        <w:t xml:space="preserve">☐ </w:t>
      </w:r>
      <w:r>
        <w:rPr>
          <w:rFonts w:ascii="Trebuchet;sans-serif" w:hAnsi="Trebuchet;sans-serif"/>
          <w:b w:val="false"/>
          <w:color w:val="000000"/>
          <w:sz w:val="16"/>
        </w:rPr>
        <w:t xml:space="preserve">Pre-commencement communications pursuant to Rule 13e-4(c) under the Exchange Act (17 CFR 240.13e-4(c)) </w:t>
      </w:r>
    </w:p>
    <w:p>
      <w:pPr>
        <w:pStyle w:val="TextBody"/>
        <w:bidi w:val="0"/>
        <w:spacing w:before="100" w:after="100"/>
        <w:ind w:left="0" w:right="0" w:hanging="180"/>
        <w:jc w:val="left"/>
        <w:rPr/>
      </w:pPr>
      <w:r>
        <w:rPr/>
      </w:r>
    </w:p>
    <w:p>
      <w:pPr>
        <w:pStyle w:val="TextBody"/>
        <w:bidi w:val="0"/>
        <w:spacing w:lineRule="auto" w:line="288" w:before="100" w:after="100"/>
        <w:ind w:left="0" w:right="0" w:hanging="180"/>
        <w:jc w:val="left"/>
        <w:rPr>
          <w:rFonts w:ascii="Trebuchet;sans-serif" w:hAnsi="Trebuchet;sans-serif"/>
          <w:b w:val="false"/>
          <w:color w:val="000000"/>
          <w:sz w:val="16"/>
        </w:rPr>
      </w:pPr>
      <w:r>
        <w:rPr>
          <w:rFonts w:ascii="Trebuchet;sans-serif" w:hAnsi="Trebuchet;sans-serif"/>
          <w:b w:val="false"/>
          <w:color w:val="000000"/>
          <w:sz w:val="16"/>
        </w:rPr>
        <w:t>Securities registered pursuant to Section 12(b) of the Act:</w:t>
      </w:r>
    </w:p>
    <w:tbl>
      <w:tblPr>
        <w:tblW w:w="8878" w:type="dxa"/>
        <w:jc w:val="left"/>
        <w:tblInd w:w="0" w:type="dxa"/>
        <w:tblLayout w:type="fixed"/>
        <w:tblCellMar>
          <w:top w:w="28" w:type="dxa"/>
          <w:left w:w="28" w:type="dxa"/>
          <w:bottom w:w="28" w:type="dxa"/>
          <w:right w:w="28" w:type="dxa"/>
        </w:tblCellMar>
      </w:tblPr>
      <w:tblGrid>
        <w:gridCol w:w="1003"/>
        <w:gridCol w:w="881"/>
        <w:gridCol w:w="890"/>
        <w:gridCol w:w="609"/>
        <w:gridCol w:w="609"/>
        <w:gridCol w:w="611"/>
        <w:gridCol w:w="1252"/>
        <w:gridCol w:w="1252"/>
        <w:gridCol w:w="1771"/>
      </w:tblGrid>
      <w:tr>
        <w:trPr/>
        <w:tc>
          <w:tcPr>
            <w:tcW w:w="1003"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16"/>
              </w:rPr>
            </w:pPr>
            <w:r>
              <w:rPr>
                <w:rFonts w:ascii="Trebuchet;sans-serif" w:hAnsi="Trebuchet;sans-serif"/>
                <w:b/>
                <w:color w:val="000000"/>
                <w:sz w:val="16"/>
              </w:rPr>
              <w:t>Title of each class</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16"/>
              </w:rPr>
            </w:pPr>
            <w:r>
              <w:rPr>
                <w:rFonts w:ascii="Trebuchet;sans-serif" w:hAnsi="Trebuchet;sans-serif"/>
                <w:b/>
                <w:color w:val="000000"/>
                <w:sz w:val="16"/>
              </w:rPr>
              <w:t>Trading Symbol(s)</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16"/>
              </w:rPr>
            </w:pPr>
            <w:r>
              <w:rPr>
                <w:rFonts w:ascii="Trebuchet;sans-serif" w:hAnsi="Trebuchet;sans-serif"/>
                <w:b/>
                <w:color w:val="000000"/>
                <w:sz w:val="16"/>
              </w:rPr>
              <w:t>Name of each exchange on which registered</w:t>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val="false"/>
                <w:color w:val="000000"/>
                <w:sz w:val="16"/>
              </w:rPr>
            </w:pPr>
            <w:r>
              <w:rPr>
                <w:rFonts w:ascii="Trebuchet;sans-serif" w:hAnsi="Trebuchet;sans-serif"/>
                <w:b w:val="false"/>
                <w:color w:val="000000"/>
                <w:sz w:val="16"/>
              </w:rPr>
              <w:t>Common Stock, par value $0.01</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val="false"/>
                <w:color w:val="000000"/>
                <w:sz w:val="16"/>
              </w:rPr>
            </w:pPr>
            <w:r>
              <w:rPr>
                <w:rFonts w:ascii="Trebuchet;sans-serif" w:hAnsi="Trebuchet;sans-serif"/>
                <w:b w:val="false"/>
                <w:color w:val="000000"/>
                <w:sz w:val="16"/>
              </w:rPr>
              <w:t>CAR</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val="false"/>
                <w:color w:val="000000"/>
                <w:sz w:val="16"/>
              </w:rPr>
            </w:pPr>
            <w:r>
              <w:rPr>
                <w:rFonts w:ascii="Trebuchet;sans-serif" w:hAnsi="Trebuchet;sans-serif"/>
                <w:b w:val="false"/>
                <w:color w:val="000000"/>
                <w:sz w:val="16"/>
              </w:rPr>
              <w:t>The NASDAQ Global Select Market</w:t>
            </w:r>
          </w:p>
        </w:tc>
      </w:tr>
    </w:tbl>
    <w:p>
      <w:pPr>
        <w:pStyle w:val="TextBody"/>
        <w:bidi w:val="0"/>
        <w:spacing w:before="100" w:after="100"/>
        <w:ind w:left="0" w:right="0" w:hanging="180"/>
        <w:jc w:val="left"/>
        <w:rPr/>
      </w:pPr>
      <w:r>
        <w:rPr/>
      </w:r>
    </w:p>
    <w:p>
      <w:pPr>
        <w:pStyle w:val="TextBody"/>
        <w:bidi w:val="0"/>
        <w:spacing w:lineRule="auto" w:line="288" w:before="100" w:after="100"/>
        <w:jc w:val="left"/>
        <w:rPr>
          <w:rFonts w:ascii="Trebuchet;sans-serif" w:hAnsi="Trebuchet;sans-serif"/>
          <w:b w:val="false"/>
          <w:color w:val="000000"/>
          <w:sz w:val="16"/>
        </w:rPr>
      </w:pPr>
      <w:r>
        <w:rPr>
          <w:rFonts w:ascii="Trebuchet;sans-serif" w:hAnsi="Trebuchet;sans-serif"/>
          <w:b w:val="false"/>
          <w:color w:val="000000"/>
          <w:sz w:val="16"/>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00" w:after="100"/>
        <w:jc w:val="left"/>
        <w:rPr>
          <w:rFonts w:ascii="Trebuchet;sans-serif" w:hAnsi="Trebuchet;sans-serif"/>
          <w:b w:val="false"/>
          <w:color w:val="000000"/>
          <w:sz w:val="16"/>
        </w:rPr>
      </w:pPr>
      <w:r>
        <w:rPr>
          <w:rFonts w:ascii="Trebuchet;sans-serif" w:hAnsi="Trebuchet;sans-serif"/>
          <w:b w:val="false"/>
          <w:color w:val="000000"/>
          <w:sz w:val="16"/>
        </w:rPr>
        <w:t>Emerging growth company ☐</w:t>
      </w:r>
    </w:p>
    <w:p>
      <w:pPr>
        <w:pStyle w:val="TextBody"/>
        <w:bidi w:val="0"/>
        <w:spacing w:lineRule="auto" w:line="288" w:before="0" w:after="0"/>
        <w:jc w:val="left"/>
        <w:rPr>
          <w:rFonts w:ascii="Trebuchet;sans-serif" w:hAnsi="Trebuchet;sans-serif"/>
          <w:b w:val="false"/>
          <w:color w:val="000000"/>
          <w:sz w:val="16"/>
        </w:rPr>
      </w:pPr>
      <w:r>
        <w:rPr>
          <w:rFonts w:ascii="Trebuchet;sans-serif" w:hAnsi="Trebuchet;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rebuchet;sans-serif" w:hAnsi="Trebuchet;sans-serif"/>
          <w:b/>
          <w:color w:val="000000"/>
          <w:sz w:val="20"/>
        </w:rPr>
        <w:t>Item 2.02 Results of Operations and Financial Condition.</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rebuchet;sans-serif" w:hAnsi="Trebuchet;sans-serif"/>
          <w:b w:val="false"/>
          <w:color w:val="000000"/>
          <w:sz w:val="20"/>
        </w:rPr>
      </w:pPr>
      <w:r>
        <w:rPr>
          <w:rFonts w:ascii="Trebuchet;sans-serif" w:hAnsi="Trebuchet;sans-serif"/>
          <w:b w:val="false"/>
          <w:color w:val="000000"/>
          <w:sz w:val="20"/>
        </w:rPr>
        <w:t xml:space="preserve">On July 28, 2026, Avis Budget Group, Inc. (the “Company,” “we,” “our” or “us”) reported our second quarter 2026 results. Our second quarter 2026 results are discussed in detail in the press release attached hereto as Exhibit 99.1, which is incorporated herein by reference. </w:t>
      </w:r>
    </w:p>
    <w:p>
      <w:pPr>
        <w:pStyle w:val="TextBody"/>
        <w:bidi w:val="0"/>
        <w:spacing w:before="0" w:after="0"/>
        <w:ind w:left="0" w:right="0" w:firstLine="720"/>
        <w:jc w:val="both"/>
        <w:rPr/>
      </w:pPr>
      <w:r>
        <w:rPr/>
      </w:r>
    </w:p>
    <w:p>
      <w:pPr>
        <w:pStyle w:val="TextBody"/>
        <w:bidi w:val="0"/>
        <w:spacing w:lineRule="auto" w:line="288" w:before="0" w:after="0"/>
        <w:jc w:val="both"/>
        <w:rPr>
          <w:rFonts w:ascii="Trebuchet;sans-serif" w:hAnsi="Trebuchet;sans-serif"/>
          <w:b w:val="false"/>
          <w:color w:val="000000"/>
          <w:sz w:val="20"/>
        </w:rPr>
      </w:pPr>
      <w:r>
        <w:rPr>
          <w:rFonts w:ascii="Trebuchet;sans-serif" w:hAnsi="Trebuchet;sans-serif"/>
          <w:b w:val="false"/>
          <w:color w:val="000000"/>
          <w:sz w:val="20"/>
        </w:rPr>
        <w:t>The information in this Item 2.02, including Exhibit 99.1, shall not be deemed “filed” for purposes of Section 18 of the Securities Exchange Act of 1934, as amended (the “Exchange Act”) or incorporated by reference into any other filing under the Securities Act of 1933, as amended, or the Exchange Act, except as expressly set forth by specific reference in such a filing.</w:t>
      </w:r>
    </w:p>
    <w:p>
      <w:pPr>
        <w:pStyle w:val="TextBody"/>
        <w:bidi w:val="0"/>
        <w:spacing w:before="0" w:after="0"/>
        <w:ind w:left="0" w:right="0" w:firstLine="720"/>
        <w:jc w:val="left"/>
        <w:rPr/>
      </w:pPr>
      <w:r>
        <w:rPr/>
      </w:r>
    </w:p>
    <w:p>
      <w:pPr>
        <w:pStyle w:val="TextBody"/>
        <w:bidi w:val="0"/>
        <w:spacing w:lineRule="auto" w:line="288" w:before="100" w:after="100"/>
        <w:jc w:val="left"/>
        <w:rPr>
          <w:rFonts w:ascii="Trebuchet;sans-serif" w:hAnsi="Trebuchet;sans-serif"/>
          <w:b/>
          <w:color w:val="000000"/>
          <w:sz w:val="20"/>
        </w:rPr>
      </w:pPr>
      <w:r>
        <w:rPr>
          <w:rFonts w:ascii="Trebuchet;sans-serif" w:hAnsi="Trebuchet;sans-serif"/>
          <w:b/>
          <w:color w:val="000000"/>
          <w:sz w:val="20"/>
        </w:rPr>
        <w:t xml:space="preserve">Item 9.01 Financial Statements and Exhibits. </w:t>
      </w:r>
    </w:p>
    <w:p>
      <w:pPr>
        <w:pStyle w:val="TextBody"/>
        <w:bidi w:val="0"/>
        <w:spacing w:lineRule="auto" w:line="288" w:before="100" w:after="100"/>
        <w:jc w:val="left"/>
        <w:rPr>
          <w:rFonts w:ascii="Trebuchet;sans-serif" w:hAnsi="Trebuchet;sans-serif"/>
          <w:b w:val="false"/>
          <w:color w:val="000000"/>
          <w:sz w:val="20"/>
        </w:rPr>
      </w:pPr>
      <w:r>
        <w:rPr>
          <w:rFonts w:ascii="Trebuchet;sans-serif" w:hAnsi="Trebuchet;sans-serif"/>
          <w:b w:val="false"/>
          <w:color w:val="000000"/>
          <w:sz w:val="20"/>
        </w:rPr>
        <w:t xml:space="preserve">(d) Exhibits. </w:t>
      </w:r>
    </w:p>
    <w:tbl>
      <w:tblPr>
        <w:tblW w:w="9028" w:type="dxa"/>
        <w:jc w:val="left"/>
        <w:tblInd w:w="0" w:type="dxa"/>
        <w:tblLayout w:type="fixed"/>
        <w:tblCellMar>
          <w:top w:w="28" w:type="dxa"/>
          <w:left w:w="28" w:type="dxa"/>
          <w:bottom w:w="28" w:type="dxa"/>
          <w:right w:w="28" w:type="dxa"/>
        </w:tblCellMar>
      </w:tblPr>
      <w:tblGrid>
        <w:gridCol w:w="429"/>
        <w:gridCol w:w="376"/>
        <w:gridCol w:w="379"/>
        <w:gridCol w:w="2295"/>
        <w:gridCol w:w="2295"/>
        <w:gridCol w:w="3254"/>
      </w:tblGrid>
      <w:tr>
        <w:trPr/>
        <w:tc>
          <w:tcPr>
            <w:tcW w:w="42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3254"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Exhibit No.</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Description</w:t>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99.1</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3-pressreleasexq2f26.htm">
              <w:r>
                <w:rPr>
                  <w:rStyle w:val="InternetLink"/>
                  <w:rFonts w:ascii="Trebuchet;sans-serif" w:hAnsi="Trebuchet;sans-serif"/>
                  <w:b w:val="false"/>
                  <w:color w:val="0000FF"/>
                  <w:sz w:val="20"/>
                  <w:u w:val="single"/>
                </w:rPr>
                <w:t>Press Release dated July 28, 2026.</w:t>
              </w:r>
            </w:hyperlink>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104</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100"/>
        <w:jc w:val="center"/>
        <w:rPr/>
      </w:pPr>
      <w:r>
        <w:rPr/>
      </w:r>
    </w:p>
    <w:p>
      <w:pPr>
        <w:pStyle w:val="TextBody"/>
        <w:bidi w:val="0"/>
        <w:spacing w:lineRule="auto" w:line="288" w:before="100" w:after="100"/>
        <w:jc w:val="center"/>
        <w:rPr/>
      </w:pPr>
      <w:r>
        <w:rPr>
          <w:rFonts w:ascii="Trebuchet;sans-serif" w:hAnsi="Trebuchet;sans-serif"/>
          <w:b/>
          <w:color w:val="000000"/>
          <w:sz w:val="20"/>
        </w:rPr>
        <w:t>SIGNATURE</w:t>
      </w:r>
      <w:r>
        <w:rPr>
          <w:color w:val="000000"/>
        </w:rPr>
        <w:t xml:space="preserve"> </w:t>
      </w:r>
    </w:p>
    <w:p>
      <w:pPr>
        <w:pStyle w:val="TextBody"/>
        <w:bidi w:val="0"/>
        <w:spacing w:lineRule="auto" w:line="288" w:before="100" w:after="100"/>
        <w:jc w:val="left"/>
        <w:rPr>
          <w:rFonts w:ascii="Trebuchet;sans-serif" w:hAnsi="Trebuchet;sans-serif"/>
          <w:b w:val="false"/>
          <w:color w:val="000000"/>
          <w:sz w:val="20"/>
        </w:rPr>
      </w:pPr>
      <w:r>
        <w:rPr>
          <w:rFonts w:ascii="Trebuchet;sans-serif" w:hAnsi="Trebuchet;sans-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4813" w:type="dxa"/>
        <w:jc w:val="left"/>
        <w:tblInd w:w="0" w:type="dxa"/>
        <w:tblLayout w:type="fixed"/>
        <w:tblCellMar>
          <w:top w:w="28" w:type="dxa"/>
          <w:left w:w="28" w:type="dxa"/>
          <w:bottom w:w="28" w:type="dxa"/>
          <w:right w:w="28" w:type="dxa"/>
        </w:tblCellMar>
      </w:tblPr>
      <w:tblGrid>
        <w:gridCol w:w="157"/>
        <w:gridCol w:w="137"/>
        <w:gridCol w:w="140"/>
        <w:gridCol w:w="682"/>
        <w:gridCol w:w="682"/>
        <w:gridCol w:w="682"/>
        <w:gridCol w:w="682"/>
        <w:gridCol w:w="682"/>
        <w:gridCol w:w="969"/>
      </w:tblGrid>
      <w:tr>
        <w:trPr/>
        <w:tc>
          <w:tcPr>
            <w:tcW w:w="15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AVIS BUDGET GROUP, INC.</w:t>
            </w:r>
          </w:p>
        </w:tc>
      </w:tr>
      <w:tr>
        <w:trPr/>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By:</w:t>
            </w:r>
          </w:p>
        </w:tc>
        <w:tc>
          <w:tcPr>
            <w:tcW w:w="437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rebuchet;sans-serif" w:hAnsi="Trebuchet;sans-serif"/>
                <w:b w:val="false"/>
                <w:color w:val="000000"/>
                <w:sz w:val="20"/>
              </w:rPr>
            </w:pPr>
            <w:r>
              <w:rPr>
                <w:rFonts w:ascii="Trebuchet;sans-serif" w:hAnsi="Trebuchet;sans-serif"/>
                <w:b w:val="false"/>
                <w:color w:val="000000"/>
                <w:sz w:val="20"/>
              </w:rPr>
              <w:t>/s/ Tina Goldenberg</w:t>
            </w:r>
          </w:p>
        </w:tc>
      </w:tr>
      <w:tr>
        <w:trPr/>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rebuchet;sans-serif" w:hAnsi="Trebuchet;sans-serif"/>
                <w:b w:val="false"/>
                <w:color w:val="000000"/>
                <w:sz w:val="20"/>
              </w:rPr>
            </w:pPr>
            <w:r>
              <w:rPr>
                <w:rFonts w:ascii="Trebuchet;sans-serif" w:hAnsi="Trebuchet;sans-serif"/>
                <w:b w:val="false"/>
                <w:color w:val="000000"/>
                <w:sz w:val="20"/>
              </w:rPr>
              <w:t>Tina Goldenberg</w:t>
            </w:r>
          </w:p>
          <w:p>
            <w:pPr>
              <w:pStyle w:val="TableContents"/>
              <w:bidi w:val="0"/>
              <w:spacing w:lineRule="auto" w:line="240" w:before="0" w:after="0"/>
              <w:jc w:val="left"/>
              <w:rPr>
                <w:rFonts w:ascii="Trebuchet;sans-serif" w:hAnsi="Trebuchet;sans-serif"/>
                <w:b w:val="false"/>
                <w:color w:val="000000"/>
                <w:sz w:val="20"/>
              </w:rPr>
            </w:pPr>
            <w:r>
              <w:rPr>
                <w:rFonts w:ascii="Trebuchet;sans-serif" w:hAnsi="Trebuchet;sans-serif"/>
                <w:b w:val="false"/>
                <w:color w:val="000000"/>
                <w:sz w:val="20"/>
              </w:rPr>
              <w:t>Vice President and Chief Accounting Officer</w:t>
            </w:r>
          </w:p>
        </w:tc>
      </w:tr>
    </w:tbl>
    <w:p>
      <w:pPr>
        <w:pStyle w:val="TextBody"/>
        <w:bidi w:val="0"/>
        <w:spacing w:lineRule="auto" w:line="288" w:before="100" w:after="100"/>
        <w:jc w:val="left"/>
        <w:rPr>
          <w:rFonts w:ascii="Trebuchet;sans-serif" w:hAnsi="Trebuchet;sans-serif"/>
          <w:b w:val="false"/>
          <w:color w:val="000000"/>
          <w:sz w:val="20"/>
        </w:rPr>
      </w:pPr>
      <w:r>
        <w:rPr>
          <w:rFonts w:ascii="Trebuchet;sans-serif" w:hAnsi="Trebuchet;sans-serif"/>
          <w:b w:val="false"/>
          <w:color w:val="000000"/>
          <w:sz w:val="20"/>
        </w:rPr>
        <w:t>Date: July 28,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5562600" cy="8572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5562600" cy="857250"/>
                    </a:xfrm>
                    <a:prstGeom prst="rect">
                      <a:avLst/>
                    </a:prstGeom>
                  </pic:spPr>
                </pic:pic>
              </a:graphicData>
            </a:graphic>
          </wp:inline>
        </w:drawing>
      </w:r>
    </w:p>
    <w:tbl>
      <w:tblPr>
        <w:tblW w:w="9405" w:type="dxa"/>
        <w:jc w:val="center"/>
        <w:tblInd w:w="0" w:type="dxa"/>
        <w:tblLayout w:type="fixed"/>
        <w:tblCellMar>
          <w:top w:w="28" w:type="dxa"/>
          <w:left w:w="28" w:type="dxa"/>
          <w:bottom w:w="28" w:type="dxa"/>
          <w:right w:w="28" w:type="dxa"/>
        </w:tblCellMar>
      </w:tblPr>
      <w:tblGrid>
        <w:gridCol w:w="3007"/>
        <w:gridCol w:w="2645"/>
        <w:gridCol w:w="3753"/>
      </w:tblGrid>
      <w:tr>
        <w:trPr/>
        <w:tc>
          <w:tcPr>
            <w:tcW w:w="3007"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3753" w:type="dxa"/>
            <w:tcBorders/>
            <w:vAlign w:val="center"/>
          </w:tcPr>
          <w:p>
            <w:pPr>
              <w:pStyle w:val="TableContents"/>
              <w:bidi w:val="0"/>
              <w:spacing w:before="0" w:after="283"/>
              <w:jc w:val="left"/>
              <w:rPr>
                <w:sz w:val="4"/>
                <w:szCs w:val="4"/>
              </w:rPr>
            </w:pPr>
            <w:r>
              <w:rPr>
                <w:sz w:val="4"/>
                <w:szCs w:val="4"/>
              </w:rPr>
            </w:r>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rebuchet;sans-serif" w:hAnsi="Trebuchet;sans-serif"/>
                <w:b/>
                <w:color w:val="000000"/>
                <w:sz w:val="28"/>
              </w:rPr>
            </w:pPr>
            <w:r>
              <w:rPr>
                <w:rFonts w:ascii="Trebuchet;sans-serif" w:hAnsi="Trebuchet;sans-serif"/>
                <w:b/>
                <w:color w:val="000000"/>
                <w:sz w:val="28"/>
              </w:rPr>
              <w:t>Avis Budget Group Reports Second Quarter 2026 Results</w:t>
            </w:r>
          </w:p>
        </w:tc>
      </w:tr>
    </w:tbl>
    <w:p>
      <w:pPr>
        <w:pStyle w:val="TextBody"/>
        <w:bidi w:val="0"/>
        <w:spacing w:before="0" w:after="0"/>
        <w:jc w:val="center"/>
        <w:rPr/>
      </w:pPr>
      <w:r>
        <w:rPr/>
      </w:r>
    </w:p>
    <w:p>
      <w:pPr>
        <w:pStyle w:val="TextBody"/>
        <w:bidi w:val="0"/>
        <w:spacing w:lineRule="auto" w:line="288" w:before="0" w:after="0"/>
        <w:jc w:val="both"/>
        <w:rPr/>
      </w:pPr>
      <w:r>
        <w:rPr>
          <w:rFonts w:ascii="Trebuchet;sans-serif" w:hAnsi="Trebuchet;sans-serif"/>
          <w:b/>
          <w:color w:val="000000"/>
          <w:sz w:val="22"/>
        </w:rPr>
        <w:t>PARSIPPANY, N.J., July 28, 2026</w:t>
      </w:r>
      <w:r>
        <w:rPr>
          <w:color w:val="000000"/>
        </w:rPr>
        <w:t xml:space="preserve"> </w:t>
      </w:r>
      <w:r>
        <w:rPr>
          <w:rFonts w:ascii="Trebuchet;sans-serif" w:hAnsi="Trebuchet;sans-serif"/>
          <w:b w:val="false"/>
          <w:color w:val="000000"/>
          <w:sz w:val="22"/>
        </w:rPr>
        <w:t>- Avis Budget Group, Inc. (</w:t>
      </w:r>
      <w:r>
        <w:rPr>
          <w:rFonts w:ascii="Trebuchet;sans-serif" w:hAnsi="Trebuchet;sans-serif"/>
          <w:b/>
          <w:color w:val="000000"/>
          <w:sz w:val="22"/>
        </w:rPr>
        <w:t>NASDAQ: CAR</w:t>
      </w:r>
      <w:r>
        <w:rPr>
          <w:rFonts w:ascii="Trebuchet;sans-serif" w:hAnsi="Trebuchet;sans-serif"/>
          <w:b w:val="false"/>
          <w:color w:val="000000"/>
          <w:sz w:val="22"/>
        </w:rPr>
        <w:t>) announced financial results for the second quarter ended June 30, 2026 today. We ended the quarter with revenues of $3.0 billion, net income of $63 million, and an Adjusted EBITDA</w:t>
      </w:r>
      <w:r>
        <w:rPr>
          <w:rFonts w:ascii="Trebuchet;sans-serif" w:hAnsi="Trebuchet;sans-serif"/>
          <w:b w:val="false"/>
          <w:color w:val="000000"/>
          <w:sz w:val="14"/>
        </w:rPr>
        <w:t xml:space="preserve">1 </w:t>
      </w:r>
      <w:r>
        <w:rPr>
          <w:rFonts w:ascii="Trebuchet;sans-serif" w:hAnsi="Trebuchet;sans-serif"/>
          <w:b w:val="false"/>
          <w:color w:val="000000"/>
          <w:sz w:val="22"/>
        </w:rPr>
        <w:t>of $286 million.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rebuchet;sans-serif" w:hAnsi="Trebuchet;sans-serif"/>
          <w:b w:val="false"/>
          <w:color w:val="000000"/>
          <w:sz w:val="22"/>
        </w:rPr>
        <w:t>The second quarter demonstrated how we are operating the business differently: as booking trends shifted, we moved quickly to resize fleet, protect utilization and returns, and deliver Adjusted EBITDA in line with our initial expectations,” said Brian Choi, Avis Budget Group CEO. “We remain focused on disciplined execution, stronger customer experiences, and building a business that can perform across different demand environments.”</w:t>
      </w:r>
    </w:p>
    <w:p>
      <w:pPr>
        <w:pStyle w:val="TextBody"/>
        <w:bidi w:val="0"/>
        <w:spacing w:before="120" w:after="283"/>
        <w:jc w:val="both"/>
        <w:rPr/>
      </w:pPr>
      <w:r>
        <w:rPr/>
      </w:r>
    </w:p>
    <w:p>
      <w:pPr>
        <w:pStyle w:val="TextBody"/>
        <w:bidi w:val="0"/>
        <w:spacing w:lineRule="auto" w:line="288" w:before="0" w:after="0"/>
        <w:jc w:val="both"/>
        <w:rPr>
          <w:rFonts w:ascii="Trebuchet;sans-serif" w:hAnsi="Trebuchet;sans-serif"/>
          <w:b/>
          <w:color w:val="000000"/>
          <w:sz w:val="22"/>
        </w:rPr>
      </w:pPr>
      <w:r>
        <w:rPr>
          <w:rFonts w:ascii="Trebuchet;sans-serif" w:hAnsi="Trebuchet;sans-serif"/>
          <w:b/>
          <w:color w:val="000000"/>
          <w:sz w:val="22"/>
        </w:rPr>
        <w:t>Q2 OPERATIONAL HIGHLIGHTS</w:t>
      </w:r>
    </w:p>
    <w:p>
      <w:pPr>
        <w:pStyle w:val="TextBody"/>
        <w:bidi w:val="0"/>
        <w:spacing w:lineRule="auto" w:line="288" w:before="120" w:after="283"/>
        <w:ind w:left="0" w:right="0" w:hanging="360"/>
        <w:jc w:val="both"/>
        <w:rPr/>
      </w:pPr>
      <w:r>
        <w:rPr>
          <w:color w:val="000000"/>
        </w:rPr>
        <w:t>•</w:t>
      </w:r>
      <w:r>
        <w:rPr>
          <w:rFonts w:ascii="Trebuchet;sans-serif" w:hAnsi="Trebuchet;sans-serif"/>
          <w:b w:val="false"/>
          <w:color w:val="000000"/>
          <w:sz w:val="22"/>
        </w:rPr>
        <w:t xml:space="preserve">Total Company Vehicle Utilization reached 72.6%, up 1.9 points year-over-year, with Americas utilization up 2.5 points to 73.2%, a second quarter record high for both Total Company and Americas. </w:t>
      </w:r>
    </w:p>
    <w:p>
      <w:pPr>
        <w:pStyle w:val="TextBody"/>
        <w:bidi w:val="0"/>
        <w:spacing w:lineRule="auto" w:line="288" w:before="120" w:after="283"/>
        <w:ind w:left="0" w:right="0" w:hanging="360"/>
        <w:jc w:val="both"/>
        <w:rPr/>
      </w:pPr>
      <w:r>
        <w:rPr>
          <w:color w:val="000000"/>
        </w:rPr>
        <w:t>•</w:t>
      </w:r>
      <w:r>
        <w:rPr>
          <w:rFonts w:ascii="Trebuchet;sans-serif" w:hAnsi="Trebuchet;sans-serif"/>
          <w:b w:val="false"/>
          <w:color w:val="000000"/>
          <w:sz w:val="22"/>
        </w:rPr>
        <w:t xml:space="preserve">Total Company per-unit fleet costs were $290 per month, excluding exchange rate effects, a decrease of 4% compared to the second quarter of 2025. </w:t>
      </w:r>
    </w:p>
    <w:p>
      <w:pPr>
        <w:pStyle w:val="TextBody"/>
        <w:bidi w:val="0"/>
        <w:spacing w:lineRule="auto" w:line="288" w:before="120" w:after="283"/>
        <w:ind w:left="0" w:right="0" w:hanging="360"/>
        <w:jc w:val="both"/>
        <w:rPr/>
      </w:pPr>
      <w:r>
        <w:rPr>
          <w:color w:val="000000"/>
        </w:rPr>
        <w:t>•</w:t>
      </w:r>
      <w:r>
        <w:rPr>
          <w:rFonts w:ascii="Trebuchet;sans-serif" w:hAnsi="Trebuchet;sans-serif"/>
          <w:b w:val="false"/>
          <w:color w:val="000000"/>
          <w:sz w:val="22"/>
        </w:rPr>
        <w:t>Avis’ autonomous vehicle partnership with Waymo went live in Dallas, TX on June 1st, completing</w:t>
      </w:r>
      <w:r>
        <w:rPr>
          <w:color w:val="000000"/>
          <w:shd w:fill="FFFFFF" w:val="clear"/>
        </w:rPr>
        <w:t xml:space="preserve"> </w:t>
      </w:r>
      <w:r>
        <w:rPr>
          <w:rFonts w:ascii="Trebuchet;sans-serif" w:hAnsi="Trebuchet;sans-serif"/>
          <w:b w:val="false"/>
          <w:color w:val="000000"/>
          <w:sz w:val="22"/>
          <w:shd w:fill="FFFFFF" w:val="clear"/>
        </w:rPr>
        <w:t xml:space="preserve">thousands of </w:t>
      </w:r>
      <w:r>
        <w:rPr>
          <w:rFonts w:ascii="Trebuchet;sans-serif" w:hAnsi="Trebuchet;sans-serif"/>
          <w:b w:val="false"/>
          <w:color w:val="000000"/>
          <w:sz w:val="22"/>
        </w:rPr>
        <w:t xml:space="preserve">trips in its first month of operation. </w:t>
      </w:r>
    </w:p>
    <w:p>
      <w:pPr>
        <w:pStyle w:val="TextBody"/>
        <w:bidi w:val="0"/>
        <w:spacing w:lineRule="auto" w:line="288" w:before="120" w:after="283"/>
        <w:ind w:left="0" w:right="0" w:hanging="360"/>
        <w:jc w:val="both"/>
        <w:rPr/>
      </w:pPr>
      <w:r>
        <w:rPr>
          <w:color w:val="000000"/>
        </w:rPr>
        <w:t>•</w:t>
      </w:r>
      <w:r>
        <w:rPr>
          <w:rFonts w:ascii="Trebuchet;sans-serif" w:hAnsi="Trebuchet;sans-serif"/>
          <w:b w:val="false"/>
          <w:color w:val="000000"/>
          <w:sz w:val="22"/>
        </w:rPr>
        <w:t>In May, we issued $300 million of add-on unsecured Senior Notes due 2031 and used the proceeds in June to repay a portion of our unsecured Senior Notes due 2027.</w:t>
      </w:r>
    </w:p>
    <w:p>
      <w:pPr>
        <w:pStyle w:val="TextBody"/>
        <w:bidi w:val="0"/>
        <w:spacing w:lineRule="auto" w:line="288" w:before="120" w:after="283"/>
        <w:ind w:left="0" w:right="0" w:hanging="360"/>
        <w:jc w:val="both"/>
        <w:rPr/>
      </w:pPr>
      <w:r>
        <w:rPr>
          <w:color w:val="000000"/>
        </w:rPr>
        <w:t>•</w:t>
      </w:r>
      <w:r>
        <w:rPr>
          <w:rFonts w:ascii="Trebuchet;sans-serif" w:hAnsi="Trebuchet;sans-serif"/>
          <w:b w:val="false"/>
          <w:color w:val="000000"/>
          <w:sz w:val="22"/>
        </w:rPr>
        <w:t xml:space="preserve">In June 2026, we refinanced our existing $2 billion senior revolving credit facility with a new $2 billion senior revolving credit facility with a maturity in June 2031 and also established a new $200 million senior revolving credit facility with a maturity in June 2028. </w:t>
      </w:r>
    </w:p>
    <w:p>
      <w:pPr>
        <w:pStyle w:val="TextBody"/>
        <w:bidi w:val="0"/>
        <w:spacing w:lineRule="auto" w:line="288" w:before="120" w:after="283"/>
        <w:ind w:left="0" w:right="0" w:hanging="360"/>
        <w:jc w:val="both"/>
        <w:rPr/>
      </w:pPr>
      <w:r>
        <w:rPr>
          <w:color w:val="000000"/>
        </w:rPr>
        <w:t>•</w:t>
      </w:r>
      <w:r>
        <w:rPr>
          <w:rFonts w:ascii="Trebuchet;sans-serif" w:hAnsi="Trebuchet;sans-serif"/>
          <w:b w:val="false"/>
          <w:color w:val="000000"/>
          <w:sz w:val="22"/>
        </w:rPr>
        <w:t>Our liquidity position at the end of the quarter was approximately $1.0 billion, with an additional $1.9 billion of fleet funding capacity.</w:t>
      </w:r>
    </w:p>
    <w:p>
      <w:pPr>
        <w:pStyle w:val="TextBody"/>
        <w:bidi w:val="0"/>
        <w:spacing w:before="60" w:after="283"/>
        <w:jc w:val="both"/>
        <w:rPr/>
      </w:pPr>
      <w:r>
        <w:rPr/>
      </w:r>
    </w:p>
    <w:p>
      <w:pPr>
        <w:pStyle w:val="TextBody"/>
        <w:bidi w:val="0"/>
        <w:spacing w:lineRule="auto" w:line="288" w:before="60" w:after="283"/>
        <w:jc w:val="both"/>
        <w:rPr>
          <w:rFonts w:ascii="Trebuchet;sans-serif" w:hAnsi="Trebuchet;sans-serif"/>
          <w:b/>
          <w:color w:val="000000"/>
          <w:sz w:val="22"/>
        </w:rPr>
      </w:pPr>
      <w:r>
        <w:rPr>
          <w:rFonts w:ascii="Trebuchet;sans-serif" w:hAnsi="Trebuchet;sans-serif"/>
          <w:b/>
          <w:color w:val="000000"/>
          <w:sz w:val="22"/>
        </w:rPr>
        <w:t>SUPPLEMENTAL FINANCIALS</w:t>
      </w:r>
    </w:p>
    <w:p>
      <w:pPr>
        <w:pStyle w:val="TextBody"/>
        <w:bidi w:val="0"/>
        <w:spacing w:before="0" w:after="0"/>
        <w:jc w:val="both"/>
        <w:rPr/>
      </w:pPr>
      <w:r>
        <w:rPr/>
      </w:r>
    </w:p>
    <w:p>
      <w:pPr>
        <w:pStyle w:val="TextBody"/>
        <w:bidi w:val="0"/>
        <w:spacing w:lineRule="auto" w:line="288" w:before="0" w:after="0"/>
        <w:jc w:val="both"/>
        <w:rPr>
          <w:rFonts w:ascii="Trebuchet;sans-serif" w:hAnsi="Trebuchet;sans-serif"/>
          <w:b w:val="false"/>
          <w:color w:val="000000"/>
          <w:sz w:val="22"/>
        </w:rPr>
      </w:pPr>
      <w:r>
        <w:rPr>
          <w:rFonts w:ascii="Trebuchet;sans-serif" w:hAnsi="Trebuchet;sans-serif"/>
          <w:b w:val="false"/>
          <w:color w:val="000000"/>
          <w:sz w:val="22"/>
        </w:rPr>
        <w:t>Investors may access our second quarter 2026 supplemental financials on our investor relations website at ir.avisbudgetgroup.com.</w:t>
      </w:r>
    </w:p>
    <w:p>
      <w:pPr>
        <w:pStyle w:val="TextBody"/>
        <w:bidi w:val="0"/>
        <w:spacing w:before="0" w:after="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32840"/>
                <wp:effectExtent l="0" t="0" r="0" b="0"/>
                <wp:wrapNone/>
                <wp:docPr id="5" name="Frame4"/>
                <a:graphic xmlns:a="http://schemas.openxmlformats.org/drawingml/2006/main">
                  <a:graphicData uri="http://schemas.microsoft.com/office/word/2010/wordprocessingShape">
                    <wps:wsp>
                      <wps:cNvSpPr txBox="1"/>
                      <wps:spPr>
                        <a:xfrm>
                          <a:off x="0" y="0"/>
                          <a:ext cx="6480175" cy="1132840"/>
                        </a:xfrm>
                        <a:prstGeom prst="rect"/>
                        <a:solidFill>
                          <a:srgbClr val="FFFFFF"/>
                        </a:solidFill>
                      </wps:spPr>
                      <wps:txbx>
                        <w:txbxContent>
                          <w:tbl>
                            <w:tblPr>
                              <w:tblW w:w="10205" w:type="dxa"/>
                              <w:jc w:val="left"/>
                              <w:tblInd w:w="0" w:type="dxa"/>
                              <w:tblLayout w:type="fixed"/>
                              <w:tblCellMar>
                                <w:top w:w="28" w:type="dxa"/>
                                <w:left w:w="28" w:type="dxa"/>
                                <w:bottom w:w="28" w:type="dxa"/>
                                <w:right w:w="28" w:type="dxa"/>
                              </w:tblCellMar>
                            </w:tblPr>
                            <w:tblGrid>
                              <w:gridCol w:w="1291"/>
                              <w:gridCol w:w="1133"/>
                              <w:gridCol w:w="1111"/>
                              <w:gridCol w:w="1039"/>
                              <w:gridCol w:w="1039"/>
                              <w:gridCol w:w="1039"/>
                              <w:gridCol w:w="1039"/>
                              <w:gridCol w:w="1039"/>
                              <w:gridCol w:w="1475"/>
                            </w:tblGrid>
                            <w:tr>
                              <w:trPr/>
                              <w:tc>
                                <w:tcPr>
                                  <w:tcW w:w="1291" w:type="dxa"/>
                                  <w:tcBorders/>
                                  <w:vAlign w:val="center"/>
                                </w:tcPr>
                                <w:p>
                                  <w:pPr>
                                    <w:pStyle w:val="TableContents"/>
                                    <w:bidi w:val="0"/>
                                    <w:spacing w:before="0" w:after="283"/>
                                    <w:jc w:val="left"/>
                                    <w:rPr>
                                      <w:sz w:val="4"/>
                                      <w:szCs w:val="4"/>
                                    </w:rPr>
                                  </w:pPr>
                                  <w:r>
                                    <w:rPr>
                                      <w:sz w:val="4"/>
                                      <w:szCs w:val="4"/>
                                    </w:rPr>
                                  </w:r>
                                  <w:r>
                                    <w:br w:type="page"/>
                                  </w:r>
                                </w:p>
                              </w:tc>
                              <w:tc>
                                <w:tcPr>
                                  <w:tcW w:w="1133"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rebuchet;sans-serif" w:hAnsi="Trebuchet;sans-serif"/>
                                      <w:b w:val="false"/>
                                      <w:color w:val="000000"/>
                                      <w:sz w:val="18"/>
                                    </w:rPr>
                                  </w:pPr>
                                  <w:r>
                                    <w:rPr>
                                      <w:rFonts w:ascii="Trebuchet;sans-serif" w:hAnsi="Trebuchet;sans-serif"/>
                                      <w:b w:val="false"/>
                                      <w:color w:val="000000"/>
                                      <w:sz w:val="18"/>
                                    </w:rPr>
                                    <w:t>_________________________</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both"/>
                                    <w:rPr/>
                                  </w:pPr>
                                  <w:r>
                                    <w:rPr>
                                      <w:rFonts w:ascii="Trebuchet;sans-serif" w:hAnsi="Trebuchet;sans-serif"/>
                                      <w:b w:val="false"/>
                                      <w:color w:val="000000"/>
                                      <w:sz w:val="12"/>
                                    </w:rPr>
                                    <w:t>1</w:t>
                                  </w:r>
                                  <w:r>
                                    <w:rPr>
                                      <w:rFonts w:ascii="Trebuchet;sans-serif" w:hAnsi="Trebuchet;sans-serif"/>
                                      <w:b w:val="false"/>
                                      <w:color w:val="000000"/>
                                      <w:sz w:val="18"/>
                                    </w:rPr>
                                    <w:t>Adjusted EBITDA and certain other measures in this release are non-GAAP financial measures. See "Non-GAAP Financial Measures and Key Metrics" and the tables that accompany this release for the definitions and reconciliations of these non-GAAP measures to the most comparable GAAP measures.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pt;mso-wrap-distance-left:0pt;mso-wrap-distance-right:0pt;mso-wrap-distance-top:0pt;mso-wrap-distance-bottom:0pt;margin-top:0pt;mso-position-vertical:top;mso-position-vertical-relative:text;margin-left:-481.35pt;mso-position-horizontal:left;mso-position-horizontal-relative:text">
                <v:textbox>
                  <w:txbxContent>
                    <w:tbl>
                      <w:tblPr>
                        <w:tblW w:w="10205" w:type="dxa"/>
                        <w:jc w:val="left"/>
                        <w:tblInd w:w="0" w:type="dxa"/>
                        <w:tblLayout w:type="fixed"/>
                        <w:tblCellMar>
                          <w:top w:w="28" w:type="dxa"/>
                          <w:left w:w="28" w:type="dxa"/>
                          <w:bottom w:w="28" w:type="dxa"/>
                          <w:right w:w="28" w:type="dxa"/>
                        </w:tblCellMar>
                      </w:tblPr>
                      <w:tblGrid>
                        <w:gridCol w:w="1291"/>
                        <w:gridCol w:w="1133"/>
                        <w:gridCol w:w="1111"/>
                        <w:gridCol w:w="1039"/>
                        <w:gridCol w:w="1039"/>
                        <w:gridCol w:w="1039"/>
                        <w:gridCol w:w="1039"/>
                        <w:gridCol w:w="1039"/>
                        <w:gridCol w:w="1475"/>
                      </w:tblGrid>
                      <w:tr>
                        <w:trPr/>
                        <w:tc>
                          <w:tcPr>
                            <w:tcW w:w="12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rebuchet;sans-serif" w:hAnsi="Trebuchet;sans-serif"/>
                                <w:b w:val="false"/>
                                <w:color w:val="000000"/>
                                <w:sz w:val="18"/>
                              </w:rPr>
                            </w:pPr>
                            <w:r>
                              <w:rPr>
                                <w:rFonts w:ascii="Trebuchet;sans-serif" w:hAnsi="Trebuchet;sans-serif"/>
                                <w:b w:val="false"/>
                                <w:color w:val="000000"/>
                                <w:sz w:val="18"/>
                              </w:rPr>
                              <w:t>_________________________</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both"/>
                              <w:rPr/>
                            </w:pPr>
                            <w:r>
                              <w:rPr>
                                <w:rFonts w:ascii="Trebuchet;sans-serif" w:hAnsi="Trebuchet;sans-serif"/>
                                <w:b w:val="false"/>
                                <w:color w:val="000000"/>
                                <w:sz w:val="12"/>
                              </w:rPr>
                              <w:t>1</w:t>
                            </w:r>
                            <w:r>
                              <w:rPr>
                                <w:rFonts w:ascii="Trebuchet;sans-serif" w:hAnsi="Trebuchet;sans-serif"/>
                                <w:b w:val="false"/>
                                <w:color w:val="000000"/>
                                <w:sz w:val="18"/>
                              </w:rPr>
                              <w:t>Adjusted EBITDA and certain other measures in this release are non-GAAP financial measures. See "Non-GAAP Financial Measures and Key Metrics" and the tables that accompany this release for the definitions and reconciliations of these non-GAAP measures to the most comparable GAAP measures.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83"/>
        <w:jc w:val="both"/>
        <w:rPr>
          <w:rFonts w:ascii="Trebuchet;sans-serif" w:hAnsi="Trebuchet;sans-serif"/>
          <w:b/>
          <w:color w:val="000000"/>
          <w:sz w:val="22"/>
        </w:rPr>
      </w:pPr>
      <w:r>
        <w:rPr>
          <w:rFonts w:ascii="Trebuchet;sans-serif" w:hAnsi="Trebuchet;sans-serif"/>
          <w:b/>
          <w:color w:val="000000"/>
          <w:sz w:val="22"/>
        </w:rPr>
        <w:t>INVESTOR CONFERENCE CALL</w:t>
      </w:r>
    </w:p>
    <w:p>
      <w:pPr>
        <w:pStyle w:val="TextBody"/>
        <w:bidi w:val="0"/>
        <w:spacing w:before="0" w:after="0"/>
        <w:jc w:val="both"/>
        <w:rPr/>
      </w:pPr>
      <w:r>
        <w:rPr/>
      </w:r>
    </w:p>
    <w:p>
      <w:pPr>
        <w:pStyle w:val="TextBody"/>
        <w:bidi w:val="0"/>
        <w:spacing w:lineRule="auto" w:line="288" w:before="0" w:after="0"/>
        <w:jc w:val="both"/>
        <w:rPr>
          <w:rFonts w:ascii="Trebuchet;sans-serif" w:hAnsi="Trebuchet;sans-serif"/>
          <w:b w:val="false"/>
          <w:color w:val="000000"/>
          <w:sz w:val="22"/>
        </w:rPr>
      </w:pPr>
      <w:r>
        <w:rPr>
          <w:rFonts w:ascii="Trebuchet;sans-serif" w:hAnsi="Trebuchet;sans-serif"/>
          <w:b w:val="false"/>
          <w:color w:val="000000"/>
          <w:sz w:val="22"/>
        </w:rPr>
        <w:t>We will host a conference call to discuss our second quarter results on July 29, 2026, at 8:30 a.m. (ET). Investors may access the call on our investor relations website at ir.avisbudgetgroup.com or by dialing (877) 407-2991. A replay of the call will be available on our website and at (877) 660-6853 using conference code 13761808.</w:t>
      </w:r>
    </w:p>
    <w:p>
      <w:pPr>
        <w:pStyle w:val="TextBody"/>
        <w:bidi w:val="0"/>
        <w:spacing w:before="0" w:after="0"/>
        <w:jc w:val="both"/>
        <w:rPr/>
      </w:pPr>
      <w:r>
        <w:rPr/>
      </w:r>
    </w:p>
    <w:p>
      <w:pPr>
        <w:pStyle w:val="TextBody"/>
        <w:bidi w:val="0"/>
        <w:spacing w:lineRule="auto" w:line="288" w:before="0" w:after="0"/>
        <w:jc w:val="both"/>
        <w:rPr>
          <w:rFonts w:ascii="Trebuchet;sans-serif" w:hAnsi="Trebuchet;sans-serif"/>
          <w:b/>
          <w:color w:val="000000"/>
          <w:sz w:val="22"/>
        </w:rPr>
      </w:pPr>
      <w:r>
        <w:rPr>
          <w:rFonts w:ascii="Trebuchet;sans-serif" w:hAnsi="Trebuchet;sans-serif"/>
          <w:b/>
          <w:color w:val="000000"/>
          <w:sz w:val="22"/>
        </w:rPr>
        <w:t>ABOUT AVIS BUDGET GROUP</w:t>
      </w:r>
    </w:p>
    <w:p>
      <w:pPr>
        <w:pStyle w:val="TextBody"/>
        <w:bidi w:val="0"/>
        <w:spacing w:before="0" w:after="0"/>
        <w:jc w:val="both"/>
        <w:rPr/>
      </w:pPr>
      <w:r>
        <w:rPr/>
      </w:r>
    </w:p>
    <w:p>
      <w:pPr>
        <w:pStyle w:val="TextBody"/>
        <w:bidi w:val="0"/>
        <w:spacing w:lineRule="auto" w:line="288" w:before="0" w:after="0"/>
        <w:jc w:val="both"/>
        <w:rPr>
          <w:rFonts w:ascii="Trebuchet;sans-serif" w:hAnsi="Trebuchet;sans-serif"/>
          <w:b w:val="false"/>
          <w:color w:val="000000"/>
          <w:sz w:val="22"/>
        </w:rPr>
      </w:pPr>
      <w:r>
        <w:rPr>
          <w:rFonts w:ascii="Trebuchet;sans-serif" w:hAnsi="Trebuchet;sans-serif"/>
          <w:b w:val="false"/>
          <w:color w:val="000000"/>
          <w:sz w:val="22"/>
        </w:rPr>
        <w:t>We are a leading global provider of mobility solutions through our three most recognized brands, Avis, Budget and Zipcar, as well as several other brands, well recognized in their respective markets. We license the use of the Avis, Budget, Zipcar and other brands’ trademarks to licensees in areas in which we do not operate directly. We and our licensees operate our brands in approximately 180 countries throughout the world. Our brands and mobility solutions have an extended global reach with approximately 10,000 rental locations throughout the world. We operate most of our car rental locations in North America, Europe and Australasia. We are headquartered in Parsippany, N.J. More information is available at avisbudgetgroup.com.</w:t>
      </w:r>
    </w:p>
    <w:p>
      <w:pPr>
        <w:pStyle w:val="TextBody"/>
        <w:bidi w:val="0"/>
        <w:spacing w:before="0" w:after="0"/>
        <w:jc w:val="both"/>
        <w:rPr/>
      </w:pPr>
      <w:r>
        <w:rPr/>
      </w:r>
    </w:p>
    <w:p>
      <w:pPr>
        <w:pStyle w:val="TextBody"/>
        <w:bidi w:val="0"/>
        <w:spacing w:lineRule="auto" w:line="288" w:before="0" w:after="0"/>
        <w:jc w:val="both"/>
        <w:rPr>
          <w:rFonts w:ascii="Trebuchet;sans-serif" w:hAnsi="Trebuchet;sans-serif"/>
          <w:b/>
          <w:color w:val="000000"/>
          <w:sz w:val="22"/>
        </w:rPr>
      </w:pPr>
      <w:r>
        <w:rPr>
          <w:rFonts w:ascii="Trebuchet;sans-serif" w:hAnsi="Trebuchet;sans-serif"/>
          <w:b/>
          <w:color w:val="000000"/>
          <w:sz w:val="22"/>
        </w:rPr>
        <w:t>NON-GAAP FINANCIAL MEASURES AND KEY METRICS</w:t>
      </w:r>
    </w:p>
    <w:p>
      <w:pPr>
        <w:pStyle w:val="TextBody"/>
        <w:bidi w:val="0"/>
        <w:spacing w:before="0" w:after="0"/>
        <w:jc w:val="left"/>
        <w:rPr/>
      </w:pPr>
      <w:r>
        <w:rPr/>
      </w:r>
    </w:p>
    <w:p>
      <w:pPr>
        <w:pStyle w:val="TextBody"/>
        <w:bidi w:val="0"/>
        <w:spacing w:lineRule="auto" w:line="288" w:before="0" w:after="0"/>
        <w:jc w:val="both"/>
        <w:rPr>
          <w:rFonts w:ascii="Trebuchet;sans-serif" w:hAnsi="Trebuchet;sans-serif"/>
          <w:b w:val="false"/>
          <w:i/>
          <w:color w:val="000000"/>
          <w:sz w:val="18"/>
        </w:rPr>
      </w:pPr>
      <w:r>
        <w:rPr>
          <w:rFonts w:ascii="Trebuchet;sans-serif" w:hAnsi="Trebuchet;sans-serif"/>
          <w:b w:val="false"/>
          <w:i/>
          <w:color w:val="000000"/>
          <w:sz w:val="18"/>
        </w:rPr>
        <w:t>This release includes financial measures such as Adjusted EBITDA and Adjusted Free Cash Flow, as well as other financial measures, that are not considered generally accepted accounting principle (“GAAP”) measures as defined under SEC rules. Important information regarding such non-GAAP measures is contained in the tables within this release and in Appendix I, including the definitions of these measures and reconciliations to the most comparable U.S. GAAP measures.</w:t>
      </w:r>
    </w:p>
    <w:p>
      <w:pPr>
        <w:pStyle w:val="TextBody"/>
        <w:bidi w:val="0"/>
        <w:spacing w:before="0" w:after="0"/>
        <w:jc w:val="both"/>
        <w:rPr/>
      </w:pPr>
      <w:r>
        <w:rPr/>
      </w:r>
    </w:p>
    <w:p>
      <w:pPr>
        <w:pStyle w:val="TextBody"/>
        <w:bidi w:val="0"/>
        <w:spacing w:lineRule="auto" w:line="288" w:before="0" w:after="0"/>
        <w:jc w:val="both"/>
        <w:rPr>
          <w:rFonts w:ascii="Trebuchet;sans-serif" w:hAnsi="Trebuchet;sans-serif"/>
          <w:b w:val="false"/>
          <w:i/>
          <w:color w:val="000000"/>
          <w:sz w:val="18"/>
        </w:rPr>
      </w:pPr>
      <w:r>
        <w:rPr>
          <w:rFonts w:ascii="Trebuchet;sans-serif" w:hAnsi="Trebuchet;sans-serif"/>
          <w:b w:val="false"/>
          <w:i/>
          <w:color w:val="000000"/>
          <w:sz w:val="18"/>
        </w:rPr>
        <w:t>We measure performance principally using the following key metrics: (i) rental days, (ii) revenue per day, (iii) vehicle utilization, and (iv) per-unit fleet costs. Our rental days, revenue per day and vehicle utilization metrics are all calculated based on the actual rental of the vehicle during a 24-hour period. We believe that this methodology provides management with the most relevant metrics in order to effectively manage the performance of our business. Our calculations may not be comparable to the calculations of similarly-titled metrics by other companies. We present currency exchange rate effects on our key metrics to provide a method of assessing how our business performed excluding the effects of foreign currency rate fluctuations. Currency exchange rate effects are calculated by translating the current-period's results at the prior-period average exchange rates plus any related gains and losses on currency hedges.</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2560"/>
                <wp:effectExtent l="0" t="0" r="0" b="0"/>
                <wp:wrapNone/>
                <wp:docPr id="6" name="Frame5"/>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Trebuchet;sans-serif" w:hAnsi="Trebuchet;sans-serif"/>
                                <w:b w:val="false"/>
                                <w:color w:val="000000"/>
                                <w:sz w:val="22"/>
                              </w:rPr>
                            </w:pPr>
                            <w:r>
                              <w:rPr>
                                <w:rFonts w:ascii="Trebuchet;sans-serif" w:hAnsi="Trebuchet;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rebuchet;sans-serif" w:hAnsi="Trebuchet;sans-serif"/>
                          <w:b w:val="false"/>
                          <w:color w:val="000000"/>
                          <w:sz w:val="22"/>
                        </w:rPr>
                      </w:pPr>
                      <w:r>
                        <w:rPr>
                          <w:rFonts w:ascii="Trebuchet;sans-serif" w:hAnsi="Trebuchet;sans-serif"/>
                          <w:b w:val="false"/>
                          <w:color w:val="000000"/>
                          <w:sz w:val="22"/>
                        </w:rPr>
                        <w:t>2</w:t>
                      </w:r>
                    </w:p>
                  </w:txbxContent>
                </v:textbox>
                <w10:wrap type="none"/>
              </v:rect>
            </w:pict>
          </mc:Fallback>
        </mc:AlternateContent>
      </w:r>
    </w:p>
    <w:p>
      <w:pPr>
        <w:pStyle w:val="TextBody"/>
        <w:bidi w:val="0"/>
        <w:spacing w:lineRule="auto" w:line="288" w:before="0" w:after="0"/>
        <w:jc w:val="both"/>
        <w:rPr>
          <w:rFonts w:ascii="Trebuchet;sans-serif" w:hAnsi="Trebuchet;sans-serif"/>
          <w:b/>
          <w:color w:val="000000"/>
          <w:sz w:val="22"/>
        </w:rPr>
      </w:pPr>
      <w:r>
        <w:rPr>
          <w:rFonts w:ascii="Trebuchet;sans-serif" w:hAnsi="Trebuchet;sans-serif"/>
          <w:b/>
          <w:color w:val="000000"/>
          <w:sz w:val="22"/>
        </w:rPr>
        <w:t>FORWARD-LOOKING STATEMENTS</w:t>
      </w:r>
    </w:p>
    <w:p>
      <w:pPr>
        <w:pStyle w:val="TextBody"/>
        <w:bidi w:val="0"/>
        <w:spacing w:before="0" w:after="0"/>
        <w:jc w:val="left"/>
        <w:rPr/>
      </w:pPr>
      <w:r>
        <w:rPr/>
      </w:r>
    </w:p>
    <w:p>
      <w:pPr>
        <w:pStyle w:val="TextBody"/>
        <w:bidi w:val="0"/>
        <w:spacing w:lineRule="auto" w:line="288" w:before="0" w:after="0"/>
        <w:jc w:val="both"/>
        <w:rPr/>
      </w:pPr>
      <w:r>
        <w:rPr>
          <w:rFonts w:ascii="Trebuchet;sans-serif" w:hAnsi="Trebuchet;sans-serif"/>
          <w:b w:val="false"/>
          <w:i/>
          <w:color w:val="000000"/>
          <w:sz w:val="18"/>
        </w:rPr>
        <w:t>Certain statements in this press release constitute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“forecasts,” “guidance,” and similar words, expressions or phrases. The following important factors and assumptions could affect our future results and could cause actual results to differ materially from those expressed in such forward-looking statements.</w:t>
      </w:r>
      <w:r>
        <w:rPr>
          <w:color w:val="000000"/>
          <w:shd w:fill="FFFFFF" w:val="clear"/>
        </w:rPr>
        <w:t xml:space="preserve"> </w:t>
      </w:r>
      <w:r>
        <w:rPr>
          <w:rFonts w:ascii="Trebuchet;sans-serif" w:hAnsi="Trebuchet;sans-serif"/>
          <w:b w:val="false"/>
          <w:i/>
          <w:color w:val="000000"/>
          <w:sz w:val="18"/>
          <w:shd w:fill="FFFFFF" w:val="clear"/>
        </w:rPr>
        <w:t>These factors include, but are not limited to:</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rebuchet;sans-serif" w:hAnsi="Trebuchet;sans-serif"/>
          <w:b w:val="false"/>
          <w:i/>
          <w:color w:val="000000"/>
          <w:sz w:val="18"/>
          <w:shd w:fill="FFFFFF" w:val="clear"/>
        </w:rPr>
        <w:t>the high level of competition in the mobility industry, including from new companies or technology, and the impact such competition may have on pricing and rental volume;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rebuchet;sans-serif" w:hAnsi="Trebuchet;sans-serif"/>
          <w:b w:val="false"/>
          <w:i/>
          <w:color w:val="000000"/>
          <w:sz w:val="18"/>
          <w:shd w:fill="FFFFFF" w:val="clear"/>
        </w:rPr>
        <w:t>a change in our fleet costs, including as a result of a change in the cost of new vehicles, resulting from inflation, trade disputes, tariffs or otherwise, manufacturer recalls, disruption in the supply of new vehicles, including due to labor actions, trade disputes, tariffs or otherwise, shortages in semiconductors and/or other parts used in new vehicle production, and/or a change in the price at which we dispose of used vehicles either in the used vehicle market or under repurchase or guaranteed depreciation programs;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rebuchet;sans-serif" w:hAnsi="Trebuchet;sans-serif"/>
          <w:b w:val="false"/>
          <w:i/>
          <w:color w:val="000000"/>
          <w:sz w:val="18"/>
          <w:shd w:fill="FFFFFF" w:val="clear"/>
        </w:rPr>
        <w:t>the results of operations or financial condition of the manufacturers of our vehicles, which could impact their ability to perform their payment obligations under our agreements with them, including repurchase and/or guaranteed depreciation arrangements, and/or their willingness or ability to make vehicles available to us or the mobility industry as a whole on commercially reasonable terms or at all;</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rebuchet;sans-serif" w:hAnsi="Trebuchet;sans-serif"/>
          <w:b w:val="false"/>
          <w:i/>
          <w:color w:val="000000"/>
          <w:sz w:val="18"/>
          <w:shd w:fill="FFFFFF" w:val="clear"/>
        </w:rPr>
        <w:t>levels of and volatility in travel demand, including volatility in airline passenger traffic;</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rebuchet;sans-serif" w:hAnsi="Trebuchet;sans-serif"/>
          <w:b w:val="false"/>
          <w:i/>
          <w:color w:val="000000"/>
          <w:sz w:val="18"/>
          <w:shd w:fill="FFFFFF" w:val="clear"/>
        </w:rPr>
        <w:t>a deterioration or fluctuation in economic conditions, resulting in a recession, decreased levels of discretionary consumer spending for travel, or otherwise, particularly during our peak season or in key market segments;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rebuchet;sans-serif" w:hAnsi="Trebuchet;sans-serif"/>
          <w:b w:val="false"/>
          <w:i/>
          <w:color w:val="000000"/>
          <w:sz w:val="18"/>
          <w:shd w:fill="FFFFFF" w:val="clear"/>
        </w:rPr>
        <w:t xml:space="preserve">an occurrence or threat of terrorism, pandemics, severe weather events or natural disasters, military conflicts, </w:t>
      </w:r>
      <w:r>
        <w:rPr>
          <w:rFonts w:ascii="Trebuchet;sans-serif" w:hAnsi="Trebuchet;sans-serif"/>
          <w:b w:val="false"/>
          <w:i/>
          <w:color w:val="000000"/>
          <w:sz w:val="18"/>
        </w:rPr>
        <w:t xml:space="preserve">including the ongoing military conflicts in the Middle East and Eastern Europe, </w:t>
      </w:r>
      <w:r>
        <w:rPr>
          <w:rFonts w:ascii="Trebuchet;sans-serif" w:hAnsi="Trebuchet;sans-serif"/>
          <w:b w:val="false"/>
          <w:i/>
          <w:color w:val="000000"/>
          <w:sz w:val="18"/>
          <w:shd w:fill="FFFFFF" w:val="clear"/>
        </w:rPr>
        <w:t>or civil unrest in the locations in which we operate, trade disputes and tariffs, and</w:t>
      </w:r>
      <w:r>
        <w:rPr>
          <w:color w:val="000000"/>
        </w:rPr>
        <w:t xml:space="preserve"> </w:t>
      </w:r>
      <w:r>
        <w:rPr>
          <w:rFonts w:ascii="Trebuchet;sans-serif" w:hAnsi="Trebuchet;sans-serif"/>
          <w:b w:val="false"/>
          <w:i/>
          <w:color w:val="000000"/>
          <w:sz w:val="18"/>
        </w:rPr>
        <w:t>the potential effects of sanctions on the world economy and markets and/or international trade</w:t>
      </w:r>
      <w:r>
        <w:rPr>
          <w:rFonts w:ascii="Trebuchet;sans-serif" w:hAnsi="Trebuchet;sans-serif"/>
          <w:b w:val="false"/>
          <w:i/>
          <w:color w:val="000000"/>
          <w:sz w:val="18"/>
          <w:shd w:fill="FFFFFF" w:val="clear"/>
        </w:rPr>
        <w: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rebuchet;sans-serif" w:hAnsi="Trebuchet;sans-serif"/>
          <w:b w:val="false"/>
          <w:i/>
          <w:color w:val="000000"/>
          <w:sz w:val="18"/>
          <w:shd w:fill="FFFFFF" w:val="clear"/>
        </w:rPr>
        <w:t>any substantial changes in the cost or supply of fuel, vehicle parts, energy, labor or other resources on which we depend to operate our business, including as a result of pandemics, inflation, tariffs, government shutdowns, the ongoing military conflicts in the Middle East and Eastern Europe, and</w:t>
      </w:r>
      <w:r>
        <w:rPr>
          <w:color w:val="000000"/>
        </w:rPr>
        <w:t xml:space="preserve"> </w:t>
      </w:r>
      <w:r>
        <w:rPr>
          <w:rFonts w:ascii="Trebuchet;sans-serif" w:hAnsi="Trebuchet;sans-serif"/>
          <w:b w:val="false"/>
          <w:i/>
          <w:color w:val="000000"/>
          <w:sz w:val="18"/>
        </w:rPr>
        <w:t>any embargoes on oil sales imposed on or by the Russian government</w:t>
      </w:r>
      <w:r>
        <w:rPr>
          <w:rFonts w:ascii="Trebuchet;sans-serif" w:hAnsi="Trebuchet;sans-serif"/>
          <w:b w:val="false"/>
          <w:i/>
          <w:color w:val="000000"/>
          <w:sz w:val="18"/>
          <w:shd w:fill="FFFFFF" w:val="clear"/>
        </w:rPr>
        <w:t>;</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rebuchet;sans-serif" w:hAnsi="Trebuchet;sans-serif"/>
          <w:b w:val="false"/>
          <w:i/>
          <w:color w:val="000000"/>
          <w:sz w:val="18"/>
        </w:rPr>
        <w:t>our ability to successfully implement or achieve our business plans and strategies, achieve and maintain cost savings and adapt our business to changes in mobility, and successfully implement digital transformation initiatives;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rebuchet;sans-serif" w:hAnsi="Trebuchet;sans-serif"/>
          <w:b w:val="false"/>
          <w:i/>
          <w:color w:val="000000"/>
          <w:sz w:val="18"/>
          <w:shd w:fill="FFFFFF" w:val="clear"/>
        </w:rPr>
        <w:t>political, economic, or commercial instability and/or political, regulatory, or legal changes in the countries in which we operate, and our ability to conform to multiple and conflicting laws or regulations in tho</w:t>
      </w:r>
      <w:r>
        <w:rPr>
          <w:rFonts w:ascii="Trebuchet;sans-serif" w:hAnsi="Trebuchet;sans-serif"/>
          <w:b w:val="false"/>
          <w:i/>
          <w:color w:val="000000"/>
          <w:sz w:val="18"/>
        </w:rPr>
        <w:t>se countries;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rebuchet;sans-serif" w:hAnsi="Trebuchet;sans-serif"/>
          <w:b w:val="false"/>
          <w:i/>
          <w:color w:val="000000"/>
          <w:sz w:val="18"/>
          <w:shd w:fill="FFFFFF" w:val="clear"/>
        </w:rPr>
        <w:t>the performance of the used vehicle market from time to time, including our ability to dispose of vehicles in the used vehicle market on attractive terms;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rebuchet;sans-serif" w:hAnsi="Trebuchet;sans-serif"/>
          <w:b w:val="false"/>
          <w:i/>
          <w:color w:val="000000"/>
          <w:sz w:val="18"/>
          <w:shd w:fill="FFFFFF" w:val="clear"/>
        </w:rPr>
        <w:t>our dependence on third-party distribution channels, third-party suppliers of other services an</w:t>
      </w:r>
      <w:r>
        <w:rPr>
          <w:rFonts w:ascii="Trebuchet;sans-serif" w:hAnsi="Trebuchet;sans-serif"/>
          <w:b w:val="false"/>
          <w:i/>
          <w:color w:val="000000"/>
          <w:sz w:val="18"/>
        </w:rPr>
        <w:t>d co-marketing arrangements with third parties;</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2560"/>
                <wp:effectExtent l="0" t="0" r="0" b="0"/>
                <wp:wrapNone/>
                <wp:docPr id="7" name="Frame6"/>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Trebuchet;sans-serif" w:hAnsi="Trebuchet;sans-serif"/>
                                <w:b w:val="false"/>
                                <w:color w:val="000000"/>
                                <w:sz w:val="22"/>
                              </w:rPr>
                            </w:pPr>
                            <w:r>
                              <w:rPr>
                                <w:rFonts w:ascii="Trebuchet;sans-serif" w:hAnsi="Trebuchet;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rebuchet;sans-serif" w:hAnsi="Trebuchet;sans-serif"/>
                          <w:b w:val="false"/>
                          <w:color w:val="000000"/>
                          <w:sz w:val="22"/>
                        </w:rPr>
                      </w:pPr>
                      <w:r>
                        <w:rPr>
                          <w:rFonts w:ascii="Trebuchet;sans-serif" w:hAnsi="Trebuchet;sans-serif"/>
                          <w:b w:val="false"/>
                          <w:color w:val="000000"/>
                          <w:sz w:val="22"/>
                        </w:rPr>
                        <w:t>3</w:t>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Trebuchet;sans-serif" w:hAnsi="Trebuchet;sans-serif"/>
          <w:b w:val="false"/>
          <w:i/>
          <w:color w:val="000000"/>
          <w:sz w:val="18"/>
        </w:rPr>
        <w:t>risks related to completed or future acquisitions or investments that we may pursue, including the incurrence of incremental indebtedness to help fund such transactions and our ability to promptly and effectively integrate any acquired businesses or capitalize on joint ventures, partnerships and other investments;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rebuchet;sans-serif" w:hAnsi="Trebuchet;sans-serif"/>
          <w:b w:val="false"/>
          <w:i/>
          <w:color w:val="000000"/>
          <w:sz w:val="18"/>
        </w:rPr>
        <w:t>our ability to utilize derivative instruments, and the impact of derivative instruments we utilize, which can be affected by fluctuations in interest rates, fuel prices and exchange rates, changes in government regulations and other factors;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rebuchet;sans-serif" w:hAnsi="Trebuchet;sans-serif"/>
          <w:b w:val="false"/>
          <w:i/>
          <w:color w:val="000000"/>
          <w:sz w:val="18"/>
        </w:rPr>
        <w:t>our exposure to uninsured or unpaid claims in excess of historical levels or changes in the number of incidents or cost per incident, and our ability to obtain insurance at desired levels and the cost of that insurance;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rebuchet;sans-serif" w:hAnsi="Trebuchet;sans-serif"/>
          <w:b w:val="false"/>
          <w:i/>
          <w:color w:val="000000"/>
          <w:sz w:val="18"/>
        </w:rPr>
        <w:t>risks associated with litigation or governmental or regulatory inquiries, uncertainties related to the ability to recover amounts pursuant to settlement agreements, including risks related to the failure to obtain any necessary court approvals, timing related to such approvals and any potential termination of such settlement agreements, or any failure or inability to comply with laws, regulations or contractual obligations or any changes in laws, regulations or contractual obligations, including with respect to personally identifiable information and consumer privacy, labor and employment, and tax;</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rebuchet;sans-serif" w:hAnsi="Trebuchet;sans-serif"/>
          <w:b w:val="false"/>
          <w:i/>
          <w:color w:val="000000"/>
          <w:sz w:val="18"/>
        </w:rPr>
        <w:t>risks related to protecting the integrity of, and preventing unauthorized access to, our information technology systems or those of our third-party vendors, licensees, dealers, independent operators and independent contractors, and protecting the confidential information of our employees and customers against security breaches, including physical or cybersecurity breaches, attacks, or other disruptions, compliance with privacy and data protection regulation, and the effects of any potential increase in cyberattacks on the world economy and markets and/or international trade;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rebuchet;sans-serif" w:hAnsi="Trebuchet;sans-serif"/>
          <w:b w:val="false"/>
          <w:i/>
          <w:color w:val="000000"/>
          <w:sz w:val="18"/>
        </w:rPr>
        <w:t>any impact on us from the actions of our third-party vendors, licensees, dealers, independent operators and independent contractors and/or disputes that may arise out of our agreements with such parties;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rebuchet;sans-serif" w:hAnsi="Trebuchet;sans-serif"/>
          <w:b w:val="false"/>
          <w:i/>
          <w:color w:val="000000"/>
          <w:sz w:val="18"/>
        </w:rPr>
        <w:t>any major disruptions in our communication networks or information systems;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rebuchet;sans-serif" w:hAnsi="Trebuchet;sans-serif"/>
          <w:b w:val="false"/>
          <w:i/>
          <w:color w:val="000000"/>
          <w:sz w:val="18"/>
        </w:rPr>
        <w:t>risks related to tax obligations and the effect of future changes in tax laws, including the expiration of tax credits, and accounting standards;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rebuchet;sans-serif" w:hAnsi="Trebuchet;sans-serif"/>
          <w:b w:val="false"/>
          <w:i/>
          <w:color w:val="000000"/>
          <w:sz w:val="18"/>
        </w:rPr>
        <w:t>risks related to our indebtedness, including our substantial outstanding debt obligations, recent and future interest rate increases, which increase our financing costs, downgrades by rating agencies and our ability to incur substantially more debt;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rebuchet;sans-serif" w:hAnsi="Trebuchet;sans-serif"/>
          <w:b w:val="false"/>
          <w:i/>
          <w:color w:val="000000"/>
          <w:sz w:val="18"/>
        </w:rPr>
        <w:t>our ability to obtain financing for our global operations, including the funding of our vehicle fleet through the issuance of asset-backed securities and use of the global lending markets;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rebuchet;sans-serif" w:hAnsi="Trebuchet;sans-serif"/>
          <w:b w:val="false"/>
          <w:i/>
          <w:color w:val="000000"/>
          <w:sz w:val="18"/>
        </w:rPr>
        <w:t>our ability to meet the financial and other covenants contained in the agreements governing our indebtedness, or to obtain a waiver or amendment of such covenants should we be unable to meet such covenants;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rebuchet;sans-serif" w:hAnsi="Trebuchet;sans-serif"/>
          <w:b w:val="false"/>
          <w:i/>
          <w:color w:val="000000"/>
          <w:sz w:val="18"/>
        </w:rPr>
        <w:t>significant changes in the timing of our fleet rotation, carrying value of goodwill, or long-lived assets, including when there are events or changes in circumstances that indicate the carrying value may exceed the current fair value, which have in the past resulted in and in the future could result in a significant impairment charge;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rebuchet;sans-serif" w:hAnsi="Trebuchet;sans-serif"/>
          <w:b w:val="false"/>
          <w:i/>
          <w:color w:val="000000"/>
          <w:sz w:val="18"/>
        </w:rPr>
        <w:t>other business, economic, competitive, governmental, regulatory, political or technological factors affecting our operations, pricing or services.</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2560"/>
                <wp:effectExtent l="0" t="0" r="0" b="0"/>
                <wp:wrapNone/>
                <wp:docPr id="8" name="Frame7"/>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Trebuchet;sans-serif" w:hAnsi="Trebuchet;sans-serif"/>
                                <w:b w:val="false"/>
                                <w:color w:val="000000"/>
                                <w:sz w:val="22"/>
                              </w:rPr>
                            </w:pPr>
                            <w:r>
                              <w:rPr>
                                <w:rFonts w:ascii="Trebuchet;sans-serif" w:hAnsi="Trebuchet;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rebuchet;sans-serif" w:hAnsi="Trebuchet;sans-serif"/>
                          <w:b w:val="false"/>
                          <w:color w:val="000000"/>
                          <w:sz w:val="22"/>
                        </w:rPr>
                      </w:pPr>
                      <w:r>
                        <w:rPr>
                          <w:rFonts w:ascii="Trebuchet;sans-serif" w:hAnsi="Trebuchet;sans-serif"/>
                          <w:b w:val="false"/>
                          <w:color w:val="000000"/>
                          <w:sz w:val="22"/>
                        </w:rPr>
                        <w:t>4</w:t>
                      </w:r>
                    </w:p>
                  </w:txbxContent>
                </v:textbox>
                <w10:wrap type="none"/>
              </v:rect>
            </w:pict>
          </mc:Fallback>
        </mc:AlternateContent>
      </w:r>
    </w:p>
    <w:p>
      <w:pPr>
        <w:pStyle w:val="TextBody"/>
        <w:bidi w:val="0"/>
        <w:spacing w:lineRule="auto" w:line="288" w:before="0" w:after="0"/>
        <w:jc w:val="both"/>
        <w:rPr>
          <w:rFonts w:ascii="Trebuchet;sans-serif" w:hAnsi="Trebuchet;sans-serif"/>
          <w:b w:val="false"/>
          <w:i/>
          <w:color w:val="000000"/>
          <w:sz w:val="18"/>
        </w:rPr>
      </w:pPr>
      <w:r>
        <w:rPr>
          <w:rFonts w:ascii="Trebuchet;sans-serif" w:hAnsi="Trebuchet;sans-serif"/>
          <w:b w:val="false"/>
          <w:i/>
          <w:color w:val="000000"/>
          <w:sz w:val="18"/>
        </w:rPr>
        <w:t xml:space="preserve">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if future results are materially different from those forecasted or anticipated. Other factors and assumptions not identified above, including those discussed in “Management’s Discussion and Analysis of Financial Condition and Results of Operations,” set forth in Part II, Item 7, in "Risk Factors," set forth in Part I, Item 1A, and in other portions of our 2025 Annual Report on Form 10-K filed with the Securities and Exchange Commission (the “SEC”) on February 19, 2026 (the “2025 Form 10-K”), as well as in similarly titled sections set forth in Part I, Item 2 and Part II, Item 1A of our subsequently filed quarterly reports, may contain forward-looking statements and involve uncertainties that could cause actual results to differ materially from those projected in any forward-looking statements. </w:t>
      </w:r>
    </w:p>
    <w:p>
      <w:pPr>
        <w:pStyle w:val="TextBody"/>
        <w:bidi w:val="0"/>
        <w:spacing w:before="0" w:after="0"/>
        <w:jc w:val="both"/>
        <w:rPr/>
      </w:pPr>
      <w:r>
        <w:rPr/>
      </w:r>
    </w:p>
    <w:p>
      <w:pPr>
        <w:pStyle w:val="TextBody"/>
        <w:bidi w:val="0"/>
        <w:spacing w:lineRule="auto" w:line="288" w:before="0" w:after="0"/>
        <w:jc w:val="both"/>
        <w:rPr>
          <w:rFonts w:ascii="Trebuchet;sans-serif" w:hAnsi="Trebuchet;sans-serif"/>
          <w:b w:val="false"/>
          <w:i/>
          <w:color w:val="000000"/>
          <w:sz w:val="18"/>
        </w:rPr>
      </w:pPr>
      <w:r>
        <w:rPr>
          <w:rFonts w:ascii="Trebuchet;sans-serif" w:hAnsi="Trebuchet;sans-serif"/>
          <w:b w:val="false"/>
          <w:i/>
          <w:color w:val="000000"/>
          <w:sz w:val="18"/>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 For additional information concerning forward-looking statements and other important factors, refer to our 2025 Form 10-K, Quarterly Reports on Form 10-Q and other filings with the SEC.</w:t>
      </w:r>
    </w:p>
    <w:p>
      <w:pPr>
        <w:pStyle w:val="TextBody"/>
        <w:bidi w:val="0"/>
        <w:spacing w:before="0" w:after="0"/>
        <w:jc w:val="both"/>
        <w:rPr/>
      </w:pPr>
      <w:r>
        <w:rPr/>
      </w:r>
    </w:p>
    <w:tbl>
      <w:tblPr>
        <w:tblW w:w="8474" w:type="dxa"/>
        <w:jc w:val="left"/>
        <w:tblInd w:w="0" w:type="dxa"/>
        <w:tblLayout w:type="fixed"/>
        <w:tblCellMar>
          <w:top w:w="28" w:type="dxa"/>
          <w:left w:w="28" w:type="dxa"/>
          <w:bottom w:w="28" w:type="dxa"/>
          <w:right w:w="28" w:type="dxa"/>
        </w:tblCellMar>
      </w:tblPr>
      <w:tblGrid>
        <w:gridCol w:w="1314"/>
        <w:gridCol w:w="1154"/>
        <w:gridCol w:w="1161"/>
        <w:gridCol w:w="1419"/>
        <w:gridCol w:w="1419"/>
        <w:gridCol w:w="2007"/>
      </w:tblGrid>
      <w:tr>
        <w:trPr/>
        <w:tc>
          <w:tcPr>
            <w:tcW w:w="131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color w:val="000000"/>
                <w:sz w:val="20"/>
              </w:rPr>
            </w:pPr>
            <w:r>
              <w:rPr>
                <w:rFonts w:ascii="Trebuchet;sans-serif" w:hAnsi="Trebuchet;sans-serif"/>
                <w:b/>
                <w:color w:val="000000"/>
                <w:sz w:val="20"/>
              </w:rPr>
              <w:t>Investor Relations Contact:</w:t>
            </w:r>
          </w:p>
        </w:tc>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color w:val="000000"/>
                <w:sz w:val="20"/>
              </w:rPr>
            </w:pPr>
            <w:r>
              <w:rPr>
                <w:rFonts w:ascii="Trebuchet;sans-serif" w:hAnsi="Trebuchet;sans-serif"/>
                <w:b/>
                <w:color w:val="000000"/>
                <w:sz w:val="20"/>
              </w:rPr>
              <w:t>Media Relations Contact:</w:t>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David Calabria, IR@avisbudget.com</w:t>
            </w:r>
          </w:p>
        </w:tc>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Media Relations Team, ABGPress@coynepr.com</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val="false"/>
                <w:i/>
                <w:color w:val="000000"/>
                <w:sz w:val="20"/>
              </w:rPr>
            </w:pPr>
            <w:r>
              <w:rPr>
                <w:rFonts w:ascii="Trebuchet;sans-serif" w:hAnsi="Trebuchet;sans-serif"/>
                <w:b w:val="false"/>
                <w:i/>
                <w:color w:val="000000"/>
                <w:sz w:val="20"/>
              </w:rPr>
              <w:t>*** Tables 1 - 6 and Appendix I attached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2560"/>
                <wp:effectExtent l="0" t="0" r="0" b="0"/>
                <wp:wrapNone/>
                <wp:docPr id="9" name="Frame8"/>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Trebuchet;sans-serif" w:hAnsi="Trebuchet;sans-serif"/>
                                <w:b w:val="false"/>
                                <w:color w:val="000000"/>
                                <w:sz w:val="22"/>
                              </w:rPr>
                            </w:pPr>
                            <w:r>
                              <w:rPr>
                                <w:rFonts w:ascii="Trebuchet;sans-serif" w:hAnsi="Trebuchet;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ebuchet;sans-serif" w:hAnsi="Trebuchet;sans-serif"/>
                          <w:b w:val="false"/>
                          <w:color w:val="000000"/>
                          <w:sz w:val="22"/>
                        </w:rPr>
                      </w:pPr>
                      <w:r>
                        <w:rPr>
                          <w:rFonts w:ascii="Trebuchet;sans-serif" w:hAnsi="Trebuchet;sans-serif"/>
                          <w:b w:val="false"/>
                          <w:color w:val="000000"/>
                          <w:sz w:val="22"/>
                        </w:rPr>
                        <w:t>5</w:t>
                      </w:r>
                    </w:p>
                  </w:txbxContent>
                </v:textbox>
                <w10:wrap type="none"/>
              </v:rect>
            </w:pict>
          </mc:Fallback>
        </mc:AlternateContent>
      </w:r>
    </w:p>
    <w:p>
      <w:pPr>
        <w:pStyle w:val="TextBody"/>
        <w:bidi w:val="0"/>
        <w:spacing w:lineRule="auto" w:line="288" w:before="0" w:after="0"/>
        <w:ind w:left="0" w:right="0" w:firstLine="720"/>
        <w:jc w:val="right"/>
        <w:rPr>
          <w:rFonts w:ascii="Trebuchet;sans-serif" w:hAnsi="Trebuchet;sans-serif"/>
          <w:b/>
          <w:color w:val="000000"/>
          <w:sz w:val="20"/>
        </w:rPr>
      </w:pPr>
      <w:r>
        <w:rPr>
          <w:rFonts w:ascii="Trebuchet;sans-serif" w:hAnsi="Trebuchet;sans-serif"/>
          <w:b/>
          <w:color w:val="000000"/>
          <w:sz w:val="20"/>
        </w:rPr>
        <w:t>Table 1</w:t>
      </w:r>
    </w:p>
    <w:p>
      <w:pPr>
        <w:pStyle w:val="TextBody"/>
        <w:bidi w:val="0"/>
        <w:spacing w:lineRule="auto" w:line="288" w:before="0" w:after="0"/>
        <w:jc w:val="center"/>
        <w:rPr>
          <w:rFonts w:ascii="Trebuchet;sans-serif" w:hAnsi="Trebuchet;sans-serif"/>
          <w:b/>
          <w:color w:val="000000"/>
          <w:sz w:val="20"/>
        </w:rPr>
      </w:pPr>
      <w:r>
        <w:rPr>
          <w:rFonts w:ascii="Trebuchet;sans-serif" w:hAnsi="Trebuchet;sans-serif"/>
          <w:b/>
          <w:color w:val="000000"/>
          <w:sz w:val="20"/>
        </w:rPr>
        <w:t>Avis Budget Group, Inc.</w:t>
      </w:r>
    </w:p>
    <w:p>
      <w:pPr>
        <w:pStyle w:val="TextBody"/>
        <w:bidi w:val="0"/>
        <w:spacing w:lineRule="auto" w:line="288" w:before="0" w:after="0"/>
        <w:jc w:val="center"/>
        <w:rPr>
          <w:rFonts w:ascii="Trebuchet;sans-serif" w:hAnsi="Trebuchet;sans-serif"/>
          <w:b/>
          <w:color w:val="000000"/>
          <w:sz w:val="20"/>
        </w:rPr>
      </w:pPr>
      <w:r>
        <w:rPr>
          <w:rFonts w:ascii="Trebuchet;sans-serif" w:hAnsi="Trebuchet;sans-serif"/>
          <w:b/>
          <w:color w:val="000000"/>
          <w:sz w:val="20"/>
        </w:rPr>
        <w:t>SUMMARY DATA SHEET (Unaudited)</w:t>
      </w:r>
    </w:p>
    <w:p>
      <w:pPr>
        <w:pStyle w:val="TextBody"/>
        <w:bidi w:val="0"/>
        <w:spacing w:lineRule="auto" w:line="288" w:before="0" w:after="0"/>
        <w:jc w:val="center"/>
        <w:rPr>
          <w:rFonts w:ascii="Trebuchet;sans-serif" w:hAnsi="Trebuchet;sans-serif"/>
          <w:b/>
          <w:color w:val="000000"/>
          <w:sz w:val="20"/>
        </w:rPr>
      </w:pPr>
      <w:r>
        <w:rPr>
          <w:rFonts w:ascii="Trebuchet;sans-serif" w:hAnsi="Trebuchet;sans-serif"/>
          <w:b/>
          <w:color w:val="000000"/>
          <w:sz w:val="20"/>
        </w:rPr>
        <w:t>(In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89"/>
        <w:gridCol w:w="564"/>
        <w:gridCol w:w="567"/>
        <w:gridCol w:w="226"/>
        <w:gridCol w:w="708"/>
        <w:gridCol w:w="109"/>
        <w:gridCol w:w="109"/>
        <w:gridCol w:w="109"/>
        <w:gridCol w:w="109"/>
        <w:gridCol w:w="226"/>
        <w:gridCol w:w="708"/>
        <w:gridCol w:w="109"/>
        <w:gridCol w:w="109"/>
        <w:gridCol w:w="109"/>
        <w:gridCol w:w="109"/>
        <w:gridCol w:w="259"/>
        <w:gridCol w:w="259"/>
        <w:gridCol w:w="683"/>
        <w:gridCol w:w="109"/>
        <w:gridCol w:w="109"/>
        <w:gridCol w:w="109"/>
        <w:gridCol w:w="226"/>
        <w:gridCol w:w="706"/>
        <w:gridCol w:w="109"/>
        <w:gridCol w:w="109"/>
        <w:gridCol w:w="109"/>
        <w:gridCol w:w="109"/>
        <w:gridCol w:w="267"/>
        <w:gridCol w:w="834"/>
        <w:gridCol w:w="130"/>
        <w:gridCol w:w="109"/>
        <w:gridCol w:w="109"/>
        <w:gridCol w:w="109"/>
        <w:gridCol w:w="214"/>
        <w:gridCol w:w="214"/>
        <w:gridCol w:w="663"/>
      </w:tblGrid>
      <w:tr>
        <w:trPr/>
        <w:tc>
          <w:tcPr>
            <w:tcW w:w="78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Six Months Ended June 30,</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rebuchet;sans-serif" w:hAnsi="Trebuchet;sans-serif"/>
                <w:b/>
                <w:color w:val="000000"/>
                <w:sz w:val="20"/>
              </w:rPr>
            </w:pPr>
            <w:r>
              <w:rPr>
                <w:rFonts w:ascii="Trebuchet;sans-serif" w:hAnsi="Trebuchet;sans-serif"/>
                <w:b/>
                <w:color w:val="000000"/>
                <w:sz w:val="20"/>
              </w:rPr>
              <w:t>% Change</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color w:val="000000"/>
                <w:sz w:val="20"/>
              </w:rPr>
            </w:pPr>
            <w:r>
              <w:rPr>
                <w:rFonts w:ascii="Trebuchet;sans-serif" w:hAnsi="Trebuchet;sans-serif"/>
                <w:b/>
                <w:color w:val="000000"/>
                <w:sz w:val="20"/>
              </w:rPr>
              <w:t>Income Statement and Other Items</w:t>
            </w:r>
          </w:p>
        </w:tc>
        <w:tc>
          <w:tcPr>
            <w:tcW w:w="10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Revenues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5,528 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5,469 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1 </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rebuchet;sans-serif" w:hAnsi="Trebuchet;sans-serif"/>
                <w:b w:val="false"/>
                <w:color w:val="000000"/>
                <w:sz w:val="20"/>
              </w:rPr>
            </w:pPr>
            <w:r>
              <w:rPr>
                <w:rFonts w:ascii="Trebuchet;sans-serif" w:hAnsi="Trebuchet;sans-serif"/>
                <w:b w:val="false"/>
                <w:color w:val="000000"/>
                <w:sz w:val="20"/>
              </w:rPr>
              <w:t>%</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Income (loss) before income taxes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(662)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60 </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rebuchet;sans-serif" w:hAnsi="Trebuchet;sans-serif"/>
                <w:b w:val="false"/>
                <w:color w:val="000000"/>
                <w:sz w:val="20"/>
              </w:rPr>
            </w:pPr>
            <w:r>
              <w:rPr>
                <w:rFonts w:ascii="Trebuchet;sans-serif" w:hAnsi="Trebuchet;sans-serif"/>
                <w:b w:val="false"/>
                <w:color w:val="000000"/>
                <w:sz w:val="20"/>
              </w:rPr>
              <w:t>%</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Net income (loss) attributable to Avis Budget Group, Inc.</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(501)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50 </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rebuchet;sans-serif" w:hAnsi="Trebuchet;sans-serif"/>
                <w:b w:val="false"/>
                <w:color w:val="000000"/>
                <w:sz w:val="20"/>
              </w:rPr>
              <w:t>Adjusted EBITDA</w:t>
            </w:r>
            <w:r>
              <w:rPr>
                <w:color w:val="000000"/>
              </w:rPr>
              <w:t xml:space="preserve"> </w:t>
            </w:r>
            <w:r>
              <w:rPr>
                <w:rFonts w:ascii="Trebuchet;sans-serif" w:hAnsi="Trebuchet;sans-serif"/>
                <w:b w:val="false"/>
                <w:color w:val="000000"/>
                <w:sz w:val="13"/>
              </w:rPr>
              <w:t>(a)</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3 </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184 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w:t>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June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December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rebuchet;sans-serif" w:hAnsi="Trebuchet;sans-serif"/>
                <w:b/>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color w:val="000000"/>
                <w:sz w:val="20"/>
              </w:rPr>
            </w:pPr>
            <w:r>
              <w:rPr>
                <w:rFonts w:ascii="Trebuchet;sans-serif" w:hAnsi="Trebuchet;sans-serif"/>
                <w:b/>
                <w:color w:val="000000"/>
                <w:sz w:val="20"/>
              </w:rPr>
              <w:t>Balance Sheet Items</w:t>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Cash and cash equivalents</w:t>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519 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Program cash and restricted cash</w:t>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99 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Vehicles, net</w:t>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19,589 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18,720 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rebuchet;sans-serif" w:hAnsi="Trebuchet;sans-serif"/>
                <w:b w:val="false"/>
                <w:color w:val="000000"/>
                <w:sz w:val="20"/>
              </w:rPr>
              <w:t xml:space="preserve">Debt under vehicle programs </w:t>
            </w:r>
            <w:r>
              <w:rPr>
                <w:rFonts w:ascii="Trebuchet;sans-serif" w:hAnsi="Trebuchet;sans-serif"/>
                <w:b w:val="false"/>
                <w:color w:val="000000"/>
                <w:sz w:val="13"/>
              </w:rPr>
              <w:t>(b)</w:t>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19,850 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19,188 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Corporate debt</w:t>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6,073 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Stockholders' equity attributable to Avis Budget Group, Inc.</w:t>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(3,388)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(3,129)</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66"/>
        <w:gridCol w:w="571"/>
        <w:gridCol w:w="572"/>
        <w:gridCol w:w="229"/>
        <w:gridCol w:w="719"/>
        <w:gridCol w:w="110"/>
        <w:gridCol w:w="110"/>
        <w:gridCol w:w="110"/>
        <w:gridCol w:w="110"/>
        <w:gridCol w:w="229"/>
        <w:gridCol w:w="719"/>
        <w:gridCol w:w="110"/>
        <w:gridCol w:w="110"/>
        <w:gridCol w:w="110"/>
        <w:gridCol w:w="110"/>
        <w:gridCol w:w="259"/>
        <w:gridCol w:w="259"/>
        <w:gridCol w:w="683"/>
        <w:gridCol w:w="109"/>
        <w:gridCol w:w="109"/>
        <w:gridCol w:w="109"/>
        <w:gridCol w:w="226"/>
        <w:gridCol w:w="706"/>
        <w:gridCol w:w="109"/>
        <w:gridCol w:w="109"/>
        <w:gridCol w:w="109"/>
        <w:gridCol w:w="109"/>
        <w:gridCol w:w="226"/>
        <w:gridCol w:w="706"/>
        <w:gridCol w:w="109"/>
        <w:gridCol w:w="109"/>
        <w:gridCol w:w="109"/>
        <w:gridCol w:w="109"/>
        <w:gridCol w:w="247"/>
        <w:gridCol w:w="247"/>
        <w:gridCol w:w="762"/>
      </w:tblGrid>
      <w:tr>
        <w:trPr/>
        <w:tc>
          <w:tcPr>
            <w:tcW w:w="7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Six Months Ended June 30,</w:t>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 Change</w:t>
            </w:r>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color w:val="000000"/>
                <w:sz w:val="20"/>
              </w:rPr>
            </w:pPr>
            <w:r>
              <w:rPr>
                <w:rFonts w:ascii="Trebuchet;sans-serif" w:hAnsi="Trebuchet;sans-serif"/>
                <w:b/>
                <w:color w:val="000000"/>
                <w:sz w:val="20"/>
              </w:rPr>
              <w:t>Segment Results</w:t>
            </w:r>
          </w:p>
        </w:tc>
        <w:tc>
          <w:tcPr>
            <w:tcW w:w="10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color w:val="000000"/>
                <w:sz w:val="20"/>
              </w:rPr>
            </w:pPr>
            <w:r>
              <w:rPr>
                <w:rFonts w:ascii="Trebuchet;sans-serif" w:hAnsi="Trebuchet;sans-serif"/>
                <w:b/>
                <w:color w:val="000000"/>
                <w:sz w:val="20"/>
              </w:rPr>
              <w:t>Revenues</w:t>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Americas</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2,288 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2,332 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4,250 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4,239 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International</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710 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707 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4 </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r>
      <w:tr>
        <w:trPr/>
        <w:tc>
          <w:tcPr>
            <w:tcW w:w="1909"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Total Company</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2,998 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3,039 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5,528 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5,469 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1 </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w:t>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rebuchet;sans-serif" w:hAnsi="Trebuchet;sans-serif"/>
                <w:b/>
                <w:color w:val="000000"/>
                <w:sz w:val="20"/>
              </w:rPr>
              <w:t xml:space="preserve">Adjusted EBITDA </w:t>
            </w:r>
            <w:r>
              <w:rPr>
                <w:rFonts w:ascii="Trebuchet;sans-serif" w:hAnsi="Trebuchet;sans-serif"/>
                <w:b/>
                <w:color w:val="000000"/>
                <w:sz w:val="13"/>
              </w:rPr>
              <w:t>(a)</w:t>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Americas</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237 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220 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8 </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3 </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International</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73 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(11)</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(24)</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rebuchet;sans-serif" w:hAnsi="Trebuchet;sans-serif"/>
                <w:b w:val="false"/>
                <w:color w:val="000000"/>
                <w:sz w:val="20"/>
              </w:rPr>
              <w:t xml:space="preserve">Corporate and other </w:t>
            </w:r>
            <w:r>
              <w:rPr>
                <w:rFonts w:ascii="Trebuchet;sans-serif" w:hAnsi="Trebuchet;sans-serif"/>
                <w:b w:val="false"/>
                <w:color w:val="000000"/>
                <w:sz w:val="13"/>
              </w:rPr>
              <w:t>(c)</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4 </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8 </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Total Company</w:t>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286 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277 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3 </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173 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184 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w:t>
            </w:r>
          </w:p>
        </w:tc>
      </w:tr>
    </w:tbl>
    <w:p>
      <w:pPr>
        <w:pStyle w:val="TextBody"/>
        <w:bidi w:val="0"/>
        <w:spacing w:lineRule="auto" w:line="288" w:before="0" w:after="0"/>
        <w:jc w:val="left"/>
        <w:rPr>
          <w:rFonts w:ascii="Trebuchet;sans-serif" w:hAnsi="Trebuchet;sans-serif"/>
          <w:b w:val="false"/>
          <w:color w:val="000000"/>
          <w:sz w:val="20"/>
        </w:rPr>
      </w:pPr>
      <w:r>
        <w:rPr>
          <w:rFonts w:ascii="Trebuchet;sans-serif" w:hAnsi="Trebuchet;sans-serif"/>
          <w:b w:val="false"/>
          <w:color w:val="000000"/>
          <w:sz w:val="20"/>
        </w:rPr>
        <w:t>__________</w:t>
      </w:r>
    </w:p>
    <w:p>
      <w:pPr>
        <w:pStyle w:val="TextBody"/>
        <w:bidi w:val="0"/>
        <w:spacing w:lineRule="auto" w:line="288" w:before="0" w:after="0"/>
        <w:jc w:val="both"/>
        <w:rPr>
          <w:rFonts w:ascii="Trebuchet;sans-serif" w:hAnsi="Trebuchet;sans-serif"/>
          <w:b w:val="false"/>
          <w:color w:val="000000"/>
          <w:sz w:val="20"/>
        </w:rPr>
      </w:pPr>
      <w:r>
        <w:rPr>
          <w:rFonts w:ascii="Trebuchet;sans-serif" w:hAnsi="Trebuchet;sans-serif"/>
          <w:b w:val="false"/>
          <w:color w:val="000000"/>
          <w:sz w:val="20"/>
        </w:rPr>
        <w:t>n/m Not meaningful.</w:t>
      </w:r>
    </w:p>
    <w:p>
      <w:pPr>
        <w:pStyle w:val="TextBody"/>
        <w:bidi w:val="0"/>
        <w:spacing w:lineRule="auto" w:line="288" w:before="0" w:after="0"/>
        <w:ind w:left="0" w:right="0" w:hanging="360"/>
        <w:jc w:val="both"/>
        <w:rPr/>
      </w:pPr>
      <w:r>
        <w:rPr>
          <w:rFonts w:ascii="Trebuchet;sans-serif" w:hAnsi="Trebuchet;sans-serif"/>
          <w:b w:val="false"/>
          <w:color w:val="000000"/>
          <w:sz w:val="13"/>
          <w:shd w:fill="FFFFFF" w:val="clear"/>
        </w:rPr>
        <w:t>(a)</w:t>
      </w:r>
      <w:r>
        <w:rPr>
          <w:rFonts w:ascii="Trebuchet;sans-serif" w:hAnsi="Trebuchet;sans-serif"/>
          <w:b w:val="false"/>
          <w:color w:val="000000"/>
          <w:sz w:val="20"/>
        </w:rPr>
        <w:t xml:space="preserve">Refer to Table 5 for the reconciliation of net income (loss) to Adjusted EBITDA and Appendix I for the related definition of the non-GAAP financial measure. </w:t>
      </w:r>
    </w:p>
    <w:p>
      <w:pPr>
        <w:pStyle w:val="TextBody"/>
        <w:bidi w:val="0"/>
        <w:spacing w:lineRule="auto" w:line="288" w:before="0" w:after="0"/>
        <w:ind w:left="0" w:right="0" w:hanging="360"/>
        <w:jc w:val="both"/>
        <w:rPr/>
      </w:pPr>
      <w:r>
        <w:rPr>
          <w:rFonts w:ascii="Trebuchet;sans-serif" w:hAnsi="Trebuchet;sans-serif"/>
          <w:b w:val="false"/>
          <w:color w:val="000000"/>
          <w:sz w:val="13"/>
          <w:shd w:fill="FFFFFF" w:val="clear"/>
        </w:rPr>
        <w:t>(b)</w:t>
      </w:r>
      <w:r>
        <w:rPr>
          <w:rFonts w:ascii="Trebuchet;sans-serif" w:hAnsi="Trebuchet;sans-serif"/>
          <w:b w:val="false"/>
          <w:color w:val="000000"/>
          <w:sz w:val="20"/>
        </w:rPr>
        <w:t xml:space="preserve">Includes </w:t>
      </w:r>
      <w:r>
        <w:rPr>
          <w:rFonts w:ascii="Trebuchet;sans-serif" w:hAnsi="Trebuchet;sans-serif"/>
          <w:b w:val="false"/>
          <w:color w:val="000000"/>
          <w:sz w:val="20"/>
          <w:shd w:fill="FFFFFF" w:val="clear"/>
        </w:rPr>
        <w:t>$780 million</w:t>
      </w:r>
      <w:r>
        <w:rPr>
          <w:color w:val="000000"/>
        </w:rPr>
        <w:t xml:space="preserve"> </w:t>
      </w:r>
      <w:r>
        <w:rPr>
          <w:rFonts w:ascii="Trebuchet;sans-serif" w:hAnsi="Trebuchet;sans-serif"/>
          <w:b w:val="false"/>
          <w:color w:val="000000"/>
          <w:sz w:val="20"/>
        </w:rPr>
        <w:t>and $826 million of Class R notes due to Avis Budget Rental Car Funding (AESOP) LLC as of June 30, 2026 and December 31, 2025, respectively, which are held by us.</w:t>
      </w:r>
    </w:p>
    <w:p>
      <w:pPr>
        <w:pStyle w:val="TextBody"/>
        <w:bidi w:val="0"/>
        <w:spacing w:lineRule="auto" w:line="288" w:before="0" w:after="0"/>
        <w:ind w:left="0" w:right="0" w:hanging="360"/>
        <w:jc w:val="both"/>
        <w:rPr/>
      </w:pPr>
      <w:r>
        <w:rPr>
          <w:rFonts w:ascii="Trebuchet;sans-serif" w:hAnsi="Trebuchet;sans-serif"/>
          <w:b w:val="false"/>
          <w:color w:val="000000"/>
          <w:sz w:val="13"/>
          <w:shd w:fill="FFFFFF" w:val="clear"/>
        </w:rPr>
        <w:t>(c)</w:t>
      </w:r>
      <w:r>
        <w:rPr>
          <w:rFonts w:ascii="Trebuchet;sans-serif" w:hAnsi="Trebuchet;sans-serif"/>
          <w:b w:val="false"/>
          <w:color w:val="000000"/>
          <w:sz w:val="20"/>
          <w:shd w:fill="FFFFFF" w:val="clear"/>
        </w:rPr>
        <w:t>Includes unallocated corporate expenses which are not attributable to a particular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rebuchet;sans-serif" w:hAnsi="Trebuchet;sans-serif"/>
          <w:b/>
          <w:color w:val="000000"/>
          <w:sz w:val="20"/>
        </w:rPr>
      </w:pPr>
      <w:r>
        <w:rPr>
          <w:rFonts w:ascii="Trebuchet;sans-serif" w:hAnsi="Trebuchet;sans-serif"/>
          <w:b/>
          <w:color w:val="000000"/>
          <w:sz w:val="20"/>
        </w:rPr>
        <w:t>Table 2</w:t>
      </w:r>
    </w:p>
    <w:p>
      <w:pPr>
        <w:pStyle w:val="TextBody"/>
        <w:bidi w:val="0"/>
        <w:spacing w:lineRule="auto" w:line="288" w:before="0" w:after="0"/>
        <w:jc w:val="center"/>
        <w:rPr>
          <w:rFonts w:ascii="Trebuchet;sans-serif" w:hAnsi="Trebuchet;sans-serif"/>
          <w:b/>
          <w:color w:val="000000"/>
          <w:sz w:val="20"/>
        </w:rPr>
      </w:pPr>
      <w:r>
        <w:rPr>
          <w:rFonts w:ascii="Trebuchet;sans-serif" w:hAnsi="Trebuchet;sans-serif"/>
          <w:b/>
          <w:color w:val="000000"/>
          <w:sz w:val="20"/>
        </w:rPr>
        <w:t>Avis Budget Group, Inc.</w:t>
      </w:r>
    </w:p>
    <w:p>
      <w:pPr>
        <w:pStyle w:val="TextBody"/>
        <w:bidi w:val="0"/>
        <w:spacing w:lineRule="auto" w:line="288" w:before="0" w:after="0"/>
        <w:jc w:val="center"/>
        <w:rPr>
          <w:rFonts w:ascii="Trebuchet;sans-serif" w:hAnsi="Trebuchet;sans-serif"/>
          <w:b/>
          <w:color w:val="000000"/>
          <w:sz w:val="20"/>
        </w:rPr>
      </w:pPr>
      <w:r>
        <w:rPr>
          <w:rFonts w:ascii="Trebuchet;sans-serif" w:hAnsi="Trebuchet;sans-serif"/>
          <w:b/>
          <w:color w:val="000000"/>
          <w:sz w:val="20"/>
        </w:rPr>
        <w:t>CONDENSED CONSOLIDATED STATEMENTS OF OPERATIONS (Unaudited)</w:t>
      </w:r>
    </w:p>
    <w:p>
      <w:pPr>
        <w:pStyle w:val="TextBody"/>
        <w:bidi w:val="0"/>
        <w:spacing w:lineRule="auto" w:line="288" w:before="0" w:after="0"/>
        <w:jc w:val="center"/>
        <w:rPr>
          <w:rFonts w:ascii="Trebuchet;sans-serif" w:hAnsi="Trebuchet;sans-serif"/>
          <w:b/>
          <w:color w:val="000000"/>
          <w:sz w:val="20"/>
        </w:rPr>
      </w:pPr>
      <w:r>
        <w:rPr>
          <w:rFonts w:ascii="Trebuchet;sans-serif" w:hAnsi="Trebuchet;sans-serif"/>
          <w:b/>
          <w:color w:val="000000"/>
          <w:sz w:val="20"/>
        </w:rPr>
        <w:t>(In millions, except per share data)</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933"/>
        <w:gridCol w:w="1490"/>
        <w:gridCol w:w="1504"/>
        <w:gridCol w:w="227"/>
        <w:gridCol w:w="712"/>
        <w:gridCol w:w="109"/>
        <w:gridCol w:w="109"/>
        <w:gridCol w:w="109"/>
        <w:gridCol w:w="109"/>
        <w:gridCol w:w="227"/>
        <w:gridCol w:w="712"/>
        <w:gridCol w:w="109"/>
        <w:gridCol w:w="109"/>
        <w:gridCol w:w="109"/>
        <w:gridCol w:w="109"/>
        <w:gridCol w:w="226"/>
        <w:gridCol w:w="706"/>
        <w:gridCol w:w="109"/>
        <w:gridCol w:w="109"/>
        <w:gridCol w:w="109"/>
        <w:gridCol w:w="109"/>
        <w:gridCol w:w="226"/>
        <w:gridCol w:w="770"/>
        <w:gridCol w:w="164"/>
      </w:tblGrid>
      <w:tr>
        <w:trPr/>
        <w:tc>
          <w:tcPr>
            <w:tcW w:w="1933"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Six Months Ended </w:t>
              <w:br/>
              <w:t>June 30,</w:t>
            </w:r>
          </w:p>
        </w:tc>
      </w:tr>
      <w:tr>
        <w:trPr/>
        <w:tc>
          <w:tcPr>
            <w:tcW w:w="4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2025</w:t>
            </w:r>
          </w:p>
        </w:tc>
      </w:tr>
      <w:tr>
        <w:trPr/>
        <w:tc>
          <w:tcPr>
            <w:tcW w:w="4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color w:val="000000"/>
                <w:sz w:val="20"/>
              </w:rPr>
            </w:pPr>
            <w:r>
              <w:rPr>
                <w:rFonts w:ascii="Trebuchet;sans-serif" w:hAnsi="Trebuchet;sans-serif"/>
                <w:b/>
                <w:color w:val="000000"/>
                <w:sz w:val="20"/>
              </w:rPr>
              <w:t>Revenues</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2,998 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3,039 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5,528 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5,469 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color w:val="000000"/>
                <w:sz w:val="20"/>
              </w:rPr>
            </w:pPr>
            <w:r>
              <w:rPr>
                <w:rFonts w:ascii="Trebuchet;sans-serif" w:hAnsi="Trebuchet;sans-serif"/>
                <w:b/>
                <w:color w:val="000000"/>
                <w:sz w:val="20"/>
              </w:rPr>
              <w:t>Expenses</w:t>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Operating</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2,879 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Vehicle depreciation and lease charges, net</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1,691 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Selling, general and administrative</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704 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Vehicle interest, net</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439 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Non-vehicle related depreciation and amortization</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116 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Interest expense related to corporate debt, net:</w:t>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Interest expense</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207 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Early extinguishment of debt</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4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Restructuring and other related charges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81 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Transaction-related costs, net</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Other (income) expense, net</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Total expenses</w:t>
            </w:r>
          </w:p>
        </w:tc>
        <w:tc>
          <w:tcPr>
            <w:tcW w:w="9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2,925 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3,024 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5,795 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6,131 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color w:val="000000"/>
                <w:sz w:val="20"/>
              </w:rPr>
            </w:pPr>
            <w:r>
              <w:rPr>
                <w:rFonts w:ascii="Trebuchet;sans-serif" w:hAnsi="Trebuchet;sans-serif"/>
                <w:b/>
                <w:color w:val="000000"/>
                <w:sz w:val="20"/>
              </w:rPr>
              <w:t>Income (loss) before income taxes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(662)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Provision for (benefit from) income taxes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(163)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color w:val="000000"/>
                <w:sz w:val="20"/>
              </w:rPr>
            </w:pPr>
            <w:r>
              <w:rPr>
                <w:rFonts w:ascii="Trebuchet;sans-serif" w:hAnsi="Trebuchet;sans-serif"/>
                <w:b/>
                <w:color w:val="000000"/>
                <w:sz w:val="20"/>
              </w:rPr>
              <w:t>Net income (loss)</w:t>
            </w:r>
          </w:p>
        </w:tc>
        <w:tc>
          <w:tcPr>
            <w:tcW w:w="9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(171)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(499)</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Less: Net income attributable to non-controlling interests</w:t>
            </w:r>
          </w:p>
        </w:tc>
        <w:tc>
          <w:tcPr>
            <w:tcW w:w="9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color w:val="000000"/>
                <w:sz w:val="20"/>
              </w:rPr>
            </w:pPr>
            <w:r>
              <w:rPr>
                <w:rFonts w:ascii="Trebuchet;sans-serif" w:hAnsi="Trebuchet;sans-serif"/>
                <w:b/>
                <w:color w:val="000000"/>
                <w:sz w:val="20"/>
              </w:rPr>
              <w:t>Net income (loss) attributable to Avis Budget Group, Inc.</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(248)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(501)</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color w:val="000000"/>
                <w:sz w:val="20"/>
              </w:rPr>
            </w:pPr>
            <w:r>
              <w:rPr>
                <w:rFonts w:ascii="Trebuchet;sans-serif" w:hAnsi="Trebuchet;sans-serif"/>
                <w:b/>
                <w:color w:val="000000"/>
                <w:sz w:val="20"/>
              </w:rPr>
              <w:t>Earnings (loss) per share</w:t>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Basic</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(7.01)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(14.24)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Diluted</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(14.24)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color w:val="000000"/>
                <w:sz w:val="20"/>
              </w:rPr>
            </w:pPr>
            <w:r>
              <w:rPr>
                <w:rFonts w:ascii="Trebuchet;sans-serif" w:hAnsi="Trebuchet;sans-serif"/>
                <w:b/>
                <w:color w:val="000000"/>
                <w:sz w:val="20"/>
              </w:rPr>
              <w:t>Weighted average shares outstanding</w:t>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Basic</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35.2 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Diluted</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35.2 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rebuchet;sans-serif" w:hAnsi="Trebuchet;sans-serif"/>
          <w:b/>
          <w:color w:val="000000"/>
          <w:sz w:val="20"/>
        </w:rPr>
      </w:pPr>
      <w:r>
        <w:rPr>
          <w:rFonts w:ascii="Trebuchet;sans-serif" w:hAnsi="Trebuchet;sans-serif"/>
          <w:b/>
          <w:color w:val="000000"/>
          <w:sz w:val="20"/>
        </w:rPr>
        <w:t>Table 3</w:t>
      </w:r>
    </w:p>
    <w:p>
      <w:pPr>
        <w:pStyle w:val="TextBody"/>
        <w:bidi w:val="0"/>
        <w:spacing w:lineRule="auto" w:line="288" w:before="0" w:after="0"/>
        <w:jc w:val="center"/>
        <w:rPr>
          <w:rFonts w:ascii="Trebuchet;sans-serif" w:hAnsi="Trebuchet;sans-serif"/>
          <w:b/>
          <w:color w:val="000000"/>
          <w:sz w:val="20"/>
        </w:rPr>
      </w:pPr>
      <w:r>
        <w:rPr>
          <w:rFonts w:ascii="Trebuchet;sans-serif" w:hAnsi="Trebuchet;sans-serif"/>
          <w:b/>
          <w:color w:val="000000"/>
          <w:sz w:val="20"/>
        </w:rPr>
        <w:t>Avis Budget Group, Inc.</w:t>
      </w:r>
    </w:p>
    <w:p>
      <w:pPr>
        <w:pStyle w:val="TextBody"/>
        <w:bidi w:val="0"/>
        <w:spacing w:lineRule="auto" w:line="288" w:before="0" w:after="0"/>
        <w:jc w:val="center"/>
        <w:rPr>
          <w:rFonts w:ascii="Trebuchet;sans-serif" w:hAnsi="Trebuchet;sans-serif"/>
          <w:b/>
          <w:color w:val="000000"/>
          <w:sz w:val="20"/>
        </w:rPr>
      </w:pPr>
      <w:r>
        <w:rPr>
          <w:rFonts w:ascii="Trebuchet;sans-serif" w:hAnsi="Trebuchet;sans-serif"/>
          <w:b/>
          <w:color w:val="000000"/>
          <w:sz w:val="20"/>
        </w:rPr>
        <w:t>KEY METRICS SUMMARY (Unaudited)</w:t>
      </w:r>
    </w:p>
    <w:p>
      <w:pPr>
        <w:pStyle w:val="TextBody"/>
        <w:bidi w:val="0"/>
        <w:spacing w:before="0" w:after="0"/>
        <w:jc w:val="center"/>
        <w:rPr/>
      </w:pPr>
      <w:r>
        <w:rPr/>
      </w:r>
    </w:p>
    <w:p>
      <w:pPr>
        <w:pStyle w:val="TextBody"/>
        <w:bidi w:val="0"/>
        <w:spacing w:before="0" w:after="0"/>
        <w:jc w:val="center"/>
        <w:rPr/>
      </w:pPr>
      <w:r>
        <w:rPr/>
      </w:r>
    </w:p>
    <w:tbl>
      <w:tblPr>
        <w:tblW w:w="10541" w:type="dxa"/>
        <w:jc w:val="left"/>
        <w:tblInd w:w="0" w:type="dxa"/>
        <w:tblLayout w:type="fixed"/>
        <w:tblCellMar>
          <w:top w:w="28" w:type="dxa"/>
          <w:left w:w="28" w:type="dxa"/>
          <w:bottom w:w="28" w:type="dxa"/>
          <w:right w:w="28" w:type="dxa"/>
        </w:tblCellMar>
      </w:tblPr>
      <w:tblGrid>
        <w:gridCol w:w="803"/>
        <w:gridCol w:w="363"/>
        <w:gridCol w:w="365"/>
        <w:gridCol w:w="229"/>
        <w:gridCol w:w="717"/>
        <w:gridCol w:w="286"/>
        <w:gridCol w:w="109"/>
        <w:gridCol w:w="109"/>
        <w:gridCol w:w="109"/>
        <w:gridCol w:w="229"/>
        <w:gridCol w:w="717"/>
        <w:gridCol w:w="286"/>
        <w:gridCol w:w="109"/>
        <w:gridCol w:w="109"/>
        <w:gridCol w:w="109"/>
        <w:gridCol w:w="259"/>
        <w:gridCol w:w="259"/>
        <w:gridCol w:w="683"/>
        <w:gridCol w:w="109"/>
        <w:gridCol w:w="109"/>
        <w:gridCol w:w="109"/>
        <w:gridCol w:w="229"/>
        <w:gridCol w:w="717"/>
        <w:gridCol w:w="286"/>
        <w:gridCol w:w="109"/>
        <w:gridCol w:w="109"/>
        <w:gridCol w:w="109"/>
        <w:gridCol w:w="229"/>
        <w:gridCol w:w="717"/>
        <w:gridCol w:w="286"/>
        <w:gridCol w:w="109"/>
        <w:gridCol w:w="109"/>
        <w:gridCol w:w="109"/>
        <w:gridCol w:w="247"/>
        <w:gridCol w:w="247"/>
        <w:gridCol w:w="752"/>
      </w:tblGrid>
      <w:tr>
        <w:trPr/>
        <w:tc>
          <w:tcPr>
            <w:tcW w:w="80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Six Months Ended </w:t>
              <w:br/>
              <w:t>June 30,</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 Change</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color w:val="000000"/>
                <w:sz w:val="20"/>
              </w:rPr>
            </w:pPr>
            <w:r>
              <w:rPr>
                <w:rFonts w:ascii="Trebuchet;sans-serif" w:hAnsi="Trebuchet;sans-serif"/>
                <w:b/>
                <w:color w:val="000000"/>
                <w:sz w:val="20"/>
              </w:rPr>
              <w:t>Americas</w:t>
            </w:r>
          </w:p>
        </w:tc>
        <w:tc>
          <w:tcPr>
            <w:tcW w:w="1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Rental Days (000’s)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32,597 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33,292 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62,050 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62,739 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Revenue per Day</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70.20 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70.03 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68.50 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67.56 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1 </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rebuchet;sans-serif" w:hAnsi="Trebuchet;sans-serif"/>
                <w:b w:val="false"/>
                <w:color w:val="000000"/>
                <w:sz w:val="20"/>
              </w:rPr>
            </w:pPr>
            <w:r>
              <w:rPr>
                <w:rFonts w:ascii="Trebuchet;sans-serif" w:hAnsi="Trebuchet;sans-serif"/>
                <w:b w:val="false"/>
                <w:color w:val="000000"/>
                <w:sz w:val="20"/>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Revenue per Day, excluding exchange rate effects</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70.22 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70.03 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68.46 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67.56 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1 </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Average Rental Fleet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489,192 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517,363 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(5)</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478,306 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493,744 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Vehicle Utilization</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73.2 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70.7 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2.5 pps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71.7 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70.2 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1.5 pps</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rebuchet;sans-serif" w:hAnsi="Trebuchet;sans-serif"/>
                <w:b w:val="false"/>
                <w:color w:val="000000"/>
                <w:sz w:val="20"/>
              </w:rPr>
              <w:t>Per-Unit Fleet Costs per Month</w:t>
            </w:r>
            <w:r>
              <w:rPr>
                <w:color w:val="000000"/>
              </w:rPr>
              <w:t xml:space="preserve"> </w:t>
            </w:r>
            <w:r>
              <w:rPr>
                <w:rFonts w:ascii="Trebuchet;sans-serif" w:hAnsi="Trebuchet;sans-serif"/>
                <w:b w:val="false"/>
                <w:color w:val="000000"/>
                <w:sz w:val="13"/>
              </w:rPr>
              <w:t>(a)</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301 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312 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(4)</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340 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343 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rebuchet;sans-serif" w:hAnsi="Trebuchet;sans-serif"/>
                <w:b w:val="false"/>
                <w:color w:val="000000"/>
                <w:sz w:val="20"/>
              </w:rPr>
              <w:t>Per-Unit Fleet Costs per Month, excluding exchange rate effects</w:t>
            </w:r>
            <w:r>
              <w:rPr>
                <w:color w:val="000000"/>
              </w:rPr>
              <w:t xml:space="preserve"> </w:t>
            </w:r>
            <w:r>
              <w:rPr>
                <w:rFonts w:ascii="Trebuchet;sans-serif" w:hAnsi="Trebuchet;sans-serif"/>
                <w:b w:val="false"/>
                <w:color w:val="000000"/>
                <w:sz w:val="13"/>
              </w:rPr>
              <w:t>(a)</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302 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312 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340 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343 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color w:val="000000"/>
                <w:sz w:val="20"/>
              </w:rPr>
            </w:pPr>
            <w:r>
              <w:rPr>
                <w:rFonts w:ascii="Trebuchet;sans-serif" w:hAnsi="Trebuchet;sans-serif"/>
                <w:b/>
                <w:color w:val="000000"/>
                <w:sz w:val="20"/>
              </w:rPr>
              <w:t>International</w:t>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Rental Days (000’s)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11,310 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11,653 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20,935 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21,661 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Revenue per Day</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62.78 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60.74 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3 </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61.05 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56.81 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7 </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rebuchet;sans-serif" w:hAnsi="Trebuchet;sans-serif"/>
                <w:b w:val="false"/>
                <w:color w:val="000000"/>
                <w:sz w:val="20"/>
              </w:rPr>
            </w:pPr>
            <w:r>
              <w:rPr>
                <w:rFonts w:ascii="Trebuchet;sans-serif" w:hAnsi="Trebuchet;sans-serif"/>
                <w:b w:val="false"/>
                <w:color w:val="000000"/>
                <w:sz w:val="20"/>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Revenue per Day, excluding exchange rate effects</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61.00 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60.74 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57.77 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56.81 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2 </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Average Rental Fleet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175,446 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181,270 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163,847 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171,260 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(4)</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Vehicle Utilization</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70.8 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70.6 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0.2 pps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70.6 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69.9 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0.7 pps</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Per-Unit Fleet Costs per Month</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266 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278 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(4)</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276 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276 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rebuchet;sans-serif" w:hAnsi="Trebuchet;sans-serif"/>
                <w:b w:val="false"/>
                <w:color w:val="000000"/>
                <w:sz w:val="20"/>
              </w:rPr>
            </w:pPr>
            <w:r>
              <w:rPr>
                <w:rFonts w:ascii="Trebuchet;sans-serif" w:hAnsi="Trebuchet;sans-serif"/>
                <w:b w:val="false"/>
                <w:color w:val="000000"/>
                <w:sz w:val="20"/>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Per-Unit Fleet Costs per Month, excluding exchange rate effects</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260 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278 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261 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276 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(5)</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color w:val="000000"/>
                <w:sz w:val="20"/>
              </w:rPr>
            </w:pPr>
            <w:r>
              <w:rPr>
                <w:rFonts w:ascii="Trebuchet;sans-serif" w:hAnsi="Trebuchet;sans-serif"/>
                <w:b/>
                <w:color w:val="000000"/>
                <w:sz w:val="20"/>
              </w:rPr>
              <w:t>Total</w:t>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Rental Days (000’s)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43,907 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44,945 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82,985 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84,400 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Revenue per Day</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68.29 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67.62 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1 </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66.62 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64.80 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3 </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rebuchet;sans-serif" w:hAnsi="Trebuchet;sans-serif"/>
                <w:b w:val="false"/>
                <w:color w:val="000000"/>
                <w:sz w:val="20"/>
              </w:rPr>
            </w:pPr>
            <w:r>
              <w:rPr>
                <w:rFonts w:ascii="Trebuchet;sans-serif" w:hAnsi="Trebuchet;sans-serif"/>
                <w:b w:val="false"/>
                <w:color w:val="000000"/>
                <w:sz w:val="20"/>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Revenue per Day, excluding exchange rate effects</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67.84 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67.62 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65.76 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64.80 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1 </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Average Rental Fleet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664,638 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698,633 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(5)</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642,153 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665,004 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Vehicle Utilization</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72.6 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70.7 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1.9 pps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71.4 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70.1 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1.3 pps</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rebuchet;sans-serif" w:hAnsi="Trebuchet;sans-serif"/>
                <w:b w:val="false"/>
                <w:color w:val="000000"/>
                <w:sz w:val="20"/>
              </w:rPr>
              <w:t>Per-Unit Fleet Costs per Month</w:t>
            </w:r>
            <w:r>
              <w:rPr>
                <w:color w:val="000000"/>
              </w:rPr>
              <w:t xml:space="preserve"> </w:t>
            </w:r>
            <w:r>
              <w:rPr>
                <w:rFonts w:ascii="Trebuchet;sans-serif" w:hAnsi="Trebuchet;sans-serif"/>
                <w:b w:val="false"/>
                <w:color w:val="000000"/>
                <w:sz w:val="13"/>
              </w:rPr>
              <w:t>(a)</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292 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303 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(4)</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324 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326 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rebuchet;sans-serif" w:hAnsi="Trebuchet;sans-serif"/>
                <w:b w:val="false"/>
                <w:color w:val="000000"/>
                <w:sz w:val="20"/>
              </w:rPr>
              <w:t>Per-Unit Fleet Costs per Month, excluding exchange rate effects</w:t>
            </w:r>
            <w:r>
              <w:rPr>
                <w:color w:val="000000"/>
              </w:rPr>
              <w:t xml:space="preserve"> </w:t>
            </w:r>
            <w:r>
              <w:rPr>
                <w:rFonts w:ascii="Trebuchet;sans-serif" w:hAnsi="Trebuchet;sans-serif"/>
                <w:b w:val="false"/>
                <w:color w:val="000000"/>
                <w:sz w:val="13"/>
              </w:rPr>
              <w:t>(a)</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290 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303 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(4)</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319 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326 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r>
    </w:tbl>
    <w:p>
      <w:pPr>
        <w:pStyle w:val="TextBody"/>
        <w:bidi w:val="0"/>
        <w:spacing w:lineRule="auto" w:line="288" w:before="0" w:after="0"/>
        <w:jc w:val="left"/>
        <w:rPr>
          <w:rFonts w:ascii="Trebuchet;sans-serif" w:hAnsi="Trebuchet;sans-serif"/>
          <w:b w:val="false"/>
          <w:color w:val="000000"/>
          <w:sz w:val="20"/>
        </w:rPr>
      </w:pPr>
      <w:r>
        <w:rPr>
          <w:rFonts w:ascii="Trebuchet;sans-serif" w:hAnsi="Trebuchet;sans-serif"/>
          <w:b w:val="false"/>
          <w:color w:val="000000"/>
          <w:sz w:val="20"/>
        </w:rPr>
        <w:t>__________</w:t>
      </w:r>
    </w:p>
    <w:p>
      <w:pPr>
        <w:pStyle w:val="TextBody"/>
        <w:bidi w:val="0"/>
        <w:spacing w:lineRule="auto" w:line="288" w:before="0" w:after="0"/>
        <w:jc w:val="both"/>
        <w:rPr>
          <w:rFonts w:ascii="Trebuchet;sans-serif" w:hAnsi="Trebuchet;sans-serif"/>
          <w:b w:val="false"/>
          <w:color w:val="000000"/>
          <w:sz w:val="18"/>
        </w:rPr>
      </w:pPr>
      <w:r>
        <w:rPr>
          <w:rFonts w:ascii="Trebuchet;sans-serif" w:hAnsi="Trebuchet;sans-serif"/>
          <w:b w:val="false"/>
          <w:color w:val="000000"/>
          <w:sz w:val="18"/>
        </w:rPr>
        <w:t>Refer to Table 6 for key metrics calculations and Appendix I for key metrics definitions.</w:t>
      </w:r>
    </w:p>
    <w:p>
      <w:pPr>
        <w:pStyle w:val="TextBody"/>
        <w:bidi w:val="0"/>
        <w:spacing w:lineRule="auto" w:line="288" w:before="0" w:after="0"/>
        <w:ind w:left="0" w:right="0" w:hanging="360"/>
        <w:jc w:val="both"/>
        <w:rPr/>
      </w:pPr>
      <w:r>
        <w:rPr>
          <w:rFonts w:ascii="Trebuchet;sans-serif" w:hAnsi="Trebuchet;sans-serif"/>
          <w:b w:val="false"/>
          <w:color w:val="000000"/>
          <w:sz w:val="12"/>
        </w:rPr>
        <w:t>(a)</w:t>
      </w:r>
      <w:r>
        <w:rPr>
          <w:rFonts w:ascii="Trebuchet;sans-serif" w:hAnsi="Trebuchet;sans-serif"/>
          <w:b w:val="false"/>
          <w:color w:val="000000"/>
          <w:sz w:val="18"/>
        </w:rPr>
        <w:t>For the six months ended June 30, 2025, per-unit fleet costs excludes costs reported within vehicle depreciation and lease charges, net related to the disposal of certain fleet in our Americas reportable segment.</w:t>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rebuchet;sans-serif" w:hAnsi="Trebuchet;sans-serif"/>
          <w:b/>
          <w:color w:val="000000"/>
          <w:sz w:val="20"/>
        </w:rPr>
      </w:pPr>
      <w:r>
        <w:rPr>
          <w:rFonts w:ascii="Trebuchet;sans-serif" w:hAnsi="Trebuchet;sans-serif"/>
          <w:b/>
          <w:color w:val="000000"/>
          <w:sz w:val="20"/>
        </w:rPr>
        <w:t>Table 4</w:t>
      </w:r>
    </w:p>
    <w:p>
      <w:pPr>
        <w:pStyle w:val="TextBody"/>
        <w:bidi w:val="0"/>
        <w:spacing w:lineRule="auto" w:line="288" w:before="0" w:after="0"/>
        <w:jc w:val="center"/>
        <w:rPr>
          <w:rFonts w:ascii="Trebuchet;sans-serif" w:hAnsi="Trebuchet;sans-serif"/>
          <w:b/>
          <w:color w:val="000000"/>
          <w:sz w:val="20"/>
        </w:rPr>
      </w:pPr>
      <w:r>
        <w:rPr>
          <w:rFonts w:ascii="Trebuchet;sans-serif" w:hAnsi="Trebuchet;sans-serif"/>
          <w:b/>
          <w:color w:val="000000"/>
          <w:sz w:val="20"/>
        </w:rPr>
        <w:t>Avis Budget Group, Inc.</w:t>
      </w:r>
    </w:p>
    <w:p>
      <w:pPr>
        <w:pStyle w:val="TextBody"/>
        <w:bidi w:val="0"/>
        <w:spacing w:lineRule="auto" w:line="288" w:before="0" w:after="0"/>
        <w:jc w:val="center"/>
        <w:rPr>
          <w:rFonts w:ascii="Trebuchet;sans-serif" w:hAnsi="Trebuchet;sans-serif"/>
          <w:b/>
          <w:color w:val="000000"/>
          <w:sz w:val="20"/>
        </w:rPr>
      </w:pPr>
      <w:r>
        <w:rPr>
          <w:rFonts w:ascii="Trebuchet;sans-serif" w:hAnsi="Trebuchet;sans-serif"/>
          <w:b/>
          <w:color w:val="000000"/>
          <w:sz w:val="20"/>
        </w:rPr>
        <w:t>CONDENSED CONSOLIDATED SCHEDULE OF CASH FLOWS AND ADJUSTED FREE CASH FLOW (Unaudited)</w:t>
      </w:r>
    </w:p>
    <w:p>
      <w:pPr>
        <w:pStyle w:val="TextBody"/>
        <w:bidi w:val="0"/>
        <w:spacing w:lineRule="auto" w:line="288" w:before="0" w:after="0"/>
        <w:jc w:val="center"/>
        <w:rPr>
          <w:rFonts w:ascii="Trebuchet;sans-serif" w:hAnsi="Trebuchet;sans-serif"/>
          <w:b/>
          <w:color w:val="000000"/>
          <w:sz w:val="20"/>
        </w:rPr>
      </w:pPr>
      <w:r>
        <w:rPr>
          <w:rFonts w:ascii="Trebuchet;sans-serif" w:hAnsi="Trebuchet;sans-serif"/>
          <w:b/>
          <w:color w:val="000000"/>
          <w:sz w:val="20"/>
        </w:rPr>
        <w:t>(In millions)</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628"/>
        <w:gridCol w:w="2309"/>
        <w:gridCol w:w="2314"/>
        <w:gridCol w:w="645"/>
        <w:gridCol w:w="1893"/>
        <w:gridCol w:w="416"/>
      </w:tblGrid>
      <w:tr>
        <w:trPr/>
        <w:tc>
          <w:tcPr>
            <w:tcW w:w="2628"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7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color w:val="000000"/>
                <w:sz w:val="20"/>
              </w:rPr>
            </w:pPr>
            <w:r>
              <w:rPr>
                <w:rFonts w:ascii="Trebuchet;sans-serif" w:hAnsi="Trebuchet;sans-serif"/>
                <w:b/>
                <w:color w:val="000000"/>
                <w:sz w:val="20"/>
              </w:rPr>
              <w:t>CONDENSED CONSOLIDATED SCHEDULE OF CASH FLOWS</w:t>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Six Months Ended June 30, 2026</w:t>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color w:val="000000"/>
                <w:sz w:val="20"/>
              </w:rPr>
            </w:pPr>
            <w:r>
              <w:rPr>
                <w:rFonts w:ascii="Trebuchet;sans-serif" w:hAnsi="Trebuchet;sans-serif"/>
                <w:b/>
                <w:color w:val="000000"/>
                <w:sz w:val="20"/>
              </w:rPr>
              <w:t>Operating Activities</w:t>
            </w:r>
          </w:p>
        </w:tc>
        <w:tc>
          <w:tcPr>
            <w:tcW w:w="29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Net cash provided by operating activities</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t>
            </w:r>
          </w:p>
        </w:tc>
        <w:tc>
          <w:tcPr>
            <w:tcW w:w="1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1,066 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color w:val="000000"/>
                <w:sz w:val="20"/>
              </w:rPr>
            </w:pPr>
            <w:r>
              <w:rPr>
                <w:rFonts w:ascii="Trebuchet;sans-serif" w:hAnsi="Trebuchet;sans-serif"/>
                <w:b/>
                <w:color w:val="000000"/>
                <w:sz w:val="20"/>
              </w:rPr>
              <w:t>Investing Activities</w:t>
            </w:r>
          </w:p>
        </w:tc>
        <w:tc>
          <w:tcPr>
            <w:tcW w:w="29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Net cash used in investing activities exclusive of vehicle programs</w:t>
            </w:r>
          </w:p>
        </w:tc>
        <w:tc>
          <w:tcPr>
            <w:tcW w:w="2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(127)</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Net cash used in investing activities of vehicle programs</w:t>
            </w:r>
          </w:p>
        </w:tc>
        <w:tc>
          <w:tcPr>
            <w:tcW w:w="2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(1,484)</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Net cash used in investing activities</w:t>
            </w:r>
          </w:p>
        </w:tc>
        <w:tc>
          <w:tcPr>
            <w:tcW w:w="25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(1,611)</w:t>
            </w:r>
          </w:p>
        </w:tc>
        <w:tc>
          <w:tcPr>
            <w:tcW w:w="4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color w:val="000000"/>
                <w:sz w:val="20"/>
              </w:rPr>
            </w:pPr>
            <w:r>
              <w:rPr>
                <w:rFonts w:ascii="Trebuchet;sans-serif" w:hAnsi="Trebuchet;sans-serif"/>
                <w:b/>
                <w:color w:val="000000"/>
                <w:sz w:val="20"/>
              </w:rPr>
              <w:t>Financing Activities</w:t>
            </w:r>
          </w:p>
        </w:tc>
        <w:tc>
          <w:tcPr>
            <w:tcW w:w="2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Net cash used in financing activities exclusive of vehicle programs</w:t>
            </w:r>
          </w:p>
        </w:tc>
        <w:tc>
          <w:tcPr>
            <w:tcW w:w="2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(29)</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Net cash provided by financing activities of vehicle programs</w:t>
            </w:r>
          </w:p>
        </w:tc>
        <w:tc>
          <w:tcPr>
            <w:tcW w:w="2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652 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Net cash provided by financing activities</w:t>
            </w:r>
          </w:p>
        </w:tc>
        <w:tc>
          <w:tcPr>
            <w:tcW w:w="25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623 </w:t>
            </w:r>
          </w:p>
        </w:tc>
        <w:tc>
          <w:tcPr>
            <w:tcW w:w="4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Effect of changes in exchange rates on cash and cash equivalents, program and restricted cash</w:t>
            </w:r>
          </w:p>
        </w:tc>
        <w:tc>
          <w:tcPr>
            <w:tcW w:w="2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(9)</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Net change in cash and cash equivalents, program and restricted cash</w:t>
            </w:r>
          </w:p>
        </w:tc>
        <w:tc>
          <w:tcPr>
            <w:tcW w:w="25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69 </w:t>
            </w:r>
          </w:p>
        </w:tc>
        <w:tc>
          <w:tcPr>
            <w:tcW w:w="4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color w:val="000000"/>
                <w:sz w:val="20"/>
              </w:rPr>
            </w:pPr>
            <w:r>
              <w:rPr>
                <w:rFonts w:ascii="Trebuchet;sans-serif" w:hAnsi="Trebuchet;sans-serif"/>
                <w:b/>
                <w:color w:val="000000"/>
                <w:sz w:val="20"/>
              </w:rPr>
              <w:t>Cash and cash equivalents, program and restricted cash, beginning of period</w:t>
            </w:r>
          </w:p>
        </w:tc>
        <w:tc>
          <w:tcPr>
            <w:tcW w:w="2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618 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color w:val="000000"/>
                <w:sz w:val="20"/>
              </w:rPr>
            </w:pPr>
            <w:r>
              <w:rPr>
                <w:rFonts w:ascii="Trebuchet;sans-serif" w:hAnsi="Trebuchet;sans-serif"/>
                <w:b/>
                <w:color w:val="000000"/>
                <w:sz w:val="20"/>
              </w:rPr>
              <w:t>Cash and cash equivalents, program and restricted cash, end of period</w:t>
            </w:r>
          </w:p>
        </w:tc>
        <w:tc>
          <w:tcPr>
            <w:tcW w:w="6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rebuchet;sans-serif" w:hAnsi="Trebuchet;sans-serif"/>
                <w:b/>
                <w:color w:val="000000"/>
                <w:sz w:val="20"/>
              </w:rPr>
            </w:pPr>
            <w:r>
              <w:rPr>
                <w:rFonts w:ascii="Trebuchet;sans-serif" w:hAnsi="Trebuchet;sans-serif"/>
                <w:b/>
                <w:color w:val="000000"/>
                <w:sz w:val="20"/>
              </w:rPr>
              <w:t>$</w:t>
            </w:r>
          </w:p>
        </w:tc>
        <w:tc>
          <w:tcPr>
            <w:tcW w:w="18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rebuchet;sans-serif" w:hAnsi="Trebuchet;sans-serif"/>
                <w:b/>
                <w:color w:val="000000"/>
                <w:sz w:val="20"/>
              </w:rPr>
              <w:t>687</w:t>
            </w:r>
            <w:r>
              <w:rPr>
                <w:color w:val="000000"/>
              </w:rPr>
              <w:t> </w:t>
            </w:r>
          </w:p>
        </w:tc>
        <w:tc>
          <w:tcPr>
            <w:tcW w:w="4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88"/>
        <w:gridCol w:w="2273"/>
        <w:gridCol w:w="2278"/>
        <w:gridCol w:w="739"/>
        <w:gridCol w:w="1752"/>
        <w:gridCol w:w="475"/>
      </w:tblGrid>
      <w:tr>
        <w:trPr/>
        <w:tc>
          <w:tcPr>
            <w:tcW w:w="2688"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40" w:before="120" w:after="283"/>
              <w:jc w:val="left"/>
              <w:rPr/>
            </w:pPr>
            <w:r>
              <w:rPr>
                <w:rFonts w:ascii="Trebuchet;sans-serif" w:hAnsi="Trebuchet;sans-serif"/>
                <w:b/>
                <w:color w:val="000000"/>
                <w:sz w:val="20"/>
              </w:rPr>
              <w:t xml:space="preserve">ADJUSTED FREE CASH FLOW </w:t>
            </w:r>
            <w:r>
              <w:rPr>
                <w:rFonts w:ascii="Trebuchet;sans-serif" w:hAnsi="Trebuchet;sans-serif"/>
                <w:b/>
                <w:color w:val="000000"/>
                <w:sz w:val="13"/>
              </w:rPr>
              <w:t>(a)</w:t>
            </w:r>
          </w:p>
        </w:tc>
        <w:tc>
          <w:tcPr>
            <w:tcW w:w="2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Six Months Ended June 30, 2026</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rebuchet;sans-serif" w:hAnsi="Trebuchet;sans-serif"/>
                <w:b/>
                <w:color w:val="000000"/>
                <w:sz w:val="20"/>
              </w:rPr>
              <w:t xml:space="preserve">Adjusted EBITDA </w:t>
            </w:r>
            <w:r>
              <w:rPr>
                <w:rFonts w:ascii="Trebuchet;sans-serif" w:hAnsi="Trebuchet;sans-serif"/>
                <w:b/>
                <w:color w:val="000000"/>
                <w:sz w:val="13"/>
              </w:rPr>
              <w:t>(b)</w:t>
            </w:r>
          </w:p>
        </w:tc>
        <w:tc>
          <w:tcPr>
            <w:tcW w:w="7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color w:val="000000"/>
                <w:sz w:val="20"/>
              </w:rPr>
            </w:pPr>
            <w:r>
              <w:rPr>
                <w:rFonts w:ascii="Trebuchet;sans-serif" w:hAnsi="Trebuchet;sans-serif"/>
                <w:b/>
                <w:color w:val="000000"/>
                <w:sz w:val="20"/>
              </w:rPr>
              <w:t>$</w:t>
            </w:r>
          </w:p>
        </w:tc>
        <w:tc>
          <w:tcPr>
            <w:tcW w:w="1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rebuchet;sans-serif" w:hAnsi="Trebuchet;sans-serif"/>
                <w:b/>
                <w:color w:val="000000"/>
                <w:sz w:val="20"/>
              </w:rPr>
              <w:t>173</w:t>
            </w:r>
            <w:r>
              <w:rPr>
                <w:color w:val="000000"/>
              </w:rPr>
              <w:t> </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Interest expense related to corporate debt, net (excluding early extinguishment of debt)</w:t>
            </w:r>
          </w:p>
        </w:tc>
        <w:tc>
          <w:tcPr>
            <w:tcW w:w="2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(217)</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Working capital and other</w:t>
            </w:r>
          </w:p>
        </w:tc>
        <w:tc>
          <w:tcPr>
            <w:tcW w:w="2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141 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rebuchet;sans-serif" w:hAnsi="Trebuchet;sans-serif"/>
                <w:b w:val="false"/>
                <w:color w:val="000000"/>
                <w:sz w:val="20"/>
              </w:rPr>
              <w:t>Capital expenditures</w:t>
            </w:r>
            <w:r>
              <w:rPr>
                <w:color w:val="000000"/>
              </w:rPr>
              <w:t xml:space="preserve"> </w:t>
            </w:r>
            <w:r>
              <w:rPr>
                <w:rFonts w:ascii="Trebuchet;sans-serif" w:hAnsi="Trebuchet;sans-serif"/>
                <w:b/>
                <w:color w:val="000000"/>
                <w:sz w:val="13"/>
              </w:rPr>
              <w:t>(c)</w:t>
            </w:r>
          </w:p>
        </w:tc>
        <w:tc>
          <w:tcPr>
            <w:tcW w:w="2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(112)</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Tax payments, net of refunds</w:t>
            </w:r>
          </w:p>
        </w:tc>
        <w:tc>
          <w:tcPr>
            <w:tcW w:w="2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(74)</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rebuchet;sans-serif" w:hAnsi="Trebuchet;sans-serif"/>
                <w:b w:val="false"/>
                <w:color w:val="000000"/>
                <w:sz w:val="20"/>
              </w:rPr>
              <w:t>Vehicle programs and related</w:t>
            </w:r>
            <w:r>
              <w:rPr>
                <w:color w:val="000000"/>
              </w:rPr>
              <w:t xml:space="preserve"> </w:t>
            </w:r>
            <w:r>
              <w:rPr>
                <w:rFonts w:ascii="Trebuchet;sans-serif" w:hAnsi="Trebuchet;sans-serif"/>
                <w:b/>
                <w:color w:val="000000"/>
                <w:sz w:val="13"/>
              </w:rPr>
              <w:t>(d)</w:t>
            </w:r>
          </w:p>
        </w:tc>
        <w:tc>
          <w:tcPr>
            <w:tcW w:w="2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250 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rebuchet;sans-serif" w:hAnsi="Trebuchet;sans-serif"/>
                <w:b/>
                <w:color w:val="000000"/>
                <w:sz w:val="20"/>
              </w:rPr>
              <w:t xml:space="preserve">Adjusted Free Cash Flow </w:t>
            </w:r>
            <w:r>
              <w:rPr>
                <w:rFonts w:ascii="Trebuchet;sans-serif" w:hAnsi="Trebuchet;sans-serif"/>
                <w:b/>
                <w:color w:val="000000"/>
                <w:sz w:val="13"/>
              </w:rPr>
              <w:t>(b)</w:t>
            </w:r>
          </w:p>
        </w:tc>
        <w:tc>
          <w:tcPr>
            <w:tcW w:w="7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color w:val="000000"/>
                <w:sz w:val="20"/>
              </w:rPr>
            </w:pPr>
            <w:r>
              <w:rPr>
                <w:rFonts w:ascii="Trebuchet;sans-serif" w:hAnsi="Trebuchet;sans-serif"/>
                <w:b/>
                <w:color w:val="000000"/>
                <w:sz w:val="20"/>
              </w:rPr>
              <w:t>$</w:t>
            </w:r>
          </w:p>
        </w:tc>
        <w:tc>
          <w:tcPr>
            <w:tcW w:w="1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rebuchet;sans-serif" w:hAnsi="Trebuchet;sans-serif"/>
                <w:b/>
                <w:color w:val="000000"/>
                <w:sz w:val="20"/>
              </w:rPr>
              <w:t>161</w:t>
            </w:r>
            <w:r>
              <w:rPr>
                <w:color w:val="000000"/>
              </w:rPr>
              <w:t> </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Acquisition and related payments, net of acquired cash</w:t>
            </w:r>
          </w:p>
        </w:tc>
        <w:tc>
          <w:tcPr>
            <w:tcW w:w="2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(27)</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Borrowings, net of debt repayments</w:t>
            </w:r>
          </w:p>
        </w:tc>
        <w:tc>
          <w:tcPr>
            <w:tcW w:w="2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(13)</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2966"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Repurchases of common stock</w:t>
            </w:r>
          </w:p>
        </w:tc>
        <w:tc>
          <w:tcPr>
            <w:tcW w:w="2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(7)</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Change in program and restricted cash</w:t>
            </w:r>
          </w:p>
        </w:tc>
        <w:tc>
          <w:tcPr>
            <w:tcW w:w="2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34 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Other receipts (payments), net</w:t>
            </w:r>
          </w:p>
        </w:tc>
        <w:tc>
          <w:tcPr>
            <w:tcW w:w="2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(60)</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Foreign exchange effects, financing costs and other</w:t>
            </w:r>
          </w:p>
        </w:tc>
        <w:tc>
          <w:tcPr>
            <w:tcW w:w="2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(19)</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color w:val="000000"/>
                <w:sz w:val="20"/>
              </w:rPr>
            </w:pPr>
            <w:r>
              <w:rPr>
                <w:rFonts w:ascii="Trebuchet;sans-serif" w:hAnsi="Trebuchet;sans-serif"/>
                <w:b/>
                <w:color w:val="000000"/>
                <w:sz w:val="20"/>
              </w:rPr>
              <w:t>Net change in cash and cash equivalents, program and restricted cash (per above)</w:t>
            </w:r>
          </w:p>
        </w:tc>
        <w:tc>
          <w:tcPr>
            <w:tcW w:w="7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rebuchet;sans-serif" w:hAnsi="Trebuchet;sans-serif"/>
                <w:b/>
                <w:color w:val="000000"/>
                <w:sz w:val="20"/>
              </w:rPr>
            </w:pPr>
            <w:r>
              <w:rPr>
                <w:rFonts w:ascii="Trebuchet;sans-serif" w:hAnsi="Trebuchet;sans-serif"/>
                <w:b/>
                <w:color w:val="000000"/>
                <w:sz w:val="20"/>
              </w:rPr>
              <w:t>$</w:t>
            </w:r>
          </w:p>
        </w:tc>
        <w:tc>
          <w:tcPr>
            <w:tcW w:w="17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rebuchet;sans-serif" w:hAnsi="Trebuchet;sans-serif"/>
                <w:b/>
                <w:color w:val="000000"/>
                <w:sz w:val="20"/>
              </w:rPr>
              <w:t>69</w:t>
            </w:r>
            <w:r>
              <w:rPr>
                <w:color w:val="000000"/>
              </w:rPr>
              <w:t> </w:t>
            </w:r>
          </w:p>
        </w:tc>
        <w:tc>
          <w:tcPr>
            <w:tcW w:w="4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rebuchet;sans-serif" w:hAnsi="Trebuchet;sans-serif"/>
          <w:b w:val="false"/>
          <w:color w:val="000000"/>
          <w:sz w:val="20"/>
        </w:rPr>
      </w:pPr>
      <w:r>
        <w:rPr>
          <w:rFonts w:ascii="Trebuchet;sans-serif" w:hAnsi="Trebuchet;sans-serif"/>
          <w:b w:val="false"/>
          <w:color w:val="000000"/>
          <w:sz w:val="20"/>
        </w:rPr>
        <w:t>__________</w:t>
      </w:r>
    </w:p>
    <w:p>
      <w:pPr>
        <w:pStyle w:val="TextBody"/>
        <w:bidi w:val="0"/>
        <w:spacing w:lineRule="auto" w:line="288" w:before="0" w:after="0"/>
        <w:jc w:val="both"/>
        <w:rPr>
          <w:rFonts w:ascii="Trebuchet;sans-serif" w:hAnsi="Trebuchet;sans-serif"/>
          <w:b w:val="false"/>
          <w:color w:val="000000"/>
          <w:sz w:val="18"/>
        </w:rPr>
      </w:pPr>
      <w:r>
        <w:rPr>
          <w:rFonts w:ascii="Trebuchet;sans-serif" w:hAnsi="Trebuchet;sans-serif"/>
          <w:b w:val="false"/>
          <w:color w:val="000000"/>
          <w:sz w:val="18"/>
        </w:rPr>
        <w:t>Refer to Appendix I for the definitions of non-GAAP financial measures Adjusted EBITDA and Adjusted Free Cash Flow.</w:t>
      </w:r>
    </w:p>
    <w:p>
      <w:pPr>
        <w:pStyle w:val="TextBody"/>
        <w:bidi w:val="0"/>
        <w:spacing w:lineRule="auto" w:line="288" w:before="0" w:after="0"/>
        <w:ind w:left="0" w:right="0" w:hanging="360"/>
        <w:jc w:val="both"/>
        <w:rPr/>
      </w:pPr>
      <w:r>
        <w:rPr>
          <w:rFonts w:ascii="Trebuchet;sans-serif" w:hAnsi="Trebuchet;sans-serif"/>
          <w:b w:val="false"/>
          <w:color w:val="000000"/>
          <w:sz w:val="12"/>
          <w:shd w:fill="FFFFFF" w:val="clear"/>
        </w:rPr>
        <w:t>(a)</w:t>
      </w:r>
      <w:r>
        <w:rPr>
          <w:rFonts w:ascii="Trebuchet;sans-serif" w:hAnsi="Trebuchet;sans-serif"/>
          <w:b w:val="false"/>
          <w:color w:val="000000"/>
          <w:sz w:val="18"/>
        </w:rPr>
        <w:t>This presentation demonstrates the relationship between Adjusted EBITDA and Adjusted Free Cash Flow. We believe it is useful to understand this relationship because it demonstrates how cash generated by our operations is used. This presentation is not intended to be reconciliations of these non-GAAP measures, which are provided on Table 5.</w:t>
      </w:r>
    </w:p>
    <w:p>
      <w:pPr>
        <w:pStyle w:val="TextBody"/>
        <w:bidi w:val="0"/>
        <w:spacing w:lineRule="auto" w:line="288" w:before="0" w:after="0"/>
        <w:ind w:left="0" w:right="0" w:hanging="360"/>
        <w:jc w:val="both"/>
        <w:rPr/>
      </w:pPr>
      <w:r>
        <w:rPr>
          <w:rFonts w:ascii="Trebuchet;sans-serif" w:hAnsi="Trebuchet;sans-serif"/>
          <w:b w:val="false"/>
          <w:color w:val="000000"/>
          <w:sz w:val="12"/>
          <w:shd w:fill="FFFFFF" w:val="clear"/>
        </w:rPr>
        <w:t>(b)</w:t>
      </w:r>
      <w:r>
        <w:rPr>
          <w:rFonts w:ascii="Trebuchet;sans-serif" w:hAnsi="Trebuchet;sans-serif"/>
          <w:b w:val="false"/>
          <w:color w:val="000000"/>
          <w:sz w:val="18"/>
        </w:rPr>
        <w:t>Refer to Table 5 for the reconciliations of net income (loss) to Adjusted EBITDA and net cash provided by operating activities to Adjusted Free Cash Flow.</w:t>
      </w:r>
    </w:p>
    <w:p>
      <w:pPr>
        <w:pStyle w:val="TextBody"/>
        <w:bidi w:val="0"/>
        <w:spacing w:lineRule="auto" w:line="288" w:before="0" w:after="0"/>
        <w:ind w:left="0" w:right="0" w:hanging="360"/>
        <w:jc w:val="both"/>
        <w:rPr/>
      </w:pPr>
      <w:r>
        <w:rPr>
          <w:rFonts w:ascii="Trebuchet;sans-serif" w:hAnsi="Trebuchet;sans-serif"/>
          <w:b w:val="false"/>
          <w:color w:val="000000"/>
          <w:sz w:val="12"/>
          <w:shd w:fill="FFFFFF" w:val="clear"/>
        </w:rPr>
        <w:t>(c)</w:t>
      </w:r>
      <w:r>
        <w:rPr>
          <w:rFonts w:ascii="Trebuchet;sans-serif" w:hAnsi="Trebuchet;sans-serif"/>
          <w:b w:val="false"/>
          <w:color w:val="000000"/>
          <w:sz w:val="18"/>
        </w:rPr>
        <w:t>Includes $3 million of cloud computing implementation costs.</w:t>
      </w:r>
    </w:p>
    <w:p>
      <w:pPr>
        <w:pStyle w:val="TextBody"/>
        <w:bidi w:val="0"/>
        <w:spacing w:lineRule="auto" w:line="288" w:before="0" w:after="0"/>
        <w:ind w:left="0" w:right="0" w:hanging="360"/>
        <w:jc w:val="both"/>
        <w:rPr/>
      </w:pPr>
      <w:r>
        <w:rPr>
          <w:rFonts w:ascii="Trebuchet;sans-serif" w:hAnsi="Trebuchet;sans-serif"/>
          <w:b w:val="false"/>
          <w:color w:val="000000"/>
          <w:sz w:val="12"/>
          <w:shd w:fill="FFFFFF" w:val="clear"/>
        </w:rPr>
        <w:t>(d)</w:t>
      </w:r>
      <w:r>
        <w:rPr>
          <w:rFonts w:ascii="Trebuchet;sans-serif" w:hAnsi="Trebuchet;sans-serif"/>
          <w:b w:val="false"/>
          <w:color w:val="000000"/>
          <w:sz w:val="18"/>
        </w:rPr>
        <w:t>Includes vehicle-backed borrowings (repayments) that are incremental to amounts required to fund vehicle and vehicle-related assets.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rebuchet;sans-serif" w:hAnsi="Trebuchet;sans-serif"/>
          <w:b/>
          <w:color w:val="000000"/>
          <w:sz w:val="20"/>
        </w:rPr>
      </w:pPr>
      <w:r>
        <w:rPr>
          <w:rFonts w:ascii="Trebuchet;sans-serif" w:hAnsi="Trebuchet;sans-serif"/>
          <w:b/>
          <w:color w:val="000000"/>
          <w:sz w:val="20"/>
        </w:rPr>
        <w:t>Table 5</w:t>
      </w:r>
    </w:p>
    <w:p>
      <w:pPr>
        <w:pStyle w:val="TextBody"/>
        <w:bidi w:val="0"/>
        <w:spacing w:lineRule="auto" w:line="288" w:before="0" w:after="0"/>
        <w:jc w:val="center"/>
        <w:rPr>
          <w:rFonts w:ascii="Trebuchet;sans-serif" w:hAnsi="Trebuchet;sans-serif"/>
          <w:b/>
          <w:color w:val="000000"/>
          <w:sz w:val="20"/>
        </w:rPr>
      </w:pPr>
      <w:r>
        <w:rPr>
          <w:rFonts w:ascii="Trebuchet;sans-serif" w:hAnsi="Trebuchet;sans-serif"/>
          <w:b/>
          <w:color w:val="000000"/>
          <w:sz w:val="20"/>
        </w:rPr>
        <w:t>Avis Budget Group, Inc.</w:t>
      </w:r>
    </w:p>
    <w:p>
      <w:pPr>
        <w:pStyle w:val="TextBody"/>
        <w:bidi w:val="0"/>
        <w:spacing w:lineRule="auto" w:line="288" w:before="0" w:after="0"/>
        <w:jc w:val="center"/>
        <w:rPr>
          <w:rFonts w:ascii="Trebuchet;sans-serif" w:hAnsi="Trebuchet;sans-serif"/>
          <w:b/>
          <w:color w:val="000000"/>
          <w:sz w:val="20"/>
        </w:rPr>
      </w:pPr>
      <w:r>
        <w:rPr>
          <w:rFonts w:ascii="Trebuchet;sans-serif" w:hAnsi="Trebuchet;sans-serif"/>
          <w:b/>
          <w:color w:val="000000"/>
          <w:sz w:val="20"/>
        </w:rPr>
        <w:t>RECONCILIATION OF NON-GAAP MEASURES (Unaudited)</w:t>
      </w:r>
    </w:p>
    <w:p>
      <w:pPr>
        <w:pStyle w:val="TextBody"/>
        <w:bidi w:val="0"/>
        <w:spacing w:lineRule="auto" w:line="288" w:before="0" w:after="0"/>
        <w:jc w:val="center"/>
        <w:rPr>
          <w:rFonts w:ascii="Trebuchet;sans-serif" w:hAnsi="Trebuchet;sans-serif"/>
          <w:b/>
          <w:color w:val="000000"/>
          <w:sz w:val="20"/>
        </w:rPr>
      </w:pPr>
      <w:r>
        <w:rPr>
          <w:rFonts w:ascii="Trebuchet;sans-serif" w:hAnsi="Trebuchet;sans-serif"/>
          <w:b/>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1913"/>
        <w:gridCol w:w="1594"/>
        <w:gridCol w:w="1598"/>
        <w:gridCol w:w="262"/>
        <w:gridCol w:w="623"/>
        <w:gridCol w:w="118"/>
        <w:gridCol w:w="118"/>
        <w:gridCol w:w="118"/>
        <w:gridCol w:w="118"/>
        <w:gridCol w:w="262"/>
        <w:gridCol w:w="623"/>
        <w:gridCol w:w="118"/>
        <w:gridCol w:w="109"/>
        <w:gridCol w:w="109"/>
        <w:gridCol w:w="109"/>
        <w:gridCol w:w="241"/>
        <w:gridCol w:w="666"/>
        <w:gridCol w:w="109"/>
        <w:gridCol w:w="109"/>
        <w:gridCol w:w="109"/>
        <w:gridCol w:w="109"/>
        <w:gridCol w:w="241"/>
        <w:gridCol w:w="666"/>
        <w:gridCol w:w="163"/>
      </w:tblGrid>
      <w:tr>
        <w:trPr/>
        <w:tc>
          <w:tcPr>
            <w:tcW w:w="1913"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Six Months Ended </w:t>
              <w:br/>
              <w:t>June 30,</w:t>
            </w:r>
          </w:p>
        </w:tc>
      </w:tr>
      <w:tr>
        <w:trPr/>
        <w:tc>
          <w:tcPr>
            <w:tcW w:w="5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20"/>
              </w:rPr>
            </w:pPr>
            <w:r>
              <w:rPr>
                <w:rFonts w:ascii="Trebuchet;sans-serif" w:hAnsi="Trebuchet;sans-serif"/>
                <w:b/>
                <w:color w:val="000000"/>
                <w:sz w:val="20"/>
              </w:rPr>
              <w:t>2025</w:t>
            </w:r>
          </w:p>
        </w:tc>
      </w:tr>
      <w:tr>
        <w:trPr/>
        <w:tc>
          <w:tcPr>
            <w:tcW w:w="51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rebuchet;sans-serif" w:hAnsi="Trebuchet;sans-serif"/>
                <w:b/>
                <w:color w:val="000000"/>
                <w:sz w:val="20"/>
              </w:rPr>
            </w:pPr>
            <w:r>
              <w:rPr>
                <w:rFonts w:ascii="Trebuchet;sans-serif" w:hAnsi="Trebuchet;sans-serif"/>
                <w:b/>
                <w:color w:val="000000"/>
                <w:sz w:val="20"/>
              </w:rPr>
              <w:t>Reconciliation of net income (loss) to Adjusted EBITDA:</w:t>
            </w:r>
          </w:p>
        </w:tc>
        <w:tc>
          <w:tcPr>
            <w:tcW w:w="10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color w:val="000000"/>
                <w:sz w:val="20"/>
              </w:rPr>
            </w:pPr>
            <w:r>
              <w:rPr>
                <w:rFonts w:ascii="Trebuchet;sans-serif" w:hAnsi="Trebuchet;sans-serif"/>
                <w:b/>
                <w:color w:val="000000"/>
                <w:sz w:val="20"/>
              </w:rPr>
              <w:t>Net income (loss)</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color w:val="000000"/>
                <w:sz w:val="20"/>
              </w:rPr>
            </w:pPr>
            <w:r>
              <w:rPr>
                <w:rFonts w:ascii="Trebuchet;sans-serif" w:hAnsi="Trebuchet;sans-serif"/>
                <w:b/>
                <w:color w:val="000000"/>
                <w:sz w:val="20"/>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rebuchet;sans-serif" w:hAnsi="Trebuchet;sans-serif"/>
                <w:b/>
                <w:color w:val="000000"/>
                <w:sz w:val="20"/>
              </w:rPr>
              <w:t>63</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color w:val="000000"/>
                <w:sz w:val="20"/>
              </w:rPr>
            </w:pPr>
            <w:r>
              <w:rPr>
                <w:rFonts w:ascii="Trebuchet;sans-serif" w:hAnsi="Trebuchet;sans-serif"/>
                <w:b/>
                <w:color w:val="000000"/>
                <w:sz w:val="20"/>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rebuchet;sans-serif" w:hAnsi="Trebuchet;sans-serif"/>
                <w:b/>
                <w:color w:val="000000"/>
                <w:sz w:val="20"/>
              </w:rPr>
              <w:t>5</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color w:val="000000"/>
                <w:sz w:val="20"/>
              </w:rPr>
            </w:pPr>
            <w:r>
              <w:rPr>
                <w:rFonts w:ascii="Trebuchet;sans-serif" w:hAnsi="Trebuchet;sans-serif"/>
                <w:b/>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color w:val="000000"/>
                <w:sz w:val="20"/>
              </w:rPr>
            </w:pPr>
            <w:r>
              <w:rPr>
                <w:rFonts w:ascii="Trebuchet;sans-serif" w:hAnsi="Trebuchet;sans-serif"/>
                <w:b/>
                <w:color w:val="000000"/>
                <w:sz w:val="20"/>
              </w:rPr>
              <w:t>(171)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color w:val="000000"/>
                <w:sz w:val="20"/>
              </w:rPr>
            </w:pPr>
            <w:r>
              <w:rPr>
                <w:rFonts w:ascii="Trebuchet;sans-serif" w:hAnsi="Trebuchet;sans-serif"/>
                <w:b/>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color w:val="000000"/>
                <w:sz w:val="20"/>
              </w:rPr>
            </w:pPr>
            <w:r>
              <w:rPr>
                <w:rFonts w:ascii="Trebuchet;sans-serif" w:hAnsi="Trebuchet;sans-serif"/>
                <w:b/>
                <w:color w:val="000000"/>
                <w:sz w:val="20"/>
              </w:rPr>
              <w:t>(499)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Provision for (benefit from) income taxes</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(163)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color w:val="000000"/>
                <w:sz w:val="20"/>
              </w:rPr>
            </w:pPr>
            <w:r>
              <w:rPr>
                <w:rFonts w:ascii="Trebuchet;sans-serif" w:hAnsi="Trebuchet;sans-serif"/>
                <w:b/>
                <w:color w:val="000000"/>
                <w:sz w:val="20"/>
              </w:rPr>
              <w:t>Income (loss) before income taxes</w:t>
            </w:r>
          </w:p>
        </w:tc>
        <w:tc>
          <w:tcPr>
            <w:tcW w:w="8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rebuchet;sans-serif" w:hAnsi="Trebuchet;sans-serif"/>
                <w:b/>
                <w:color w:val="000000"/>
                <w:sz w:val="20"/>
              </w:rPr>
              <w:t>73</w:t>
            </w: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rebuchet;sans-serif" w:hAnsi="Trebuchet;sans-serif"/>
                <w:b/>
                <w:color w:val="000000"/>
                <w:sz w:val="20"/>
              </w:rPr>
              <w:t>15</w:t>
            </w: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color w:val="000000"/>
                <w:sz w:val="20"/>
              </w:rPr>
            </w:pPr>
            <w:r>
              <w:rPr>
                <w:rFonts w:ascii="Trebuchet;sans-serif" w:hAnsi="Trebuchet;sans-serif"/>
                <w:b/>
                <w:color w:val="000000"/>
                <w:sz w:val="20"/>
              </w:rPr>
              <w:t>(267)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color w:val="000000"/>
                <w:sz w:val="20"/>
              </w:rPr>
            </w:pPr>
            <w:r>
              <w:rPr>
                <w:rFonts w:ascii="Trebuchet;sans-serif" w:hAnsi="Trebuchet;sans-serif"/>
                <w:b/>
                <w:color w:val="000000"/>
                <w:sz w:val="20"/>
              </w:rPr>
              <w:t>(662)</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Non-vehicle related depreciation and amortization</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116 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Interest expense related to corporate debt, net:</w:t>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Interest expense</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108 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207 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Early extinguishment of debt</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5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rebuchet;sans-serif" w:hAnsi="Trebuchet;sans-serif"/>
                <w:b w:val="false"/>
                <w:color w:val="000000"/>
                <w:sz w:val="20"/>
              </w:rPr>
              <w:t>Other fleet charges</w:t>
            </w:r>
            <w:r>
              <w:rPr>
                <w:color w:val="000000"/>
              </w:rPr>
              <w:t xml:space="preserve"> </w:t>
            </w:r>
            <w:r>
              <w:rPr>
                <w:rFonts w:ascii="Trebuchet;sans-serif" w:hAnsi="Trebuchet;sans-serif"/>
                <w:b w:val="false"/>
                <w:color w:val="000000"/>
                <w:sz w:val="13"/>
              </w:rPr>
              <w:t>(a)</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390 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Restructuring and other related charges</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59 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81 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Transaction-related costs, net</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Other (income) expense, net</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rebuchet;sans-serif" w:hAnsi="Trebuchet;sans-serif"/>
                <w:b w:val="false"/>
                <w:color w:val="000000"/>
                <w:sz w:val="20"/>
              </w:rPr>
              <w:t xml:space="preserve">Legal matters, net </w:t>
            </w:r>
            <w:r>
              <w:rPr>
                <w:rFonts w:ascii="Trebuchet;sans-serif" w:hAnsi="Trebuchet;sans-serif"/>
                <w:b w:val="false"/>
                <w:color w:val="000000"/>
                <w:sz w:val="13"/>
              </w:rPr>
              <w:t>(b)</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rebuchet;sans-serif" w:hAnsi="Trebuchet;sans-serif"/>
                <w:b w:val="false"/>
                <w:color w:val="000000"/>
                <w:sz w:val="20"/>
              </w:rPr>
              <w:t xml:space="preserve">Cloud computing costs </w:t>
            </w:r>
            <w:r>
              <w:rPr>
                <w:rFonts w:ascii="Trebuchet;sans-serif" w:hAnsi="Trebuchet;sans-serif"/>
                <w:b w:val="false"/>
                <w:color w:val="000000"/>
                <w:sz w:val="13"/>
              </w:rPr>
              <w:t>(c)</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5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rebuchet;sans-serif" w:hAnsi="Trebuchet;sans-serif"/>
                <w:b/>
                <w:color w:val="000000"/>
                <w:sz w:val="20"/>
              </w:rPr>
              <w:t xml:space="preserve">Adjusted EBITDA </w:t>
            </w:r>
            <w:r>
              <w:rPr>
                <w:rFonts w:ascii="Trebuchet;sans-serif" w:hAnsi="Trebuchet;sans-serif"/>
                <w:b/>
                <w:color w:val="000000"/>
                <w:sz w:val="13"/>
              </w:rPr>
              <w:t>(d)</w:t>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rebuchet;sans-serif" w:hAnsi="Trebuchet;sans-serif"/>
                <w:b/>
                <w:color w:val="000000"/>
                <w:sz w:val="20"/>
              </w:rPr>
            </w:pPr>
            <w:r>
              <w:rPr>
                <w:rFonts w:ascii="Trebuchet;sans-serif" w:hAnsi="Trebuchet;sans-serif"/>
                <w:b/>
                <w:color w:val="000000"/>
                <w:sz w:val="20"/>
              </w:rPr>
              <w:t>$</w:t>
            </w:r>
          </w:p>
        </w:tc>
        <w:tc>
          <w:tcPr>
            <w:tcW w:w="6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rebuchet;sans-serif" w:hAnsi="Trebuchet;sans-serif"/>
                <w:b/>
                <w:color w:val="000000"/>
                <w:sz w:val="20"/>
              </w:rPr>
              <w:t>286</w:t>
            </w:r>
            <w:r>
              <w:rPr>
                <w:color w:val="000000"/>
              </w:rPr>
              <w:t>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rebuchet;sans-serif" w:hAnsi="Trebuchet;sans-serif"/>
                <w:b/>
                <w:color w:val="000000"/>
                <w:sz w:val="20"/>
              </w:rPr>
            </w:pPr>
            <w:r>
              <w:rPr>
                <w:rFonts w:ascii="Trebuchet;sans-serif" w:hAnsi="Trebuchet;sans-serif"/>
                <w:b/>
                <w:color w:val="000000"/>
                <w:sz w:val="20"/>
              </w:rPr>
              <w:t>$</w:t>
            </w:r>
          </w:p>
        </w:tc>
        <w:tc>
          <w:tcPr>
            <w:tcW w:w="6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rebuchet;sans-serif" w:hAnsi="Trebuchet;sans-serif"/>
                <w:b/>
                <w:color w:val="000000"/>
                <w:sz w:val="20"/>
              </w:rPr>
              <w:t>277</w:t>
            </w:r>
            <w:r>
              <w:rPr>
                <w:color w:val="000000"/>
              </w:rPr>
              <w:t>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rebuchet;sans-serif" w:hAnsi="Trebuchet;sans-serif"/>
                <w:b/>
                <w:color w:val="000000"/>
                <w:sz w:val="20"/>
              </w:rPr>
            </w:pPr>
            <w:r>
              <w:rPr>
                <w:rFonts w:ascii="Trebuchet;sans-serif" w:hAnsi="Trebuchet;sans-serif"/>
                <w:b/>
                <w:color w:val="000000"/>
                <w:sz w:val="20"/>
              </w:rPr>
              <w:t>$</w:t>
            </w:r>
          </w:p>
        </w:tc>
        <w:tc>
          <w:tcPr>
            <w:tcW w:w="6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rebuchet;sans-serif" w:hAnsi="Trebuchet;sans-serif"/>
                <w:b/>
                <w:color w:val="000000"/>
                <w:sz w:val="20"/>
              </w:rPr>
              <w:t>173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rebuchet;sans-serif" w:hAnsi="Trebuchet;sans-serif"/>
                <w:b/>
                <w:color w:val="000000"/>
                <w:sz w:val="20"/>
              </w:rPr>
            </w:pPr>
            <w:r>
              <w:rPr>
                <w:rFonts w:ascii="Trebuchet;sans-serif" w:hAnsi="Trebuchet;sans-serif"/>
                <w:b/>
                <w:color w:val="000000"/>
                <w:sz w:val="20"/>
              </w:rPr>
              <w:t>$</w:t>
            </w:r>
          </w:p>
        </w:tc>
        <w:tc>
          <w:tcPr>
            <w:tcW w:w="6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rebuchet;sans-serif" w:hAnsi="Trebuchet;sans-serif"/>
                <w:b/>
                <w:color w:val="000000"/>
                <w:sz w:val="20"/>
              </w:rPr>
              <w:t>184</w:t>
            </w:r>
            <w:r>
              <w:rPr>
                <w:color w:val="000000"/>
              </w:rPr>
              <w:t>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754"/>
        <w:gridCol w:w="1417"/>
        <w:gridCol w:w="1314"/>
        <w:gridCol w:w="916"/>
        <w:gridCol w:w="2972"/>
        <w:gridCol w:w="414"/>
        <w:gridCol w:w="414"/>
        <w:gridCol w:w="414"/>
        <w:gridCol w:w="590"/>
      </w:tblGrid>
      <w:tr>
        <w:trPr/>
        <w:tc>
          <w:tcPr>
            <w:tcW w:w="1754"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97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120" w:after="283"/>
              <w:ind w:left="0" w:right="0" w:hanging="180"/>
              <w:jc w:val="left"/>
              <w:rPr>
                <w:rFonts w:ascii="Trebuchet;sans-serif" w:hAnsi="Trebuchet;sans-serif"/>
                <w:b/>
                <w:color w:val="000000"/>
                <w:sz w:val="20"/>
              </w:rPr>
            </w:pPr>
            <w:r>
              <w:rPr>
                <w:rFonts w:ascii="Trebuchet;sans-serif" w:hAnsi="Trebuchet;sans-serif"/>
                <w:b/>
                <w:color w:val="000000"/>
                <w:sz w:val="20"/>
              </w:rPr>
              <w:t>Reconciliation of net cash provided by operating activities to Adjusted Free Cash Flow:</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color w:val="000000"/>
                <w:sz w:val="20"/>
              </w:rPr>
            </w:pPr>
            <w:r>
              <w:rPr>
                <w:rFonts w:ascii="Trebuchet;sans-serif" w:hAnsi="Trebuchet;sans-serif"/>
                <w:b/>
                <w:color w:val="000000"/>
                <w:sz w:val="20"/>
              </w:rPr>
              <w:t>Net cash provided by operating activities</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color w:val="000000"/>
                <w:sz w:val="20"/>
              </w:rPr>
            </w:pPr>
            <w:r>
              <w:rPr>
                <w:rFonts w:ascii="Trebuchet;sans-serif" w:hAnsi="Trebuchet;sans-serif"/>
                <w:b/>
                <w:color w:val="000000"/>
                <w:sz w:val="20"/>
              </w:rPr>
              <w:t>$</w:t>
            </w:r>
          </w:p>
        </w:tc>
        <w:tc>
          <w:tcPr>
            <w:tcW w:w="2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rebuchet;sans-serif" w:hAnsi="Trebuchet;sans-serif"/>
                <w:b/>
                <w:color w:val="000000"/>
                <w:sz w:val="20"/>
              </w:rPr>
              <w:t>1,066</w:t>
            </w:r>
            <w:r>
              <w:rPr>
                <w:color w:val="000000"/>
              </w:rPr>
              <w:t>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Net cash used in investing activities of vehicle programs</w:t>
            </w:r>
          </w:p>
        </w:tc>
        <w:tc>
          <w:tcPr>
            <w:tcW w:w="3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(1,484)</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Net cash provided by financing activities of vehicle programs</w:t>
            </w:r>
          </w:p>
        </w:tc>
        <w:tc>
          <w:tcPr>
            <w:tcW w:w="3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652 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Capital expenditures</w:t>
            </w:r>
          </w:p>
        </w:tc>
        <w:tc>
          <w:tcPr>
            <w:tcW w:w="3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(109)</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Proceeds received on asset sales</w:t>
            </w:r>
          </w:p>
        </w:tc>
        <w:tc>
          <w:tcPr>
            <w:tcW w:w="3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2 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4302"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Change in program and restricted cash</w:t>
            </w:r>
          </w:p>
        </w:tc>
        <w:tc>
          <w:tcPr>
            <w:tcW w:w="3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(34)</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Dividends from equity method investments</w:t>
            </w:r>
          </w:p>
        </w:tc>
        <w:tc>
          <w:tcPr>
            <w:tcW w:w="3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8 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20"/>
              </w:rPr>
            </w:pPr>
            <w:r>
              <w:rPr>
                <w:rFonts w:ascii="Trebuchet;sans-serif" w:hAnsi="Trebuchet;sans-serif"/>
                <w:b w:val="false"/>
                <w:color w:val="000000"/>
                <w:sz w:val="20"/>
              </w:rPr>
              <w:t>Other receipts (payments), net</w:t>
            </w:r>
          </w:p>
        </w:tc>
        <w:tc>
          <w:tcPr>
            <w:tcW w:w="3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20"/>
              </w:rPr>
            </w:pPr>
            <w:r>
              <w:rPr>
                <w:rFonts w:ascii="Trebuchet;sans-serif" w:hAnsi="Trebuchet;sans-serif"/>
                <w:b w:val="false"/>
                <w:color w:val="000000"/>
                <w:sz w:val="20"/>
              </w:rPr>
              <w:t>60 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color w:val="000000"/>
                <w:sz w:val="20"/>
              </w:rPr>
            </w:pPr>
            <w:r>
              <w:rPr>
                <w:rFonts w:ascii="Trebuchet;sans-serif" w:hAnsi="Trebuchet;sans-serif"/>
                <w:b/>
                <w:color w:val="000000"/>
                <w:sz w:val="20"/>
              </w:rPr>
              <w:t>Adjusted Free Cash Flow</w:t>
            </w:r>
          </w:p>
        </w:tc>
        <w:tc>
          <w:tcPr>
            <w:tcW w:w="9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rebuchet;sans-serif" w:hAnsi="Trebuchet;sans-serif"/>
                <w:b/>
                <w:color w:val="000000"/>
                <w:sz w:val="20"/>
              </w:rPr>
            </w:pPr>
            <w:r>
              <w:rPr>
                <w:rFonts w:ascii="Trebuchet;sans-serif" w:hAnsi="Trebuchet;sans-serif"/>
                <w:b/>
                <w:color w:val="000000"/>
                <w:sz w:val="20"/>
              </w:rPr>
              <w:t>$</w:t>
            </w:r>
          </w:p>
        </w:tc>
        <w:tc>
          <w:tcPr>
            <w:tcW w:w="29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rebuchet;sans-serif" w:hAnsi="Trebuchet;sans-serif"/>
                <w:b/>
                <w:color w:val="000000"/>
                <w:sz w:val="20"/>
              </w:rPr>
              <w:t>161</w:t>
            </w:r>
            <w:r>
              <w:rPr>
                <w:color w:val="000000"/>
              </w:rPr>
              <w:t> </w:t>
            </w:r>
          </w:p>
        </w:tc>
        <w:tc>
          <w:tcPr>
            <w:tcW w:w="4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rebuchet;sans-serif" w:hAnsi="Trebuchet;sans-serif"/>
          <w:b w:val="false"/>
          <w:color w:val="000000"/>
          <w:sz w:val="20"/>
        </w:rPr>
      </w:pPr>
      <w:r>
        <w:rPr>
          <w:rFonts w:ascii="Trebuchet;sans-serif" w:hAnsi="Trebuchet;sans-serif"/>
          <w:b w:val="false"/>
          <w:color w:val="000000"/>
          <w:sz w:val="20"/>
        </w:rPr>
        <w:t>__________</w:t>
      </w:r>
    </w:p>
    <w:p>
      <w:pPr>
        <w:pStyle w:val="TextBody"/>
        <w:bidi w:val="0"/>
        <w:spacing w:lineRule="auto" w:line="288" w:before="0" w:after="0"/>
        <w:jc w:val="both"/>
        <w:rPr>
          <w:rFonts w:ascii="Trebuchet;sans-serif" w:hAnsi="Trebuchet;sans-serif"/>
          <w:b w:val="false"/>
          <w:color w:val="000000"/>
          <w:sz w:val="18"/>
        </w:rPr>
      </w:pPr>
      <w:r>
        <w:rPr>
          <w:rFonts w:ascii="Trebuchet;sans-serif" w:hAnsi="Trebuchet;sans-serif"/>
          <w:b w:val="false"/>
          <w:color w:val="000000"/>
          <w:sz w:val="18"/>
        </w:rPr>
        <w:t xml:space="preserve">Refer to Appendix I for the definitions of Adjusted EBITDA and Adjusted Free Cash Flow, non-GAAP financial measures. </w:t>
      </w:r>
    </w:p>
    <w:p>
      <w:pPr>
        <w:pStyle w:val="TextBody"/>
        <w:bidi w:val="0"/>
        <w:spacing w:lineRule="auto" w:line="288" w:before="0" w:after="0"/>
        <w:ind w:left="0" w:right="0" w:hanging="360"/>
        <w:jc w:val="both"/>
        <w:rPr/>
      </w:pPr>
      <w:r>
        <w:rPr>
          <w:rFonts w:ascii="Trebuchet;sans-serif" w:hAnsi="Trebuchet;sans-serif"/>
          <w:b w:val="false"/>
          <w:color w:val="000000"/>
          <w:sz w:val="12"/>
        </w:rPr>
        <w:t>(a)</w:t>
      </w:r>
      <w:r>
        <w:rPr>
          <w:rFonts w:ascii="Trebuchet;sans-serif" w:hAnsi="Trebuchet;sans-serif"/>
          <w:b w:val="false"/>
          <w:color w:val="000000"/>
          <w:sz w:val="18"/>
        </w:rPr>
        <w:t>Costs reported within vehicle depreciation and lease charges, net related to the disposal of certain fleet in our Americas reportable segment.</w:t>
      </w:r>
    </w:p>
    <w:p>
      <w:pPr>
        <w:pStyle w:val="TextBody"/>
        <w:bidi w:val="0"/>
        <w:spacing w:lineRule="auto" w:line="288" w:before="0" w:after="0"/>
        <w:ind w:left="0" w:right="0" w:hanging="360"/>
        <w:jc w:val="both"/>
        <w:rPr/>
      </w:pPr>
      <w:r>
        <w:rPr>
          <w:rFonts w:ascii="Trebuchet;sans-serif" w:hAnsi="Trebuchet;sans-serif"/>
          <w:b w:val="false"/>
          <w:color w:val="000000"/>
          <w:sz w:val="12"/>
          <w:shd w:fill="FFFFFF" w:val="clear"/>
        </w:rPr>
        <w:t>(b)</w:t>
      </w:r>
      <w:r>
        <w:rPr>
          <w:rFonts w:ascii="Trebuchet;sans-serif" w:hAnsi="Trebuchet;sans-serif"/>
          <w:b w:val="false"/>
          <w:color w:val="000000"/>
          <w:sz w:val="18"/>
        </w:rPr>
        <w:t>Consists of $2 million and $1 million reported within selling, general, and administrative expenses for the three months ended June 30, 2026 and 2025, respectively and $1 million and $11 million reported within operating expenses for the three months ended June 30, 2026 and 2025, respectively. Consists of $3 million and $2 million reported within selling, general and administrative expenses for the six months ended June 30, 2026 and 2025, respectively and $1 million</w:t>
      </w:r>
      <w:r>
        <w:rPr>
          <w:color w:val="000000"/>
        </w:rPr>
        <w:t xml:space="preserve"> </w:t>
      </w:r>
      <w:r>
        <w:rPr>
          <w:rFonts w:ascii="Trebuchet;sans-serif" w:hAnsi="Trebuchet;sans-serif"/>
          <w:b w:val="false"/>
          <w:color w:val="000000"/>
          <w:sz w:val="18"/>
        </w:rPr>
        <w:t>and $11 million reported within operating expenses for the six months ended June 30, 2026 and 2025, respectively.</w:t>
      </w:r>
    </w:p>
    <w:p>
      <w:pPr>
        <w:pStyle w:val="TextBody"/>
        <w:bidi w:val="0"/>
        <w:spacing w:lineRule="auto" w:line="288" w:before="0" w:after="0"/>
        <w:ind w:left="0" w:right="0" w:hanging="360"/>
        <w:jc w:val="both"/>
        <w:rPr/>
      </w:pPr>
      <w:r>
        <w:rPr>
          <w:rFonts w:ascii="Trebuchet;sans-serif" w:hAnsi="Trebuchet;sans-serif"/>
          <w:b w:val="false"/>
          <w:color w:val="000000"/>
          <w:sz w:val="12"/>
        </w:rPr>
        <w:t>(c)</w:t>
      </w:r>
      <w:r>
        <w:rPr>
          <w:rFonts w:ascii="Trebuchet;sans-serif" w:hAnsi="Trebuchet;sans-serif"/>
          <w:b w:val="false"/>
          <w:color w:val="000000"/>
          <w:sz w:val="18"/>
        </w:rPr>
        <w:t>Reported within operating expenses.</w:t>
      </w:r>
    </w:p>
    <w:p>
      <w:pPr>
        <w:pStyle w:val="TextBody"/>
        <w:bidi w:val="0"/>
        <w:spacing w:lineRule="auto" w:line="288" w:before="0" w:after="0"/>
        <w:ind w:left="0" w:right="0" w:hanging="360"/>
        <w:jc w:val="both"/>
        <w:rPr/>
      </w:pPr>
      <w:r>
        <w:rPr>
          <w:rFonts w:ascii="Trebuchet;sans-serif" w:hAnsi="Trebuchet;sans-serif"/>
          <w:b w:val="false"/>
          <w:color w:val="000000"/>
          <w:sz w:val="12"/>
        </w:rPr>
        <w:t>(d)</w:t>
      </w:r>
      <w:r>
        <w:rPr>
          <w:rFonts w:ascii="Trebuchet;sans-serif" w:hAnsi="Trebuchet;sans-serif"/>
          <w:b w:val="false"/>
          <w:color w:val="000000"/>
          <w:sz w:val="18"/>
        </w:rPr>
        <w:t>Includes stock-based compensation expense and vehicle related deferred financing fee amortization in the aggregate totaling $14 million and $16 million</w:t>
      </w:r>
      <w:r>
        <w:rPr>
          <w:color w:val="000000"/>
        </w:rPr>
        <w:t xml:space="preserve"> </w:t>
      </w:r>
      <w:r>
        <w:rPr>
          <w:rFonts w:ascii="Trebuchet;sans-serif" w:hAnsi="Trebuchet;sans-serif"/>
          <w:b w:val="false"/>
          <w:color w:val="000000"/>
          <w:sz w:val="18"/>
        </w:rPr>
        <w:t xml:space="preserve">in the three months ended June 30, 2026 and 2025, respectively. Includes stock-based compensation expense and vehicle related deferred financing fee amortization in the aggregate totaling </w:t>
      </w:r>
      <w:r>
        <w:rPr>
          <w:rFonts w:ascii="Trebuchet;sans-serif" w:hAnsi="Trebuchet;sans-serif"/>
          <w:b w:val="false"/>
          <w:color w:val="000000"/>
          <w:sz w:val="18"/>
          <w:shd w:fill="FFFFFF" w:val="clear"/>
        </w:rPr>
        <w:t>$24 million</w:t>
      </w:r>
      <w:r>
        <w:rPr>
          <w:color w:val="000000"/>
        </w:rPr>
        <w:t xml:space="preserve"> </w:t>
      </w:r>
      <w:r>
        <w:rPr>
          <w:rFonts w:ascii="Trebuchet;sans-serif" w:hAnsi="Trebuchet;sans-serif"/>
          <w:b w:val="false"/>
          <w:color w:val="000000"/>
          <w:sz w:val="18"/>
        </w:rPr>
        <w:t>and $30 million in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rebuchet;sans-serif" w:hAnsi="Trebuchet;sans-serif"/>
          <w:b/>
          <w:color w:val="000000"/>
          <w:sz w:val="20"/>
        </w:rPr>
      </w:pPr>
      <w:r>
        <w:rPr>
          <w:rFonts w:ascii="Trebuchet;sans-serif" w:hAnsi="Trebuchet;sans-serif"/>
          <w:b/>
          <w:color w:val="000000"/>
          <w:sz w:val="20"/>
        </w:rPr>
        <w:t>Table 6</w:t>
      </w:r>
    </w:p>
    <w:p>
      <w:pPr>
        <w:pStyle w:val="TextBody"/>
        <w:bidi w:val="0"/>
        <w:spacing w:lineRule="auto" w:line="288" w:before="0" w:after="0"/>
        <w:jc w:val="center"/>
        <w:rPr>
          <w:rFonts w:ascii="Trebuchet;sans-serif" w:hAnsi="Trebuchet;sans-serif"/>
          <w:b/>
          <w:color w:val="000000"/>
          <w:sz w:val="20"/>
        </w:rPr>
      </w:pPr>
      <w:r>
        <w:rPr>
          <w:rFonts w:ascii="Trebuchet;sans-serif" w:hAnsi="Trebuchet;sans-serif"/>
          <w:b/>
          <w:color w:val="000000"/>
          <w:sz w:val="20"/>
        </w:rPr>
        <w:t>Avis Budget Group, Inc.</w:t>
      </w:r>
    </w:p>
    <w:p>
      <w:pPr>
        <w:pStyle w:val="TextBody"/>
        <w:bidi w:val="0"/>
        <w:spacing w:lineRule="auto" w:line="288" w:before="0" w:after="0"/>
        <w:jc w:val="center"/>
        <w:rPr>
          <w:rFonts w:ascii="Trebuchet;sans-serif" w:hAnsi="Trebuchet;sans-serif"/>
          <w:b/>
          <w:color w:val="000000"/>
          <w:sz w:val="20"/>
        </w:rPr>
      </w:pPr>
      <w:r>
        <w:rPr>
          <w:rFonts w:ascii="Trebuchet;sans-serif" w:hAnsi="Trebuchet;sans-serif"/>
          <w:b/>
          <w:color w:val="000000"/>
          <w:sz w:val="20"/>
        </w:rPr>
        <w:t>KEY METRICS CALCULATIONS (Unaudited)</w:t>
      </w:r>
    </w:p>
    <w:p>
      <w:pPr>
        <w:pStyle w:val="TextBody"/>
        <w:bidi w:val="0"/>
        <w:spacing w:lineRule="auto" w:line="288" w:before="0" w:after="0"/>
        <w:jc w:val="center"/>
        <w:rPr>
          <w:rFonts w:ascii="Trebuchet;sans-serif" w:hAnsi="Trebuchet;sans-serif"/>
          <w:b/>
          <w:color w:val="000000"/>
          <w:sz w:val="20"/>
        </w:rPr>
      </w:pPr>
      <w:r>
        <w:rPr>
          <w:rFonts w:ascii="Trebuchet;sans-serif" w:hAnsi="Trebuchet;sans-serif"/>
          <w:b/>
          <w:color w:val="000000"/>
          <w:sz w:val="20"/>
        </w:rPr>
        <w:t>($ in millions, except as noted)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02"/>
        <w:gridCol w:w="436"/>
        <w:gridCol w:w="442"/>
        <w:gridCol w:w="211"/>
        <w:gridCol w:w="616"/>
        <w:gridCol w:w="256"/>
        <w:gridCol w:w="109"/>
        <w:gridCol w:w="109"/>
        <w:gridCol w:w="109"/>
        <w:gridCol w:w="254"/>
        <w:gridCol w:w="742"/>
        <w:gridCol w:w="310"/>
        <w:gridCol w:w="109"/>
        <w:gridCol w:w="109"/>
        <w:gridCol w:w="109"/>
        <w:gridCol w:w="211"/>
        <w:gridCol w:w="616"/>
        <w:gridCol w:w="256"/>
        <w:gridCol w:w="109"/>
        <w:gridCol w:w="109"/>
        <w:gridCol w:w="109"/>
        <w:gridCol w:w="211"/>
        <w:gridCol w:w="616"/>
        <w:gridCol w:w="256"/>
        <w:gridCol w:w="109"/>
        <w:gridCol w:w="109"/>
        <w:gridCol w:w="109"/>
        <w:gridCol w:w="254"/>
        <w:gridCol w:w="742"/>
        <w:gridCol w:w="310"/>
        <w:gridCol w:w="109"/>
        <w:gridCol w:w="109"/>
        <w:gridCol w:w="109"/>
        <w:gridCol w:w="211"/>
        <w:gridCol w:w="616"/>
        <w:gridCol w:w="302"/>
      </w:tblGrid>
      <w:tr>
        <w:trPr/>
        <w:tc>
          <w:tcPr>
            <w:tcW w:w="70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6"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16"/>
              </w:rPr>
            </w:pPr>
            <w:r>
              <w:rPr>
                <w:rFonts w:ascii="Trebuchet;sans-serif" w:hAnsi="Trebuchet;sans-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16"/>
              </w:rPr>
            </w:pPr>
            <w:r>
              <w:rPr>
                <w:rFonts w:ascii="Trebuchet;sans-serif" w:hAnsi="Trebuchet;sans-serif"/>
                <w:b/>
                <w:color w:val="000000"/>
                <w:sz w:val="16"/>
              </w:rPr>
              <w:t>Three Months Ended June 30, 2025</w:t>
            </w:r>
          </w:p>
        </w:tc>
      </w:tr>
      <w:tr>
        <w:trPr/>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rebuchet;sans-serif" w:hAnsi="Trebuchet;sans-serif"/>
                <w:b/>
                <w:color w:val="000000"/>
                <w:sz w:val="16"/>
              </w:rPr>
            </w:pPr>
            <w:r>
              <w:rPr>
                <w:rFonts w:ascii="Trebuchet;sans-serif" w:hAnsi="Trebuchet;sans-serif"/>
                <w:b/>
                <w:color w:val="000000"/>
                <w:sz w:val="16"/>
              </w:rPr>
              <w:t>Americas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rebuchet;sans-serif" w:hAnsi="Trebuchet;sans-serif"/>
                <w:b/>
                <w:color w:val="000000"/>
                <w:sz w:val="16"/>
              </w:rPr>
            </w:pPr>
            <w:r>
              <w:rPr>
                <w:rFonts w:ascii="Trebuchet;sans-serif" w:hAnsi="Trebuchet;sans-serif"/>
                <w:b/>
                <w:color w:val="000000"/>
                <w:sz w:val="16"/>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rebuchet;sans-serif" w:hAnsi="Trebuchet;sans-serif"/>
                <w:b/>
                <w:color w:val="000000"/>
                <w:sz w:val="16"/>
              </w:rPr>
            </w:pPr>
            <w:r>
              <w:rPr>
                <w:rFonts w:ascii="Trebuchet;sans-serif" w:hAnsi="Trebuchet;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rebuchet;sans-serif" w:hAnsi="Trebuchet;sans-serif"/>
                <w:b/>
                <w:color w:val="000000"/>
                <w:sz w:val="16"/>
              </w:rPr>
            </w:pPr>
            <w:r>
              <w:rPr>
                <w:rFonts w:ascii="Trebuchet;sans-serif" w:hAnsi="Trebuchet;sans-serif"/>
                <w:b/>
                <w:color w:val="000000"/>
                <w:sz w:val="16"/>
              </w:rPr>
              <w:t>Americas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rebuchet;sans-serif" w:hAnsi="Trebuchet;sans-serif"/>
                <w:b/>
                <w:color w:val="000000"/>
                <w:sz w:val="16"/>
              </w:rPr>
            </w:pPr>
            <w:r>
              <w:rPr>
                <w:rFonts w:ascii="Trebuchet;sans-serif" w:hAnsi="Trebuchet;sans-serif"/>
                <w:b/>
                <w:color w:val="000000"/>
                <w:sz w:val="16"/>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rebuchet;sans-serif" w:hAnsi="Trebuchet;sans-serif"/>
                <w:b/>
                <w:color w:val="000000"/>
                <w:sz w:val="16"/>
              </w:rPr>
            </w:pPr>
            <w:r>
              <w:rPr>
                <w:rFonts w:ascii="Trebuchet;sans-serif" w:hAnsi="Trebuchet;sans-serif"/>
                <w:b/>
                <w:color w:val="000000"/>
                <w:sz w:val="16"/>
              </w:rPr>
              <w:t>Total</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color w:val="000000"/>
                <w:sz w:val="16"/>
              </w:rPr>
            </w:pPr>
            <w:r>
              <w:rPr>
                <w:rFonts w:ascii="Trebuchet;sans-serif" w:hAnsi="Trebuchet;sans-serif"/>
                <w:b/>
                <w:color w:val="000000"/>
                <w:sz w:val="16"/>
              </w:rPr>
              <w:t>Revenue per Day (RPD)</w:t>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2,288 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710 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2,998 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2,332 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707 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3,039 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Currency exchange rate effects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(21)</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rebuchet;sans-serif" w:hAnsi="Trebuchet;sans-serif"/>
                <w:b w:val="false"/>
                <w:color w:val="000000"/>
                <w:sz w:val="16"/>
              </w:rPr>
            </w:pPr>
            <w:r>
              <w:rPr>
                <w:rFonts w:ascii="Trebuchet;sans-serif" w:hAnsi="Trebuchet;sans-serif"/>
                <w:b w:val="false"/>
                <w:color w:val="000000"/>
                <w:sz w:val="16"/>
              </w:rPr>
              <w:t>Revenue excluding exchange rate effects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2,289 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689 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2,978 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2,332 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707 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3,039 </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Rental days (000's)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32,597 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11,310 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43,907 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33,292 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11,653 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44,945 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RPD excluding exchange rate effects (in $'s)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70.22 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61.00 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67.84 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70.03 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60.74 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67.62 </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color w:val="000000"/>
                <w:sz w:val="16"/>
              </w:rPr>
            </w:pPr>
            <w:r>
              <w:rPr>
                <w:rFonts w:ascii="Trebuchet;sans-serif" w:hAnsi="Trebuchet;sans-serif"/>
                <w:b/>
                <w:color w:val="000000"/>
                <w:sz w:val="16"/>
              </w:rPr>
              <w:t>Vehicle Utilization</w:t>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Rental days (000's)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32,597 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11,310 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43,907 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33,292 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11,653 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44,945 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Average rental fleet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489,192 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175,446 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664,638 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517,363 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181,270 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698,633 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Number of days in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91 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91 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91 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Available rental days (000's)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44,516 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15,966 </w:t>
            </w:r>
          </w:p>
        </w:tc>
        <w:tc>
          <w:tcPr>
            <w:tcW w:w="3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60,482 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47,080 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16,496 </w:t>
            </w:r>
          </w:p>
        </w:tc>
        <w:tc>
          <w:tcPr>
            <w:tcW w:w="3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63,576 </w:t>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Vehicle utilization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73.2 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70.8 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72.6 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70.7 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70.6 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70.7 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w:t>
            </w:r>
          </w:p>
        </w:tc>
      </w:tr>
      <w:tr>
        <w:trPr/>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color w:val="000000"/>
                <w:sz w:val="16"/>
              </w:rPr>
            </w:pPr>
            <w:r>
              <w:rPr>
                <w:rFonts w:ascii="Trebuchet;sans-serif" w:hAnsi="Trebuchet;sans-serif"/>
                <w:b/>
                <w:color w:val="000000"/>
                <w:sz w:val="16"/>
              </w:rPr>
              <w:t>Per-Unit Fleet Costs</w:t>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rebuchet;sans-serif" w:hAnsi="Trebuchet;sans-serif"/>
                <w:b w:val="false"/>
                <w:color w:val="000000"/>
                <w:sz w:val="16"/>
              </w:rPr>
            </w:pPr>
            <w:r>
              <w:rPr>
                <w:rFonts w:ascii="Trebuchet;sans-serif" w:hAnsi="Trebuchet;sans-serif"/>
                <w:b w:val="false"/>
                <w:color w:val="000000"/>
                <w:sz w:val="16"/>
              </w:rPr>
              <w:t>Vehicle depreciation and lease charges,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443 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140 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583 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484 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152 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636 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Currency exchange rate effects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(4)</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Vehicle depreciation excluding exchange rate effects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443 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136 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579 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484 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152 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636 </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Average rental fleet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489,192 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175,446 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664,638 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517,363 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181,270 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698,633 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Per-unit fleet costs (in $'s)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905 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779 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871 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937 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835 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910 </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Number of months in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3 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3 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3 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rebuchet;sans-serif" w:hAnsi="Trebuchet;sans-serif"/>
                <w:b w:val="false"/>
                <w:color w:val="000000"/>
                <w:sz w:val="16"/>
              </w:rPr>
            </w:pPr>
            <w:r>
              <w:rPr>
                <w:rFonts w:ascii="Trebuchet;sans-serif" w:hAnsi="Trebuchet;sans-serif"/>
                <w:b w:val="false"/>
                <w:color w:val="000000"/>
                <w:sz w:val="16"/>
              </w:rPr>
              <w:t>Per-unit fleet costs per month excluding exchange rate effects (in $'s)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302 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7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260 </w:t>
            </w:r>
          </w:p>
        </w:tc>
        <w:tc>
          <w:tcPr>
            <w:tcW w:w="3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290 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312 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7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278 </w:t>
            </w:r>
          </w:p>
        </w:tc>
        <w:tc>
          <w:tcPr>
            <w:tcW w:w="3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303 </w:t>
            </w:r>
          </w:p>
        </w:tc>
        <w:tc>
          <w:tcPr>
            <w:tcW w:w="3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29"/>
        <w:gridCol w:w="425"/>
        <w:gridCol w:w="426"/>
        <w:gridCol w:w="211"/>
        <w:gridCol w:w="616"/>
        <w:gridCol w:w="256"/>
        <w:gridCol w:w="109"/>
        <w:gridCol w:w="109"/>
        <w:gridCol w:w="109"/>
        <w:gridCol w:w="254"/>
        <w:gridCol w:w="742"/>
        <w:gridCol w:w="310"/>
        <w:gridCol w:w="109"/>
        <w:gridCol w:w="109"/>
        <w:gridCol w:w="109"/>
        <w:gridCol w:w="211"/>
        <w:gridCol w:w="616"/>
        <w:gridCol w:w="256"/>
        <w:gridCol w:w="109"/>
        <w:gridCol w:w="109"/>
        <w:gridCol w:w="109"/>
        <w:gridCol w:w="211"/>
        <w:gridCol w:w="616"/>
        <w:gridCol w:w="256"/>
        <w:gridCol w:w="109"/>
        <w:gridCol w:w="109"/>
        <w:gridCol w:w="109"/>
        <w:gridCol w:w="254"/>
        <w:gridCol w:w="742"/>
        <w:gridCol w:w="310"/>
        <w:gridCol w:w="109"/>
        <w:gridCol w:w="109"/>
        <w:gridCol w:w="109"/>
        <w:gridCol w:w="211"/>
        <w:gridCol w:w="616"/>
        <w:gridCol w:w="302"/>
      </w:tblGrid>
      <w:tr>
        <w:trPr/>
        <w:tc>
          <w:tcPr>
            <w:tcW w:w="72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16"/>
              </w:rPr>
            </w:pPr>
            <w:r>
              <w:rPr>
                <w:rFonts w:ascii="Trebuchet;sans-serif" w:hAnsi="Trebuchet;sans-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16"/>
              </w:rPr>
            </w:pPr>
            <w:r>
              <w:rPr>
                <w:rFonts w:ascii="Trebuchet;sans-serif" w:hAnsi="Trebuchet;sans-serif"/>
                <w:b/>
                <w:color w:val="000000"/>
                <w:sz w:val="16"/>
              </w:rPr>
              <w:t>Six Months Ended June 30, 2025</w:t>
            </w:r>
          </w:p>
        </w:tc>
      </w:tr>
      <w:tr>
        <w:trPr/>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16"/>
              </w:rPr>
            </w:pPr>
            <w:r>
              <w:rPr>
                <w:rFonts w:ascii="Trebuchet;sans-serif" w:hAnsi="Trebuchet;sans-serif"/>
                <w:b/>
                <w:color w:val="000000"/>
                <w:sz w:val="16"/>
              </w:rPr>
              <w:t>Americas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16"/>
              </w:rPr>
            </w:pPr>
            <w:r>
              <w:rPr>
                <w:rFonts w:ascii="Trebuchet;sans-serif" w:hAnsi="Trebuchet;sans-serif"/>
                <w:b/>
                <w:color w:val="000000"/>
                <w:sz w:val="16"/>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16"/>
              </w:rPr>
            </w:pPr>
            <w:r>
              <w:rPr>
                <w:rFonts w:ascii="Trebuchet;sans-serif" w:hAnsi="Trebuchet;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16"/>
              </w:rPr>
            </w:pPr>
            <w:r>
              <w:rPr>
                <w:rFonts w:ascii="Trebuchet;sans-serif" w:hAnsi="Trebuchet;sans-serif"/>
                <w:b/>
                <w:color w:val="000000"/>
                <w:sz w:val="16"/>
              </w:rPr>
              <w:t>Americas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16"/>
              </w:rPr>
            </w:pPr>
            <w:r>
              <w:rPr>
                <w:rFonts w:ascii="Trebuchet;sans-serif" w:hAnsi="Trebuchet;sans-serif"/>
                <w:b/>
                <w:color w:val="000000"/>
                <w:sz w:val="16"/>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rebuchet;sans-serif" w:hAnsi="Trebuchet;sans-serif"/>
                <w:b/>
                <w:color w:val="000000"/>
                <w:sz w:val="16"/>
              </w:rPr>
            </w:pPr>
            <w:r>
              <w:rPr>
                <w:rFonts w:ascii="Trebuchet;sans-serif" w:hAnsi="Trebuchet;sans-serif"/>
                <w:b/>
                <w:color w:val="000000"/>
                <w:sz w:val="16"/>
              </w:rPr>
              <w:t>Total</w:t>
            </w:r>
          </w:p>
        </w:tc>
      </w:tr>
      <w:tr>
        <w:trPr/>
        <w:tc>
          <w:tcPr>
            <w:tcW w:w="1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color w:val="000000"/>
                <w:sz w:val="16"/>
              </w:rPr>
            </w:pPr>
            <w:r>
              <w:rPr>
                <w:rFonts w:ascii="Trebuchet;sans-serif" w:hAnsi="Trebuchet;sans-serif"/>
                <w:b/>
                <w:color w:val="000000"/>
                <w:sz w:val="16"/>
              </w:rPr>
              <w:t>Revenue per Day (RPD)</w:t>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4,250 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1,278 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5,528 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4,239 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1,230 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5,469 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Currency exchange rate effects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(69)</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(71)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rebuchet;sans-serif" w:hAnsi="Trebuchet;sans-serif"/>
                <w:b w:val="false"/>
                <w:color w:val="000000"/>
                <w:sz w:val="16"/>
              </w:rPr>
            </w:pPr>
            <w:r>
              <w:rPr>
                <w:rFonts w:ascii="Trebuchet;sans-serif" w:hAnsi="Trebuchet;sans-serif"/>
                <w:b w:val="false"/>
                <w:color w:val="000000"/>
                <w:sz w:val="16"/>
              </w:rPr>
              <w:t>Revenue excluding exchange rate effects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4,248 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1,209 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5,457 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4,239 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1,230 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5,469 </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Rental days (000's)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62,050 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20,935 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82,985 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62,739 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21,661 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84,400 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RPD excluding exchange rate effects (in $'s)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68.46 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57.77 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65.76 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67.56 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56.81 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64.80 </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color w:val="000000"/>
                <w:sz w:val="16"/>
              </w:rPr>
            </w:pPr>
            <w:r>
              <w:rPr>
                <w:rFonts w:ascii="Trebuchet;sans-serif" w:hAnsi="Trebuchet;sans-serif"/>
                <w:b/>
                <w:color w:val="000000"/>
                <w:sz w:val="16"/>
              </w:rPr>
              <w:t>Vehicle Utilization</w:t>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Rental days (000's)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62,050 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20,935 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82,985 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62,739 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21,661 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84,400 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Average rental fleet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478,306 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163,847 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642,153 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493,744 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171,260 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665,004 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Number of days in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181 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181 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181 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181 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181 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181 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Available rental days (000's)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86,573 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29,657 </w:t>
            </w:r>
          </w:p>
        </w:tc>
        <w:tc>
          <w:tcPr>
            <w:tcW w:w="3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116,230 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89,368 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30,998 </w:t>
            </w:r>
          </w:p>
        </w:tc>
        <w:tc>
          <w:tcPr>
            <w:tcW w:w="3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120,366 </w:t>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Vehicle utilization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71.7 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70.6 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71.4 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70.2 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69.9 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70.1 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w:t>
            </w:r>
          </w:p>
        </w:tc>
      </w:tr>
      <w:tr>
        <w:trPr/>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rebuchet;sans-serif" w:hAnsi="Trebuchet;sans-serif"/>
                <w:b/>
                <w:color w:val="000000"/>
                <w:sz w:val="16"/>
              </w:rPr>
              <w:t>Per-Unit Fleet Costs</w:t>
            </w:r>
            <w:r>
              <w:rPr>
                <w:color w:val="000000"/>
              </w:rPr>
              <w:t xml:space="preserve"> </w:t>
            </w:r>
            <w:r>
              <w:rPr>
                <w:rFonts w:ascii="Trebuchet;sans-serif" w:hAnsi="Trebuchet;sans-serif"/>
                <w:b/>
                <w:color w:val="000000"/>
                <w:sz w:val="10"/>
              </w:rPr>
              <w:t>(a)</w:t>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rebuchet;sans-serif" w:hAnsi="Trebuchet;sans-serif"/>
                <w:b w:val="false"/>
                <w:color w:val="000000"/>
                <w:sz w:val="16"/>
              </w:rPr>
            </w:pPr>
            <w:r>
              <w:rPr>
                <w:rFonts w:ascii="Trebuchet;sans-serif" w:hAnsi="Trebuchet;sans-serif"/>
                <w:b w:val="false"/>
                <w:color w:val="000000"/>
                <w:sz w:val="16"/>
              </w:rPr>
              <w:t>Vehicle depreciation and lease charges,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975 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272 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1,247 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1,017 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284 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1,301 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Currency exchange rate effects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(15)</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Vehicle depreciation excluding exchange rate effects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974 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257 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1,231 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1,017 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284 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1,301 </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Average rental fleet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478,306 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163,847 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642,153 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493,744 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171,260 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665,004 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Per-unit fleet costs (in $'s)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2,037 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1,565 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1,917 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2,060 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1,656 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1,956 </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Number of months in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6 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6 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6 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rebuchet;sans-serif" w:hAnsi="Trebuchet;sans-serif"/>
                <w:b w:val="false"/>
                <w:color w:val="000000"/>
                <w:sz w:val="16"/>
              </w:rPr>
            </w:pPr>
            <w:r>
              <w:rPr>
                <w:rFonts w:ascii="Trebuchet;sans-serif" w:hAnsi="Trebuchet;sans-serif"/>
                <w:b w:val="false"/>
                <w:color w:val="000000"/>
                <w:sz w:val="16"/>
              </w:rPr>
              <w:t>Per-unit fleet costs per month excluding exchange rate effects (in $'s)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340 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7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261 </w:t>
            </w:r>
          </w:p>
        </w:tc>
        <w:tc>
          <w:tcPr>
            <w:tcW w:w="3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319 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343 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7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276 </w:t>
            </w:r>
          </w:p>
        </w:tc>
        <w:tc>
          <w:tcPr>
            <w:tcW w:w="3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rebuchet;sans-serif" w:hAnsi="Trebuchet;sans-serif"/>
                <w:b w:val="false"/>
                <w:color w:val="000000"/>
                <w:sz w:val="16"/>
              </w:rPr>
            </w:pPr>
            <w:r>
              <w:rPr>
                <w:rFonts w:ascii="Trebuchet;sans-serif" w:hAnsi="Trebuchet;sans-serif"/>
                <w:b w:val="false"/>
                <w:color w:val="000000"/>
                <w:sz w:val="16"/>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rebuchet;sans-serif" w:hAnsi="Trebuchet;sans-serif"/>
                <w:b w:val="false"/>
                <w:color w:val="000000"/>
                <w:sz w:val="16"/>
              </w:rPr>
            </w:pPr>
            <w:r>
              <w:rPr>
                <w:rFonts w:ascii="Trebuchet;sans-serif" w:hAnsi="Trebuchet;sans-serif"/>
                <w:b w:val="false"/>
                <w:color w:val="000000"/>
                <w:sz w:val="16"/>
              </w:rPr>
              <w:t>326 </w:t>
            </w:r>
          </w:p>
        </w:tc>
        <w:tc>
          <w:tcPr>
            <w:tcW w:w="3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rebuchet;sans-serif" w:hAnsi="Trebuchet;sans-serif"/>
          <w:b w:val="false"/>
          <w:color w:val="000000"/>
          <w:sz w:val="18"/>
        </w:rPr>
      </w:pPr>
      <w:r>
        <w:rPr>
          <w:rFonts w:ascii="Trebuchet;sans-serif" w:hAnsi="Trebuchet;sans-serif"/>
          <w:b w:val="false"/>
          <w:color w:val="000000"/>
          <w:sz w:val="18"/>
        </w:rPr>
        <w:t>__________</w:t>
      </w:r>
    </w:p>
    <w:p>
      <w:pPr>
        <w:pStyle w:val="TextBody"/>
        <w:bidi w:val="0"/>
        <w:spacing w:lineRule="auto" w:line="288" w:before="0" w:after="0"/>
        <w:jc w:val="both"/>
        <w:rPr>
          <w:rFonts w:ascii="Trebuchet;sans-serif" w:hAnsi="Trebuchet;sans-serif"/>
          <w:b w:val="false"/>
          <w:color w:val="000000"/>
          <w:sz w:val="15"/>
        </w:rPr>
      </w:pPr>
      <w:r>
        <w:rPr>
          <w:rFonts w:ascii="Trebuchet;sans-serif" w:hAnsi="Trebuchet;sans-serif"/>
          <w:b w:val="false"/>
          <w:color w:val="000000"/>
          <w:sz w:val="15"/>
        </w:rPr>
        <w:t>Our calculation of rental days and revenue per day may not be comparable to the calculation of similarly-titled metrics by other companies. Currency exchange rate effects are calculated by translating the current-period's results at the prior-period average exchange rates plus any related gains and losses on currency hedges.</w:t>
      </w:r>
    </w:p>
    <w:p>
      <w:pPr>
        <w:pStyle w:val="TextBody"/>
        <w:bidi w:val="0"/>
        <w:spacing w:lineRule="auto" w:line="288" w:before="0" w:after="0"/>
        <w:ind w:left="0" w:right="0" w:hanging="360"/>
        <w:jc w:val="both"/>
        <w:rPr/>
      </w:pPr>
      <w:r>
        <w:rPr>
          <w:rFonts w:ascii="Trebuchet;sans-serif" w:hAnsi="Trebuchet;sans-serif"/>
          <w:b w:val="false"/>
          <w:color w:val="000000"/>
          <w:sz w:val="10"/>
        </w:rPr>
        <w:t>(a)</w:t>
      </w:r>
      <w:r>
        <w:rPr>
          <w:rFonts w:ascii="Trebuchet;sans-serif" w:hAnsi="Trebuchet;sans-serif"/>
          <w:b w:val="false"/>
          <w:color w:val="000000"/>
          <w:sz w:val="15"/>
        </w:rPr>
        <w:t>For the six months ended June 30, 2025, per-unit fleet costs excludes costs reported within vehicle depreciation and lease charges, net related to the disposal of certain fleet in our Americas reportable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rebuchet;sans-serif" w:hAnsi="Trebuchet;sans-serif"/>
          <w:b/>
          <w:color w:val="000000"/>
          <w:sz w:val="20"/>
        </w:rPr>
      </w:pPr>
      <w:r>
        <w:rPr>
          <w:rFonts w:ascii="Trebuchet;sans-serif" w:hAnsi="Trebuchet;sans-serif"/>
          <w:b/>
          <w:color w:val="000000"/>
          <w:sz w:val="20"/>
        </w:rPr>
        <w:t>Appendix I</w:t>
      </w:r>
    </w:p>
    <w:p>
      <w:pPr>
        <w:pStyle w:val="TextBody"/>
        <w:bidi w:val="0"/>
        <w:spacing w:lineRule="auto" w:line="288" w:before="0" w:after="0"/>
        <w:jc w:val="center"/>
        <w:rPr>
          <w:rFonts w:ascii="Trebuchet;sans-serif" w:hAnsi="Trebuchet;sans-serif"/>
          <w:b/>
          <w:color w:val="000000"/>
          <w:sz w:val="20"/>
        </w:rPr>
      </w:pPr>
      <w:r>
        <w:rPr>
          <w:rFonts w:ascii="Trebuchet;sans-serif" w:hAnsi="Trebuchet;sans-serif"/>
          <w:b/>
          <w:color w:val="000000"/>
          <w:sz w:val="20"/>
        </w:rPr>
        <w:t>Avis Budget Group, Inc.</w:t>
      </w:r>
    </w:p>
    <w:p>
      <w:pPr>
        <w:pStyle w:val="TextBody"/>
        <w:bidi w:val="0"/>
        <w:spacing w:lineRule="auto" w:line="288" w:before="0" w:after="0"/>
        <w:jc w:val="center"/>
        <w:rPr>
          <w:rFonts w:ascii="Trebuchet;sans-serif" w:hAnsi="Trebuchet;sans-serif"/>
          <w:b/>
          <w:color w:val="000000"/>
          <w:sz w:val="20"/>
        </w:rPr>
      </w:pPr>
      <w:r>
        <w:rPr>
          <w:rFonts w:ascii="Trebuchet;sans-serif" w:hAnsi="Trebuchet;sans-serif"/>
          <w:b/>
          <w:color w:val="000000"/>
          <w:sz w:val="20"/>
        </w:rPr>
        <w:t>DEFINITIONS OF NON-GAAP MEASURES AND KEY METRICS</w:t>
      </w:r>
    </w:p>
    <w:p>
      <w:pPr>
        <w:pStyle w:val="TextBody"/>
        <w:bidi w:val="0"/>
        <w:spacing w:before="60" w:after="283"/>
        <w:jc w:val="left"/>
        <w:rPr/>
      </w:pPr>
      <w:r>
        <w:rPr/>
      </w:r>
    </w:p>
    <w:p>
      <w:pPr>
        <w:pStyle w:val="TextBody"/>
        <w:bidi w:val="0"/>
        <w:spacing w:lineRule="auto" w:line="288" w:before="60" w:after="283"/>
        <w:jc w:val="left"/>
        <w:rPr>
          <w:rFonts w:ascii="Trebuchet;sans-serif" w:hAnsi="Trebuchet;sans-serif"/>
          <w:b/>
          <w:color w:val="000000"/>
          <w:sz w:val="16"/>
        </w:rPr>
      </w:pPr>
      <w:r>
        <w:rPr>
          <w:rFonts w:ascii="Trebuchet;sans-serif" w:hAnsi="Trebuchet;sans-serif"/>
          <w:b/>
          <w:color w:val="000000"/>
          <w:sz w:val="16"/>
        </w:rPr>
        <w:t>Adjusted EBITDA</w:t>
      </w:r>
    </w:p>
    <w:p>
      <w:pPr>
        <w:pStyle w:val="TextBody"/>
        <w:bidi w:val="0"/>
        <w:spacing w:lineRule="auto" w:line="268" w:before="0" w:after="0"/>
        <w:jc w:val="left"/>
        <w:rPr/>
      </w:pPr>
      <w:r>
        <w:rPr>
          <w:rFonts w:ascii="Trebuchet;sans-serif" w:hAnsi="Trebuchet;sans-serif"/>
          <w:b w:val="false"/>
          <w:color w:val="000000"/>
          <w:sz w:val="16"/>
        </w:rPr>
        <w:t xml:space="preserve">The accompanying press release presents Adjusted EBITDA, which is a non-GAAP measure most directly comparable to net income (loss). Adjusted EBITDA is defined as income (loss) from continuing operations before non-vehicle related depreciation and amortization; long-lived asset impairment and other related charges; other fleet charges; restructuring and other related charges; early extinguishment of debt costs; non-vehicle related interest; transaction-related costs, net; </w:t>
      </w:r>
      <w:r>
        <w:rPr>
          <w:rFonts w:ascii="Trebuchet;sans-serif" w:hAnsi="Trebuchet;sans-serif"/>
          <w:b w:val="false"/>
          <w:color w:val="000000"/>
          <w:sz w:val="16"/>
          <w:shd w:fill="FFFFFF" w:val="clear"/>
        </w:rPr>
        <w:t xml:space="preserve">legal matters, net, which primarily includes amounts recorded in excess of $5 million, related to unprecedented self-insurance reserves for allocated loss adjustment expense, class action lawsuits and personal injury matters; </w:t>
      </w:r>
      <w:r>
        <w:rPr>
          <w:rFonts w:ascii="Trebuchet;sans-serif" w:hAnsi="Trebuchet;sans-serif"/>
          <w:b w:val="false"/>
          <w:color w:val="000000"/>
          <w:sz w:val="16"/>
        </w:rPr>
        <w:t xml:space="preserve">non-operational charges related to shareholder activist activity, which includes third-party advisory, legal and other professional fees; COVID-19 charges, net; cloud computing costs; other (income) expense, net; severe weather-related damages in excess of $5 million, net of insurance proceeds; and income taxes. </w:t>
      </w:r>
    </w:p>
    <w:p>
      <w:pPr>
        <w:pStyle w:val="TextBody"/>
        <w:bidi w:val="0"/>
        <w:spacing w:before="0" w:after="0"/>
        <w:jc w:val="both"/>
        <w:rPr/>
      </w:pPr>
      <w:r>
        <w:rPr/>
      </w:r>
    </w:p>
    <w:p>
      <w:pPr>
        <w:pStyle w:val="TextBody"/>
        <w:bidi w:val="0"/>
        <w:spacing w:lineRule="auto" w:line="276" w:before="0" w:after="0"/>
        <w:jc w:val="both"/>
        <w:rPr>
          <w:rFonts w:ascii="Trebuchet;sans-serif" w:hAnsi="Trebuchet;sans-serif"/>
          <w:b w:val="false"/>
          <w:color w:val="000000"/>
          <w:sz w:val="16"/>
        </w:rPr>
      </w:pPr>
      <w:r>
        <w:rPr>
          <w:rFonts w:ascii="Trebuchet;sans-serif" w:hAnsi="Trebuchet;sans-serif"/>
          <w:b w:val="false"/>
          <w:color w:val="000000"/>
          <w:sz w:val="16"/>
        </w:rPr>
        <w:t>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similarly-titled measures used by other companies. A reconciliation of Adjusted EBITDA from net income (loss) recognized under U.S. GAAP is provided on Table 5.</w:t>
      </w:r>
    </w:p>
    <w:p>
      <w:pPr>
        <w:pStyle w:val="TextBody"/>
        <w:bidi w:val="0"/>
        <w:spacing w:before="0" w:after="0"/>
        <w:jc w:val="both"/>
        <w:rPr/>
      </w:pPr>
      <w:r>
        <w:rPr/>
      </w:r>
    </w:p>
    <w:p>
      <w:pPr>
        <w:pStyle w:val="TextBody"/>
        <w:bidi w:val="0"/>
        <w:spacing w:lineRule="auto" w:line="288" w:before="0" w:after="0"/>
        <w:jc w:val="both"/>
        <w:rPr>
          <w:rFonts w:ascii="Trebuchet;sans-serif" w:hAnsi="Trebuchet;sans-serif"/>
          <w:b/>
          <w:color w:val="000000"/>
          <w:sz w:val="16"/>
        </w:rPr>
      </w:pPr>
      <w:r>
        <w:rPr>
          <w:rFonts w:ascii="Trebuchet;sans-serif" w:hAnsi="Trebuchet;sans-serif"/>
          <w:b/>
          <w:color w:val="000000"/>
          <w:sz w:val="16"/>
        </w:rPr>
        <w:t>Adjusted Free Cash Flow</w:t>
      </w:r>
    </w:p>
    <w:p>
      <w:pPr>
        <w:pStyle w:val="TextBody"/>
        <w:bidi w:val="0"/>
        <w:spacing w:lineRule="auto" w:line="268" w:before="0" w:after="0"/>
        <w:jc w:val="both"/>
        <w:rPr>
          <w:rFonts w:ascii="Trebuchet;sans-serif" w:hAnsi="Trebuchet;sans-serif"/>
          <w:b w:val="false"/>
          <w:color w:val="000000"/>
          <w:sz w:val="16"/>
        </w:rPr>
      </w:pPr>
      <w:r>
        <w:rPr>
          <w:rFonts w:ascii="Trebuchet;sans-serif" w:hAnsi="Trebuchet;sans-serif"/>
          <w:b w:val="false"/>
          <w:color w:val="000000"/>
          <w:sz w:val="16"/>
        </w:rPr>
        <w:t>Represents net cash provided by operating activities adjusted to reflect the cash inflows and outflows relating to capital expenditures, the investing and financing activities of our vehicle programs, asset sales, if any, and to exclude restructuring and other related charges; early extinguishment of debt costs; transaction-related costs; legal matters; non-operational charges related to shareholder activist activity; COVID-19 charges; other (income) expense; and severe weather-related damages.</w:t>
      </w:r>
    </w:p>
    <w:p>
      <w:pPr>
        <w:pStyle w:val="TextBody"/>
        <w:bidi w:val="0"/>
        <w:spacing w:before="0" w:after="0"/>
        <w:jc w:val="both"/>
        <w:rPr/>
      </w:pPr>
      <w:r>
        <w:rPr/>
      </w:r>
    </w:p>
    <w:p>
      <w:pPr>
        <w:pStyle w:val="TextBody"/>
        <w:bidi w:val="0"/>
        <w:spacing w:lineRule="auto" w:line="268" w:before="0" w:after="0"/>
        <w:jc w:val="both"/>
        <w:rPr>
          <w:rFonts w:ascii="Trebuchet;sans-serif" w:hAnsi="Trebuchet;sans-serif"/>
          <w:b w:val="false"/>
          <w:color w:val="000000"/>
          <w:sz w:val="16"/>
        </w:rPr>
      </w:pPr>
      <w:r>
        <w:rPr>
          <w:rFonts w:ascii="Trebuchet;sans-serif" w:hAnsi="Trebuchet;sans-serif"/>
          <w:b w:val="false"/>
          <w:color w:val="000000"/>
          <w:sz w:val="16"/>
        </w:rPr>
        <w:t>We believe that Adjusted Free Cash Flow is useful in measuring the cash generated that is available to be used to repay debt obligations, repurchase stock, pay dividends and invest in future growth through new business development activities or acquisitions. Adjusted Free Cash Flow should not be construed as a substitute in measuring operating results or liquidity, and our presentation of Adjusted Free Cash Flow may not be comparable to similarly-titled measures used by other companies. A reconciliation of Adjusted Free Cash Flow from net cash provided by operating activities recognized under U.S. GAAP is provided on Table 5.</w:t>
      </w:r>
    </w:p>
    <w:p>
      <w:pPr>
        <w:pStyle w:val="TextBody"/>
        <w:bidi w:val="0"/>
        <w:spacing w:before="0" w:after="0"/>
        <w:jc w:val="both"/>
        <w:rPr/>
      </w:pPr>
      <w:r>
        <w:rPr/>
      </w:r>
    </w:p>
    <w:p>
      <w:pPr>
        <w:pStyle w:val="TextBody"/>
        <w:bidi w:val="0"/>
        <w:spacing w:lineRule="auto" w:line="288" w:before="0" w:after="0"/>
        <w:jc w:val="left"/>
        <w:rPr>
          <w:rFonts w:ascii="Trebuchet;sans-serif" w:hAnsi="Trebuchet;sans-serif"/>
          <w:b/>
          <w:color w:val="000000"/>
          <w:sz w:val="16"/>
        </w:rPr>
      </w:pPr>
      <w:r>
        <w:rPr>
          <w:rFonts w:ascii="Trebuchet;sans-serif" w:hAnsi="Trebuchet;sans-serif"/>
          <w:b/>
          <w:color w:val="000000"/>
          <w:sz w:val="16"/>
        </w:rPr>
        <w:t>Adjusted EBITDA Margin</w:t>
      </w:r>
    </w:p>
    <w:p>
      <w:pPr>
        <w:pStyle w:val="TextBody"/>
        <w:bidi w:val="0"/>
        <w:spacing w:lineRule="auto" w:line="288" w:before="0" w:after="0"/>
        <w:jc w:val="left"/>
        <w:rPr>
          <w:rFonts w:ascii="Trebuchet;sans-serif" w:hAnsi="Trebuchet;sans-serif"/>
          <w:b w:val="false"/>
          <w:color w:val="000000"/>
          <w:sz w:val="16"/>
        </w:rPr>
      </w:pPr>
      <w:r>
        <w:rPr>
          <w:rFonts w:ascii="Trebuchet;sans-serif" w:hAnsi="Trebuchet;sans-serif"/>
          <w:b w:val="false"/>
          <w:color w:val="000000"/>
          <w:sz w:val="16"/>
        </w:rPr>
        <w:t>Represents Adjusted EBITDA as a percentage of revenues.</w:t>
      </w:r>
    </w:p>
    <w:p>
      <w:pPr>
        <w:pStyle w:val="TextBody"/>
        <w:bidi w:val="0"/>
        <w:spacing w:before="0" w:after="0"/>
        <w:jc w:val="left"/>
        <w:rPr/>
      </w:pPr>
      <w:r>
        <w:rPr/>
      </w:r>
    </w:p>
    <w:p>
      <w:pPr>
        <w:pStyle w:val="TextBody"/>
        <w:bidi w:val="0"/>
        <w:spacing w:lineRule="auto" w:line="288" w:before="0" w:after="0"/>
        <w:jc w:val="left"/>
        <w:rPr>
          <w:rFonts w:ascii="Trebuchet;sans-serif" w:hAnsi="Trebuchet;sans-serif"/>
          <w:b/>
          <w:color w:val="000000"/>
          <w:sz w:val="16"/>
        </w:rPr>
      </w:pPr>
      <w:r>
        <w:rPr>
          <w:rFonts w:ascii="Trebuchet;sans-serif" w:hAnsi="Trebuchet;sans-serif"/>
          <w:b/>
          <w:color w:val="000000"/>
          <w:sz w:val="16"/>
        </w:rPr>
        <w:t>Available Rental Days</w:t>
      </w:r>
    </w:p>
    <w:p>
      <w:pPr>
        <w:pStyle w:val="TextBody"/>
        <w:bidi w:val="0"/>
        <w:spacing w:lineRule="auto" w:line="288" w:before="0" w:after="0"/>
        <w:jc w:val="left"/>
        <w:rPr>
          <w:rFonts w:ascii="Trebuchet;sans-serif" w:hAnsi="Trebuchet;sans-serif"/>
          <w:b w:val="false"/>
          <w:color w:val="000000"/>
          <w:sz w:val="16"/>
        </w:rPr>
      </w:pPr>
      <w:r>
        <w:rPr>
          <w:rFonts w:ascii="Trebuchet;sans-serif" w:hAnsi="Trebuchet;sans-serif"/>
          <w:b w:val="false"/>
          <w:color w:val="000000"/>
          <w:sz w:val="16"/>
        </w:rPr>
        <w:t>Defined as Average Rental Fleet times the numbers of days in a given period.</w:t>
      </w:r>
    </w:p>
    <w:p>
      <w:pPr>
        <w:pStyle w:val="TextBody"/>
        <w:bidi w:val="0"/>
        <w:spacing w:before="0" w:after="0"/>
        <w:jc w:val="left"/>
        <w:rPr/>
      </w:pPr>
      <w:r>
        <w:rPr/>
      </w:r>
    </w:p>
    <w:p>
      <w:pPr>
        <w:pStyle w:val="TextBody"/>
        <w:bidi w:val="0"/>
        <w:spacing w:lineRule="auto" w:line="288" w:before="0" w:after="0"/>
        <w:jc w:val="left"/>
        <w:rPr>
          <w:rFonts w:ascii="Trebuchet;sans-serif" w:hAnsi="Trebuchet;sans-serif"/>
          <w:b/>
          <w:color w:val="000000"/>
          <w:sz w:val="16"/>
        </w:rPr>
      </w:pPr>
      <w:r>
        <w:rPr>
          <w:rFonts w:ascii="Trebuchet;sans-serif" w:hAnsi="Trebuchet;sans-serif"/>
          <w:b/>
          <w:color w:val="000000"/>
          <w:sz w:val="16"/>
        </w:rPr>
        <w:t>Average Rental Fleet</w:t>
      </w:r>
    </w:p>
    <w:p>
      <w:pPr>
        <w:pStyle w:val="TextBody"/>
        <w:bidi w:val="0"/>
        <w:spacing w:lineRule="auto" w:line="288" w:before="0" w:after="0"/>
        <w:jc w:val="left"/>
        <w:rPr>
          <w:rFonts w:ascii="Trebuchet;sans-serif" w:hAnsi="Trebuchet;sans-serif"/>
          <w:b w:val="false"/>
          <w:color w:val="000000"/>
          <w:sz w:val="16"/>
        </w:rPr>
      </w:pPr>
      <w:r>
        <w:rPr>
          <w:rFonts w:ascii="Trebuchet;sans-serif" w:hAnsi="Trebuchet;sans-serif"/>
          <w:b w:val="false"/>
          <w:color w:val="000000"/>
          <w:sz w:val="16"/>
        </w:rPr>
        <w:t>Represents the average number of vehicles in our fleet during a given period of time.</w:t>
      </w:r>
    </w:p>
    <w:p>
      <w:pPr>
        <w:pStyle w:val="TextBody"/>
        <w:bidi w:val="0"/>
        <w:spacing w:before="0" w:after="0"/>
        <w:jc w:val="left"/>
        <w:rPr/>
      </w:pPr>
      <w:r>
        <w:rPr/>
      </w:r>
    </w:p>
    <w:p>
      <w:pPr>
        <w:pStyle w:val="TextBody"/>
        <w:bidi w:val="0"/>
        <w:spacing w:lineRule="auto" w:line="288" w:before="0" w:after="0"/>
        <w:jc w:val="left"/>
        <w:rPr>
          <w:rFonts w:ascii="Trebuchet;sans-serif" w:hAnsi="Trebuchet;sans-serif"/>
          <w:b/>
          <w:color w:val="000000"/>
          <w:sz w:val="16"/>
        </w:rPr>
      </w:pPr>
      <w:r>
        <w:rPr>
          <w:rFonts w:ascii="Trebuchet;sans-serif" w:hAnsi="Trebuchet;sans-serif"/>
          <w:b/>
          <w:color w:val="000000"/>
          <w:sz w:val="16"/>
        </w:rPr>
        <w:t>Currency Exchange Rate Effects</w:t>
      </w:r>
    </w:p>
    <w:p>
      <w:pPr>
        <w:pStyle w:val="TextBody"/>
        <w:bidi w:val="0"/>
        <w:spacing w:lineRule="auto" w:line="288" w:before="0" w:after="0"/>
        <w:jc w:val="left"/>
        <w:rPr>
          <w:rFonts w:ascii="Trebuchet;sans-serif" w:hAnsi="Trebuchet;sans-serif"/>
          <w:b w:val="false"/>
          <w:color w:val="000000"/>
          <w:sz w:val="16"/>
        </w:rPr>
      </w:pPr>
      <w:r>
        <w:rPr>
          <w:rFonts w:ascii="Trebuchet;sans-serif" w:hAnsi="Trebuchet;sans-serif"/>
          <w:b w:val="false"/>
          <w:color w:val="000000"/>
          <w:sz w:val="16"/>
        </w:rPr>
        <w:t>Represents the difference between current-period results as reported and current-period results translated at the prior-period average exchange rates plus any related currency hedges.</w:t>
      </w:r>
    </w:p>
    <w:p>
      <w:pPr>
        <w:pStyle w:val="TextBody"/>
        <w:bidi w:val="0"/>
        <w:spacing w:before="0" w:after="0"/>
        <w:jc w:val="left"/>
        <w:rPr/>
      </w:pPr>
      <w:r>
        <w:rPr/>
      </w:r>
    </w:p>
    <w:p>
      <w:pPr>
        <w:pStyle w:val="TextBody"/>
        <w:bidi w:val="0"/>
        <w:spacing w:lineRule="auto" w:line="288" w:before="0" w:after="0"/>
        <w:jc w:val="both"/>
        <w:rPr>
          <w:rFonts w:ascii="Trebuchet;sans-serif" w:hAnsi="Trebuchet;sans-serif"/>
          <w:b/>
          <w:color w:val="000000"/>
          <w:sz w:val="16"/>
        </w:rPr>
      </w:pPr>
      <w:r>
        <w:rPr>
          <w:rFonts w:ascii="Trebuchet;sans-serif" w:hAnsi="Trebuchet;sans-serif"/>
          <w:b/>
          <w:color w:val="000000"/>
          <w:sz w:val="16"/>
        </w:rPr>
        <w:t>Gross Adjusted EBITDA</w:t>
      </w:r>
    </w:p>
    <w:p>
      <w:pPr>
        <w:pStyle w:val="TextBody"/>
        <w:bidi w:val="0"/>
        <w:spacing w:lineRule="auto" w:line="288" w:before="0" w:after="0"/>
        <w:jc w:val="both"/>
        <w:rPr>
          <w:rFonts w:ascii="Trebuchet;sans-serif" w:hAnsi="Trebuchet;sans-serif"/>
          <w:b w:val="false"/>
          <w:color w:val="000000"/>
          <w:sz w:val="16"/>
        </w:rPr>
      </w:pPr>
      <w:r>
        <w:rPr>
          <w:rFonts w:ascii="Trebuchet;sans-serif" w:hAnsi="Trebuchet;sans-serif"/>
          <w:b w:val="false"/>
          <w:color w:val="000000"/>
          <w:sz w:val="16"/>
        </w:rPr>
        <w:t>Represents Adjusted EBITDA with the add-back of vehicle depreciation excluding other fleet charges and vehicle interest.</w:t>
      </w:r>
    </w:p>
    <w:p>
      <w:pPr>
        <w:pStyle w:val="TextBody"/>
        <w:bidi w:val="0"/>
        <w:spacing w:before="0" w:after="0"/>
        <w:jc w:val="left"/>
        <w:rPr/>
      </w:pPr>
      <w:r>
        <w:rPr/>
      </w:r>
    </w:p>
    <w:p>
      <w:pPr>
        <w:pStyle w:val="TextBody"/>
        <w:bidi w:val="0"/>
        <w:spacing w:lineRule="auto" w:line="288" w:before="0" w:after="0"/>
        <w:jc w:val="left"/>
        <w:rPr>
          <w:rFonts w:ascii="Trebuchet;sans-serif" w:hAnsi="Trebuchet;sans-serif"/>
          <w:b/>
          <w:color w:val="000000"/>
          <w:sz w:val="16"/>
        </w:rPr>
      </w:pPr>
      <w:r>
        <w:rPr>
          <w:rFonts w:ascii="Trebuchet;sans-serif" w:hAnsi="Trebuchet;sans-serif"/>
          <w:b/>
          <w:color w:val="000000"/>
          <w:sz w:val="16"/>
        </w:rPr>
        <w:t>Net Corporate Debt</w:t>
      </w:r>
    </w:p>
    <w:p>
      <w:pPr>
        <w:pStyle w:val="TextBody"/>
        <w:bidi w:val="0"/>
        <w:spacing w:lineRule="auto" w:line="288" w:before="0" w:after="0"/>
        <w:jc w:val="left"/>
        <w:rPr>
          <w:rFonts w:ascii="Trebuchet;sans-serif" w:hAnsi="Trebuchet;sans-serif"/>
          <w:b w:val="false"/>
          <w:color w:val="000000"/>
          <w:sz w:val="16"/>
        </w:rPr>
      </w:pPr>
      <w:r>
        <w:rPr>
          <w:rFonts w:ascii="Trebuchet;sans-serif" w:hAnsi="Trebuchet;sans-serif"/>
          <w:b w:val="false"/>
          <w:color w:val="000000"/>
          <w:sz w:val="16"/>
        </w:rPr>
        <w:t>Represents corporate debt minus cash and cash equivalents.</w:t>
      </w:r>
    </w:p>
    <w:p>
      <w:pPr>
        <w:pStyle w:val="TextBody"/>
        <w:bidi w:val="0"/>
        <w:spacing w:before="0" w:after="0"/>
        <w:jc w:val="left"/>
        <w:rPr/>
      </w:pPr>
      <w:r>
        <w:rPr/>
      </w:r>
    </w:p>
    <w:p>
      <w:pPr>
        <w:pStyle w:val="TextBody"/>
        <w:bidi w:val="0"/>
        <w:spacing w:lineRule="auto" w:line="288" w:before="0" w:after="0"/>
        <w:jc w:val="left"/>
        <w:rPr>
          <w:rFonts w:ascii="Trebuchet;sans-serif" w:hAnsi="Trebuchet;sans-serif"/>
          <w:b/>
          <w:color w:val="000000"/>
          <w:sz w:val="16"/>
        </w:rPr>
      </w:pPr>
      <w:r>
        <w:rPr>
          <w:rFonts w:ascii="Trebuchet;sans-serif" w:hAnsi="Trebuchet;sans-serif"/>
          <w:b/>
          <w:color w:val="000000"/>
          <w:sz w:val="16"/>
        </w:rPr>
        <w:t>Net Corporate Leverage</w:t>
      </w:r>
    </w:p>
    <w:p>
      <w:pPr>
        <w:pStyle w:val="TextBody"/>
        <w:bidi w:val="0"/>
        <w:spacing w:lineRule="auto" w:line="288" w:before="0" w:after="0"/>
        <w:jc w:val="left"/>
        <w:rPr>
          <w:rFonts w:ascii="Trebuchet;sans-serif" w:hAnsi="Trebuchet;sans-serif"/>
          <w:b w:val="false"/>
          <w:color w:val="000000"/>
          <w:sz w:val="16"/>
        </w:rPr>
      </w:pPr>
      <w:r>
        <w:rPr>
          <w:rFonts w:ascii="Trebuchet;sans-serif" w:hAnsi="Trebuchet;sans-serif"/>
          <w:b w:val="false"/>
          <w:color w:val="000000"/>
          <w:sz w:val="16"/>
        </w:rPr>
        <w:t>Represents Net Corporate Debt divided by Adjusted EBITDA for the twelve months prior to the date of calculation.</w:t>
      </w:r>
    </w:p>
    <w:p>
      <w:pPr>
        <w:pStyle w:val="TextBody"/>
        <w:bidi w:val="0"/>
        <w:spacing w:before="0" w:after="0"/>
        <w:jc w:val="left"/>
        <w:rPr/>
      </w:pPr>
      <w:r>
        <w:rPr/>
      </w:r>
    </w:p>
    <w:p>
      <w:pPr>
        <w:pStyle w:val="TextBody"/>
        <w:bidi w:val="0"/>
        <w:spacing w:lineRule="auto" w:line="288" w:before="0" w:after="0"/>
        <w:jc w:val="both"/>
        <w:rPr>
          <w:rFonts w:ascii="Trebuchet;sans-serif" w:hAnsi="Trebuchet;sans-serif"/>
          <w:b/>
          <w:color w:val="000000"/>
          <w:sz w:val="16"/>
        </w:rPr>
      </w:pPr>
      <w:r>
        <w:rPr>
          <w:rFonts w:ascii="Trebuchet;sans-serif" w:hAnsi="Trebuchet;sans-serif"/>
          <w:b/>
          <w:color w:val="000000"/>
          <w:sz w:val="16"/>
        </w:rPr>
        <w:t>Total Net Debt Ratio</w:t>
      </w:r>
    </w:p>
    <w:p>
      <w:pPr>
        <w:pStyle w:val="TextBody"/>
        <w:bidi w:val="0"/>
        <w:spacing w:lineRule="auto" w:line="288" w:before="0" w:after="0"/>
        <w:jc w:val="both"/>
        <w:rPr>
          <w:rFonts w:ascii="Trebuchet;sans-serif" w:hAnsi="Trebuchet;sans-serif"/>
          <w:b w:val="false"/>
          <w:color w:val="000000"/>
          <w:sz w:val="16"/>
        </w:rPr>
      </w:pPr>
      <w:r>
        <w:rPr>
          <w:rFonts w:ascii="Trebuchet;sans-serif" w:hAnsi="Trebuchet;sans-serif"/>
          <w:b w:val="false"/>
          <w:color w:val="000000"/>
          <w:sz w:val="16"/>
        </w:rPr>
        <w:t>Represents total debt less cash and cash equivalents divided by Gross Adjusted EBITDA for the twelve months prior to the date of calculation.</w:t>
      </w:r>
    </w:p>
    <w:p>
      <w:pPr>
        <w:pStyle w:val="TextBody"/>
        <w:bidi w:val="0"/>
        <w:spacing w:before="0" w:after="0"/>
        <w:jc w:val="left"/>
        <w:rPr/>
      </w:pPr>
      <w:r>
        <w:rPr/>
      </w:r>
    </w:p>
    <w:p>
      <w:pPr>
        <w:pStyle w:val="TextBody"/>
        <w:bidi w:val="0"/>
        <w:spacing w:lineRule="auto" w:line="288" w:before="0" w:after="0"/>
        <w:jc w:val="left"/>
        <w:rPr>
          <w:rFonts w:ascii="Trebuchet;sans-serif" w:hAnsi="Trebuchet;sans-serif"/>
          <w:b/>
          <w:color w:val="000000"/>
          <w:sz w:val="16"/>
        </w:rPr>
      </w:pPr>
      <w:r>
        <w:rPr>
          <w:rFonts w:ascii="Trebuchet;sans-serif" w:hAnsi="Trebuchet;sans-serif"/>
          <w:b/>
          <w:color w:val="000000"/>
          <w:sz w:val="16"/>
        </w:rPr>
        <w:t>Per-Unit Fleet Costs</w:t>
      </w:r>
    </w:p>
    <w:p>
      <w:pPr>
        <w:pStyle w:val="TextBody"/>
        <w:bidi w:val="0"/>
        <w:spacing w:lineRule="auto" w:line="288" w:before="0" w:after="0"/>
        <w:jc w:val="left"/>
        <w:rPr>
          <w:rFonts w:ascii="Trebuchet;sans-serif" w:hAnsi="Trebuchet;sans-serif"/>
          <w:b w:val="false"/>
          <w:color w:val="000000"/>
          <w:sz w:val="16"/>
        </w:rPr>
      </w:pPr>
      <w:r>
        <w:rPr>
          <w:rFonts w:ascii="Trebuchet;sans-serif" w:hAnsi="Trebuchet;sans-serif"/>
          <w:b w:val="false"/>
          <w:color w:val="000000"/>
          <w:sz w:val="16"/>
        </w:rPr>
        <w:t>Represents vehicle depreciation, lease charges and gain or loss on vehicles sales, divided by Average Rental Fleet.</w:t>
      </w:r>
    </w:p>
    <w:p>
      <w:pPr>
        <w:pStyle w:val="TextBody"/>
        <w:bidi w:val="0"/>
        <w:spacing w:before="0" w:after="0"/>
        <w:jc w:val="left"/>
        <w:rPr/>
      </w:pPr>
      <w:r>
        <w:rPr/>
      </w:r>
    </w:p>
    <w:p>
      <w:pPr>
        <w:pStyle w:val="TextBody"/>
        <w:bidi w:val="0"/>
        <w:spacing w:lineRule="auto" w:line="288" w:before="0" w:after="0"/>
        <w:jc w:val="left"/>
        <w:rPr>
          <w:rFonts w:ascii="Trebuchet;sans-serif" w:hAnsi="Trebuchet;sans-serif"/>
          <w:b/>
          <w:color w:val="000000"/>
          <w:sz w:val="16"/>
        </w:rPr>
      </w:pPr>
      <w:r>
        <w:rPr>
          <w:rFonts w:ascii="Trebuchet;sans-serif" w:hAnsi="Trebuchet;sans-serif"/>
          <w:b/>
          <w:color w:val="000000"/>
          <w:sz w:val="16"/>
        </w:rPr>
        <w:t>Rental Days</w:t>
      </w:r>
    </w:p>
    <w:p>
      <w:pPr>
        <w:pStyle w:val="TextBody"/>
        <w:bidi w:val="0"/>
        <w:spacing w:lineRule="auto" w:line="288" w:before="0" w:after="0"/>
        <w:jc w:val="left"/>
        <w:rPr>
          <w:rFonts w:ascii="Trebuchet;sans-serif" w:hAnsi="Trebuchet;sans-serif"/>
          <w:b w:val="false"/>
          <w:color w:val="000000"/>
          <w:sz w:val="16"/>
        </w:rPr>
      </w:pPr>
      <w:r>
        <w:rPr>
          <w:rFonts w:ascii="Trebuchet;sans-serif" w:hAnsi="Trebuchet;sans-serif"/>
          <w:b w:val="false"/>
          <w:color w:val="000000"/>
          <w:sz w:val="16"/>
        </w:rPr>
        <w:t xml:space="preserve">Represents the total number of days (or portion thereof) a vehicle was rented during a 24-hour period. </w:t>
      </w:r>
    </w:p>
    <w:p>
      <w:pPr>
        <w:pStyle w:val="TextBody"/>
        <w:bidi w:val="0"/>
        <w:spacing w:before="0" w:after="0"/>
        <w:jc w:val="left"/>
        <w:rPr/>
      </w:pPr>
      <w:r>
        <w:rPr/>
      </w:r>
    </w:p>
    <w:p>
      <w:pPr>
        <w:pStyle w:val="TextBody"/>
        <w:bidi w:val="0"/>
        <w:spacing w:lineRule="auto" w:line="288" w:before="0" w:after="0"/>
        <w:jc w:val="left"/>
        <w:rPr>
          <w:rFonts w:ascii="Trebuchet;sans-serif" w:hAnsi="Trebuchet;sans-serif"/>
          <w:b/>
          <w:color w:val="000000"/>
          <w:sz w:val="16"/>
        </w:rPr>
      </w:pPr>
      <w:r>
        <w:rPr>
          <w:rFonts w:ascii="Trebuchet;sans-serif" w:hAnsi="Trebuchet;sans-serif"/>
          <w:b/>
          <w:color w:val="000000"/>
          <w:sz w:val="16"/>
        </w:rPr>
        <w:t>Revenue per Day</w:t>
      </w:r>
    </w:p>
    <w:p>
      <w:pPr>
        <w:pStyle w:val="TextBody"/>
        <w:bidi w:val="0"/>
        <w:spacing w:lineRule="auto" w:line="288" w:before="0" w:after="0"/>
        <w:jc w:val="left"/>
        <w:rPr>
          <w:rFonts w:ascii="Trebuchet;sans-serif" w:hAnsi="Trebuchet;sans-serif"/>
          <w:b w:val="false"/>
          <w:color w:val="000000"/>
          <w:sz w:val="16"/>
        </w:rPr>
      </w:pPr>
      <w:r>
        <w:rPr>
          <w:rFonts w:ascii="Trebuchet;sans-serif" w:hAnsi="Trebuchet;sans-serif"/>
          <w:b w:val="false"/>
          <w:color w:val="000000"/>
          <w:sz w:val="16"/>
        </w:rPr>
        <w:t>Represents revenues divided by Rental Days.</w:t>
      </w:r>
    </w:p>
    <w:p>
      <w:pPr>
        <w:pStyle w:val="TextBody"/>
        <w:bidi w:val="0"/>
        <w:spacing w:before="0" w:after="0"/>
        <w:jc w:val="left"/>
        <w:rPr/>
      </w:pPr>
      <w:r>
        <w:rPr/>
      </w:r>
    </w:p>
    <w:p>
      <w:pPr>
        <w:pStyle w:val="TextBody"/>
        <w:bidi w:val="0"/>
        <w:spacing w:lineRule="auto" w:line="288" w:before="0" w:after="0"/>
        <w:jc w:val="left"/>
        <w:rPr>
          <w:rFonts w:ascii="Trebuchet;sans-serif" w:hAnsi="Trebuchet;sans-serif"/>
          <w:b/>
          <w:color w:val="000000"/>
          <w:sz w:val="16"/>
        </w:rPr>
      </w:pPr>
      <w:r>
        <w:rPr>
          <w:rFonts w:ascii="Trebuchet;sans-serif" w:hAnsi="Trebuchet;sans-serif"/>
          <w:b/>
          <w:color w:val="000000"/>
          <w:sz w:val="16"/>
        </w:rPr>
        <w:t>Vehicle Utilization</w:t>
      </w:r>
    </w:p>
    <w:p>
      <w:pPr>
        <w:pStyle w:val="TextBody"/>
        <w:bidi w:val="0"/>
        <w:spacing w:lineRule="auto" w:line="288"/>
        <w:jc w:val="left"/>
        <w:rPr>
          <w:rFonts w:ascii="Trebuchet;sans-serif" w:hAnsi="Trebuchet;sans-serif"/>
          <w:b w:val="false"/>
          <w:color w:val="000000"/>
          <w:sz w:val="16"/>
        </w:rPr>
      </w:pPr>
      <w:r>
        <w:rPr>
          <w:rFonts w:ascii="Trebuchet;sans-serif" w:hAnsi="Trebuchet;sans-serif"/>
          <w:b w:val="false"/>
          <w:color w:val="000000"/>
          <w:sz w:val="16"/>
        </w:rPr>
        <w:t>Represents Rental Days divided by Available Rental Days.</w:t>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rebuche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5691</Words>
  <Characters>30517</Characters>
  <CharactersWithSpaces>35486</CharactersWithSpaces>
  <Paragraphs>1270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