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Avis Budget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Pentwater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2,590,000.00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2,590,000.00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Matthew Halbower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2,590,000.00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2,590,000.00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Avis Budget Group,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379 Interpace Parkway, Parsippany, NJ 07054</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Pentwater Capital Management LP (the "Investment Manager"), a Delaware limited partnership, and the investment adviser to certain funds (the "Pentwater Funds"), with respect to the shares of common stock, par value $0.01 per share ("Common Stock") of Avis Budget Group, Inc., a Delaware corporation (the "Company"), directly held by the Pentwater Funds; and (ii) Mr. Matthew Halbower ("Mr. Halbower"), the sole shareholder of MCH PWCM Holdings Inc., the general partner of the Investment Manager, with respect to the shares of Common Stock directly held by the Pentwater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and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1001 10th Avenue South, Suite 216, Naples, FL 34102.</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The Investment Manager is a Delaware limited partnership. Mr. Halbower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35,324,986 shares of Common Stock outstanding as of April 22, 2026, as reported in the Company's Quarterly Report on Form 10-Q for the quarterly period ended March 31, 2026, filed with the Securities and Exchange Commission on April 29, 2026.</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7.3%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Pentwater Funds have the right to receive or the power to direct the receipt of dividends from, or the proceeds from the sale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Pentwater Capital Management LP</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Matthew Halbower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MCH PWCM Holdings Inc., General Partner, By: Matthew Halbower, Chief Executive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Matthew Halbower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Matthew Halbower</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Matthew Halbower, Individually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31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1364</Words>
  <Characters>6934</Characters>
  <CharactersWithSpaces>8268</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