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For the quarterly period ended June 30, 2015</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103,465,185 shares as of July 31, 2015.</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820" w:type="dxa"/>
            <w:vAlign w:val="bottom"/>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and Six Months Ended June 30,</w:t>
              </w:r>
            </w:hyperlink>
          </w:p>
        </w:tc>
        <w:tc>
          <w:tcPr>
            <w:tcW w:w="74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2015 and 2014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7940" w:type="dxa"/>
            <w:vAlign w:val="bottom"/>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Balance Sheets as of June 30, 2015 and December 31, 2014 (Unaudited)</w:t>
              </w:r>
            </w:hyperlink>
          </w:p>
        </w:tc>
        <w:tc>
          <w:tcPr>
            <w:tcW w:w="1620" w:type="dxa"/>
            <w:vAlign w:val="bottom"/>
            <w:gridSpan w:val="3"/>
          </w:tcPr>
          <w:p>
            <w:pPr>
              <w:spacing w:after="0"/>
              <w:rPr>
                <w:sz w:val="24"/>
                <w:szCs w:val="24"/>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824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Statements of Cash Flows for the Six Months Ended June 30, 2015 and 2014</w:t>
              </w:r>
            </w:hyperlink>
          </w:p>
        </w:tc>
        <w:tc>
          <w:tcPr>
            <w:tcW w:w="1320" w:type="dxa"/>
            <w:vAlign w:val="bottom"/>
            <w:gridSpan w:val="2"/>
          </w:tcPr>
          <w:p>
            <w:pPr>
              <w:spacing w:after="0"/>
              <w:rPr>
                <w:sz w:val="24"/>
                <w:szCs w:val="24"/>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7">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2014 Annual Report on Form 10-K and our Current Report on Form 8-K filed May 6, 2015,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00"/>
          </w:cols>
          <w:pgMar w:left="240" w:top="140" w:right="259" w:bottom="908"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0" w:right="259" w:bottom="90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620" w:type="dxa"/>
            <w:vAlign w:val="bottom"/>
            <w:gridSpan w:val="2"/>
          </w:tcPr>
          <w:p>
            <w:pPr>
              <w:jc w:val="center"/>
              <w:ind w:left="193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30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(In millions, except share data)</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3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84"/>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624</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1,838</w:t>
            </w: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638</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1,352</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842</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886</w:t>
            </w:r>
          </w:p>
        </w:tc>
      </w:tr>
      <w:tr>
        <w:trPr>
          <w:trHeight w:val="27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5,911</w:t>
            </w:r>
          </w:p>
        </w:tc>
      </w:tr>
      <w:tr>
        <w:trPr>
          <w:trHeight w:val="432"/>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Program cash</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Vehicles, net</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10,215</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from vehicle manufacturers and other</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362</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r>
      <w:tr>
        <w:trPr>
          <w:trHeight w:val="250"/>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11,058</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20,399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r>
      <w:tr>
        <w:trPr>
          <w:trHeight w:val="20"/>
        </w:trPr>
        <w:tc>
          <w:tcPr>
            <w:tcW w:w="14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180"/>
          </w:cols>
          <w:pgMar w:left="240" w:top="108" w:right="479" w:bottom="17" w:gutter="0" w:footer="0" w:header="0"/>
        </w:sect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40" w:right="180"/>
        <w:spacing w:after="0" w:line="313" w:lineRule="auto"/>
        <w:rPr>
          <w:sz w:val="20"/>
          <w:szCs w:val="20"/>
          <w:color w:val="auto"/>
        </w:rPr>
      </w:pPr>
      <w:r>
        <w:rPr>
          <w:rFonts w:ascii="Arial" w:cs="Arial" w:eastAsia="Arial" w:hAnsi="Arial"/>
          <w:sz w:val="18"/>
          <w:szCs w:val="18"/>
          <w:color w:val="auto"/>
        </w:rPr>
        <w:t>Accounts payable and other current liabilities $ Short-term debt and current portion of long-term debt</w:t>
      </w:r>
    </w:p>
    <w:p>
      <w:pPr>
        <w:ind w:left="40"/>
        <w:spacing w:after="0"/>
        <w:rPr>
          <w:sz w:val="20"/>
          <w:szCs w:val="20"/>
          <w:color w:val="auto"/>
        </w:rPr>
      </w:pPr>
      <w:r>
        <w:rPr>
          <w:rFonts w:ascii="Arial" w:cs="Arial" w:eastAsia="Arial" w:hAnsi="Arial"/>
          <w:sz w:val="18"/>
          <w:szCs w:val="18"/>
          <w:color w:val="auto"/>
        </w:rPr>
        <w:t>Total current liabilities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 under vehicle programs: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due to Avis Budget Rental Car Funding (AESOP) LLC—related party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Preferred stock, $0.01 par value—authorized 10 million shares; none issued and outstanding</w:t>
      </w:r>
    </w:p>
    <w:p>
      <w:pPr>
        <w:spacing w:after="0" w:line="63" w:lineRule="exact"/>
        <w:rPr>
          <w:sz w:val="20"/>
          <w:szCs w:val="20"/>
          <w:color w:val="auto"/>
        </w:rPr>
      </w:pPr>
    </w:p>
    <w:p>
      <w:pPr>
        <w:ind w:left="300" w:right="780" w:hanging="161"/>
        <w:spacing w:after="0" w:line="246" w:lineRule="auto"/>
        <w:rPr>
          <w:sz w:val="20"/>
          <w:szCs w:val="20"/>
          <w:color w:val="auto"/>
        </w:rPr>
      </w:pPr>
      <w:r>
        <w:rPr>
          <w:rFonts w:ascii="Arial" w:cs="Arial" w:eastAsia="Arial" w:hAnsi="Arial"/>
          <w:sz w:val="18"/>
          <w:szCs w:val="18"/>
          <w:color w:val="auto"/>
        </w:rPr>
        <w:t>Common stock, $0.01 par value—authorized 250 million shares; issued 137,093,424 and 137,093,424 shares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40" w:right="3080" w:firstLine="108"/>
        <w:spacing w:after="0" w:line="300" w:lineRule="auto"/>
        <w:rPr>
          <w:sz w:val="20"/>
          <w:szCs w:val="20"/>
          <w:color w:val="auto"/>
        </w:rPr>
      </w:pPr>
      <w:r>
        <w:rPr>
          <w:rFonts w:ascii="Arial" w:cs="Arial" w:eastAsia="Arial" w:hAnsi="Arial"/>
          <w:sz w:val="18"/>
          <w:szCs w:val="18"/>
          <w:color w:val="auto"/>
        </w:rPr>
        <w:t>Treasury stock, at cost—32,699,990 and 31,386,746 shares Total stockholders’ equity</w:t>
      </w:r>
    </w:p>
    <w:p>
      <w:pPr>
        <w:spacing w:after="0" w:line="1"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1,697</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1,491</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1,729</w:t>
            </w:r>
          </w:p>
        </w:tc>
        <w:tc>
          <w:tcPr>
            <w:tcW w:w="5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1,519</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3,520</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3,392</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723</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5,972</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5,677</w:t>
            </w:r>
          </w:p>
        </w:tc>
      </w:tr>
      <w:tr>
        <w:trPr>
          <w:trHeight w:val="7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2,736</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1,776</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8,350</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6,340</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2,141</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2,267</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604</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13,831</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10,627</w:t>
            </w:r>
          </w:p>
        </w:tc>
      </w:tr>
      <w:tr>
        <w:trPr>
          <w:trHeight w:val="972"/>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7,033</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7,212</w:t>
            </w:r>
          </w:p>
        </w:tc>
      </w:tr>
      <w:tr>
        <w:trPr>
          <w:trHeight w:val="270"/>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(1,981)</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(2,115)</w:t>
            </w:r>
          </w:p>
        </w:tc>
      </w:tr>
      <w:tr>
        <w:trPr>
          <w:trHeight w:val="270"/>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(4,349)</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596</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20,399</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-25400</wp:posOffset>
            </wp:positionV>
            <wp:extent cx="1071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-8255</wp:posOffset>
            </wp:positionV>
            <wp:extent cx="1071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-196850</wp:posOffset>
            </wp:positionV>
            <wp:extent cx="1071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-368300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-1980565</wp:posOffset>
            </wp:positionV>
            <wp:extent cx="1071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-2152015</wp:posOffset>
            </wp:positionV>
            <wp:extent cx="1071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-3138170</wp:posOffset>
            </wp:positionV>
            <wp:extent cx="1071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-3309620</wp:posOffset>
            </wp:positionV>
            <wp:extent cx="1071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-3943985</wp:posOffset>
            </wp:positionV>
            <wp:extent cx="1071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460"/>
          </w:cols>
          <w:pgMar w:left="240" w:top="108" w:right="479" w:bottom="17" w:gutter="0" w:footer="0" w:header="0"/>
          <w:type w:val="continuous"/>
        </w:sectPr>
      </w:pP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180"/>
          </w:cols>
          <w:pgMar w:left="240" w:top="108" w:right="479" w:bottom="17" w:gutter="0" w:footer="0" w:header="0"/>
          <w:type w:val="continuous"/>
        </w:sect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1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Increase in program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4,382</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695</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9,018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9,536</w:t>
            </w:r>
          </w:p>
        </w:tc>
      </w:tr>
      <w:tr>
        <w:trPr>
          <w:trHeight w:val="270"/>
        </w:trPr>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(6,417)</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r>
      <w:tr>
        <w:trPr>
          <w:trHeight w:val="250"/>
        </w:trPr>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2,899</w:t>
            </w:r>
          </w:p>
        </w:tc>
      </w:tr>
      <w:tr>
        <w:trPr>
          <w:trHeight w:val="54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540"/>
        </w:trPr>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7"/>
        </w:trPr>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r>
      <w:tr>
        <w:trPr>
          <w:trHeight w:val="250"/>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240"/>
        <w:spacing w:after="0" w:line="256" w:lineRule="auto"/>
        <w:rPr>
          <w:sz w:val="20"/>
          <w:szCs w:val="20"/>
          <w:color w:val="auto"/>
        </w:rPr>
      </w:pPr>
      <w:r>
        <w:rPr>
          <w:rFonts w:ascii="Arial" w:cs="Arial" w:eastAsia="Arial" w:hAnsi="Arial"/>
          <w:sz w:val="18"/>
          <w:szCs w:val="18"/>
          <w:color w:val="auto"/>
        </w:rPr>
        <w:t>In 2015 and 2014, the Company completed the business acquisitions discussed in Note 4 to these Consolidated Condensed Financial Statements. The operating results of the acquired businesses are included in the accompanying Consolidated Condensed Financial Statements from the dates of acquisition.</w:t>
      </w:r>
    </w:p>
    <w:p>
      <w:pPr>
        <w:spacing w:after="0" w:line="202"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2014 Annual Report on Form 10-K (the “2014 Form 10-K”) and the Company’s Current Report on Form 8-K filed May 6, 2015, which updated the 2014 Form 10-K for a change in the Company’s reportable segments.</w:t>
      </w:r>
    </w:p>
    <w:p>
      <w:pPr>
        <w:spacing w:after="0" w:line="188"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right="60"/>
        <w:spacing w:after="0" w:line="258" w:lineRule="auto"/>
        <w:rPr>
          <w:sz w:val="20"/>
          <w:szCs w:val="20"/>
          <w:color w:val="auto"/>
        </w:rPr>
      </w:pPr>
      <w:r>
        <w:rPr>
          <w:rFonts w:ascii="Arial" w:cs="Arial" w:eastAsia="Arial" w:hAnsi="Arial"/>
          <w:sz w:val="18"/>
          <w:szCs w:val="18"/>
          <w:i w:val="1"/>
          <w:iCs w:val="1"/>
          <w:color w:val="auto"/>
        </w:rPr>
        <w:t xml:space="preserve">Transaction-related costs. </w:t>
      </w:r>
      <w:r>
        <w:rPr>
          <w:rFonts w:ascii="Arial" w:cs="Arial" w:eastAsia="Arial" w:hAnsi="Arial"/>
          <w:sz w:val="18"/>
          <w:szCs w:val="18"/>
          <w:color w:val="auto"/>
        </w:rPr>
        <w:t>Transaction-related costs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charges related to re-acquired rights, expenses related to pre-acquisition contingencies and contingent consideration related to acquisitions.</w:t>
      </w:r>
    </w:p>
    <w:p>
      <w:pPr>
        <w:spacing w:after="0" w:line="184" w:lineRule="exact"/>
        <w:rPr>
          <w:sz w:val="20"/>
          <w:szCs w:val="20"/>
          <w:color w:val="auto"/>
        </w:rPr>
      </w:pPr>
    </w:p>
    <w:p>
      <w:pPr>
        <w:ind w:left="500" w:right="14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intercompany loan hedges within interest expense related to corporate debt, net. During the three and six months ended June 30, 2015, the Company recorded losses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40"/>
        <w:spacing w:after="0" w:line="262" w:lineRule="auto"/>
        <w:rPr>
          <w:sz w:val="20"/>
          <w:szCs w:val="20"/>
          <w:color w:val="auto"/>
        </w:rPr>
      </w:pPr>
      <w:r>
        <w:rPr>
          <w:rFonts w:ascii="Arial" w:cs="Arial" w:eastAsia="Arial" w:hAnsi="Arial"/>
          <w:sz w:val="18"/>
          <w:szCs w:val="18"/>
          <w:color w:val="auto"/>
        </w:rPr>
        <w:t>of $6 million and $10 million, respectively, on such items. During the three and six months ended June 30, 2014, the Company recorded losses of $2 million and $4 million, respectively, on such items.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On January 1, 2015, as a result of the issuance of a new accounting pronouncement, the Company adopted Accounting Standards Update (“ASU”) 2014-08, “Reporting Discontinued Operations and Disclosures of Disposals of Components of an Entity,” which changes the criteria for determining which disposals can be presented as discontinued operations and also modifies related disclosure requirements. The adoption of this accounting pronouncement did not have an impact on the Company’s financial statements.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April 2015, the Financial Accounting Standards Board (“FASB”) issued ASU 2015-05, “Customer’s Accounting for Fees Paid in a Cloud Computing Arrangement,” which provides guidance on determining whether a cloud computing arrangement contains a software license that should be accounted for as internal-use software. If a cloud computing arrangement does not contain a software license, it should be accounted for as a service contract. ASU 2015-05 becomes effective for the Company on January 1, 2016. The Company is currently evaluating the impact of this accounting pronouncement on its consolidated financial statements.</w:t>
      </w:r>
    </w:p>
    <w:p>
      <w:pPr>
        <w:spacing w:after="0" w:line="206" w:lineRule="exact"/>
        <w:rPr>
          <w:sz w:val="20"/>
          <w:szCs w:val="20"/>
          <w:color w:val="auto"/>
        </w:rPr>
      </w:pPr>
    </w:p>
    <w:p>
      <w:pPr>
        <w:ind w:left="500" w:right="120"/>
        <w:spacing w:after="0" w:line="253"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changes the presentation of debt issuance costs in financial statements. ASU 2015-03 becomes effective for the Company on January 1, 2016 and will be applied retrospectively to all periods presented. The adoption of this accounting pronouncement will result in the Company presenting debt issuance costs as a direct deduction from the carrying amount of debt on the Company’s balance sheet, rather than in other non-current assets.</w:t>
      </w:r>
    </w:p>
    <w:p>
      <w:pPr>
        <w:spacing w:after="0" w:line="206" w:lineRule="exact"/>
        <w:rPr>
          <w:sz w:val="20"/>
          <w:szCs w:val="20"/>
          <w:color w:val="auto"/>
        </w:rPr>
      </w:pPr>
    </w:p>
    <w:p>
      <w:pPr>
        <w:ind w:left="500" w:right="140"/>
        <w:spacing w:after="0" w:line="278" w:lineRule="auto"/>
        <w:rPr>
          <w:sz w:val="20"/>
          <w:szCs w:val="20"/>
          <w:color w:val="auto"/>
        </w:rPr>
      </w:pPr>
      <w:r>
        <w:rPr>
          <w:rFonts w:ascii="Arial" w:cs="Arial" w:eastAsia="Arial" w:hAnsi="Arial"/>
          <w:sz w:val="17"/>
          <w:szCs w:val="17"/>
          <w:color w:val="auto"/>
        </w:rPr>
        <w:t>In February 2015, the FASB issued ASU 2015-02, “Amendments to the Consolidation Analysis,” which affects how reporting entities evaluate whether they should consolidate certain legal entities. ASU 2015-02 becomes effective for the Company on January 1, 2016. The adoption of this accounting pronouncement is not expected to have an impact on the Company’s consolidated financial statements.</w:t>
      </w:r>
    </w:p>
    <w:p>
      <w:pPr>
        <w:spacing w:after="0" w:line="185"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In January 2015, the FASB issued ASU 2015-01, “Simplifying Income Statement Presentation by Eliminating the Concept of Extraordinary Items,” which eliminates from GAAP the concept of extraordinary items. ASU 2015-01 becomes effective for the Company on January 1, 2016. The adoption of this accounting pronouncement is not expected to have an impact on the Company’s consolidated financial statements.</w:t>
      </w:r>
    </w:p>
    <w:p>
      <w:pPr>
        <w:spacing w:after="0" w:line="204" w:lineRule="exact"/>
        <w:rPr>
          <w:sz w:val="20"/>
          <w:szCs w:val="20"/>
          <w:color w:val="auto"/>
        </w:rPr>
      </w:pPr>
    </w:p>
    <w:p>
      <w:pPr>
        <w:ind w:left="500" w:right="220"/>
        <w:spacing w:after="0" w:line="253"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becomes effective for the Company on January 1, 2016. The adoption of this accounting pronouncement is not expected to have an impact on the Company’s consolidated financial statements.</w:t>
      </w:r>
    </w:p>
    <w:p>
      <w:pPr>
        <w:spacing w:after="0" w:line="206"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requires that a performance target that could be achieved after the requisite service period be treated as a performance condition that affects the vesting of the award. ASU 2014-12 becomes effective for the Company on January 1, 2016. The adoption of this accounting pronouncement is not expected to have an impact on the Company’s consolidated financial statements.</w:t>
      </w:r>
    </w:p>
    <w:p>
      <w:pPr>
        <w:spacing w:after="0" w:line="20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January 1, 2018. The Company is currently evaluating the impact of this accounting pronouncement on its consolidated financial statements.</w:t>
      </w:r>
    </w:p>
    <w:p>
      <w:pPr>
        <w:spacing w:after="0" w:line="17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4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During the six months ended June 30, 2015, as part of this process, the Company formally communicated the termination of employment to approximately 250 employees. The costs associated with this initiative primarily represent severance, outplacement services and other costs associated with employee terminations, the majority of which have been or are expected to be settled in cash. As of June 30, 2015, the Company has terminated approximately 100 of these employees. The Company expects further restructuring expense of approximately $5 million related to this initiative to be incurred in 2015, plus approximately $20 million to be incurred in 2015 in connection with other initiatives.</w:t>
      </w:r>
    </w:p>
    <w:p>
      <w:pPr>
        <w:spacing w:after="0" w:line="207" w:lineRule="exact"/>
        <w:rPr>
          <w:rFonts w:ascii="Arial" w:cs="Arial" w:eastAsia="Arial" w:hAnsi="Arial"/>
          <w:sz w:val="18"/>
          <w:szCs w:val="18"/>
          <w:b w:val="1"/>
          <w:bCs w:val="1"/>
          <w:color w:val="auto"/>
        </w:rPr>
      </w:pPr>
    </w:p>
    <w:p>
      <w:pPr>
        <w:ind w:left="50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plc, the Company began a restructuring initiative, identifying synergies across the Company, enhancing organizational efficiencies and consolidating and rationalizing processes (the “Avis Europe restructuring”). During the six months ended June 30, 2015, the Company did not record restructuring expense related to this restructuring initiative.</w:t>
      </w:r>
    </w:p>
    <w:p>
      <w:pPr>
        <w:spacing w:after="0" w:line="201" w:lineRule="exact"/>
        <w:rPr>
          <w:rFonts w:ascii="Arial" w:cs="Arial" w:eastAsia="Arial" w:hAnsi="Arial"/>
          <w:sz w:val="18"/>
          <w:szCs w:val="18"/>
          <w:b w:val="1"/>
          <w:bCs w:val="1"/>
          <w:color w:val="auto"/>
        </w:rPr>
      </w:pPr>
    </w:p>
    <w:p>
      <w:pPr>
        <w:ind w:left="500" w:right="8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identify the amounts recorded within the Company’s reportable segments, and by category, for restructuring expense and corresponding payments:</w:t>
      </w: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Borders>
              <w:bottom w:val="single" w:sz="8" w:color="auto"/>
            </w:tcBorders>
          </w:tcPr>
          <w:p>
            <w:pPr>
              <w:jc w:val="center"/>
              <w:ind w:left="257"/>
              <w:spacing w:after="0"/>
              <w:rPr>
                <w:sz w:val="20"/>
                <w:szCs w:val="20"/>
                <w:color w:val="auto"/>
              </w:rPr>
            </w:pPr>
            <w:r>
              <w:rPr>
                <w:rFonts w:ascii="Arial" w:cs="Arial" w:eastAsia="Arial" w:hAnsi="Arial"/>
                <w:sz w:val="16"/>
                <w:szCs w:val="16"/>
                <w:b w:val="1"/>
                <w:bCs w:val="1"/>
                <w:color w:val="auto"/>
                <w:w w:val="99"/>
              </w:rPr>
              <w:t>Americas</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9"/>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Balance as of June 30, 2015</w:t>
            </w:r>
          </w:p>
        </w:tc>
        <w:tc>
          <w:tcPr>
            <w:tcW w:w="1720" w:type="dxa"/>
            <w:vAlign w:val="bottom"/>
          </w:tcPr>
          <w:p>
            <w:pPr>
              <w:spacing w:after="0"/>
              <w:rPr>
                <w:sz w:val="22"/>
                <w:szCs w:val="22"/>
                <w:color w:val="auto"/>
              </w:rPr>
            </w:pPr>
          </w:p>
        </w:tc>
        <w:tc>
          <w:tcPr>
            <w:tcW w:w="1140" w:type="dxa"/>
            <w:vAlign w:val="bottom"/>
            <w:tcBorders>
              <w:bottom w:val="single" w:sz="8" w:color="auto"/>
            </w:tcBorders>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jc w:val="center"/>
              <w:ind w:left="237"/>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Facility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Borders>
              <w:bottom w:val="single" w:sz="8" w:color="auto"/>
            </w:tcBorders>
          </w:tcPr>
          <w:p>
            <w:pPr>
              <w:jc w:val="center"/>
              <w:ind w:left="237"/>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Balance as of June 30, 2015</w:t>
            </w:r>
          </w:p>
        </w:tc>
        <w:tc>
          <w:tcPr>
            <w:tcW w:w="286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vMerge w:val="restart"/>
          </w:tcPr>
          <w:p>
            <w:pPr>
              <w:jc w:val="right"/>
              <w:ind w:right="390"/>
              <w:spacing w:after="0"/>
              <w:rPr>
                <w:sz w:val="20"/>
                <w:szCs w:val="20"/>
                <w:color w:val="auto"/>
              </w:rPr>
            </w:pPr>
            <w:r>
              <w:rPr>
                <w:rFonts w:ascii="Arial" w:cs="Arial" w:eastAsia="Arial" w:hAnsi="Arial"/>
                <w:sz w:val="18"/>
                <w:szCs w:val="18"/>
                <w:color w:val="auto"/>
              </w:rPr>
              <w:t>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33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9"/>
              </w:rPr>
              <w:t>June 30,</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basic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7"/>
        </w:trPr>
        <w:tc>
          <w:tcPr>
            <w:tcW w:w="5400" w:type="dxa"/>
            <w:vAlign w:val="bottom"/>
          </w:tcPr>
          <w:p>
            <w:pPr>
              <w:ind w:left="20"/>
              <w:spacing w:after="0"/>
              <w:rPr>
                <w:sz w:val="20"/>
                <w:szCs w:val="20"/>
                <w:color w:val="auto"/>
              </w:rPr>
            </w:pPr>
            <w:r>
              <w:rPr>
                <w:rFonts w:ascii="Arial" w:cs="Arial" w:eastAsia="Arial" w:hAnsi="Arial"/>
                <w:sz w:val="18"/>
                <w:szCs w:val="18"/>
                <w:color w:val="auto"/>
              </w:rPr>
              <w:t>Convertible note interest, net of tax</w:t>
            </w:r>
          </w:p>
        </w:tc>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diluted EPS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323"/>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6"/>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21"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and six months ended June 30, 2015, 0.2 million and 0.1 million non-vested stock awards, respectively, have an anti-dilutive effect and are therefore excluded from the computation of diluted weighted average shares outstanding. For the three and six months ended June 30, 2014, the number of anti-dilutive securities which were excluded from the computation of diluted earnings per share was not significant.</w:t>
      </w:r>
    </w:p>
    <w:p>
      <w:pPr>
        <w:spacing w:after="0" w:line="186" w:lineRule="exact"/>
        <w:rPr>
          <w:rFonts w:ascii="Arial" w:cs="Arial" w:eastAsia="Arial" w:hAnsi="Arial"/>
          <w:sz w:val="22"/>
          <w:szCs w:val="22"/>
          <w:color w:val="auto"/>
          <w:vertAlign w:val="superscript"/>
        </w:rPr>
      </w:pPr>
    </w:p>
    <w:p>
      <w:pPr>
        <w:ind w:left="500" w:right="9540" w:hanging="492"/>
        <w:spacing w:after="0" w:line="509"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2015 </w:t>
      </w:r>
      <w:r>
        <w:rPr>
          <w:rFonts w:ascii="Arial" w:cs="Arial" w:eastAsia="Arial" w:hAnsi="Arial"/>
          <w:sz w:val="18"/>
          <w:szCs w:val="18"/>
          <w:b w:val="1"/>
          <w:bCs w:val="1"/>
          <w:i w:val="1"/>
          <w:iCs w:val="1"/>
          <w:color w:val="auto"/>
        </w:rPr>
        <w:t>Maggiore Group</w:t>
      </w:r>
    </w:p>
    <w:p>
      <w:pPr>
        <w:spacing w:after="0" w:line="1"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completed the acquisition of Maggiore Group (“Maggiore”) for approximately $160 million, net of acquired cash and short-term investments. The investment will enable the Company to expand its footprint with a leading provider of vehicle rental services in Italy. The excess of the purchase price over preliminary fair value of net assets acquired was allocated to goodwill, which was assigned to the Company’s International reportable segment. In connection with this acquisition, approximately $77 million was recorded in goodwill, $51 million was recorded in customer relationships, $34 million related to the trade name was recorded in other intangibles and $11 million was recorded in license agreements. The customer relationships, trade name and license agreements will be amortized over a weighted average useful life of approximately ten years. The goodwill is not expected to be deductible for tax purposes. The fair value of the assets acquired and liabilities assumed has not yet been finalized and is therefore subject to change.</w:t>
      </w:r>
    </w:p>
    <w:p>
      <w:pPr>
        <w:spacing w:after="0" w:line="1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Brazil</w:t>
      </w:r>
    </w:p>
    <w:p>
      <w:pPr>
        <w:spacing w:after="0" w:line="247" w:lineRule="exact"/>
        <w:rPr>
          <w:rFonts w:ascii="Arial" w:cs="Arial" w:eastAsia="Arial" w:hAnsi="Arial"/>
          <w:sz w:val="18"/>
          <w:szCs w:val="18"/>
          <w:b w:val="1"/>
          <w:bCs w:val="1"/>
          <w:color w:val="auto"/>
        </w:rPr>
      </w:pPr>
    </w:p>
    <w:p>
      <w:pPr>
        <w:ind w:left="500"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acquired the remaining 50% equity interest in its Brazilian Licensee (“Brazil”), which is now a wholly-owned subsidiary, for cash consideration of $8 million plus $46 million principally to acquire debt interests and settle certain debt and accrued interest obligations. The acquisition will enable the Company to significantly increase its presence in the Brazilian car rental market. The Company previously accounted for its 50% interest in Brazil as an equity-method investment and accordingly, to recognize Brazil as a wholly-owned subsidiary, remeasured its previously held equity method investment to fair value using the Income approach-discounted cash flow method (Level 3), resulting in a loss of $8 million during second quarter 2015 as part of transaction-related costs. The results of the operations of Brazil and the fair value of its assets and liabilities have been included in the Company’s Consolidated Condensed Financial Statements from the date of the acquisition. As the fair value of the licensee’s liabilities exceeded its assets,</w:t>
      </w:r>
    </w:p>
    <w:p>
      <w:pPr>
        <w:spacing w:after="0" w:line="3" w:lineRule="exact"/>
        <w:rPr>
          <w:rFonts w:ascii="Arial" w:cs="Arial" w:eastAsia="Arial" w:hAnsi="Arial"/>
          <w:sz w:val="18"/>
          <w:szCs w:val="18"/>
          <w:b w:val="1"/>
          <w:bCs w:val="1"/>
          <w:color w:val="auto"/>
        </w:rPr>
      </w:pPr>
    </w:p>
    <w:p>
      <w:pPr>
        <w:ind w:left="50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$73 million was allocated to goodwill for the excess of the purchase price over preliminary fair value of net assets acquired, which was assigned to the Company’s Americas reportable segment. The goodwill is not expected to be deductible for tax purposes. The fair value of the assets acquired and liabilities assumed has not yet been finalized and is therefore subject to change.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Scandinavian Licensee</w:t>
      </w:r>
    </w:p>
    <w:p>
      <w:pPr>
        <w:spacing w:after="0" w:line="247"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In January 2015, the Company completed the acquisition of its Avis and Budget licensees in Norway, Sweden and Denmark for approximately $39 million, net of acquired cash. The investment will enable the Company to expand its footprint of Company-operated locations. The excess of the purchase price over preliminary fair value of net assets acquired was allocated to goodwill, which was assigned to the Company’s International reportable segment. In connection with this acquisition, approximately $31 million was recorded in license agreements and $21 million was recorded in goodwill. The license agreements will be amortized over a weighted average useful life of approximately eight years. In addition, at the time of acquisition, the Company recorded a $22 million non-cash charge within transaction-related costs in connection with license rights reacquired by the Company. The goodwill is not expected to be deductible for tax purposes. The fair value of the assets acquired and liabilities assumed has not yet been finalized and is therefore subject to change.</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2014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Budget Licensees</w:t>
      </w:r>
    </w:p>
    <w:p>
      <w:pPr>
        <w:spacing w:after="0" w:line="247"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During 2014, the Company completed the acquisition of its Budget licensees for Edmonton, Canada; Southern California and Las Vegas, and reacquired the right to operate the Budget brand in Portugal, for an aggregate of approximately $263 million, plus $132 million for acquired fleet. These investments enabled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Americas reportable segment for Edmonton, Southern California and Las Vegas and to the Company’s International reportable segment for Portugal. In connection with these acquisitions, approximately $ 58 million was recorded in identifiable intangible assets (consisting of $10 million related to customer relationships and $48 million related to license agreements) and $192 million was recorded in goodwill. The customer relationships will be amortized over a weighted average useful life of approximately 12 years and the license agreements will be amortized over a weighted average useful life of approximately three years. During 2014, the Company recorded a non-cash gain of approximately $20 million within transaction-related costs in connection with license rights reacquired by the Company. Goodwill is deductible for tax purposes. The fair value of the assets acquired and liabilities assumed has not yet been finalized for Southern California and Las Vegas and is therefore subject to change. Differences between the preliminary allocation of purchase price and the final allocation were not material for Edmonton and Portugal.</w:t>
      </w:r>
    </w:p>
    <w:p>
      <w:pPr>
        <w:spacing w:after="0" w:line="18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As of June 30,</w:t>
            </w:r>
          </w:p>
        </w:tc>
        <w:tc>
          <w:tcPr>
            <w:tcW w:w="1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246"/>
        </w:trPr>
        <w:tc>
          <w:tcPr>
            <w:tcW w:w="3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31, 2014</w:t>
            </w: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0"/>
                <w:szCs w:val="20"/>
                <w:color w:val="auto"/>
              </w:rPr>
            </w:pPr>
            <w:r>
              <w:rPr>
                <w:rFonts w:ascii="Arial" w:cs="Arial" w:eastAsia="Arial" w:hAnsi="Arial"/>
                <w:sz w:val="18"/>
                <w:szCs w:val="18"/>
                <w:color w:val="auto"/>
              </w:rPr>
              <w:t>Sales and use taxes</w:t>
            </w:r>
          </w:p>
        </w:tc>
        <w:tc>
          <w:tcPr>
            <w:tcW w:w="3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Other current assets</w:t>
            </w:r>
          </w:p>
        </w:tc>
        <w:tc>
          <w:tcPr>
            <w:tcW w:w="3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80" w:type="dxa"/>
            <w:vAlign w:val="bottom"/>
            <w:vMerge w:val="restart"/>
          </w:tcPr>
          <w:p>
            <w:pPr>
              <w:jc w:val="right"/>
              <w:ind w:right="145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6"/>
                <w:szCs w:val="16"/>
                <w:b w:val="1"/>
                <w:bCs w:val="1"/>
                <w:color w:val="auto"/>
              </w:rPr>
              <w:t>As of June 30, 2015</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2014</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23"/>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1"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518</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acquisition of Maggiore.</w:t>
      </w:r>
    </w:p>
    <w:p>
      <w:pPr>
        <w:ind w:left="820" w:hanging="326"/>
        <w:spacing w:after="0" w:line="199"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2014 reflects acquisitions, partially offset by a currency translation reduction of $43 million.</w:t>
      </w:r>
    </w:p>
    <w:p>
      <w:pPr>
        <w:spacing w:after="0" w:line="174" w:lineRule="exact"/>
        <w:rPr>
          <w:sz w:val="20"/>
          <w:szCs w:val="20"/>
          <w:color w:val="auto"/>
        </w:rPr>
      </w:pPr>
    </w:p>
    <w:p>
      <w:pPr>
        <w:jc w:val="both"/>
        <w:ind w:left="500" w:right="80"/>
        <w:spacing w:after="0" w:line="253" w:lineRule="auto"/>
        <w:rPr>
          <w:sz w:val="20"/>
          <w:szCs w:val="20"/>
          <w:color w:val="auto"/>
        </w:rPr>
      </w:pPr>
      <w:r>
        <w:rPr>
          <w:rFonts w:ascii="Arial" w:cs="Arial" w:eastAsia="Arial" w:hAnsi="Arial"/>
          <w:sz w:val="18"/>
          <w:szCs w:val="18"/>
          <w:color w:val="auto"/>
        </w:rPr>
        <w:t>For the three months ended June 30, 2015 and 2014, amortization expense related to amortizable intangible assets was approximately $16 million and $ 9 million, respectively. For the six months ended June 30, 2015 and 2014, amortization expense related to amortizable intangible assets was approximately $ 27 million and $16 million, respectively. Based on the Company’s amortizable intangible assets at June 30, 2015, the Company expects amortization expense of approximately $30 million for the remainder of 2015, $57 million for 2016, $52 million for 2017, $41 million for 2018, $40 million for 2019 and $40 million for 2020.</w:t>
      </w:r>
    </w:p>
    <w:p>
      <w:pPr>
        <w:spacing w:after="0" w:line="18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6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Rental vehicles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14,298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11,006</w:t>
            </w: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r>
      <w:tr>
        <w:trPr>
          <w:trHeight w:val="243"/>
        </w:trPr>
        <w:tc>
          <w:tcPr>
            <w:tcW w:w="6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9,541</w:t>
            </w: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Vehicles,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The components of vehicle depreciation and lease charges, net are summarized below:</w:t>
      </w:r>
    </w:p>
    <w:p>
      <w:pPr>
        <w:spacing w:after="0" w:line="16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r>
      <w:tr>
        <w:trPr>
          <w:trHeight w:val="257"/>
        </w:trPr>
        <w:tc>
          <w:tcPr>
            <w:tcW w:w="45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Lease charges</w:t>
            </w: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4520" w:type="dxa"/>
            <w:vAlign w:val="bottom"/>
          </w:tcPr>
          <w:p>
            <w:pPr>
              <w:spacing w:after="0"/>
              <w:rPr>
                <w:sz w:val="20"/>
                <w:szCs w:val="20"/>
                <w:color w:val="auto"/>
              </w:rPr>
            </w:pPr>
            <w:r>
              <w:rPr>
                <w:rFonts w:ascii="Arial" w:cs="Arial" w:eastAsia="Arial" w:hAnsi="Arial"/>
                <w:sz w:val="18"/>
                <w:szCs w:val="18"/>
                <w:color w:val="auto"/>
              </w:rPr>
              <w:t>Gain on sales of vehicles, net</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452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4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783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5" w:lineRule="exact"/>
        <w:rPr>
          <w:sz w:val="20"/>
          <w:szCs w:val="20"/>
          <w:color w:val="auto"/>
        </w:rPr>
      </w:pPr>
    </w:p>
    <w:p>
      <w:pPr>
        <w:ind w:left="460"/>
        <w:spacing w:after="0"/>
        <w:tabs>
          <w:tab w:leader="none" w:pos="18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17837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5" w:lineRule="exact"/>
        <w:rPr>
          <w:sz w:val="20"/>
          <w:szCs w:val="20"/>
          <w:color w:val="auto"/>
        </w:rPr>
      </w:pPr>
    </w:p>
    <w:p>
      <w:pPr>
        <w:spacing w:after="0"/>
        <w:tabs>
          <w:tab w:leader="none" w:pos="920" w:val="left"/>
          <w:tab w:leader="none" w:pos="144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913</w:t>
        <w:tab/>
        <w:t>$</w:t>
      </w:r>
      <w:r>
        <w:rPr>
          <w:sz w:val="20"/>
          <w:szCs w:val="20"/>
          <w:color w:val="auto"/>
        </w:rPr>
        <w:tab/>
      </w:r>
      <w:r>
        <w:rPr>
          <w:rFonts w:ascii="Arial" w:cs="Arial" w:eastAsia="Arial" w:hAnsi="Arial"/>
          <w:sz w:val="18"/>
          <w:szCs w:val="18"/>
          <w:color w:val="auto"/>
        </w:rPr>
        <w:t>898</w:t>
      </w:r>
    </w:p>
    <w:p>
      <w:pPr>
        <w:spacing w:after="0" w:line="63" w:lineRule="exact"/>
        <w:rPr>
          <w:sz w:val="20"/>
          <w:szCs w:val="20"/>
          <w:color w:val="auto"/>
        </w:rPr>
      </w:pPr>
    </w:p>
    <w:p>
      <w:pPr>
        <w:ind w:left="1040"/>
        <w:spacing w:after="0"/>
        <w:tabs>
          <w:tab w:leader="none" w:pos="24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76</w:t>
      </w:r>
    </w:p>
    <w:p>
      <w:pPr>
        <w:spacing w:after="0" w:line="63" w:lineRule="exact"/>
        <w:rPr>
          <w:sz w:val="20"/>
          <w:szCs w:val="20"/>
          <w:color w:val="auto"/>
        </w:rPr>
      </w:pPr>
    </w:p>
    <w:p>
      <w:pPr>
        <w:ind w:left="2440" w:hanging="1468"/>
        <w:spacing w:after="0"/>
        <w:tabs>
          <w:tab w:leader="none" w:pos="2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22225</wp:posOffset>
            </wp:positionV>
            <wp:extent cx="17837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5" w:lineRule="exact"/>
        <w:rPr>
          <w:sz w:val="20"/>
          <w:szCs w:val="20"/>
          <w:color w:val="auto"/>
        </w:rPr>
      </w:pPr>
    </w:p>
    <w:p>
      <w:pPr>
        <w:spacing w:after="0"/>
        <w:tabs>
          <w:tab w:leader="none" w:pos="920" w:val="left"/>
          <w:tab w:leader="none" w:pos="144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930</w:t>
        <w:tab/>
        <w:t>$</w:t>
      </w:r>
      <w:r>
        <w:rPr>
          <w:sz w:val="20"/>
          <w:szCs w:val="20"/>
          <w:color w:val="auto"/>
        </w:rPr>
        <w:tab/>
      </w:r>
      <w:r>
        <w:rPr>
          <w:rFonts w:ascii="Arial" w:cs="Arial" w:eastAsia="Arial" w:hAnsi="Arial"/>
          <w:sz w:val="18"/>
          <w:szCs w:val="18"/>
          <w:color w:val="auto"/>
        </w:rPr>
        <w:t>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7837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71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820" w:space="140"/>
            <w:col w:w="3420"/>
          </w:cols>
          <w:pgMar w:left="240" w:top="140" w:right="279" w:bottom="1440" w:gutter="0" w:footer="0" w:header="0"/>
          <w:type w:val="continuous"/>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June 30, 2015 and 2014, the Company had payables related to vehicle purchases included in liabilities under vehicle programs - other of $577 million and $498 million, respectively, and receivables related to vehicle sales included in assets under vehicle programs - receivables from vehicle manufacturers and other of $217 million and $170 million, respectively.</w:t>
      </w:r>
    </w:p>
    <w:p>
      <w:pPr>
        <w:sectPr>
          <w:pgSz w:w="11900" w:h="16838" w:orient="portrait"/>
          <w:cols w:equalWidth="0" w:num="1">
            <w:col w:w="11380"/>
          </w:cols>
          <w:pgMar w:left="240" w:top="140" w:right="279" w:bottom="1440" w:gutter="0" w:footer="0" w:header="0"/>
          <w:type w:val="continuous"/>
        </w:sect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140" w:right="2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2"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2015 is a benefit of 103.0%. Such rate differed from the Federal statutory rate of 35.0% primarily due to a $98 million income tax benefit related to resolution of a prior-year tax matter.</w:t>
      </w:r>
    </w:p>
    <w:p>
      <w:pPr>
        <w:spacing w:after="0" w:line="142" w:lineRule="exact"/>
        <w:rPr>
          <w:rFonts w:ascii="Arial" w:cs="Arial" w:eastAsia="Arial" w:hAnsi="Arial"/>
          <w:sz w:val="18"/>
          <w:szCs w:val="18"/>
          <w:b w:val="1"/>
          <w:bCs w:val="1"/>
          <w:color w:val="auto"/>
        </w:rPr>
      </w:pPr>
    </w:p>
    <w:p>
      <w:pPr>
        <w:ind w:left="500" w:right="3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2014 is a provision of 43.4%. Such rate differed from the Federal statutory rate of 35.0% primarily due to the non-deductibility of certain transaction-related costs.</w:t>
      </w:r>
    </w:p>
    <w:p>
      <w:pPr>
        <w:spacing w:after="0" w:line="174" w:lineRule="exact"/>
        <w:rPr>
          <w:rFonts w:ascii="Arial" w:cs="Arial" w:eastAsia="Arial" w:hAnsi="Arial"/>
          <w:sz w:val="18"/>
          <w:szCs w:val="18"/>
          <w:b w:val="1"/>
          <w:bCs w:val="1"/>
          <w:color w:val="auto"/>
        </w:rPr>
      </w:pPr>
    </w:p>
    <w:p>
      <w:pPr>
        <w:ind w:left="500" w:right="620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82"/>
        </w:trPr>
        <w:tc>
          <w:tcPr>
            <w:tcW w:w="54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19"/>
                <w:szCs w:val="19"/>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5"/>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2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46"/>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5"/>
        </w:trPr>
        <w:tc>
          <w:tcPr>
            <w:tcW w:w="540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40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83"/>
        </w:trPr>
        <w:tc>
          <w:tcPr>
            <w:tcW w:w="540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11"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3.03% at June 30, 2015; the Company has entered into an interest rate swap to hedge its interest rate exposure related to these notes at an aggregate rate of 3.58%.</w:t>
      </w:r>
    </w:p>
    <w:p>
      <w:pPr>
        <w:ind w:left="820" w:hanging="326"/>
        <w:spacing w:after="0" w:line="225"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201" w:lineRule="exact"/>
        <w:rPr>
          <w:sz w:val="20"/>
          <w:szCs w:val="20"/>
          <w:color w:val="auto"/>
        </w:rPr>
      </w:pPr>
    </w:p>
    <w:p>
      <w:pPr>
        <w:jc w:val="both"/>
        <w:ind w:left="500" w:right="80"/>
        <w:spacing w:after="0" w:line="256" w:lineRule="auto"/>
        <w:rPr>
          <w:sz w:val="20"/>
          <w:szCs w:val="20"/>
          <w:color w:val="auto"/>
        </w:rPr>
      </w:pPr>
      <w:r>
        <w:rPr>
          <w:rFonts w:ascii="Arial" w:cs="Arial" w:eastAsia="Arial" w:hAnsi="Arial"/>
          <w:sz w:val="18"/>
          <w:szCs w:val="18"/>
          <w:color w:val="auto"/>
        </w:rPr>
        <w:t>In March 2015, the Company issued $375 million of 5¼% Senior Notes due 2025 at par. In April 2015, the Company used net proceeds from the offering to redeem the remaining $223 million principal amount of its 9¾% Senior Notes due 2020 for $243 million plus accrued interest and to finance a portion of its acquisition of Maggiore.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40"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2015,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1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21"/>
        </w:trPr>
        <w:tc>
          <w:tcPr>
            <w:tcW w:w="414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9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20" w:hanging="326"/>
        <w:spacing w:after="0"/>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2.95%.</w:t>
      </w:r>
    </w:p>
    <w:p>
      <w:pPr>
        <w:spacing w:after="0" w:line="174" w:lineRule="exact"/>
        <w:rPr>
          <w:sz w:val="20"/>
          <w:szCs w:val="20"/>
          <w:color w:val="auto"/>
        </w:rPr>
      </w:pPr>
    </w:p>
    <w:p>
      <w:pPr>
        <w:ind w:left="500" w:right="240"/>
        <w:spacing w:after="0" w:line="262" w:lineRule="auto"/>
        <w:rPr>
          <w:sz w:val="20"/>
          <w:szCs w:val="20"/>
          <w:color w:val="auto"/>
        </w:rPr>
      </w:pPr>
      <w:r>
        <w:rPr>
          <w:rFonts w:ascii="Arial" w:cs="Arial" w:eastAsia="Arial" w:hAnsi="Arial"/>
          <w:sz w:val="18"/>
          <w:szCs w:val="18"/>
          <w:color w:val="auto"/>
        </w:rPr>
        <w:t>At June 30, 2015, the Company had various uncommitted credit facilities available, under which it had drawn approximately $1 million, which bear interest at rates between 1.09% and 2.50%.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June 30, 2015, the Company is in compliance with the financial covenants governing its indebtedness.</w:t>
      </w:r>
    </w:p>
    <w:p>
      <w:pPr>
        <w:spacing w:after="0" w:line="182"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ectPr>
          <w:pgSz w:w="11900" w:h="16838" w:orient="portrait"/>
          <w:cols w:equalWidth="0" w:num="1">
            <w:col w:w="11400"/>
          </w:cols>
          <w:pgMar w:left="240" w:top="140" w:right="259" w:bottom="1440" w:gutter="0" w:footer="0" w:header="0"/>
        </w:sectPr>
      </w:pP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 (b)</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 (c)</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7"/>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hanging="326"/>
        <w:spacing w:after="0" w:line="187" w:lineRule="auto"/>
        <w:tabs>
          <w:tab w:leader="none" w:pos="82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increase also includes additional borrowings related to the acquisition of Brazil.</w:t>
      </w:r>
    </w:p>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also includes additional borrowings related to the acquisition of Maggiore.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598"/>
        <w:spacing w:after="0"/>
        <w:rPr>
          <w:sz w:val="20"/>
          <w:szCs w:val="20"/>
          <w:color w:val="auto"/>
        </w:rPr>
      </w:pPr>
      <w:r>
        <w:rPr>
          <w:rFonts w:ascii="Arial" w:cs="Arial" w:eastAsia="Arial" w:hAnsi="Arial"/>
          <w:sz w:val="18"/>
          <w:szCs w:val="18"/>
          <w:b w:val="1"/>
          <w:bCs w:val="1"/>
          <w:color w:val="auto"/>
        </w:rPr>
        <w:t>As of</w:t>
      </w:r>
    </w:p>
    <w:p>
      <w:pPr>
        <w:spacing w:after="0" w:line="63" w:lineRule="exact"/>
        <w:rPr>
          <w:sz w:val="20"/>
          <w:szCs w:val="20"/>
          <w:color w:val="auto"/>
        </w:rPr>
      </w:pPr>
    </w:p>
    <w:p>
      <w:pPr>
        <w:jc w:val="center"/>
        <w:ind w:right="598"/>
        <w:spacing w:after="0"/>
        <w:rPr>
          <w:sz w:val="20"/>
          <w:szCs w:val="20"/>
          <w:color w:val="auto"/>
        </w:rPr>
      </w:pPr>
      <w:r>
        <w:rPr>
          <w:rFonts w:ascii="Arial" w:cs="Arial" w:eastAsia="Arial" w:hAnsi="Arial"/>
          <w:sz w:val="18"/>
          <w:szCs w:val="18"/>
          <w:b w:val="1"/>
          <w:bCs w:val="1"/>
          <w:color w:val="auto"/>
        </w:rPr>
        <w:t>December 31,</w:t>
      </w:r>
    </w:p>
    <w:p>
      <w:pPr>
        <w:spacing w:after="0" w:line="63" w:lineRule="exact"/>
        <w:rPr>
          <w:sz w:val="20"/>
          <w:szCs w:val="20"/>
          <w:color w:val="auto"/>
        </w:rPr>
      </w:pPr>
    </w:p>
    <w:p>
      <w:pPr>
        <w:jc w:val="center"/>
        <w:ind w:right="598"/>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0636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65" w:lineRule="exact"/>
        <w:rPr>
          <w:sz w:val="20"/>
          <w:szCs w:val="20"/>
          <w:color w:val="auto"/>
        </w:rPr>
      </w:pPr>
    </w:p>
    <w:p>
      <w:pPr>
        <w:ind w:left="1102" w:hanging="1102"/>
        <w:spacing w:after="0"/>
        <w:tabs>
          <w:tab w:leader="none" w:pos="11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6,340</w:t>
      </w:r>
    </w:p>
    <w:p>
      <w:pPr>
        <w:spacing w:after="0" w:line="63" w:lineRule="exact"/>
        <w:rPr>
          <w:rFonts w:ascii="Arial" w:cs="Arial" w:eastAsia="Arial" w:hAnsi="Arial"/>
          <w:sz w:val="18"/>
          <w:szCs w:val="18"/>
          <w:color w:val="auto"/>
        </w:rPr>
      </w:pPr>
    </w:p>
    <w:p>
      <w:pPr>
        <w:ind w:left="1262"/>
        <w:spacing w:after="0"/>
        <w:rPr>
          <w:rFonts w:ascii="Arial" w:cs="Arial" w:eastAsia="Arial" w:hAnsi="Arial"/>
          <w:sz w:val="18"/>
          <w:szCs w:val="18"/>
          <w:color w:val="auto"/>
        </w:rPr>
      </w:pPr>
      <w:r>
        <w:rPr>
          <w:rFonts w:ascii="Arial" w:cs="Arial" w:eastAsia="Arial" w:hAnsi="Arial"/>
          <w:sz w:val="17"/>
          <w:szCs w:val="17"/>
          <w:color w:val="auto"/>
        </w:rPr>
        <w:t>746</w:t>
      </w:r>
    </w:p>
    <w:p>
      <w:pPr>
        <w:spacing w:after="0" w:line="74" w:lineRule="exact"/>
        <w:rPr>
          <w:rFonts w:ascii="Arial" w:cs="Arial" w:eastAsia="Arial" w:hAnsi="Arial"/>
          <w:sz w:val="18"/>
          <w:szCs w:val="18"/>
          <w:color w:val="auto"/>
        </w:rPr>
      </w:pPr>
    </w:p>
    <w:p>
      <w:pPr>
        <w:ind w:left="1262"/>
        <w:spacing w:after="0"/>
        <w:rPr>
          <w:rFonts w:ascii="Arial" w:cs="Arial" w:eastAsia="Arial" w:hAnsi="Arial"/>
          <w:sz w:val="18"/>
          <w:szCs w:val="18"/>
          <w:color w:val="auto"/>
        </w:rPr>
      </w:pPr>
      <w:r>
        <w:rPr>
          <w:rFonts w:ascii="Arial" w:cs="Arial" w:eastAsia="Arial" w:hAnsi="Arial"/>
          <w:sz w:val="17"/>
          <w:szCs w:val="17"/>
          <w:color w:val="auto"/>
        </w:rPr>
        <w:t>685</w:t>
      </w:r>
    </w:p>
    <w:p>
      <w:pPr>
        <w:spacing w:after="0" w:line="74" w:lineRule="exact"/>
        <w:rPr>
          <w:rFonts w:ascii="Arial" w:cs="Arial" w:eastAsia="Arial" w:hAnsi="Arial"/>
          <w:sz w:val="18"/>
          <w:szCs w:val="18"/>
          <w:color w:val="auto"/>
        </w:rPr>
      </w:pPr>
    </w:p>
    <w:p>
      <w:pPr>
        <w:ind w:left="1262"/>
        <w:spacing w:after="0"/>
        <w:rPr>
          <w:rFonts w:ascii="Arial" w:cs="Arial" w:eastAsia="Arial" w:hAnsi="Arial"/>
          <w:sz w:val="18"/>
          <w:szCs w:val="18"/>
          <w:color w:val="auto"/>
        </w:rPr>
      </w:pPr>
      <w:r>
        <w:rPr>
          <w:rFonts w:ascii="Arial" w:cs="Arial" w:eastAsia="Arial" w:hAnsi="Arial"/>
          <w:sz w:val="17"/>
          <w:szCs w:val="17"/>
          <w:color w:val="auto"/>
        </w:rPr>
        <w:t>314</w:t>
      </w:r>
    </w:p>
    <w:p>
      <w:pPr>
        <w:spacing w:after="0" w:line="74" w:lineRule="exact"/>
        <w:rPr>
          <w:rFonts w:ascii="Arial" w:cs="Arial" w:eastAsia="Arial" w:hAnsi="Arial"/>
          <w:sz w:val="18"/>
          <w:szCs w:val="18"/>
          <w:color w:val="auto"/>
        </w:rPr>
      </w:pPr>
    </w:p>
    <w:p>
      <w:pPr>
        <w:ind w:left="1362"/>
        <w:spacing w:after="0"/>
        <w:rPr>
          <w:rFonts w:ascii="Arial" w:cs="Arial" w:eastAsia="Arial" w:hAnsi="Arial"/>
          <w:sz w:val="18"/>
          <w:szCs w:val="18"/>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10636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55" w:lineRule="exact"/>
        <w:rPr>
          <w:sz w:val="20"/>
          <w:szCs w:val="20"/>
          <w:color w:val="auto"/>
        </w:rPr>
      </w:pPr>
    </w:p>
    <w:p>
      <w:pPr>
        <w:ind w:left="1102" w:hanging="1102"/>
        <w:spacing w:after="0"/>
        <w:tabs>
          <w:tab w:leader="none" w:pos="11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8,116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0636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1063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027" w:lineRule="exact"/>
        <w:rPr>
          <w:sz w:val="20"/>
          <w:szCs w:val="20"/>
          <w:color w:val="auto"/>
        </w:rPr>
      </w:pPr>
    </w:p>
    <w:p>
      <w:pPr>
        <w:sectPr>
          <w:pgSz w:w="11900" w:h="16838" w:orient="portrait"/>
          <w:cols w:equalWidth="0" w:num="2">
            <w:col w:w="9040" w:space="138"/>
            <w:col w:w="2222"/>
          </w:cols>
          <w:pgMar w:left="240" w:top="140" w:right="259" w:bottom="1440" w:gutter="0" w:footer="0" w:header="0"/>
          <w:type w:val="continuous"/>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140"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47" w:lineRule="exact"/>
        <w:rPr>
          <w:sz w:val="20"/>
          <w:szCs w:val="20"/>
          <w:color w:val="auto"/>
        </w:rPr>
      </w:pPr>
    </w:p>
    <w:p>
      <w:pPr>
        <w:ind w:left="500" w:right="2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2015.</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8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7"/>
        </w:trPr>
        <w:tc>
          <w:tcPr>
            <w:tcW w:w="88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64"/>
        </w:trPr>
        <w:tc>
          <w:tcPr>
            <w:tcW w:w="8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92"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Vehicle-backed debt maturing within one year primarily represents term asset-backed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280"/>
        <w:spacing w:after="0" w:line="262" w:lineRule="auto"/>
        <w:rPr>
          <w:sz w:val="20"/>
          <w:szCs w:val="20"/>
          <w:color w:val="auto"/>
        </w:rPr>
      </w:pPr>
      <w:r>
        <w:rPr>
          <w:rFonts w:ascii="Arial" w:cs="Arial" w:eastAsia="Arial" w:hAnsi="Arial"/>
          <w:sz w:val="18"/>
          <w:szCs w:val="18"/>
          <w:color w:val="auto"/>
        </w:rPr>
        <w:t>As of June 30, 2015, available funding under the Company’s vehicle programs (including related party debt due to Avis Budget Rental Car Funding) consisted of:</w:t>
      </w:r>
    </w:p>
    <w:p>
      <w:pPr>
        <w:sectPr>
          <w:pgSz w:w="11900" w:h="16838" w:orient="portrait"/>
          <w:cols w:equalWidth="0" w:num="1">
            <w:col w:w="11400"/>
          </w:cols>
          <w:pgMar w:left="240" w:top="140" w:right="25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Capacity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70"/>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0"/>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2"/>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4"/>
        </w:trPr>
        <w:tc>
          <w:tcPr>
            <w:tcW w:w="592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9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$9.9 billion of underlying vehicles and related assets.</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$1.2 billion of underlying vehicles and related assets.</w:t>
      </w:r>
    </w:p>
    <w:p>
      <w:pPr>
        <w:ind w:left="820" w:hanging="326"/>
        <w:spacing w:after="0" w:line="187" w:lineRule="auto"/>
        <w:tabs>
          <w:tab w:leader="none" w:pos="82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$1.8 billion of underlying vehicles and related assets.</w:t>
      </w:r>
    </w:p>
    <w:p>
      <w:pPr>
        <w:ind w:left="820" w:hanging="326"/>
        <w:spacing w:after="0" w:line="184" w:lineRule="auto"/>
        <w:tabs>
          <w:tab w:leader="none" w:pos="82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$0.3 billion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271"/>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791" w:hanging="791"/>
        <w:spacing w:after="0"/>
        <w:tabs>
          <w:tab w:leader="none" w:pos="7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1,300</w:t>
      </w:r>
    </w:p>
    <w:p>
      <w:pPr>
        <w:spacing w:after="0" w:line="63"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7"/>
          <w:szCs w:val="17"/>
          <w:color w:val="auto"/>
        </w:rPr>
        <w:t>156</w:t>
      </w:r>
    </w:p>
    <w:p>
      <w:pPr>
        <w:spacing w:after="0" w:line="74" w:lineRule="exact"/>
        <w:rPr>
          <w:rFonts w:ascii="Arial" w:cs="Arial" w:eastAsia="Arial" w:hAnsi="Arial"/>
          <w:sz w:val="18"/>
          <w:szCs w:val="18"/>
          <w:color w:val="auto"/>
        </w:rPr>
      </w:pPr>
    </w:p>
    <w:p>
      <w:pPr>
        <w:ind w:left="951"/>
        <w:spacing w:after="0"/>
        <w:rPr>
          <w:rFonts w:ascii="Arial" w:cs="Arial" w:eastAsia="Arial" w:hAnsi="Arial"/>
          <w:sz w:val="18"/>
          <w:szCs w:val="18"/>
          <w:color w:val="auto"/>
        </w:rPr>
      </w:pPr>
      <w:r>
        <w:rPr>
          <w:rFonts w:ascii="Arial" w:cs="Arial" w:eastAsia="Arial" w:hAnsi="Arial"/>
          <w:sz w:val="17"/>
          <w:szCs w:val="17"/>
          <w:color w:val="auto"/>
        </w:rPr>
        <w:t>707</w:t>
      </w:r>
    </w:p>
    <w:p>
      <w:pPr>
        <w:spacing w:after="0" w:line="74" w:lineRule="exact"/>
        <w:rPr>
          <w:rFonts w:ascii="Arial" w:cs="Arial" w:eastAsia="Arial" w:hAnsi="Arial"/>
          <w:sz w:val="18"/>
          <w:szCs w:val="18"/>
          <w:color w:val="auto"/>
        </w:rPr>
      </w:pPr>
    </w:p>
    <w:p>
      <w:pPr>
        <w:ind w:left="1051"/>
        <w:spacing w:after="0"/>
        <w:rPr>
          <w:rFonts w:ascii="Arial" w:cs="Arial" w:eastAsia="Arial" w:hAnsi="Arial"/>
          <w:sz w:val="18"/>
          <w:szCs w:val="18"/>
          <w:color w:val="auto"/>
        </w:rPr>
      </w:pPr>
      <w:r>
        <w:rPr>
          <w:rFonts w:ascii="Arial" w:cs="Arial" w:eastAsia="Arial" w:hAnsi="Arial"/>
          <w:sz w:val="17"/>
          <w:szCs w:val="17"/>
          <w:color w:val="auto"/>
        </w:rPr>
        <w:t>22</w:t>
      </w:r>
    </w:p>
    <w:p>
      <w:pPr>
        <w:spacing w:after="0" w:line="74" w:lineRule="exact"/>
        <w:rPr>
          <w:rFonts w:ascii="Arial" w:cs="Arial" w:eastAsia="Arial" w:hAnsi="Arial"/>
          <w:sz w:val="18"/>
          <w:szCs w:val="18"/>
          <w:color w:val="auto"/>
        </w:rPr>
      </w:pP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791" w:hanging="791"/>
        <w:spacing w:after="0"/>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98" w:lineRule="exact"/>
        <w:rPr>
          <w:sz w:val="20"/>
          <w:szCs w:val="20"/>
          <w:color w:val="auto"/>
        </w:rPr>
      </w:pPr>
    </w:p>
    <w:p>
      <w:pPr>
        <w:sectPr>
          <w:pgSz w:w="11900" w:h="16838" w:orient="portrait"/>
          <w:cols w:equalWidth="0" w:num="2">
            <w:col w:w="9360" w:space="129"/>
            <w:col w:w="1911"/>
          </w:cols>
          <w:pgMar w:left="240" w:top="140" w:right="259" w:bottom="1440" w:gutter="0" w:footer="0" w:header="0"/>
          <w:type w:val="continuous"/>
        </w:sectPr>
      </w:pPr>
    </w:p>
    <w:p>
      <w:pPr>
        <w:spacing w:after="0" w:line="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2015,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40" w:hanging="492"/>
        <w:spacing w:after="0" w:line="513" w:lineRule="auto"/>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2006, the Company completed the spin-offs of its Realogy and Wyndham subsidiaries. In connection with the spin-offs, the Company does not believe that the impact of any resolution of pre-existing contingent liabilities should result in a material liability to the Company in relation to its consolidated financial position or liquidity, as Realogy and Wyndham each have agreed to assume responsibility for these liabilities. The Company is also named in various litigation that is primarily related to the businesses of its former subsidiaries, including Realogy, Wyndham and their current or former subsidiaries. The Company is entitled to indemnification from such entities for any liability resulting from such litigation.</w:t>
      </w:r>
    </w:p>
    <w:p>
      <w:pPr>
        <w:sectPr>
          <w:pgSz w:w="11900" w:h="16838" w:orient="portrait"/>
          <w:cols w:equalWidth="0" w:num="1">
            <w:col w:w="11400"/>
          </w:cols>
          <w:pgMar w:left="240" w:top="140" w:right="2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140"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violated competition law by exchanging confidential information with twelve French airports and the car rental companies operating at those airports and by engaging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206" w:lineRule="exact"/>
        <w:rPr>
          <w:sz w:val="20"/>
          <w:szCs w:val="20"/>
          <w:color w:val="auto"/>
        </w:rPr>
      </w:pPr>
    </w:p>
    <w:p>
      <w:pPr>
        <w:ind w:left="500" w:right="120"/>
        <w:spacing w:after="0" w:line="252" w:lineRule="auto"/>
        <w:rPr>
          <w:sz w:val="20"/>
          <w:szCs w:val="20"/>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$ 25 million as well as reimbursements to current and former customers of amounts collected and retained by the Company related to the alleged deceptive marketing practices. The Company believes that it has valid defenses and intends to vigorously defend against the allegations, but it is currently unable to predict the outcome of the proceedings or range of reasonably possible losses, which may be material.</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involved in claims, legal proceedings and governmental inquiries related, among other</w:t>
      </w:r>
    </w:p>
    <w:p>
      <w:pPr>
        <w:spacing w:after="0" w:line="9" w:lineRule="exact"/>
        <w:rPr>
          <w:sz w:val="20"/>
          <w:szCs w:val="20"/>
          <w:color w:val="auto"/>
        </w:rPr>
      </w:pPr>
    </w:p>
    <w:p>
      <w:pPr>
        <w:ind w:left="500" w:right="380"/>
        <w:spacing w:after="0" w:line="250" w:lineRule="auto"/>
        <w:rPr>
          <w:sz w:val="20"/>
          <w:szCs w:val="20"/>
          <w:color w:val="auto"/>
        </w:rPr>
      </w:pPr>
      <w:r>
        <w:rPr>
          <w:rFonts w:ascii="Arial" w:cs="Arial" w:eastAsia="Arial" w:hAnsi="Arial"/>
          <w:sz w:val="18"/>
          <w:szCs w:val="18"/>
          <w:color w:val="auto"/>
        </w:rPr>
        <w:t>things, to its vehicle rental operations, including contract and licensee disputes, competition matters, employment matters, insurance claims, intellectual property claims, business practice disputes and other</w:t>
      </w:r>
    </w:p>
    <w:p>
      <w:pPr>
        <w:spacing w:after="0" w:line="1"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regulatory, environmental, commercial and tax matters. Litigation is inherently unpredictable and, although the Company believes that its accruals are adequate and/or that it has valid defenses in these matters, unfavorable resolutions could occur. Excluding the French and Canadian competition matters discussed above, the Company estimates that the potential exposure resulting from adverse outcomes of legal proceedings in which it is reasonably possible that a loss may be incurred could, in the aggregate, range up to approximately $20 million in excess of amounts accrued as of June 30, 2015; however, the Company does not believe that the impact should result in a material liability to the Company in relation to its consolidated financial condition or results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$3.6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Concentrations of credit risk at June 30, 2015 include (i) risks related to the Company’s repurchase and guaranteed depreciation agreements with domestic and foreign car manufacturers, including Ford, General Motors, Chrysler, Peugeot, Volkswagen, Kia, Fiat, Toyota, Mercedes, Volvo and BMW, and primarily with respect to receivables for program cars that have been disposed but for which the Company has not yet received payment from the manufacturers and (ii) risks related to Realogy and Wyndham, including receivables of $54 million and $33 million, respectively, related to certain contingent, income tax and other corporate liabilities assumed by Realogy and Wyndham in connection with their disposition.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right="9060" w:hanging="492"/>
        <w:spacing w:after="0" w:line="544" w:lineRule="auto"/>
        <w:tabs>
          <w:tab w:leader="none" w:pos="50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18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$635 million of its common stock under a plan originally approved in August 2013 and subsequently expanded in April and October 2014. During the six months ended June 30, 2015, the Company repurchased approximately 2.2 million shares of common stock at a cost of approximately $116 million under the program. During the six months ended June 30, 2014, the Company repurchased approximately 3.0 million shares of common stock at a cost of approximately $150 million under the program. As of June 30, 2015, $169 million of authorization remains available to repurchase common stock under this plan.</w:t>
      </w:r>
    </w:p>
    <w:p>
      <w:pPr>
        <w:spacing w:after="0" w:line="18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w:t>
      </w:r>
    </w:p>
    <w:p>
      <w:pPr>
        <w:spacing w:after="0" w:line="247"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comprehensive income were as follows:</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4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45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Six Months Ended June 30,</w:t>
            </w:r>
          </w:p>
        </w:tc>
      </w:tr>
      <w:tr>
        <w:trPr>
          <w:trHeight w:val="264"/>
        </w:trPr>
        <w:tc>
          <w:tcPr>
            <w:tcW w:w="45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4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4540" w:type="dxa"/>
            <w:vAlign w:val="bottom"/>
          </w:tcPr>
          <w:p>
            <w:pPr>
              <w:ind w:left="180"/>
              <w:spacing w:after="0"/>
              <w:rPr>
                <w:sz w:val="20"/>
                <w:szCs w:val="20"/>
                <w:color w:val="auto"/>
              </w:rPr>
            </w:pPr>
            <w:r>
              <w:rPr>
                <w:rFonts w:ascii="Arial" w:cs="Arial" w:eastAsia="Arial" w:hAnsi="Arial"/>
                <w:sz w:val="18"/>
                <w:szCs w:val="18"/>
                <w:color w:val="auto"/>
              </w:rPr>
              <w:t>Currency translation adjustments (net of tax of $7,</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4540" w:type="dxa"/>
            <w:vAlign w:val="bottom"/>
          </w:tcPr>
          <w:p>
            <w:pPr>
              <w:ind w:left="340"/>
              <w:spacing w:after="0"/>
              <w:rPr>
                <w:sz w:val="20"/>
                <w:szCs w:val="20"/>
                <w:color w:val="auto"/>
              </w:rPr>
            </w:pPr>
            <w:r>
              <w:rPr>
                <w:rFonts w:ascii="Arial" w:cs="Arial" w:eastAsia="Arial" w:hAnsi="Arial"/>
                <w:sz w:val="18"/>
                <w:szCs w:val="18"/>
                <w:color w:val="auto"/>
              </w:rPr>
              <w:t>$(2), $(17) and $(2), respectively)</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42"/>
        </w:trPr>
        <w:tc>
          <w:tcPr>
            <w:tcW w:w="4540" w:type="dxa"/>
            <w:vAlign w:val="bottom"/>
          </w:tcPr>
          <w:p>
            <w:pPr>
              <w:ind w:left="180"/>
              <w:spacing w:after="0"/>
              <w:rPr>
                <w:sz w:val="20"/>
                <w:szCs w:val="20"/>
                <w:color w:val="auto"/>
              </w:rPr>
            </w:pPr>
            <w:r>
              <w:rPr>
                <w:rFonts w:ascii="Arial" w:cs="Arial" w:eastAsia="Arial" w:hAnsi="Arial"/>
                <w:sz w:val="18"/>
                <w:szCs w:val="18"/>
                <w:color w:val="auto"/>
              </w:rPr>
              <w:t>Net unrealized gain (loss) on available-for-sale</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3"/>
        </w:trPr>
        <w:tc>
          <w:tcPr>
            <w:tcW w:w="4540" w:type="dxa"/>
            <w:vAlign w:val="bottom"/>
          </w:tcPr>
          <w:p>
            <w:pPr>
              <w:ind w:left="340"/>
              <w:spacing w:after="0" w:line="202" w:lineRule="exact"/>
              <w:rPr>
                <w:sz w:val="20"/>
                <w:szCs w:val="20"/>
                <w:color w:val="auto"/>
              </w:rPr>
            </w:pPr>
            <w:r>
              <w:rPr>
                <w:rFonts w:ascii="Arial" w:cs="Arial" w:eastAsia="Arial" w:hAnsi="Arial"/>
                <w:sz w:val="18"/>
                <w:szCs w:val="18"/>
                <w:color w:val="auto"/>
              </w:rPr>
              <w:t>securities (net of tax of $0, $0, $0 and $0,</w:t>
            </w: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7"/>
        </w:trPr>
        <w:tc>
          <w:tcPr>
            <w:tcW w:w="45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2"/>
        </w:trPr>
        <w:tc>
          <w:tcPr>
            <w:tcW w:w="4540" w:type="dxa"/>
            <w:vAlign w:val="bottom"/>
          </w:tcPr>
          <w:p>
            <w:pPr>
              <w:ind w:left="180"/>
              <w:spacing w:after="0"/>
              <w:rPr>
                <w:sz w:val="20"/>
                <w:szCs w:val="20"/>
                <w:color w:val="auto"/>
              </w:rPr>
            </w:pPr>
            <w:r>
              <w:rPr>
                <w:rFonts w:ascii="Arial" w:cs="Arial" w:eastAsia="Arial" w:hAnsi="Arial"/>
                <w:sz w:val="18"/>
                <w:szCs w:val="18"/>
                <w:color w:val="auto"/>
              </w:rPr>
              <w:t>Net unrealized gain (loss) on cash flow hedges (net of</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4540" w:type="dxa"/>
            <w:vAlign w:val="bottom"/>
          </w:tcPr>
          <w:p>
            <w:pPr>
              <w:ind w:left="340"/>
              <w:spacing w:after="0"/>
              <w:rPr>
                <w:sz w:val="20"/>
                <w:szCs w:val="20"/>
                <w:color w:val="auto"/>
              </w:rPr>
            </w:pPr>
            <w:r>
              <w:rPr>
                <w:rFonts w:ascii="Arial" w:cs="Arial" w:eastAsia="Arial" w:hAnsi="Arial"/>
                <w:sz w:val="18"/>
                <w:szCs w:val="18"/>
                <w:color w:val="auto"/>
              </w:rPr>
              <w:t>tax of $0, $1, $2 and $1, respectively)</w:t>
            </w:r>
          </w:p>
        </w:tc>
        <w:tc>
          <w:tcPr>
            <w:tcW w:w="9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2"/>
        </w:trPr>
        <w:tc>
          <w:tcPr>
            <w:tcW w:w="4540" w:type="dxa"/>
            <w:vAlign w:val="bottom"/>
          </w:tcPr>
          <w:p>
            <w:pPr>
              <w:ind w:left="180"/>
              <w:spacing w:after="0"/>
              <w:rPr>
                <w:sz w:val="20"/>
                <w:szCs w:val="20"/>
                <w:color w:val="auto"/>
              </w:rPr>
            </w:pPr>
            <w:r>
              <w:rPr>
                <w:rFonts w:ascii="Arial" w:cs="Arial" w:eastAsia="Arial" w:hAnsi="Arial"/>
                <w:sz w:val="18"/>
                <w:szCs w:val="18"/>
                <w:color w:val="auto"/>
              </w:rPr>
              <w:t>Minimum pension liability adjustment (net of tax of</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4"/>
        </w:trPr>
        <w:tc>
          <w:tcPr>
            <w:tcW w:w="4540" w:type="dxa"/>
            <w:vAlign w:val="bottom"/>
          </w:tcPr>
          <w:p>
            <w:pPr>
              <w:ind w:left="340"/>
              <w:spacing w:after="0"/>
              <w:rPr>
                <w:sz w:val="20"/>
                <w:szCs w:val="20"/>
                <w:color w:val="auto"/>
              </w:rPr>
            </w:pPr>
            <w:r>
              <w:rPr>
                <w:rFonts w:ascii="Arial" w:cs="Arial" w:eastAsia="Arial" w:hAnsi="Arial"/>
                <w:sz w:val="18"/>
                <w:szCs w:val="18"/>
                <w:color w:val="auto"/>
              </w:rPr>
              <w:t>$(1), $(1), $(1) and $(1), respectively)</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454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0</wp:posOffset>
            </wp:positionV>
            <wp:extent cx="366204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62045"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4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8"/>
              </w:rPr>
              <w:t>Currency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4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140" w:type="dxa"/>
            <w:vAlign w:val="bottom"/>
          </w:tcPr>
          <w:p>
            <w:pPr>
              <w:jc w:val="center"/>
              <w:ind w:left="277"/>
              <w:spacing w:after="0"/>
              <w:rPr>
                <w:sz w:val="20"/>
                <w:szCs w:val="20"/>
                <w:color w:val="auto"/>
              </w:rPr>
            </w:pPr>
            <w:r>
              <w:rPr>
                <w:rFonts w:ascii="Arial" w:cs="Arial" w:eastAsia="Arial" w:hAnsi="Arial"/>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3"/>
                <w:szCs w:val="13"/>
                <w:color w:val="auto"/>
              </w:rPr>
              <w:t>Balance, June 30, 2015</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4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4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June 30, 2014</w:t>
            </w:r>
          </w:p>
        </w:tc>
        <w:tc>
          <w:tcPr>
            <w:tcW w:w="114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$61 million gain, net of tax, as of June 30, 2015 related to the Company’s hedge of its net investment in Euro-denominated foreign operations (See Note 14 - Financial Instruments).</w:t>
      </w:r>
    </w:p>
    <w:p>
      <w:pPr>
        <w:spacing w:after="0" w:line="5" w:lineRule="exact"/>
        <w:rPr>
          <w:sz w:val="20"/>
          <w:szCs w:val="20"/>
          <w:color w:val="auto"/>
        </w:rPr>
      </w:pPr>
    </w:p>
    <w:p>
      <w:pPr>
        <w:jc w:val="both"/>
        <w:ind w:left="820" w:right="160" w:hanging="326"/>
        <w:spacing w:after="0" w:line="220" w:lineRule="auto"/>
        <w:tabs>
          <w:tab w:leader="none" w:pos="820" w:val="left"/>
        </w:tabs>
        <w:numPr>
          <w:ilvl w:val="1"/>
          <w:numId w:val="26"/>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2015, amounts reclassified from accumulated other comprehensive income (loss) into interest expense were $2 million ($2 million, net of tax) and $4 million ($3 million, net of tax), respectively. For the three and six months ended June 30, 2014, amounts reclassified from accumulated other comprehensive income (loss) $2 million ($1 million, net of tax) and $4 million ($2 million, net of tax), respectively.</w:t>
      </w:r>
    </w:p>
    <w:p>
      <w:pPr>
        <w:spacing w:after="0" w:line="1" w:lineRule="exact"/>
        <w:rPr>
          <w:rFonts w:ascii="Arial" w:cs="Arial" w:eastAsia="Arial" w:hAnsi="Arial"/>
          <w:sz w:val="18"/>
          <w:szCs w:val="18"/>
          <w:color w:val="auto"/>
          <w:vertAlign w:val="superscript"/>
        </w:rPr>
      </w:pPr>
    </w:p>
    <w:p>
      <w:pPr>
        <w:ind w:left="820" w:right="40" w:hanging="326"/>
        <w:spacing w:after="0" w:line="225" w:lineRule="auto"/>
        <w:tabs>
          <w:tab w:leader="none" w:pos="820" w:val="left"/>
        </w:tabs>
        <w:numPr>
          <w:ilvl w:val="1"/>
          <w:numId w:val="26"/>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2015, amounts reclassified from accumulated other comprehensive income (loss) into selling, general and administrative expenses were $1 million ($0 million, net of tax) and $2 million ($1 million, net of tax), respectively. For the three and six months ended June 30, 2014, amounts reclassified from accumulated other comprehensive income (loss) were not material.</w:t>
      </w:r>
    </w:p>
    <w:p>
      <w:pPr>
        <w:spacing w:after="0" w:line="340"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$6 million and $8 million ($4 million and $5 million, net of tax) during the three months ended June 30, 2015 and 2014, respectively, and $11 million and $16 million ($7 million and $10 million, net of tax) during the six months ended June 30, 2015 and 2014, respectively. In jurisdictions with net operating loss carryforwards, exercises and/or vestings of stock-based awards have generated $56 million of total tax deductions at June 30, 2015. Approximately $22 million of tax benefits will be recorded in additional paid-in capital when these tax deductions are realized in these jurisdictions.</w:t>
      </w:r>
    </w:p>
    <w:p>
      <w:pPr>
        <w:spacing w:after="0" w:line="205" w:lineRule="exact"/>
        <w:rPr>
          <w:rFonts w:ascii="Arial" w:cs="Arial" w:eastAsia="Arial" w:hAnsi="Arial"/>
          <w:sz w:val="18"/>
          <w:szCs w:val="18"/>
          <w:b w:val="1"/>
          <w:bCs w:val="1"/>
          <w:color w:val="auto"/>
        </w:rPr>
      </w:pPr>
    </w:p>
    <w:p>
      <w:pPr>
        <w:ind w:left="500" w:right="4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are as follows:</w:t>
      </w:r>
    </w:p>
    <w:p>
      <w:pPr>
        <w:spacing w:after="0" w:line="125"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June 30,</w:t>
            </w:r>
          </w:p>
        </w:tc>
      </w:tr>
      <w:tr>
        <w:trPr>
          <w:trHeight w:val="257"/>
        </w:trPr>
        <w:tc>
          <w:tcPr>
            <w:tcW w:w="6840" w:type="dxa"/>
            <w:vAlign w:val="bottom"/>
          </w:tcPr>
          <w:p>
            <w:pPr>
              <w:spacing w:after="0"/>
              <w:rPr>
                <w:sz w:val="22"/>
                <w:szCs w:val="22"/>
                <w:color w:val="auto"/>
              </w:rPr>
            </w:pPr>
          </w:p>
        </w:tc>
        <w:tc>
          <w:tcPr>
            <w:tcW w:w="12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r>
      <w:tr>
        <w:trPr>
          <w:trHeight w:val="237"/>
        </w:trPr>
        <w:tc>
          <w:tcPr>
            <w:tcW w:w="684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240" w:type="dxa"/>
            <w:vAlign w:val="bottom"/>
          </w:tcPr>
          <w:p>
            <w:pPr>
              <w:jc w:val="center"/>
              <w:ind w:left="319"/>
              <w:spacing w:after="0"/>
              <w:rPr>
                <w:sz w:val="20"/>
                <w:szCs w:val="20"/>
                <w:color w:val="auto"/>
              </w:rPr>
            </w:pPr>
            <w:r>
              <w:rPr>
                <w:rFonts w:ascii="Arial" w:cs="Arial" w:eastAsia="Arial" w:hAnsi="Arial"/>
                <w:sz w:val="16"/>
                <w:szCs w:val="16"/>
                <w:color w:val="auto"/>
                <w:w w:val="99"/>
              </w:rPr>
              <w:t>37%</w:t>
            </w:r>
          </w:p>
        </w:tc>
        <w:tc>
          <w:tcPr>
            <w:tcW w:w="2140" w:type="dxa"/>
            <w:vAlign w:val="bottom"/>
            <w:gridSpan w:val="3"/>
          </w:tcPr>
          <w:p>
            <w:pPr>
              <w:jc w:val="center"/>
              <w:ind w:left="419"/>
              <w:spacing w:after="0"/>
              <w:rPr>
                <w:sz w:val="20"/>
                <w:szCs w:val="20"/>
                <w:color w:val="auto"/>
              </w:rPr>
            </w:pPr>
            <w:r>
              <w:rPr>
                <w:rFonts w:ascii="Arial" w:cs="Arial" w:eastAsia="Arial" w:hAnsi="Arial"/>
                <w:sz w:val="16"/>
                <w:szCs w:val="16"/>
                <w:color w:val="auto"/>
                <w:w w:val="99"/>
              </w:rPr>
              <w:t>40%</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240" w:type="dxa"/>
            <w:vAlign w:val="bottom"/>
          </w:tcPr>
          <w:p>
            <w:pPr>
              <w:jc w:val="center"/>
              <w:ind w:left="339"/>
              <w:spacing w:after="0"/>
              <w:rPr>
                <w:sz w:val="20"/>
                <w:szCs w:val="20"/>
                <w:color w:val="auto"/>
              </w:rPr>
            </w:pPr>
            <w:r>
              <w:rPr>
                <w:rFonts w:ascii="Arial" w:cs="Arial" w:eastAsia="Arial" w:hAnsi="Arial"/>
                <w:sz w:val="16"/>
                <w:szCs w:val="16"/>
                <w:color w:val="auto"/>
              </w:rPr>
              <w:t>0.74%</w:t>
            </w:r>
          </w:p>
        </w:tc>
        <w:tc>
          <w:tcPr>
            <w:tcW w:w="2140" w:type="dxa"/>
            <w:vAlign w:val="bottom"/>
            <w:gridSpan w:val="3"/>
          </w:tcPr>
          <w:p>
            <w:pPr>
              <w:jc w:val="center"/>
              <w:ind w:left="439"/>
              <w:spacing w:after="0"/>
              <w:rPr>
                <w:sz w:val="20"/>
                <w:szCs w:val="20"/>
                <w:color w:val="auto"/>
              </w:rPr>
            </w:pPr>
            <w:r>
              <w:rPr>
                <w:rFonts w:ascii="Arial" w:cs="Arial" w:eastAsia="Arial" w:hAnsi="Arial"/>
                <w:sz w:val="16"/>
                <w:szCs w:val="16"/>
                <w:color w:val="auto"/>
              </w:rPr>
              <w:t>0.83%</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240" w:type="dxa"/>
            <w:vAlign w:val="bottom"/>
          </w:tcPr>
          <w:p>
            <w:pPr>
              <w:ind w:left="560"/>
              <w:spacing w:after="0"/>
              <w:rPr>
                <w:sz w:val="20"/>
                <w:szCs w:val="20"/>
                <w:color w:val="auto"/>
              </w:rPr>
            </w:pPr>
            <w:r>
              <w:rPr>
                <w:rFonts w:ascii="Arial" w:cs="Arial" w:eastAsia="Arial" w:hAnsi="Arial"/>
                <w:sz w:val="16"/>
                <w:szCs w:val="16"/>
                <w:color w:val="auto"/>
              </w:rPr>
              <w:t>3 years</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Dividend yield</w:t>
            </w:r>
          </w:p>
        </w:tc>
        <w:tc>
          <w:tcPr>
            <w:tcW w:w="1240" w:type="dxa"/>
            <w:vAlign w:val="bottom"/>
          </w:tcPr>
          <w:p>
            <w:pPr>
              <w:jc w:val="center"/>
              <w:ind w:left="339"/>
              <w:spacing w:after="0"/>
              <w:rPr>
                <w:sz w:val="20"/>
                <w:szCs w:val="20"/>
                <w:color w:val="auto"/>
              </w:rPr>
            </w:pPr>
            <w:r>
              <w:rPr>
                <w:rFonts w:ascii="Arial" w:cs="Arial" w:eastAsia="Arial" w:hAnsi="Arial"/>
                <w:sz w:val="16"/>
                <w:szCs w:val="16"/>
                <w:color w:val="auto"/>
              </w:rPr>
              <w:t>0.0%</w:t>
            </w:r>
          </w:p>
        </w:tc>
        <w:tc>
          <w:tcPr>
            <w:tcW w:w="2140" w:type="dxa"/>
            <w:vAlign w:val="bottom"/>
            <w:gridSpan w:val="3"/>
          </w:tcPr>
          <w:p>
            <w:pPr>
              <w:jc w:val="center"/>
              <w:ind w:left="439"/>
              <w:spacing w:after="0"/>
              <w:rPr>
                <w:sz w:val="20"/>
                <w:szCs w:val="20"/>
                <w:color w:val="auto"/>
              </w:rPr>
            </w:pPr>
            <w:r>
              <w:rPr>
                <w:rFonts w:ascii="Arial" w:cs="Arial" w:eastAsia="Arial" w:hAnsi="Arial"/>
                <w:sz w:val="16"/>
                <w:szCs w:val="16"/>
                <w:color w:val="auto"/>
              </w:rPr>
              <w:t>0.0%</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8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58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358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2015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1,884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3580" w:type="dxa"/>
            <w:vAlign w:val="bottom"/>
          </w:tcPr>
          <w:p>
            <w:pPr>
              <w:ind w:left="3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580" w:type="dxa"/>
            <w:vAlign w:val="bottom"/>
          </w:tcPr>
          <w:p>
            <w:pPr>
              <w:ind w:left="3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08"/>
        </w:trPr>
        <w:tc>
          <w:tcPr>
            <w:tcW w:w="358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38.59</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 xml:space="preserve">Outstanding at June 30, 2015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43.09</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35.12</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340" w:hanging="326"/>
        <w:spacing w:after="0" w:line="220"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six months ended June 30, 2014 was $41.94 and $41.97, respectively.</w:t>
      </w:r>
    </w:p>
    <w:p>
      <w:pPr>
        <w:spacing w:after="0" w:line="1" w:lineRule="exact"/>
        <w:rPr>
          <w:rFonts w:ascii="Arial" w:cs="Arial" w:eastAsia="Arial" w:hAnsi="Arial"/>
          <w:sz w:val="18"/>
          <w:szCs w:val="18"/>
          <w:color w:val="auto"/>
          <w:vertAlign w:val="superscript"/>
        </w:rPr>
      </w:pPr>
    </w:p>
    <w:p>
      <w:pPr>
        <w:ind w:left="820" w:right="40" w:hanging="326"/>
        <w:spacing w:after="0" w:line="211"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six months ended June 30, 2015 and 2014 was $24 million and $15 million, respectively. The total grant date fair value of cash units vested during the six months ended June 30, 2015 was $2 million.</w:t>
      </w:r>
    </w:p>
    <w:p>
      <w:pPr>
        <w:ind w:left="820" w:right="20" w:hanging="326"/>
        <w:spacing w:after="0"/>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values of $31 million, $42 million and $5 million, respectively. Aggregate unrecognized compensation expense related to time-based RSUs and performance-based and market-based RSUs amounted to $39 million and will be recognized over a weighted average vesting period of 1.2 years. The Company assumes that substantially all outstanding awards will vest over time.</w:t>
      </w:r>
    </w:p>
    <w:p>
      <w:pPr>
        <w:spacing w:after="0" w:line="3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58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58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580" w:type="dxa"/>
            <w:vAlign w:val="bottom"/>
          </w:tcPr>
          <w:p>
            <w:pPr>
              <w:spacing w:after="0"/>
              <w:rPr>
                <w:sz w:val="20"/>
                <w:szCs w:val="20"/>
                <w:color w:val="auto"/>
              </w:rPr>
            </w:pPr>
            <w:r>
              <w:rPr>
                <w:rFonts w:ascii="Arial" w:cs="Arial" w:eastAsia="Arial" w:hAnsi="Arial"/>
                <w:sz w:val="16"/>
                <w:szCs w:val="16"/>
                <w:color w:val="auto"/>
              </w:rPr>
              <w:t>Outstanding at January 1, 2015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580" w:type="dxa"/>
            <w:vAlign w:val="bottom"/>
          </w:tcPr>
          <w:p>
            <w:pPr>
              <w:ind w:left="3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r>
      <w:tr>
        <w:trPr>
          <w:trHeight w:val="270"/>
        </w:trPr>
        <w:tc>
          <w:tcPr>
            <w:tcW w:w="4580" w:type="dxa"/>
            <w:vAlign w:val="bottom"/>
          </w:tcPr>
          <w:p>
            <w:pPr>
              <w:ind w:left="32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83"/>
        </w:trPr>
        <w:tc>
          <w:tcPr>
            <w:tcW w:w="4580" w:type="dxa"/>
            <w:vAlign w:val="bottom"/>
          </w:tcPr>
          <w:p>
            <w:pPr>
              <w:ind w:left="3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r>
      <w:tr>
        <w:trPr>
          <w:trHeight w:val="240"/>
        </w:trPr>
        <w:tc>
          <w:tcPr>
            <w:tcW w:w="4580" w:type="dxa"/>
            <w:vAlign w:val="bottom"/>
          </w:tcPr>
          <w:p>
            <w:pPr>
              <w:spacing w:after="0"/>
              <w:rPr>
                <w:sz w:val="20"/>
                <w:szCs w:val="20"/>
                <w:color w:val="auto"/>
              </w:rPr>
            </w:pPr>
            <w:r>
              <w:rPr>
                <w:rFonts w:ascii="Arial" w:cs="Arial" w:eastAsia="Arial" w:hAnsi="Arial"/>
                <w:sz w:val="16"/>
                <w:szCs w:val="16"/>
                <w:color w:val="auto"/>
              </w:rPr>
              <w:t>Outstanding and exercisable at June 30, 2015</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207" w:lineRule="exact"/>
        <w:rPr>
          <w:rFonts w:ascii="Arial" w:cs="Arial" w:eastAsia="Arial" w:hAnsi="Arial"/>
          <w:sz w:val="18"/>
          <w:szCs w:val="18"/>
          <w:b w:val="1"/>
          <w:bCs w:val="1"/>
          <w:color w:val="auto"/>
        </w:rPr>
      </w:pPr>
    </w:p>
    <w:p>
      <w:pPr>
        <w:ind w:left="50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three and six months ended June 30, 2015, the Company recorded an $11 million loss and a $26 million gain, respectively, in accumulated other comprehensive income as part of currency translation adjustments. There was no ineffectiveness related to the Company’s net investment hedges during the three and six months ended June 30, 2015 and 2014. The Company does not expect to reclassify any amounts from accumulated other comprehensive income into earnings over the next 12 months.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There was no ineffectiveness related to the Company’s cash flow hedges during the three and six months ended June 30, 2015 and 2014. The Company estimates that $8 million of losses currently recorded in accumulated other comprehensive income will be recognized in earnings over the next 12 months.</w:t>
      </w:r>
    </w:p>
    <w:p>
      <w:pPr>
        <w:spacing w:after="0" w:line="212"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As of June 30,</w:t>
            </w:r>
          </w:p>
        </w:tc>
      </w:tr>
      <w:tr>
        <w:trPr>
          <w:trHeight w:val="228"/>
        </w:trPr>
        <w:tc>
          <w:tcPr>
            <w:tcW w:w="8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72"/>
        </w:trPr>
        <w:tc>
          <w:tcPr>
            <w:tcW w:w="870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8,642</w:t>
            </w:r>
          </w:p>
        </w:tc>
      </w:tr>
      <w:tr>
        <w:trPr>
          <w:trHeight w:val="195"/>
        </w:trPr>
        <w:tc>
          <w:tcPr>
            <w:tcW w:w="87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1,837</w:t>
            </w:r>
          </w:p>
        </w:tc>
      </w:tr>
      <w:tr>
        <w:trPr>
          <w:trHeight w:val="243"/>
        </w:trPr>
        <w:tc>
          <w:tcPr>
            <w:tcW w:w="870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473"/>
        </w:trPr>
        <w:tc>
          <w:tcPr>
            <w:tcW w:w="870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60" w:type="dxa"/>
            <w:vAlign w:val="bottom"/>
          </w:tcPr>
          <w:p>
            <w:pPr>
              <w:spacing w:after="0"/>
              <w:rPr>
                <w:sz w:val="24"/>
                <w:szCs w:val="24"/>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35"/>
        </w:trPr>
        <w:tc>
          <w:tcPr>
            <w:tcW w:w="8700" w:type="dxa"/>
            <w:vAlign w:val="bottom"/>
          </w:tcPr>
          <w:p>
            <w:pPr>
              <w:spacing w:after="0"/>
              <w:rPr>
                <w:sz w:val="20"/>
                <w:szCs w:val="20"/>
                <w:color w:val="auto"/>
              </w:rPr>
            </w:pPr>
            <w:r>
              <w:rPr>
                <w:rFonts w:ascii="Arial" w:cs="Arial" w:eastAsia="Arial" w:hAnsi="Arial"/>
                <w:sz w:val="18"/>
                <w:szCs w:val="18"/>
                <w:color w:val="auto"/>
              </w:rPr>
              <w:t>__________</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5" w:lineRule="exact"/>
        <w:rPr>
          <w:sz w:val="20"/>
          <w:szCs w:val="20"/>
          <w:color w:val="auto"/>
        </w:rPr>
      </w:pPr>
    </w:p>
    <w:p>
      <w:pPr>
        <w:ind w:left="820" w:right="200" w:hanging="326"/>
        <w:spacing w:after="0" w:line="218"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Represents $6.4 billion of interest rate caps sold, partially offset by approximately $2.2 billion of interest rate caps purchased. These amounts exclude $4.2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As of June 30, 2015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As of December 31, 2014</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8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Liability</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56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56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4560" w:type="dxa"/>
            <w:vAlign w:val="bottom"/>
          </w:tcPr>
          <w:p>
            <w:pPr>
              <w:ind w:left="2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56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56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22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w:t>
      </w:r>
    </w:p>
    <w:p>
      <w:pPr>
        <w:ind w:left="820" w:hanging="326"/>
        <w:spacing w:after="0" w:line="195"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23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28"/>
        </w:trPr>
        <w:tc>
          <w:tcPr>
            <w:tcW w:w="4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9"/>
                <w:szCs w:val="19"/>
                <w:color w:val="auto"/>
              </w:rPr>
            </w:pPr>
          </w:p>
        </w:tc>
      </w:tr>
      <w:tr>
        <w:trPr>
          <w:trHeight w:val="264"/>
        </w:trPr>
        <w:tc>
          <w:tcPr>
            <w:tcW w:w="4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r>
      <w:tr>
        <w:trPr>
          <w:trHeight w:val="251"/>
        </w:trPr>
        <w:tc>
          <w:tcPr>
            <w:tcW w:w="434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26"/>
        </w:trPr>
        <w:tc>
          <w:tcPr>
            <w:tcW w:w="434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5"/>
        </w:trPr>
        <w:tc>
          <w:tcPr>
            <w:tcW w:w="434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434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9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434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(d)</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31"/>
        </w:trPr>
        <w:tc>
          <w:tcPr>
            <w:tcW w:w="4340" w:type="dxa"/>
            <w:vAlign w:val="bottom"/>
          </w:tcPr>
          <w:p>
            <w:pPr>
              <w:ind w:left="10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3810</wp:posOffset>
            </wp:positionV>
            <wp:extent cx="3721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1735"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20"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2015, included a $19 million loss in interest expense and for the six months ended June 30, 2015, included a $2 million gain in interest expense and a $14 million gain in operating expense. For the three months ended June 30, 2014, included a $11 million loss in interest expense, and for the six months ended June 30, 2014, included a $26 million loss in interest expense and a $3 million loss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2014</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3,439</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8,350</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8,411</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6,407</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1,771</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3"/>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2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has aggregated certain of its operating segments into its reportable segments.</w:t>
      </w: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40"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7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spacing w:after="0"/>
              <w:rPr>
                <w:sz w:val="22"/>
                <w:szCs w:val="22"/>
                <w:color w:val="auto"/>
              </w:rPr>
            </w:pPr>
          </w:p>
        </w:tc>
      </w:tr>
      <w:tr>
        <w:trPr>
          <w:trHeight w:val="207"/>
        </w:trPr>
        <w:tc>
          <w:tcPr>
            <w:tcW w:w="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r>
      <w:tr>
        <w:trPr>
          <w:trHeight w:val="252"/>
        </w:trPr>
        <w:tc>
          <w:tcPr>
            <w:tcW w:w="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45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84"/>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540" w:type="dxa"/>
            <w:vAlign w:val="bottom"/>
            <w:gridSpan w:val="3"/>
          </w:tcPr>
          <w:p>
            <w:pPr>
              <w:ind w:left="40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07"/>
        </w:trPr>
        <w:tc>
          <w:tcPr>
            <w:tcW w:w="780" w:type="dxa"/>
            <w:vAlign w:val="bottom"/>
          </w:tcPr>
          <w:p>
            <w:pPr>
              <w:spacing w:after="0"/>
              <w:rPr>
                <w:sz w:val="20"/>
                <w:szCs w:val="20"/>
                <w:color w:val="auto"/>
              </w:rPr>
            </w:pPr>
            <w:r>
              <w:rPr>
                <w:rFonts w:ascii="Arial" w:cs="Arial" w:eastAsia="Arial" w:hAnsi="Arial"/>
                <w:sz w:val="18"/>
                <w:szCs w:val="18"/>
                <w:color w:val="auto"/>
              </w:rPr>
              <w:t>Less:</w:t>
            </w:r>
          </w:p>
        </w:tc>
        <w:tc>
          <w:tcPr>
            <w:tcW w:w="4000" w:type="dxa"/>
            <w:vAlign w:val="bottom"/>
            <w:gridSpan w:val="3"/>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780" w:type="dxa"/>
            <w:vAlign w:val="bottom"/>
          </w:tcPr>
          <w:p>
            <w:pPr>
              <w:spacing w:after="0"/>
              <w:rPr>
                <w:sz w:val="24"/>
                <w:szCs w:val="24"/>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45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17145</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17145</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500" w:right="220"/>
        <w:spacing w:after="0" w:line="243" w:lineRule="auto"/>
        <w:rPr>
          <w:sz w:val="20"/>
          <w:szCs w:val="20"/>
          <w:color w:val="auto"/>
        </w:rPr>
      </w:pPr>
      <w:r>
        <w:rPr>
          <w:rFonts w:ascii="Arial" w:cs="Arial" w:eastAsia="Arial" w:hAnsi="Arial"/>
          <w:sz w:val="16"/>
          <w:szCs w:val="16"/>
          <w:color w:val="auto"/>
        </w:rPr>
        <w:t>Previously reported amounts were recast for a change in the Company’s reportable segments. The financial results of the Company’s North America, South America, Central America and Caribbean operations are now reported in the Company’s Americas segment.</w:t>
      </w:r>
    </w:p>
    <w:p>
      <w:pPr>
        <w:spacing w:after="0" w:line="6" w:lineRule="exact"/>
        <w:rPr>
          <w:sz w:val="20"/>
          <w:szCs w:val="20"/>
          <w:color w:val="auto"/>
        </w:rPr>
      </w:pPr>
    </w:p>
    <w:p>
      <w:pPr>
        <w:ind w:left="820" w:right="220" w:hanging="326"/>
        <w:spacing w:after="0" w:line="207"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$15 million of revenues previously reported in International are now reported in the Americas in the three months ended June 30, 2014.</w:t>
      </w:r>
    </w:p>
    <w:p>
      <w:pPr>
        <w:spacing w:after="0" w:line="1" w:lineRule="exact"/>
        <w:rPr>
          <w:rFonts w:ascii="Arial" w:cs="Arial" w:eastAsia="Arial" w:hAnsi="Arial"/>
          <w:sz w:val="22"/>
          <w:szCs w:val="22"/>
          <w:color w:val="auto"/>
          <w:vertAlign w:val="superscript"/>
        </w:rPr>
      </w:pPr>
    </w:p>
    <w:p>
      <w:pPr>
        <w:ind w:left="820" w:hanging="326"/>
        <w:spacing w:after="0" w:line="207"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$2 million of Adjusted EBITDA previously reported in International is now reported in the Americas in the three months ended June 30, 2014.</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146" w:lineRule="exact"/>
        <w:rPr>
          <w:sz w:val="20"/>
          <w:szCs w:val="20"/>
          <w:color w:val="auto"/>
        </w:rPr>
      </w:pPr>
    </w:p>
    <w:tbl>
      <w:tblPr>
        <w:tblLayout w:type="fixed"/>
        <w:tblInd w:w="820" w:type="dxa"/>
        <w:tblCellMar>
          <w:top w:w="0" w:type="dxa"/>
          <w:left w:w="0" w:type="dxa"/>
          <w:bottom w:w="0" w:type="dxa"/>
          <w:right w:w="0" w:type="dxa"/>
        </w:tblCellMar>
      </w:tblPr>
      <w:tr>
        <w:trPr>
          <w:trHeight w:val="246"/>
        </w:trPr>
        <w:tc>
          <w:tcPr>
            <w:tcW w:w="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7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spacing w:after="0"/>
              <w:rPr>
                <w:sz w:val="22"/>
                <w:szCs w:val="22"/>
                <w:color w:val="auto"/>
              </w:rPr>
            </w:pPr>
          </w:p>
        </w:tc>
      </w:tr>
      <w:tr>
        <w:trPr>
          <w:trHeight w:val="207"/>
        </w:trPr>
        <w:tc>
          <w:tcPr>
            <w:tcW w:w="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r>
      <w:tr>
        <w:trPr>
          <w:trHeight w:val="252"/>
        </w:trPr>
        <w:tc>
          <w:tcPr>
            <w:tcW w:w="78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 xml:space="preserve">EBITDA </w:t>
            </w:r>
            <w:r>
              <w:rPr>
                <w:rFonts w:ascii="Arial" w:cs="Arial" w:eastAsia="Arial" w:hAnsi="Arial"/>
                <w:sz w:val="21"/>
                <w:szCs w:val="21"/>
                <w:b w:val="1"/>
                <w:bCs w:val="1"/>
                <w:color w:val="auto"/>
                <w:w w:val="97"/>
                <w:vertAlign w:val="superscript"/>
              </w:rPr>
              <w:t>(b)</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0"/>
        </w:trPr>
        <w:tc>
          <w:tcPr>
            <w:tcW w:w="454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84"/>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4540" w:type="dxa"/>
            <w:vAlign w:val="bottom"/>
            <w:gridSpan w:val="3"/>
          </w:tcPr>
          <w:p>
            <w:pPr>
              <w:ind w:left="400"/>
              <w:spacing w:after="0"/>
              <w:rPr>
                <w:sz w:val="20"/>
                <w:szCs w:val="20"/>
                <w:color w:val="auto"/>
              </w:rPr>
            </w:pPr>
            <w:r>
              <w:rPr>
                <w:rFonts w:ascii="Arial" w:cs="Arial" w:eastAsia="Arial" w:hAnsi="Arial"/>
                <w:sz w:val="18"/>
                <w:szCs w:val="18"/>
                <w:color w:val="auto"/>
              </w:rPr>
              <w:t>Total Company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0"/>
        </w:trPr>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7"/>
        </w:trPr>
        <w:tc>
          <w:tcPr>
            <w:tcW w:w="780" w:type="dxa"/>
            <w:vAlign w:val="bottom"/>
          </w:tcPr>
          <w:p>
            <w:pPr>
              <w:spacing w:after="0"/>
              <w:rPr>
                <w:sz w:val="20"/>
                <w:szCs w:val="20"/>
                <w:color w:val="auto"/>
              </w:rPr>
            </w:pPr>
            <w:r>
              <w:rPr>
                <w:rFonts w:ascii="Arial" w:cs="Arial" w:eastAsia="Arial" w:hAnsi="Arial"/>
                <w:sz w:val="18"/>
                <w:szCs w:val="18"/>
                <w:color w:val="auto"/>
              </w:rPr>
              <w:t>Less:</w:t>
            </w:r>
          </w:p>
        </w:tc>
        <w:tc>
          <w:tcPr>
            <w:tcW w:w="3980" w:type="dxa"/>
            <w:vAlign w:val="bottom"/>
            <w:gridSpan w:val="3"/>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780" w:type="dxa"/>
            <w:vAlign w:val="bottom"/>
          </w:tcPr>
          <w:p>
            <w:pPr>
              <w:spacing w:after="0"/>
              <w:rPr>
                <w:sz w:val="23"/>
                <w:szCs w:val="23"/>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Transaction-related costs</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7"/>
        </w:trPr>
        <w:tc>
          <w:tcPr>
            <w:tcW w:w="780" w:type="dxa"/>
            <w:vAlign w:val="bottom"/>
          </w:tcPr>
          <w:p>
            <w:pPr>
              <w:spacing w:after="0"/>
              <w:rPr>
                <w:sz w:val="24"/>
                <w:szCs w:val="24"/>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45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0</wp:posOffset>
            </wp:positionV>
            <wp:extent cx="866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17145</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0</wp:posOffset>
            </wp:positionV>
            <wp:extent cx="866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17145</wp:posOffset>
            </wp:positionV>
            <wp:extent cx="866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500" w:right="220"/>
        <w:spacing w:after="0" w:line="243" w:lineRule="auto"/>
        <w:rPr>
          <w:sz w:val="20"/>
          <w:szCs w:val="20"/>
          <w:color w:val="auto"/>
        </w:rPr>
      </w:pPr>
      <w:r>
        <w:rPr>
          <w:rFonts w:ascii="Arial" w:cs="Arial" w:eastAsia="Arial" w:hAnsi="Arial"/>
          <w:sz w:val="16"/>
          <w:szCs w:val="16"/>
          <w:color w:val="auto"/>
        </w:rPr>
        <w:t>Previously reported amounts were recast for a change in the Company’s reportable segments. The financial results of the Company’s North America, South America, Central America and Caribbean operations are now reported in the Company’s Americas segment.</w:t>
      </w:r>
    </w:p>
    <w:p>
      <w:pPr>
        <w:spacing w:after="0" w:line="6" w:lineRule="exact"/>
        <w:rPr>
          <w:sz w:val="20"/>
          <w:szCs w:val="20"/>
          <w:color w:val="auto"/>
        </w:rPr>
      </w:pPr>
    </w:p>
    <w:p>
      <w:pPr>
        <w:ind w:left="820" w:right="220" w:hanging="326"/>
        <w:spacing w:after="0" w:line="207"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$34 million of revenues previously reported in International are now reported in the Americas in the six months ended June 30, 2014.</w:t>
      </w:r>
    </w:p>
    <w:p>
      <w:pPr>
        <w:spacing w:after="0" w:line="1" w:lineRule="exact"/>
        <w:rPr>
          <w:rFonts w:ascii="Arial" w:cs="Arial" w:eastAsia="Arial" w:hAnsi="Arial"/>
          <w:sz w:val="22"/>
          <w:szCs w:val="22"/>
          <w:color w:val="auto"/>
          <w:vertAlign w:val="superscript"/>
        </w:rPr>
      </w:pPr>
    </w:p>
    <w:p>
      <w:pPr>
        <w:ind w:left="820" w:hanging="326"/>
        <w:spacing w:after="0" w:line="207"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$5 million of Adjusted EBITDA previously reported in International is now reported in the Americas in the six months ended June 30, 2014.</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208" w:lineRule="exact"/>
        <w:rPr>
          <w:sz w:val="20"/>
          <w:szCs w:val="20"/>
          <w:color w:val="auto"/>
        </w:rPr>
      </w:pPr>
    </w:p>
    <w:p>
      <w:pPr>
        <w:ind w:left="500" w:right="620"/>
        <w:spacing w:after="0" w:line="262" w:lineRule="auto"/>
        <w:rPr>
          <w:sz w:val="20"/>
          <w:szCs w:val="20"/>
          <w:color w:val="auto"/>
        </w:rPr>
      </w:pPr>
      <w:r>
        <w:rPr>
          <w:rFonts w:ascii="Arial" w:cs="Arial" w:eastAsia="Arial" w:hAnsi="Arial"/>
          <w:sz w:val="18"/>
          <w:szCs w:val="18"/>
          <w:color w:val="auto"/>
        </w:rPr>
        <w:t>Since December 31, 2014, there have been no significant changes in segment assets other than in the Company’s Americas and International segment assets under vehicle programs. As of June 30, 2015 and</w:t>
      </w:r>
    </w:p>
    <w:p>
      <w:pPr>
        <w:sectPr>
          <w:pgSz w:w="11900" w:h="16838" w:orient="portrait"/>
          <w:cols w:equalWidth="0" w:num="1">
            <w:col w:w="11380"/>
          </w:cols>
          <w:pgMar w:left="240" w:top="140" w:right="279" w:bottom="1440" w:gutter="0" w:footer="0" w:header="0"/>
        </w:sect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140" w:right="27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December 31, 2014, Americas assets under vehicle programs were approximately $11.3 billion and $9.2 billion, respectively, and International assets under vehicle programs were approximately $2.8 billion and $1.9 billion, respectively.</w:t>
      </w:r>
    </w:p>
    <w:p>
      <w:pPr>
        <w:spacing w:after="0" w:line="174"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2015 and 2014, Consolidating Condensed Balance Sheets as of June 30, 2015 and December 31, 2014, and Consolidating Condensed Statements of Cash Flows for the six months ended June 30, 2015 and 2014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9 - Long-term Debt and Borrowing Arrangements for additional description of these guaranteed notes. The Senior Notes have separate investors than the equity investors of the Company and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515"/>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 (income)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4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4,023</w:t>
            </w:r>
          </w:p>
        </w:tc>
        <w:tc>
          <w:tcPr>
            <w:tcW w:w="0" w:type="dxa"/>
            <w:vAlign w:val="bottom"/>
          </w:tcPr>
          <w:p>
            <w:pPr>
              <w:spacing w:after="0"/>
              <w:rPr>
                <w:sz w:val="1"/>
                <w:szCs w:val="1"/>
                <w:color w:val="auto"/>
              </w:rPr>
            </w:pPr>
          </w:p>
        </w:tc>
      </w:tr>
      <w:tr>
        <w:trPr>
          <w:trHeight w:val="582"/>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 (income)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expenses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90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582"/>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4,003</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6,279</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14,120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20,399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8,350</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3,677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17,406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40"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(7,939)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4,540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9,018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(8,214)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4,382</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7"/>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9,463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9,536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(6,417)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3,109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7"/>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8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In August 2015, the Company’s Board of Directors increased the Company’s share repurchase program authorization by $250 million.</w:t>
      </w:r>
    </w:p>
    <w:p>
      <w:pPr>
        <w:spacing w:after="0" w:line="169" w:lineRule="exact"/>
        <w:rPr>
          <w:rFonts w:ascii="Arial" w:cs="Arial" w:eastAsia="Arial" w:hAnsi="Arial"/>
          <w:sz w:val="18"/>
          <w:szCs w:val="18"/>
          <w:b w:val="1"/>
          <w:bCs w:val="1"/>
          <w:color w:val="auto"/>
        </w:rPr>
      </w:pPr>
    </w:p>
    <w:p>
      <w:pPr>
        <w:ind w:left="526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240" w:top="140" w:right="5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2014 Annual Report on Form 10-K filed with the Securities and Exchange Commission on February 23, 2015 (the “2014 Form 10-K”) and our Current Report on Form 8-K filed May 6, 2015 to update the 2014 Form 10-K for a change in our reportable segments.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2014 Form 10-K and our Current Report on Form 8-K filed May 6, 2015.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54875"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more than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Avis and Budget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Avis and Budget vehicle rental operations in Europe, the Middle East, Africa, Asia, Australia and New Zealand, and our car sharing operations in certain of these markets. In conjunction with a change in our management structure in first quarter 2015, which resulted in a change to our reportable segments, the financial results of our North America, South America, Central America and Caribbean operations are now included in our Americas reportable segment. Segment financial information presented below has been recast to conform with our current business segment reporting alignment for all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and/or impact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Thus far in 2015, we have continued to operate in an uncertain and uneven economic environment. Nonetheless, we continue to anticipate that worldwide demand for vehicle rental and car sharing services will increase in 2015,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2015 to enhance our returns on invested capital and profitability.</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2015:</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net revenues increased 4% year-over-year in constant currency, to $4.2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increased 4% year-over-year to $344 million, primarily as a result of higher rental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repurchased $116 million of our common stock, reducing our shares outstanding by approximately 2.2 million shares.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January, we acquired our Avis and Budget licensees in Norway, Sweden and Denmark (“Scandinavia”), and in April, we acquired the remaining 50% ownership in our Avis and Budget licensee for Brazil.</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April, we acquired Maggiore Group (“Maggiore”), the fourth-largest vehicle rental company in Italy.</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issued $375 million of 5¼% Senior Notes due 2025, the proceeds of which have been used primarily to redeem all $223 million of our outstanding 9¾% Senior Notes due 2020 and to finance a portion of our acquisition of Maggiore.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0"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U.S. truck rental operations.</w:t>
      </w:r>
    </w:p>
    <w:p>
      <w:pPr>
        <w:spacing w:after="0" w:line="206"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Our presentation of Adjusted EBITDA may not be comparable to similarly-titled measures used by other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vs. Three Months Ended June 30,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20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62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20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62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0" w:type="dxa"/>
            <w:vAlign w:val="bottom"/>
          </w:tcPr>
          <w:p>
            <w:pPr>
              <w:spacing w:after="0"/>
              <w:rPr>
                <w:sz w:val="20"/>
                <w:szCs w:val="20"/>
                <w:color w:val="auto"/>
              </w:rPr>
            </w:pPr>
            <w:r>
              <w:rPr>
                <w:rFonts w:ascii="Arial" w:cs="Arial" w:eastAsia="Arial" w:hAnsi="Arial"/>
                <w:sz w:val="16"/>
                <w:szCs w:val="16"/>
                <w:color w:val="auto"/>
              </w:rPr>
              <w:t>*   Not meaningful.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During second quarter 2015, our net revenues decreased as a result of an approximately $122 million (6%) negative impact from currency exchange rate movements, largely offset by a 7% increase in total rental days (5% excluding Maggiore).</w:t>
      </w:r>
    </w:p>
    <w:p>
      <w:pPr>
        <w:spacing w:after="0" w:line="196"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Total expenses decreased as a result of a favorable impact from currency exchange rate movements on expenses of approximately $109 million (5%). The decrease was largely offset by increased volumes, a 6% increase in our</w:t>
      </w:r>
    </w:p>
    <w:p>
      <w:pPr>
        <w:sectPr>
          <w:pgSz w:w="11900" w:h="16838" w:orient="portrait"/>
          <w:cols w:equalWidth="0" w:num="1">
            <w:col w:w="11380"/>
          </w:cols>
          <w:pgMar w:left="240" w:top="140" w:right="279" w:bottom="1440" w:gutter="0" w:footer="0" w:header="0"/>
        </w:sect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140" w:right="2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car rental fleet (4% excluding Maggiore) and transaction-related costs associated with the acquisition of the remaining 50% of our Avis and Budget licensee in Brazil and Maggiore. As a result of these items, and a $98 million income tax benefit related to resolution of a prior-year tax matter, our net income increased by $117 million. Our effective tax rates were a benefit of 74% and a provision of 46% for the three months ended June 30, 2015 and 2014, respectively.</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three months ended June 30, 2015, the Company reported earnings of $ 1.34 per diluted share, which includes after-tax transaction-related costs of ($0.17) per share, after-tax debt extinguishment costs of ($ 0.13) per share, after-tax restructuring expense of ($0.02) per share and an income tax benefit related to resolution of a prior-year tax matter of $0.92 per share. For the three months ended June 30, 2014, the Company reported earnings of $0.24 per diluted share, which includes after-tax debt extinguishment costs of ($0.31)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2015:</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at 50.3% of revenue, remained level compared to the prior-year period.</w:t>
      </w:r>
    </w:p>
    <w:p>
      <w:pPr>
        <w:spacing w:after="0" w:line="225"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22.9% of revenue from 23.6% in second quarter 2014, primarily due to a 5% decrease in per-unit fleet costs in constant currency.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12.9% of revenue from 13.1% in second quarter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3.3%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   $</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bl>
    <w:p>
      <w:pPr>
        <w:spacing w:after="0" w:line="2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Revenues increased 1% in second quarter 2015 compared with second quarter 2014, primarily due to 3% growth in rental volumes, partially offset by a $12 million negative impact from currency exchange rate movements.</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Adjusted EBITDA increased 3% in second quarter 2015 compared with second quarter 2014, due to increased rental volumes and improved fleet utilization, partially offset by 1% lower constant-currency pricing and a $2 million negative impact from currency exchange rate movements.</w:t>
      </w:r>
    </w:p>
    <w:p>
      <w:pPr>
        <w:sectPr>
          <w:pgSz w:w="11900" w:h="16838" w:orient="portrait"/>
          <w:cols w:equalWidth="0" w:num="1">
            <w:col w:w="11360"/>
          </w:cols>
          <w:pgMar w:left="240" w:top="1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60"/>
          </w:cols>
          <w:pgMar w:left="240" w:top="140" w:right="2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2015:</w:t>
      </w:r>
    </w:p>
    <w:p>
      <w:pPr>
        <w:spacing w:after="0" w:line="225" w:lineRule="exact"/>
        <w:rPr>
          <w:sz w:val="20"/>
          <w:szCs w:val="20"/>
          <w:color w:val="auto"/>
        </w:rPr>
      </w:pPr>
    </w:p>
    <w:p>
      <w:pPr>
        <w:ind w:left="660" w:right="1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were 48.5% of revenue, compared to 49.1% in the prior-year period, principally due to increased rental volumes and lower gasoline prices.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24.8% of revenue from 25.0% in the prior-year period.</w:t>
      </w:r>
    </w:p>
    <w:p>
      <w:pPr>
        <w:spacing w:after="0" w:line="225"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were 11.4% of revenue, an increase from 10.9% in second quarter 2014, primarily due to increased marketing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were 3.9% of revenue compared to 3.8% in second quarter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99"/>
        </w:trPr>
        <w:tc>
          <w:tcPr>
            <w:tcW w:w="732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DDDDDD"/>
          </w:tcPr>
          <w:p>
            <w:pPr>
              <w:spacing w:after="0"/>
              <w:rPr>
                <w:sz w:val="21"/>
                <w:szCs w:val="21"/>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732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DDDDDD"/>
          </w:tcPr>
          <w:p>
            <w:pPr>
              <w:spacing w:after="0"/>
              <w:rPr>
                <w:sz w:val="24"/>
                <w:szCs w:val="24"/>
                <w:color w:val="auto"/>
              </w:rPr>
            </w:pPr>
          </w:p>
        </w:tc>
        <w:tc>
          <w:tcPr>
            <w:tcW w:w="13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11%</w:t>
            </w: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decreased 5% during second quarter 2015 compared to second quarter 2014, primarily due to a $110 million (17%) negative impact on revenues from currency exchange rate changes and a 5% decrease in pricing in constant currency (4% excluding Maggiore), partially offset by an 18% increase in rental volumes (9% excluding Maggiore) and a 14% constant-currency increase in ancillary revenue (10% excluding Maggiore). Excluding Maggiore, total revenue per rental day decreased 2% in constant currency.</w:t>
      </w:r>
    </w:p>
    <w:p>
      <w:pPr>
        <w:spacing w:after="0" w:line="20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Adjusted EBITDA increased 11% in second quarter 2015 compared to second quarter 2014, as increased rental volumes, lower per-unit fleet costs and the acquisitions of Maggiore and Scandinavia were partially offset by a $17 million (31%) negative impact from currency exchange rate changes.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2015:</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were 54.6% of revenue, an increase from 52.9% in the prior-year period, primarily due to decreased pricing.</w:t>
      </w:r>
    </w:p>
    <w:p>
      <w:pPr>
        <w:spacing w:after="0" w:line="225"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18.2% of revenue from 20.4% compared to second quarter 2014, driven by 28% lower per-unit fleet costs (13% in constant currency).</w:t>
      </w:r>
    </w:p>
    <w:p>
      <w:pPr>
        <w:spacing w:after="0" w:line="196"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14.9% of revenue from 16.3% in the prior-year period, primarily due to lower marketing expenses and the acquisition of Maggiore.</w:t>
      </w:r>
    </w:p>
    <w:p>
      <w:pPr>
        <w:spacing w:after="0" w:line="196"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increased to 2.3% of revenue compared to 1.9% in second quarter 2014, primarily due to increased vehicle-backed debt borrowings.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40"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Six Months Ended June 30, 2015 vs. Six Months Ended June 30, 2014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80" w:type="dxa"/>
            <w:vAlign w:val="bottom"/>
            <w:gridSpan w:val="6"/>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rental</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200" w:type="dxa"/>
            <w:vAlign w:val="bottom"/>
            <w:gridSpan w:val="2"/>
          </w:tcPr>
          <w:p>
            <w:pPr>
              <w:ind w:left="4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gridSpan w:val="2"/>
          </w:tcPr>
          <w:p>
            <w:pPr>
              <w:ind w:left="240"/>
              <w:spacing w:after="0"/>
              <w:rPr>
                <w:sz w:val="20"/>
                <w:szCs w:val="20"/>
                <w:color w:val="auto"/>
              </w:rPr>
            </w:pPr>
            <w:r>
              <w:rPr>
                <w:rFonts w:ascii="Arial" w:cs="Arial" w:eastAsia="Arial" w:hAnsi="Arial"/>
                <w:sz w:val="18"/>
                <w:szCs w:val="18"/>
                <w:color w:val="auto"/>
              </w:rPr>
              <w:t>Restructuring expense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62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0" w:type="dxa"/>
            <w:vAlign w:val="bottom"/>
            <w:gridSpan w:val="2"/>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During the six months ended June 30, 2015, our net revenues decreased as a result of an approximately $206 million (5%) negative impact from currency exchange rate movements, largely offset by a 6% increase in total rental days.</w:t>
      </w:r>
    </w:p>
    <w:p>
      <w:pPr>
        <w:spacing w:after="0" w:line="1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expenses decreased as a result of a favorable impact from currency exchange rate movements on expenses of approximately $219 million (5%). This decrease was largely offset by increased volumes, a 6% increase in our car rental fleet and transaction-related costs related to the acquisitions of our Avis and Budget licensees in Scandinavia and Brazil, most of which were non-cash expenses. As a result of these items, and a $98 million income tax benefit related to resolution of a prior-year tax matter, our net income increased by $104 million. Our effective tax rates were a benefit of 103% and a provision of 43% for the six months ended June 30, 2015 and 2014, respectively.</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six months ended June 30, 2015, the Company reported earnings of $1.25 per diluted share, which includes after-tax transaction-related costs of ($0.36) per share, after-tax debt extinguishment costs of ($ 0.13) per share, after-tax restructuring expense of ($ 0.03) per share and an income tax benefit related to resolution of a prior-year tax matter of $0.91 per share. For the six months ended June 30, 2014, the Company reported earnings of $0.28 per diluted share, which includes after-tax debt extinguishment costs of ($0.30) per share, after-tax transaction costs of ($0.12) per share and after-tax restructuring expense of ($0.04)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2015:</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decreased to 51.6% of revenue compared to 51.9%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23.1% of revenue from 23.4% in the six months ended June 30,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13.1% of revenue from 13.2% in first half 2014.</w:t>
      </w:r>
    </w:p>
    <w:p>
      <w:pPr>
        <w:sectPr>
          <w:pgSz w:w="11900" w:h="16838" w:orient="portrait"/>
          <w:cols w:equalWidth="0" w:num="1">
            <w:col w:w="11360"/>
          </w:cols>
          <w:pgMar w:left="240" w:top="108"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108" w:right="2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were 3.5% of revenue compared to 3.4%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2%   $</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bl>
    <w:p>
      <w:pPr>
        <w:spacing w:after="0" w:line="2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Revenues increased 2% in the six months ended June 30, 2015 compared with the same period in 2014, primarily due to 4% growth in rental volumes, partially offset by a $20 million (1%) negative impact from currency exchange rate movements.</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Adjusted EBITDA increased 2% in the six months ended June 30, 2015 compared with the same period in 2014, due to increased rental volumes.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2015:</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were 50.0% of revenue, compared to 50.5% in the prior-year period, principally due to increased rental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24.8% of revenue from 24.5% in first half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11.3% of revenue from 11.1%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interest costs were 4.0% of revenue compared to 3.9% in the six months ended June 30, 2014.</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140"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92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2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DDDDDD"/>
          </w:tcPr>
          <w:p>
            <w:pPr>
              <w:spacing w:after="0"/>
              <w:rPr>
                <w:sz w:val="21"/>
                <w:szCs w:val="21"/>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732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DDDDD"/>
          </w:tcPr>
          <w:p>
            <w:pPr>
              <w:spacing w:after="0"/>
              <w:rPr>
                <w:sz w:val="24"/>
                <w:szCs w:val="24"/>
                <w:color w:val="auto"/>
              </w:rPr>
            </w:pPr>
          </w:p>
        </w:tc>
        <w:tc>
          <w:tcPr>
            <w:tcW w:w="13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decreased 8% during the six months ended June 30, 2015 compared with the same period in 2014, primarily due to a $186 million (16%) negative impact on revenues from currency exchange rate changes and a 4% decrease in pricing in constant currency, partially offset by a 12% increase in rental volumes (7% excluding Maggiore) and an 11% constant-currency increase in ancillary revenue (9% excluding Maggiore). Excluding Maggiore, total revenue per rental day decreased 1% in constant currency.</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increased 12% in the six months ended June 30, 2015 compared with the same period in 2014, due to an increase in rental volumes and the acquisitions of Maggiore and Scandinavia, principally offset by lower pricing.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2015:</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were 55.8% of revenue, an increase from 55.1% in the prior-year period principally due to lower pricing.</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18.8% of revenue from 20.8% in first half 2014, driven by 25% lower per-unit fleet costs (11% in constant currency).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16.0% of revenue from 16.3% in the prior-year period.</w:t>
      </w:r>
    </w:p>
    <w:p>
      <w:pPr>
        <w:spacing w:after="0" w:line="225" w:lineRule="exact"/>
        <w:rPr>
          <w:rFonts w:ascii="Arial" w:cs="Arial" w:eastAsia="Arial" w:hAnsi="Arial"/>
          <w:sz w:val="18"/>
          <w:szCs w:val="18"/>
          <w:color w:val="auto"/>
        </w:rPr>
      </w:pPr>
    </w:p>
    <w:p>
      <w:pPr>
        <w:ind w:left="660" w:right="74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increased to 2.4% of revenue compared to 2.0% in the six months ended June 30, 2014 primarily due to increased vehicle-backed debt borrowings.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0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2"/>
        </w:trPr>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6"/>
        </w:trPr>
        <w:tc>
          <w:tcPr>
            <w:tcW w:w="60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368</w:t>
            </w: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3,062</w:t>
            </w: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3,204</w:t>
            </w: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 as well as the acquisitions of our Scandinavian and Brazilian licensees and Maggiore (see Note 4 to our Consolidated Financial Statements and “Liquidity and Capital Resources”). Total liabilities exclusive of liabilities under vehicle programs increased primarily due to seasonal increases in accounts payable and prepaid reservations as well as an increase in long-term debt (see “Liquidity and Capital Resources” regarding the changes in our corporate financings).</w:t>
      </w:r>
    </w:p>
    <w:p>
      <w:pPr>
        <w:spacing w:after="0" w:line="20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associated funding. The decrease in stockholders’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08"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equity is primarily due to the repurchase of our common stock and currency translation adjustments, partially offset by our net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the six months ended June 30, 2015, we issued $375 million of 5¼% Senior Notes due 2025 at par. The proceeds from these borrowings were used to redeem the remaining $223 million principal amount of our 9¾% Senior Notes due 2020 and to finance a portion of our acquisition of Maggiore. In addition, we repurchased approximately 2.2 million shares of our outstanding common stock during the six months ended June 30, 2015, and increased our borrowings under vehicle programs to fund the seasonal increase in our rental fleet.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six months ended June 30, 2015, we generated $16 million more cash from operating activities compared with the same period in 2014, principally due to increased earnings.</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decrease in cash used in investing activities during the six months ended June 30, 2015 compared with the same period in 2014 is primarily due to a decrease in vehicle purchases and an increase in proceeds received on the disposition of vehicles in 2015, partially offset by the acquisitions of Maggiore and Brazil in 2015.</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decrease in cash provided by financing activities during the six months ended June 30, 2015 compared with the same period in 2014 is primarily due to a decrease in net borrowings under vehicle programs, partially offset by an increase in net corporate borrowings to help fund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At June 30, 2015, we had approximately $15 billion of indebtedness, including corporate indebtedness of approximately $3.6 billion and debt under vehicle programs of approximately $11.1 billion.</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40"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28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28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28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340" w:hanging="332"/>
        <w:spacing w:after="0" w:line="211"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3.03% at June 30, 2015; the Company has entered into an interest rate swap to hedge its interest rate exposure related to these notes at an aggregate rate of 3.58%.</w:t>
      </w:r>
    </w:p>
    <w:p>
      <w:pPr>
        <w:ind w:left="340" w:right="60" w:hanging="332"/>
        <w:spacing w:after="0" w:line="225"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2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8,350</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(a) (b)</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 (c)</w:t>
            </w:r>
          </w:p>
        </w:tc>
        <w:tc>
          <w:tcPr>
            <w:tcW w:w="320" w:type="dxa"/>
            <w:vAlign w:val="bottom"/>
          </w:tcPr>
          <w:p>
            <w:pPr>
              <w:spacing w:after="0"/>
              <w:rPr>
                <w:sz w:val="23"/>
                <w:szCs w:val="23"/>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 - Capital leases</w:t>
            </w:r>
          </w:p>
        </w:tc>
        <w:tc>
          <w:tcPr>
            <w:tcW w:w="3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83"/>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also includes additional borrowings related to the acquisition of Brazil.</w:t>
      </w:r>
    </w:p>
    <w:p>
      <w:pPr>
        <w:ind w:left="340" w:hanging="332"/>
        <w:spacing w:after="0" w:line="199"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also includes additional borrowings related to the acquisition of Maggiore.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743</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2.95%.</w:t>
      </w:r>
    </w:p>
    <w:p>
      <w:pPr>
        <w:spacing w:after="0" w:line="20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At June 30, 2015, we had various uncommitted credit facilities available, under which we had drawn approximately $1 million, which bear interest at rates between 1.09% and 2.50%.</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June 30,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9,650</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8,350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13,271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$9.9 billion of underlying vehicles and related assets.</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$1.2 billion of underlying vehicles and related assets.</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$1.8 billion of underlying vehicles and related assets.</w:t>
      </w:r>
    </w:p>
    <w:p>
      <w:pPr>
        <w:ind w:left="340" w:hanging="332"/>
        <w:spacing w:after="0" w:line="199"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$0.3 billion of underlying vehicles and related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As discussed above, as of June 30, 2015, we have cash and cash equivalents of $529 million, available borrowing capacity under our committed credit facilities of approximately $754 million and available capacity under our vehicle programs of approximately $2.2 billion. In August 2015, the Company’s Board of Directors authorized a $250 million increase in the Company’s share repurchase program.</w:t>
      </w:r>
    </w:p>
    <w:p>
      <w:pPr>
        <w:spacing w:after="0" w:line="20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30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Kia, Fiat, Toyota, Mercedes, Volvo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June 30, 2015, we are in compliance with the financial covenants governing our indebtedness. For additional information regarding our liquidity risks, see Part I, Item 1A, “Risk Factors” of our 2014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2014 Form 10-K and our Current Report on Form 8-K filed May 6, 2015 with the exception of our commitment to purchase vehicles, which decreased by approximately $3.1 billion from December 31, 2014, to approximately $3.6 billion at June 30, 2015.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2014 Form 10-K and our Current Report on Form 8-K filed May 6, 2015 are the accounting policies (related to goodwill and other indefinite-lived intangible assets, vehicles, income taxes and public liability, property damage and other insurance liabilities) that we believe require subjective and/or complex judgments that could potentially affect 2015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2015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2015. For additional information regarding our long-term borrowings and financial instruments, see Notes 9, 10 and 14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2015.</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During the quarter ended June 30, 2015, the Company had no material developments to report with respect to its legal proceedings. For additional information regarding the Company’s legal proceedings, please refer to the Company’s 2014 Annual Report on Form 10-K and Quarterly Report on Form 10-Q for the quarter ended March 31, 2015.</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Avis Budget Group’s common stock repurchases by month for the quarter ended June 30, 2015: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April 1-30, 2015</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271,287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271,287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238,612,535</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May 1-31, 2015</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396,716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52.69</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396,716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217,711,254</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June 1-30, 2015</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990,749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49.35</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990,749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168,814,833</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1,658,752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51.18</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1,658,752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168,814,833</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540" w:hanging="332"/>
        <w:spacing w:after="0" w:line="234"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June 30, 2015, 6,016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$635 million of its common stock under a plan originally approved in August 2013 and subsequently expanded in April and October 2014. I</w:t>
      </w:r>
      <w:r>
        <w:rPr>
          <w:rFonts w:ascii="Arial" w:cs="Arial" w:eastAsia="Arial" w:hAnsi="Arial"/>
          <w:sz w:val="18"/>
          <w:szCs w:val="18"/>
          <w:color w:val="000000"/>
        </w:rPr>
        <w:t>n August 2015, the Company's Board of Directors authorized a $250</w:t>
      </w:r>
      <w:r>
        <w:rPr>
          <w:rFonts w:ascii="Arial" w:cs="Arial" w:eastAsia="Arial" w:hAnsi="Arial"/>
          <w:sz w:val="18"/>
          <w:szCs w:val="18"/>
          <w:color w:val="262626"/>
        </w:rPr>
        <w:t xml:space="preserve"> </w:t>
      </w:r>
      <w:r>
        <w:rPr>
          <w:rFonts w:ascii="Arial" w:cs="Arial" w:eastAsia="Arial" w:hAnsi="Arial"/>
          <w:sz w:val="18"/>
          <w:szCs w:val="18"/>
          <w:color w:val="000000"/>
        </w:rPr>
        <w:t xml:space="preserve">million increase in the Company’s share repurchase program. </w:t>
      </w: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w:t>
      </w:r>
      <w:r>
        <w:rPr>
          <w:rFonts w:ascii="Arial" w:cs="Arial" w:eastAsia="Arial" w:hAnsi="Arial"/>
          <w:sz w:val="18"/>
          <w:szCs w:val="18"/>
          <w:color w:val="000000"/>
        </w:rPr>
        <w:t xml:space="preserve"> </w:t>
      </w:r>
      <w:r>
        <w:rPr>
          <w:rFonts w:ascii="Arial" w:cs="Arial" w:eastAsia="Arial" w:hAnsi="Arial"/>
          <w:sz w:val="18"/>
          <w:szCs w:val="18"/>
          <w:color w:val="262626"/>
        </w:rPr>
        <w:t>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240" w:top="140" w:right="5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Sixth Master Amendment and Restatement Deed, by and among Carfin finance International Limited, Credit Agricole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Corporate and Investment Bank, Deutsche Trustee Company Limited, Credit Agricole Corporate And Investment Bank,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Opcos, Servicers, Lessees and Fleetcos listed therein, Avis Budget Car Rental, LLC, Avis Finance Company Limited, Avis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Budget EMEA Limited, the Account Banks listed therein, Deutsche Bank Ag. London Branch, the Senior Noteholders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certain other entities named therein, dated April 16, 2015 (incorporated by reference to Exhibit 10.1 to the Company’s Current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Report on Form 8-K dated April 22, 2015).*</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Series 2015-2 Supplement, dated as of May 27, 2015, between Avis Budget Rental Car Funding (AESOP) LLC and the Bank</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of New York Mellon Trust Company, N.A., as trustee and as Series 2015-2 Agent (incorporated by reference to Exhibit 10.1 to</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the Company’s Current Report on Form 8-K dated May 29, 2015).</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140"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60"/>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Ratio of earnings to fixed charges</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1.21x</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1.15x</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40" w:right="1140" w:hanging="168"/>
        <w:spacing w:after="0" w:line="451" w:lineRule="auto"/>
        <w:tabs>
          <w:tab w:leader="none" w:pos="1540" w:val="left"/>
        </w:tabs>
        <w:numPr>
          <w:ilvl w:val="0"/>
          <w:numId w:val="58"/>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140</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303</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903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2015,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2015</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4, 2015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lvl w:ilvl="1">
      <w:lvlJc w:val="left"/>
      <w:lvlText w:val="•"/>
      <w:numFmt w:val="bullet"/>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1"/>
    </w:lvl>
    <w:lvl w:ilvl="1">
      <w:lvlJc w:val="left"/>
      <w:lvlText w:val="(%2)"/>
      <w:numFmt w:val="lowerLetter"/>
      <w:start w:val="1"/>
    </w:lvl>
  </w:abstractNum>
  <w:abstractNum w:abstractNumId="6">
    <w:nsid w:val="614FD4A1"/>
    <w:multiLevelType w:val="hybridMultilevel"/>
    <w:lvl w:ilvl="0">
      <w:lvlJc w:val="left"/>
      <w:lvlText w:val="%1."/>
      <w:numFmt w:val="decimal"/>
      <w:start w:val="4"/>
    </w:lvl>
    <w:lvl w:ilvl="1">
      <w:lvlJc w:val="left"/>
      <w:lvlText w:val="%2"/>
      <w:numFmt w:val="lowerLetter"/>
      <w:start w:val="1"/>
    </w:lvl>
  </w:abstractNum>
  <w:abstractNum w:abstractNumId="7">
    <w:nsid w:val="419AC241"/>
    <w:multiLevelType w:val="hybridMultilevel"/>
    <w:lvl w:ilvl="0">
      <w:lvlJc w:val="left"/>
      <w:lvlText w:val="%1."/>
      <w:numFmt w:val="decimal"/>
      <w:start w:val="5"/>
    </w:lvl>
  </w:abstractNum>
  <w:abstractNum w:abstractNumId="8">
    <w:nsid w:val="5577F8E1"/>
    <w:multiLevelType w:val="hybridMultilevel"/>
    <w:lvl w:ilvl="0">
      <w:lvlJc w:val="left"/>
      <w:lvlText w:val="%1."/>
      <w:numFmt w:val="decimal"/>
      <w:start w:val="6"/>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decimal"/>
      <w:start w:val="7"/>
    </w:lvl>
  </w:abstractNum>
  <w:abstractNum w:abstractNumId="11">
    <w:nsid w:val="3804823E"/>
    <w:multiLevelType w:val="hybridMultilevel"/>
    <w:lvl w:ilvl="0">
      <w:lvlJc w:val="left"/>
      <w:lvlText w:val="(%1)"/>
      <w:numFmt w:val="decimal"/>
      <w:start w:val="51"/>
    </w:lvl>
  </w:abstractNum>
  <w:abstractNum w:abstractNumId="12">
    <w:nsid w:val="77465F01"/>
    <w:multiLevelType w:val="hybridMultilevel"/>
    <w:lvl w:ilvl="0">
      <w:lvlJc w:val="left"/>
      <w:lvlText w:val="%1."/>
      <w:numFmt w:val="decimal"/>
      <w:start w:val="8"/>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decimal"/>
      <w:start w:val="10"/>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1"/>
    </w:lvl>
  </w:abstractNum>
  <w:abstractNum w:abstractNumId="24">
    <w:nsid w:val="2A487CB0"/>
    <w:multiLevelType w:val="hybridMultilevel"/>
    <w:lvl w:ilvl="0">
      <w:lvlJc w:val="left"/>
      <w:lvlText w:val="%1."/>
      <w:numFmt w:val="decimal"/>
      <w:start w:val="12"/>
    </w:lvl>
  </w:abstractNum>
  <w:abstractNum w:abstractNumId="25">
    <w:nsid w:val="1D4ED43B"/>
    <w:multiLevelType w:val="hybridMultilevel"/>
    <w:lvl w:ilvl="0">
      <w:lvlJc w:val="left"/>
      <w:lvlText w:val="%1"/>
      <w:numFmt w:val="decimal"/>
      <w:start w:val="1"/>
    </w:lvl>
    <w:lvl w:ilvl="1">
      <w:lvlJc w:val="left"/>
      <w:lvlText w:val="(%2)"/>
      <w:numFmt w:val="lowerLetter"/>
      <w:start w:val="1"/>
    </w:lvl>
  </w:abstractNum>
  <w:abstractNum w:abstractNumId="26">
    <w:nsid w:val="725A06FB"/>
    <w:multiLevelType w:val="hybridMultilevel"/>
    <w:lvl w:ilvl="0">
      <w:lvlJc w:val="left"/>
      <w:lvlText w:val="%1."/>
      <w:numFmt w:val="decimal"/>
      <w:start w:val="13"/>
    </w:lvl>
    <w:lvl w:ilvl="1">
      <w:lvlJc w:val="left"/>
      <w:lvlText w:val="%2"/>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decimal"/>
      <w:start w:val="14"/>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decimal"/>
      <w:start w:val="1"/>
    </w:lvl>
    <w:lvl w:ilvl="1">
      <w:lvlJc w:val="left"/>
      <w:lvlText w:val="(%2)"/>
      <w:numFmt w:val="lowerLetter"/>
      <w:start w:val="1"/>
    </w:lvl>
  </w:abstractNum>
  <w:abstractNum w:abstractNumId="33">
    <w:nsid w:val="38437FDB"/>
    <w:multiLevelType w:val="hybridMultilevel"/>
    <w:lvl w:ilvl="0">
      <w:lvlJc w:val="left"/>
      <w:lvlText w:val="%1."/>
      <w:numFmt w:val="decimal"/>
      <w:start w:val="15"/>
    </w:lvl>
    <w:lvl w:ilvl="1">
      <w:lvlJc w:val="left"/>
      <w:lvlText w:val="%2"/>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decimal"/>
      <w:start w:val="16"/>
    </w:lvl>
  </w:abstractNum>
  <w:abstractNum w:abstractNumId="37">
    <w:nsid w:val="579478FE"/>
    <w:multiLevelType w:val="hybridMultilevel"/>
    <w:lvl w:ilvl="0">
      <w:lvlJc w:val="left"/>
      <w:lvlText w:val="%1."/>
      <w:numFmt w:val="decimal"/>
      <w:start w:val="17"/>
    </w:lvl>
    <w:lvl w:ilvl="1">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2019-12-29T16:37:04Z</dcterms:created>
  <dcterms:modified xsi:type="dcterms:W3CDTF">2019-12-29T16:37:04Z</dcterms:modified>
</cp:coreProperties>
</file>